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AEF8B" w14:textId="77777777" w:rsidR="00CD16CC" w:rsidRPr="005921D4" w:rsidRDefault="00394502" w:rsidP="00E44EAF">
      <w:pPr>
        <w:spacing w:line="480" w:lineRule="auto"/>
        <w:jc w:val="both"/>
        <w:rPr>
          <w:rFonts w:cstheme="minorHAnsi"/>
          <w:smallCaps/>
          <w:sz w:val="28"/>
          <w:szCs w:val="28"/>
        </w:rPr>
      </w:pPr>
      <w:r w:rsidRPr="005921D4">
        <w:rPr>
          <w:rFonts w:cstheme="minorHAnsi"/>
          <w:smallCaps/>
          <w:sz w:val="28"/>
          <w:szCs w:val="28"/>
        </w:rPr>
        <w:t>Acco</w:t>
      </w:r>
      <w:r w:rsidR="003434C6" w:rsidRPr="005921D4">
        <w:rPr>
          <w:rFonts w:cstheme="minorHAnsi"/>
          <w:smallCaps/>
          <w:sz w:val="28"/>
          <w:szCs w:val="28"/>
        </w:rPr>
        <w:t>m</w:t>
      </w:r>
      <w:r w:rsidRPr="005921D4">
        <w:rPr>
          <w:rFonts w:cstheme="minorHAnsi"/>
          <w:smallCaps/>
          <w:sz w:val="28"/>
          <w:szCs w:val="28"/>
        </w:rPr>
        <w:t>modating Territorial Contestation and National Constitutional Change: The Cases of Cyprus and Ireland</w:t>
      </w:r>
    </w:p>
    <w:p w14:paraId="4864A227" w14:textId="77777777" w:rsidR="003434C6" w:rsidRDefault="003434C6" w:rsidP="00E44EAF">
      <w:pPr>
        <w:spacing w:line="480" w:lineRule="auto"/>
        <w:rPr>
          <w:rFonts w:cstheme="minorHAnsi"/>
          <w:smallCaps/>
        </w:rPr>
      </w:pPr>
    </w:p>
    <w:p w14:paraId="57AD9958" w14:textId="77777777" w:rsidR="003434C6" w:rsidRDefault="003434C6" w:rsidP="00E44EAF">
      <w:pPr>
        <w:spacing w:line="480" w:lineRule="auto"/>
        <w:rPr>
          <w:rFonts w:cs="Calibri (Body)"/>
        </w:rPr>
      </w:pPr>
      <w:r>
        <w:rPr>
          <w:rFonts w:cstheme="minorHAnsi"/>
          <w:smallCaps/>
        </w:rPr>
        <w:t>N</w:t>
      </w:r>
      <w:r>
        <w:rPr>
          <w:rFonts w:cs="Calibri (Body)" w:hint="cs"/>
        </w:rPr>
        <w:t>i</w:t>
      </w:r>
      <w:r>
        <w:rPr>
          <w:rFonts w:cs="Calibri (Body)"/>
        </w:rPr>
        <w:t>kos Skoutaris</w:t>
      </w:r>
      <w:r w:rsidRPr="003434C6">
        <w:rPr>
          <w:rStyle w:val="FootnoteReference"/>
          <w:rFonts w:cs="Calibri (Body)"/>
        </w:rPr>
        <w:footnoteReference w:customMarkFollows="1" w:id="1"/>
        <w:sym w:font="Symbol" w:char="F02A"/>
      </w:r>
    </w:p>
    <w:p w14:paraId="39E0A361" w14:textId="77777777" w:rsidR="003434C6" w:rsidRDefault="003434C6" w:rsidP="00E44EAF">
      <w:pPr>
        <w:spacing w:line="480" w:lineRule="auto"/>
        <w:rPr>
          <w:rFonts w:cs="Calibri (Body)"/>
        </w:rPr>
      </w:pPr>
    </w:p>
    <w:p w14:paraId="79E894FB" w14:textId="3BD8C5F9" w:rsidR="003434C6" w:rsidRDefault="003434C6" w:rsidP="00E44EAF">
      <w:pPr>
        <w:spacing w:line="480" w:lineRule="auto"/>
        <w:jc w:val="center"/>
        <w:rPr>
          <w:rFonts w:cs="Calibri (Body)"/>
        </w:rPr>
      </w:pPr>
      <w:r>
        <w:rPr>
          <w:rFonts w:cs="Calibri (Body)"/>
        </w:rPr>
        <w:t>ABSTRACT</w:t>
      </w:r>
    </w:p>
    <w:p w14:paraId="67874FB6" w14:textId="7B8FD223" w:rsidR="001F141C" w:rsidRDefault="00D668AA" w:rsidP="00E44EAF">
      <w:pPr>
        <w:spacing w:line="480" w:lineRule="auto"/>
        <w:jc w:val="both"/>
        <w:rPr>
          <w:rFonts w:cs="Calibri (Body)"/>
        </w:rPr>
      </w:pPr>
      <w:r>
        <w:rPr>
          <w:rFonts w:cstheme="minorHAnsi"/>
        </w:rPr>
        <w:t xml:space="preserve">Although, Article 3(5) TEU declares that </w:t>
      </w:r>
      <w:r w:rsidRPr="008817B7">
        <w:rPr>
          <w:rFonts w:cstheme="minorHAnsi"/>
        </w:rPr>
        <w:t>the aim of the European Union (EU) ‘to promote peace, its values and the well-being of its peoples’</w:t>
      </w:r>
      <w:r>
        <w:rPr>
          <w:rFonts w:cstheme="minorHAnsi"/>
        </w:rPr>
        <w:t>, its actual</w:t>
      </w:r>
      <w:r w:rsidR="001F141C">
        <w:rPr>
          <w:rFonts w:cs="Calibri (Body)"/>
        </w:rPr>
        <w:t xml:space="preserve"> record in catalysing conflict resolution is rather mixed. </w:t>
      </w:r>
      <w:r>
        <w:rPr>
          <w:rFonts w:cs="Calibri (Body)"/>
        </w:rPr>
        <w:t>Notwithstanding</w:t>
      </w:r>
      <w:r w:rsidR="001F141C">
        <w:rPr>
          <w:rFonts w:cs="Calibri (Body)"/>
        </w:rPr>
        <w:t>, it has been particularly successful in accommodating territorial contestation within its borders and in its immediate neighbourhood. The article focuses on the main legal mechanism that ha</w:t>
      </w:r>
      <w:r w:rsidR="00875B99">
        <w:rPr>
          <w:rFonts w:cs="Calibri (Body)"/>
        </w:rPr>
        <w:t>s</w:t>
      </w:r>
      <w:r w:rsidR="001F141C">
        <w:rPr>
          <w:rFonts w:cs="Calibri (Body)"/>
        </w:rPr>
        <w:t xml:space="preserve"> allowed the EU to achieve this aim. Despite the</w:t>
      </w:r>
      <w:r w:rsidR="000D3A42">
        <w:rPr>
          <w:rFonts w:cs="Calibri (Body)"/>
        </w:rPr>
        <w:t xml:space="preserve"> very</w:t>
      </w:r>
      <w:r w:rsidR="001F141C">
        <w:rPr>
          <w:rFonts w:cs="Calibri (Body)"/>
        </w:rPr>
        <w:t xml:space="preserve"> different political and historical context</w:t>
      </w:r>
      <w:r w:rsidR="000D3A42">
        <w:rPr>
          <w:rFonts w:cs="Calibri (Body)"/>
        </w:rPr>
        <w:t>s</w:t>
      </w:r>
      <w:r w:rsidR="001F141C">
        <w:rPr>
          <w:rFonts w:cs="Calibri (Body)"/>
        </w:rPr>
        <w:t xml:space="preserve">, the Union legal order has managed to accommodate the </w:t>
      </w:r>
      <w:r w:rsidR="000D3A42">
        <w:rPr>
          <w:rFonts w:cs="Calibri (Body)"/>
        </w:rPr>
        <w:t xml:space="preserve">border disputes in Cyprus and Ireland </w:t>
      </w:r>
      <w:r w:rsidR="000D3A42">
        <w:rPr>
          <w:rFonts w:eastAsiaTheme="minorEastAsia" w:cstheme="minorHAnsi"/>
          <w:color w:val="000000" w:themeColor="text1"/>
        </w:rPr>
        <w:t xml:space="preserve">mainly by </w:t>
      </w:r>
      <w:r w:rsidR="000D3A42" w:rsidRPr="000D303C">
        <w:rPr>
          <w:rFonts w:eastAsiaTheme="minorEastAsia" w:cstheme="minorHAnsi"/>
          <w:color w:val="000000" w:themeColor="text1"/>
        </w:rPr>
        <w:t>extend</w:t>
      </w:r>
      <w:r w:rsidR="000D3A42">
        <w:rPr>
          <w:rFonts w:eastAsiaTheme="minorEastAsia" w:cstheme="minorHAnsi"/>
          <w:color w:val="000000" w:themeColor="text1"/>
        </w:rPr>
        <w:t>ing</w:t>
      </w:r>
      <w:r w:rsidR="000D3A42" w:rsidRPr="000D303C">
        <w:rPr>
          <w:rFonts w:eastAsiaTheme="minorEastAsia" w:cstheme="minorHAnsi"/>
          <w:color w:val="000000" w:themeColor="text1"/>
        </w:rPr>
        <w:t xml:space="preserve"> the application of </w:t>
      </w:r>
      <w:r w:rsidR="000D3A42" w:rsidRPr="000D303C">
        <w:rPr>
          <w:rFonts w:eastAsia="Times New Roman" w:cstheme="minorHAnsi"/>
          <w:color w:val="000000" w:themeColor="text1"/>
        </w:rPr>
        <w:t>EU</w:t>
      </w:r>
      <w:r w:rsidR="000D3A42" w:rsidRPr="000D303C">
        <w:rPr>
          <w:rFonts w:eastAsiaTheme="minorEastAsia" w:cstheme="minorHAnsi"/>
          <w:color w:val="000000" w:themeColor="text1"/>
        </w:rPr>
        <w:t xml:space="preserve"> law beyond </w:t>
      </w:r>
      <w:r w:rsidR="000D3A42">
        <w:rPr>
          <w:rFonts w:eastAsiaTheme="minorEastAsia" w:cstheme="minorHAnsi"/>
          <w:color w:val="000000" w:themeColor="text1"/>
        </w:rPr>
        <w:t>its</w:t>
      </w:r>
      <w:r w:rsidR="000D3A42" w:rsidRPr="000D303C">
        <w:rPr>
          <w:rFonts w:eastAsiaTheme="minorEastAsia" w:cstheme="minorHAnsi"/>
          <w:color w:val="000000" w:themeColor="text1"/>
        </w:rPr>
        <w:t xml:space="preserve"> territory</w:t>
      </w:r>
      <w:r w:rsidR="000D3A42">
        <w:rPr>
          <w:rFonts w:eastAsiaTheme="minorEastAsia" w:cstheme="minorHAnsi"/>
          <w:color w:val="000000" w:themeColor="text1"/>
        </w:rPr>
        <w:t xml:space="preserve">. This remarkable flexibility will also enable the EU to accommodate national constitutional change that a potential reunification of either of the two islands </w:t>
      </w:r>
      <w:r w:rsidR="00FF03AF">
        <w:rPr>
          <w:rFonts w:eastAsiaTheme="minorEastAsia" w:cstheme="minorHAnsi"/>
          <w:color w:val="000000" w:themeColor="text1"/>
        </w:rPr>
        <w:t xml:space="preserve">will </w:t>
      </w:r>
      <w:r w:rsidR="000D3A42">
        <w:rPr>
          <w:rFonts w:eastAsiaTheme="minorEastAsia" w:cstheme="minorHAnsi"/>
          <w:color w:val="000000" w:themeColor="text1"/>
        </w:rPr>
        <w:t>trigger.</w:t>
      </w:r>
    </w:p>
    <w:p w14:paraId="3F483CBF" w14:textId="514F3C89" w:rsidR="003434C6" w:rsidRDefault="000D3A42" w:rsidP="00E44EAF">
      <w:pPr>
        <w:spacing w:line="480" w:lineRule="auto"/>
        <w:rPr>
          <w:rFonts w:cs="Calibri (Body)"/>
        </w:rPr>
      </w:pPr>
      <w:r>
        <w:rPr>
          <w:rFonts w:cs="Calibri (Body)"/>
        </w:rPr>
        <w:br w:type="page"/>
      </w:r>
    </w:p>
    <w:p w14:paraId="7644FECD" w14:textId="7C342388" w:rsidR="008817B7" w:rsidRPr="008817B7" w:rsidRDefault="003434C6" w:rsidP="00E44EAF">
      <w:pPr>
        <w:spacing w:line="480" w:lineRule="auto"/>
        <w:jc w:val="center"/>
        <w:rPr>
          <w:rFonts w:cs="Calibri (Body)"/>
        </w:rPr>
      </w:pPr>
      <w:r>
        <w:rPr>
          <w:rFonts w:cs="Calibri (Body)"/>
        </w:rPr>
        <w:lastRenderedPageBreak/>
        <w:t>INTRODUCTION</w:t>
      </w:r>
    </w:p>
    <w:p w14:paraId="739E592D" w14:textId="50F660CF" w:rsidR="008817B7" w:rsidRPr="008817B7" w:rsidRDefault="008817B7" w:rsidP="00E44EAF">
      <w:pPr>
        <w:pStyle w:val="TextFlushLeft"/>
        <w:jc w:val="both"/>
        <w:rPr>
          <w:rFonts w:asciiTheme="minorHAnsi" w:hAnsiTheme="minorHAnsi" w:cstheme="minorHAnsi"/>
          <w:lang w:val="en-GB"/>
        </w:rPr>
      </w:pPr>
      <w:r w:rsidRPr="008817B7">
        <w:rPr>
          <w:rFonts w:asciiTheme="minorHAnsi" w:hAnsiTheme="minorHAnsi" w:cstheme="minorHAnsi"/>
          <w:lang w:val="en-GB"/>
        </w:rPr>
        <w:t>The European Union’s historical success as a peacemaker between France and Germany has inspired many to wonder whether the EU may also bring peace to other conflict zones, especially</w:t>
      </w:r>
      <w:r w:rsidR="00B53889">
        <w:rPr>
          <w:rFonts w:asciiTheme="minorHAnsi" w:hAnsiTheme="minorHAnsi" w:cstheme="minorHAnsi"/>
          <w:lang w:val="en-GB"/>
        </w:rPr>
        <w:t xml:space="preserve"> within its borders and</w:t>
      </w:r>
      <w:r w:rsidRPr="008817B7">
        <w:rPr>
          <w:rFonts w:asciiTheme="minorHAnsi" w:hAnsiTheme="minorHAnsi" w:cstheme="minorHAnsi"/>
          <w:lang w:val="en-GB"/>
        </w:rPr>
        <w:t xml:space="preserve"> in its immediate neighbourhood.</w:t>
      </w:r>
      <w:r w:rsidRPr="008817B7">
        <w:rPr>
          <w:rStyle w:val="FootnoteReference"/>
          <w:rFonts w:asciiTheme="minorHAnsi" w:hAnsiTheme="minorHAnsi" w:cstheme="minorHAnsi"/>
        </w:rPr>
        <w:footnoteReference w:id="2"/>
      </w:r>
      <w:r w:rsidRPr="008817B7">
        <w:rPr>
          <w:rFonts w:asciiTheme="minorHAnsi" w:hAnsiTheme="minorHAnsi" w:cstheme="minorHAnsi"/>
        </w:rPr>
        <w:t xml:space="preserve"> </w:t>
      </w:r>
      <w:r w:rsidRPr="008817B7">
        <w:rPr>
          <w:rFonts w:asciiTheme="minorHAnsi" w:hAnsiTheme="minorHAnsi" w:cstheme="minorHAnsi"/>
          <w:lang w:val="en-GB"/>
        </w:rPr>
        <w:t xml:space="preserve"> This query is even more justified given </w:t>
      </w:r>
      <w:r w:rsidRPr="008817B7">
        <w:rPr>
          <w:rFonts w:asciiTheme="minorHAnsi" w:hAnsiTheme="minorHAnsi" w:cstheme="minorHAnsi"/>
        </w:rPr>
        <w:t>the aim of the EU ‘to promote peace, its values and the well-being of its peoples’.</w:t>
      </w:r>
      <w:r w:rsidRPr="008817B7">
        <w:rPr>
          <w:rStyle w:val="FootnoteReference"/>
          <w:rFonts w:asciiTheme="minorHAnsi" w:hAnsiTheme="minorHAnsi" w:cstheme="minorHAnsi"/>
        </w:rPr>
        <w:footnoteReference w:id="3"/>
      </w:r>
      <w:r>
        <w:rPr>
          <w:rFonts w:asciiTheme="minorHAnsi" w:hAnsiTheme="minorHAnsi" w:cstheme="minorHAnsi"/>
        </w:rPr>
        <w:t xml:space="preserve"> </w:t>
      </w:r>
      <w:r w:rsidR="00196E83">
        <w:rPr>
          <w:rFonts w:asciiTheme="minorHAnsi" w:hAnsiTheme="minorHAnsi" w:cstheme="minorHAnsi"/>
        </w:rPr>
        <w:t>At the same time</w:t>
      </w:r>
      <w:r>
        <w:rPr>
          <w:rFonts w:asciiTheme="minorHAnsi" w:hAnsiTheme="minorHAnsi" w:cstheme="minorHAnsi"/>
        </w:rPr>
        <w:t xml:space="preserve">, the Commission has declared </w:t>
      </w:r>
      <w:r w:rsidRPr="008817B7">
        <w:rPr>
          <w:rFonts w:asciiTheme="minorHAnsi" w:hAnsiTheme="minorHAnsi" w:cstheme="minorHAnsi"/>
          <w:lang w:val="en-GB"/>
        </w:rPr>
        <w:t>that conflict resolution is a key foreign priority, presenting it as an ‘essential aspect of the EU’s external action’.</w:t>
      </w:r>
      <w:r w:rsidRPr="008817B7">
        <w:rPr>
          <w:rStyle w:val="FootnoteReference"/>
          <w:rFonts w:asciiTheme="minorHAnsi" w:hAnsiTheme="minorHAnsi" w:cstheme="minorHAnsi"/>
        </w:rPr>
        <w:footnoteReference w:id="4"/>
      </w:r>
      <w:r w:rsidRPr="008817B7">
        <w:rPr>
          <w:rFonts w:asciiTheme="minorHAnsi" w:hAnsiTheme="minorHAnsi" w:cstheme="minorHAnsi"/>
          <w:lang w:val="en-GB"/>
        </w:rPr>
        <w:t xml:space="preserve"> </w:t>
      </w:r>
    </w:p>
    <w:p w14:paraId="1B6DC37E" w14:textId="6E8AD8FD" w:rsidR="000D303C" w:rsidRDefault="008817B7" w:rsidP="00E44EAF">
      <w:pPr>
        <w:pStyle w:val="TextInd"/>
        <w:jc w:val="both"/>
        <w:rPr>
          <w:rFonts w:asciiTheme="minorHAnsi" w:hAnsiTheme="minorHAnsi" w:cstheme="minorHAnsi"/>
          <w:color w:val="000000" w:themeColor="text1"/>
          <w:lang w:val="en-GB"/>
        </w:rPr>
      </w:pPr>
      <w:r w:rsidRPr="000D303C">
        <w:rPr>
          <w:rFonts w:asciiTheme="minorHAnsi" w:hAnsiTheme="minorHAnsi" w:cstheme="minorHAnsi"/>
          <w:color w:val="000000" w:themeColor="text1"/>
          <w:lang w:val="en-GB"/>
        </w:rPr>
        <w:t xml:space="preserve">With regard to its immediate neighbourhood, </w:t>
      </w:r>
      <w:proofErr w:type="spellStart"/>
      <w:r w:rsidRPr="000D303C">
        <w:rPr>
          <w:rFonts w:asciiTheme="minorHAnsi" w:hAnsiTheme="minorHAnsi" w:cstheme="minorHAnsi"/>
          <w:iCs/>
          <w:color w:val="000000" w:themeColor="text1"/>
          <w:lang w:val="en-GB"/>
        </w:rPr>
        <w:t>Tocci</w:t>
      </w:r>
      <w:proofErr w:type="spellEnd"/>
      <w:r w:rsidRPr="000D303C">
        <w:rPr>
          <w:rFonts w:asciiTheme="minorHAnsi" w:hAnsiTheme="minorHAnsi" w:cstheme="minorHAnsi"/>
          <w:iCs/>
          <w:color w:val="000000" w:themeColor="text1"/>
          <w:lang w:val="en-GB"/>
        </w:rPr>
        <w:t xml:space="preserve"> </w:t>
      </w:r>
      <w:r w:rsidRPr="000D303C">
        <w:rPr>
          <w:rFonts w:asciiTheme="minorHAnsi" w:hAnsiTheme="minorHAnsi" w:cstheme="minorHAnsi"/>
          <w:color w:val="000000" w:themeColor="text1"/>
          <w:lang w:val="en-GB"/>
        </w:rPr>
        <w:t>has pointed out that the ‘EU’s ‘structural diplomacy’ i.e., the various forms of association and integration offered by the EU, is potentially well tailored to induce long-run structural change both within and between countries’.</w:t>
      </w:r>
      <w:r w:rsidR="000D303C" w:rsidRPr="000D303C">
        <w:rPr>
          <w:rStyle w:val="FootnoteReference"/>
          <w:rFonts w:asciiTheme="minorHAnsi" w:hAnsiTheme="minorHAnsi" w:cstheme="minorHAnsi"/>
          <w:color w:val="000000" w:themeColor="text1"/>
        </w:rPr>
        <w:footnoteReference w:id="5"/>
      </w:r>
      <w:r w:rsidR="000D303C" w:rsidRPr="000D303C">
        <w:rPr>
          <w:rFonts w:asciiTheme="minorHAnsi" w:hAnsiTheme="minorHAnsi" w:cstheme="minorHAnsi"/>
          <w:color w:val="000000" w:themeColor="text1"/>
        </w:rPr>
        <w:t xml:space="preserve"> </w:t>
      </w:r>
      <w:r w:rsidRPr="000D303C">
        <w:rPr>
          <w:rFonts w:asciiTheme="minorHAnsi" w:hAnsiTheme="minorHAnsi" w:cstheme="minorHAnsi"/>
          <w:color w:val="000000" w:themeColor="text1"/>
          <w:lang w:val="en-GB"/>
        </w:rPr>
        <w:t xml:space="preserve"> According to that rationale, the closer the form of association is with EU, the stronger the potential to achieve the respective conflict resolution goal. As it has been argued,</w:t>
      </w:r>
    </w:p>
    <w:p w14:paraId="0E2A0EB2" w14:textId="21842AA3" w:rsidR="008817B7" w:rsidRPr="000D303C" w:rsidRDefault="008817B7" w:rsidP="00E44EAF">
      <w:pPr>
        <w:pStyle w:val="TextInd"/>
        <w:ind w:left="720" w:right="720" w:firstLine="0"/>
        <w:jc w:val="both"/>
        <w:rPr>
          <w:rFonts w:asciiTheme="minorHAnsi" w:hAnsiTheme="minorHAnsi" w:cstheme="minorHAnsi"/>
          <w:b/>
          <w:bCs/>
          <w:color w:val="000000" w:themeColor="text1"/>
          <w:lang w:val="en-GB"/>
        </w:rPr>
      </w:pPr>
      <w:r w:rsidRPr="000D303C">
        <w:rPr>
          <w:rFonts w:asciiTheme="minorHAnsi" w:hAnsiTheme="minorHAnsi" w:cstheme="minorHAnsi"/>
          <w:color w:val="000000" w:themeColor="text1"/>
          <w:lang w:val="en-GB"/>
        </w:rPr>
        <w:t>Europeanisation in the field of secessionist conflict settlement and resolution should be understood as a process which is activated and encouraged by European institutions, primarily the European Union, by linking the final outcome of the conflict to a certain degree of integration of the parties involved in it into European structures.</w:t>
      </w:r>
      <w:r w:rsidR="000D303C" w:rsidRPr="000D303C">
        <w:rPr>
          <w:rStyle w:val="FootnoteReference"/>
          <w:rFonts w:asciiTheme="minorHAnsi" w:hAnsiTheme="minorHAnsi" w:cstheme="minorHAnsi"/>
        </w:rPr>
        <w:t xml:space="preserve"> </w:t>
      </w:r>
      <w:r w:rsidR="000D303C" w:rsidRPr="008817B7">
        <w:rPr>
          <w:rStyle w:val="FootnoteReference"/>
          <w:rFonts w:asciiTheme="minorHAnsi" w:hAnsiTheme="minorHAnsi" w:cstheme="minorHAnsi"/>
        </w:rPr>
        <w:footnoteReference w:id="6"/>
      </w:r>
    </w:p>
    <w:p w14:paraId="405A11A5" w14:textId="6853B2E7" w:rsidR="008817B7" w:rsidRPr="000D303C" w:rsidRDefault="008817B7" w:rsidP="00E44EAF">
      <w:pPr>
        <w:pStyle w:val="TextFlushLeft"/>
        <w:jc w:val="both"/>
        <w:rPr>
          <w:rFonts w:asciiTheme="minorHAnsi" w:hAnsiTheme="minorHAnsi" w:cstheme="minorHAnsi"/>
          <w:color w:val="000000" w:themeColor="text1"/>
          <w:lang w:val="en-GB"/>
        </w:rPr>
      </w:pPr>
      <w:r w:rsidRPr="000D303C">
        <w:rPr>
          <w:rFonts w:asciiTheme="minorHAnsi" w:hAnsiTheme="minorHAnsi" w:cstheme="minorHAnsi"/>
          <w:color w:val="000000" w:themeColor="text1"/>
          <w:lang w:val="en-GB"/>
        </w:rPr>
        <w:lastRenderedPageBreak/>
        <w:t>So, ‘[t]he European Union is not in itself the initiator of the peace process in any direct sense. Instead, it serves as an added factor</w:t>
      </w:r>
      <w:r w:rsidR="00875B99">
        <w:rPr>
          <w:rFonts w:asciiTheme="minorHAnsi" w:hAnsiTheme="minorHAnsi" w:cstheme="minorHAnsi"/>
          <w:color w:val="000000" w:themeColor="text1"/>
          <w:lang w:val="en-GB"/>
        </w:rPr>
        <w:t xml:space="preserve"> (</w:t>
      </w:r>
      <w:proofErr w:type="spellStart"/>
      <w:r w:rsidR="00875B99">
        <w:rPr>
          <w:rFonts w:asciiTheme="minorHAnsi" w:hAnsiTheme="minorHAnsi" w:cstheme="minorHAnsi"/>
          <w:color w:val="000000" w:themeColor="text1"/>
          <w:lang w:val="en-GB"/>
        </w:rPr>
        <w:t>ie</w:t>
      </w:r>
      <w:proofErr w:type="spellEnd"/>
      <w:r w:rsidR="00875B99">
        <w:rPr>
          <w:rFonts w:asciiTheme="minorHAnsi" w:hAnsiTheme="minorHAnsi" w:cstheme="minorHAnsi"/>
          <w:color w:val="000000" w:themeColor="text1"/>
          <w:lang w:val="en-GB"/>
        </w:rPr>
        <w:t>. a catalyst)</w:t>
      </w:r>
      <w:r w:rsidRPr="000D303C">
        <w:rPr>
          <w:rFonts w:asciiTheme="minorHAnsi" w:hAnsiTheme="minorHAnsi" w:cstheme="minorHAnsi"/>
          <w:color w:val="000000" w:themeColor="text1"/>
          <w:lang w:val="en-GB"/>
        </w:rPr>
        <w:t xml:space="preserve"> that encourages conflict resolution to take place more quickly than might have been expected’.</w:t>
      </w:r>
      <w:r w:rsidR="000D303C" w:rsidRPr="000D303C">
        <w:rPr>
          <w:rStyle w:val="FootnoteReference"/>
          <w:rFonts w:asciiTheme="minorHAnsi" w:hAnsiTheme="minorHAnsi" w:cstheme="minorHAnsi"/>
        </w:rPr>
        <w:t xml:space="preserve"> </w:t>
      </w:r>
      <w:r w:rsidR="000D303C" w:rsidRPr="008817B7">
        <w:rPr>
          <w:rStyle w:val="FootnoteReference"/>
          <w:rFonts w:asciiTheme="minorHAnsi" w:hAnsiTheme="minorHAnsi" w:cstheme="minorHAnsi"/>
        </w:rPr>
        <w:footnoteReference w:id="7"/>
      </w:r>
      <w:r w:rsidR="000D303C" w:rsidRPr="008817B7">
        <w:rPr>
          <w:rFonts w:asciiTheme="minorHAnsi" w:hAnsiTheme="minorHAnsi" w:cstheme="minorHAnsi"/>
        </w:rPr>
        <w:t xml:space="preserve"> </w:t>
      </w:r>
      <w:r w:rsidRPr="000D303C">
        <w:rPr>
          <w:rFonts w:asciiTheme="minorHAnsi" w:hAnsiTheme="minorHAnsi" w:cstheme="minorHAnsi"/>
          <w:color w:val="000000" w:themeColor="text1"/>
          <w:lang w:val="en-GB"/>
        </w:rPr>
        <w:t xml:space="preserve"> It is the impact of conditionality and socialization that might have a </w:t>
      </w:r>
      <w:r w:rsidR="00F36F76">
        <w:rPr>
          <w:rFonts w:asciiTheme="minorHAnsi" w:hAnsiTheme="minorHAnsi" w:cstheme="minorHAnsi"/>
          <w:color w:val="000000" w:themeColor="text1"/>
          <w:lang w:val="en-GB"/>
        </w:rPr>
        <w:t>‘catalytic</w:t>
      </w:r>
      <w:r w:rsidRPr="000D303C">
        <w:rPr>
          <w:rFonts w:asciiTheme="minorHAnsi" w:hAnsiTheme="minorHAnsi" w:cstheme="minorHAnsi"/>
          <w:color w:val="000000" w:themeColor="text1"/>
          <w:lang w:val="en-GB"/>
        </w:rPr>
        <w:t xml:space="preserve"> effect</w:t>
      </w:r>
      <w:r w:rsidR="00F36F76">
        <w:rPr>
          <w:rFonts w:asciiTheme="minorHAnsi" w:hAnsiTheme="minorHAnsi" w:cstheme="minorHAnsi"/>
          <w:color w:val="000000" w:themeColor="text1"/>
          <w:lang w:val="en-GB"/>
        </w:rPr>
        <w:t>’</w:t>
      </w:r>
      <w:r w:rsidRPr="000D303C">
        <w:rPr>
          <w:rFonts w:asciiTheme="minorHAnsi" w:hAnsiTheme="minorHAnsi" w:cstheme="minorHAnsi"/>
          <w:color w:val="000000" w:themeColor="text1"/>
          <w:lang w:val="en-GB"/>
        </w:rPr>
        <w:t xml:space="preserve"> on conflict transformation, thus emphasizing both the direct and the indirect forms of EU impact.</w:t>
      </w:r>
      <w:r w:rsidR="00F36F76">
        <w:rPr>
          <w:rStyle w:val="FootnoteReference"/>
          <w:rFonts w:asciiTheme="minorHAnsi" w:hAnsiTheme="minorHAnsi" w:cstheme="minorHAnsi"/>
          <w:color w:val="000000" w:themeColor="text1"/>
          <w:lang w:val="en-GB"/>
        </w:rPr>
        <w:footnoteReference w:id="8"/>
      </w:r>
    </w:p>
    <w:p w14:paraId="5A63CAD2" w14:textId="7BC36060" w:rsidR="008817B7" w:rsidRPr="000D303C" w:rsidRDefault="008817B7" w:rsidP="00E44EAF">
      <w:pPr>
        <w:pStyle w:val="TextInd"/>
        <w:jc w:val="both"/>
        <w:rPr>
          <w:rFonts w:asciiTheme="minorHAnsi" w:hAnsiTheme="minorHAnsi" w:cstheme="minorHAnsi"/>
          <w:color w:val="000000" w:themeColor="text1"/>
          <w:lang w:val="en-GB"/>
        </w:rPr>
      </w:pPr>
      <w:r w:rsidRPr="000D303C">
        <w:rPr>
          <w:rFonts w:asciiTheme="minorHAnsi" w:hAnsiTheme="minorHAnsi" w:cstheme="minorHAnsi"/>
          <w:color w:val="000000" w:themeColor="text1"/>
          <w:lang w:val="en-GB"/>
        </w:rPr>
        <w:t>However, the accession of the Republic of Cyprus</w:t>
      </w:r>
      <w:r w:rsidR="00FF03AF">
        <w:rPr>
          <w:rFonts w:asciiTheme="minorHAnsi" w:hAnsiTheme="minorHAnsi" w:cstheme="minorHAnsi"/>
          <w:color w:val="000000" w:themeColor="text1"/>
          <w:lang w:val="en-GB"/>
        </w:rPr>
        <w:t xml:space="preserve"> (</w:t>
      </w:r>
      <w:proofErr w:type="spellStart"/>
      <w:r w:rsidR="00FF03AF">
        <w:rPr>
          <w:rFonts w:asciiTheme="minorHAnsi" w:hAnsiTheme="minorHAnsi" w:cstheme="minorHAnsi"/>
          <w:color w:val="000000" w:themeColor="text1"/>
          <w:lang w:val="en-GB"/>
        </w:rPr>
        <w:t>RoC</w:t>
      </w:r>
      <w:proofErr w:type="spellEnd"/>
      <w:r w:rsidR="00FF03AF">
        <w:rPr>
          <w:rFonts w:asciiTheme="minorHAnsi" w:hAnsiTheme="minorHAnsi" w:cstheme="minorHAnsi"/>
          <w:color w:val="000000" w:themeColor="text1"/>
          <w:lang w:val="en-GB"/>
        </w:rPr>
        <w:t>)</w:t>
      </w:r>
      <w:r w:rsidRPr="000D303C">
        <w:rPr>
          <w:rFonts w:asciiTheme="minorHAnsi" w:hAnsiTheme="minorHAnsi" w:cstheme="minorHAnsi"/>
          <w:color w:val="000000" w:themeColor="text1"/>
          <w:lang w:val="en-GB"/>
        </w:rPr>
        <w:t xml:space="preserve"> to the EU failed to ‘catalyse’ a settlement of the age-old dispute shedding doubts on whether the ‘catalytic effect’ thesis could accurately represent the reality. Equally, the</w:t>
      </w:r>
      <w:r w:rsidR="00FF03AF">
        <w:rPr>
          <w:rFonts w:asciiTheme="minorHAnsi" w:hAnsiTheme="minorHAnsi" w:cstheme="minorHAnsi"/>
          <w:color w:val="000000" w:themeColor="text1"/>
          <w:lang w:val="en-GB"/>
        </w:rPr>
        <w:t xml:space="preserve"> often</w:t>
      </w:r>
      <w:r w:rsidRPr="000D303C">
        <w:rPr>
          <w:rFonts w:asciiTheme="minorHAnsi" w:hAnsiTheme="minorHAnsi" w:cstheme="minorHAnsi"/>
          <w:color w:val="000000" w:themeColor="text1"/>
          <w:lang w:val="en-GB"/>
        </w:rPr>
        <w:t xml:space="preserve"> minimum </w:t>
      </w:r>
      <w:r w:rsidR="00441011">
        <w:rPr>
          <w:rFonts w:asciiTheme="minorHAnsi" w:hAnsiTheme="minorHAnsi" w:cstheme="minorHAnsi"/>
          <w:color w:val="000000" w:themeColor="text1"/>
          <w:lang w:val="en-GB"/>
        </w:rPr>
        <w:t>and mainly indirect</w:t>
      </w:r>
      <w:r w:rsidRPr="000D303C">
        <w:rPr>
          <w:rFonts w:asciiTheme="minorHAnsi" w:hAnsiTheme="minorHAnsi" w:cstheme="minorHAnsi"/>
          <w:color w:val="000000" w:themeColor="text1"/>
          <w:lang w:val="en-GB"/>
        </w:rPr>
        <w:t xml:space="preserve"> involvement of the Union in the settlement of other intrastate conflicts that have taken place within its borders, such as the ones in the Basque </w:t>
      </w:r>
      <w:r w:rsidR="005E7A59">
        <w:rPr>
          <w:rFonts w:asciiTheme="minorHAnsi" w:hAnsiTheme="minorHAnsi" w:cstheme="minorHAnsi"/>
          <w:color w:val="000000" w:themeColor="text1"/>
          <w:lang w:val="en-GB"/>
        </w:rPr>
        <w:t>c</w:t>
      </w:r>
      <w:r w:rsidRPr="000D303C">
        <w:rPr>
          <w:rFonts w:asciiTheme="minorHAnsi" w:hAnsiTheme="minorHAnsi" w:cstheme="minorHAnsi"/>
          <w:color w:val="000000" w:themeColor="text1"/>
          <w:lang w:val="en-GB"/>
        </w:rPr>
        <w:t>ountry, Catalonia and Northern Ireland, point to the limits of the theory.</w:t>
      </w:r>
    </w:p>
    <w:p w14:paraId="53492D81" w14:textId="3E80E8F1" w:rsidR="001B1237" w:rsidRDefault="008817B7" w:rsidP="00E44EAF">
      <w:pPr>
        <w:pStyle w:val="TextInd"/>
        <w:jc w:val="both"/>
        <w:rPr>
          <w:rFonts w:asciiTheme="minorHAnsi" w:eastAsiaTheme="minorEastAsia" w:hAnsiTheme="minorHAnsi" w:cstheme="minorHAnsi"/>
          <w:color w:val="000000" w:themeColor="text1"/>
          <w:lang w:val="en-GB"/>
        </w:rPr>
      </w:pPr>
      <w:r w:rsidRPr="000D303C">
        <w:rPr>
          <w:rFonts w:asciiTheme="minorHAnsi" w:hAnsiTheme="minorHAnsi" w:cstheme="minorHAnsi"/>
          <w:color w:val="000000" w:themeColor="text1"/>
          <w:lang w:val="en-GB"/>
        </w:rPr>
        <w:t xml:space="preserve">In other words, the empirical evidence questions (at the very least) any linear conceptualization of a </w:t>
      </w:r>
      <w:r w:rsidR="00875B99">
        <w:rPr>
          <w:rFonts w:asciiTheme="minorHAnsi" w:hAnsiTheme="minorHAnsi" w:cstheme="minorHAnsi"/>
          <w:color w:val="000000" w:themeColor="text1"/>
          <w:lang w:val="en-GB"/>
        </w:rPr>
        <w:t>‘</w:t>
      </w:r>
      <w:r w:rsidRPr="000D303C">
        <w:rPr>
          <w:rFonts w:asciiTheme="minorHAnsi" w:hAnsiTheme="minorHAnsi" w:cstheme="minorHAnsi"/>
          <w:color w:val="000000" w:themeColor="text1"/>
          <w:lang w:val="en-GB"/>
        </w:rPr>
        <w:t>catalytic effect</w:t>
      </w:r>
      <w:r w:rsidR="00875B99">
        <w:rPr>
          <w:rFonts w:asciiTheme="minorHAnsi" w:hAnsiTheme="minorHAnsi" w:cstheme="minorHAnsi"/>
          <w:color w:val="000000" w:themeColor="text1"/>
          <w:lang w:val="en-GB"/>
        </w:rPr>
        <w:t>’</w:t>
      </w:r>
      <w:r w:rsidRPr="000D303C">
        <w:rPr>
          <w:rFonts w:asciiTheme="minorHAnsi" w:hAnsiTheme="minorHAnsi" w:cstheme="minorHAnsi"/>
          <w:color w:val="000000" w:themeColor="text1"/>
          <w:lang w:val="en-GB"/>
        </w:rPr>
        <w:t xml:space="preserve"> of EU integration on border and intrastate conflicts. Instead, it suggests that there is a clear ‘break point’ in the linearity of enhanced conflict resolution potential on the part of the EU at the moment of the accession of any given state. The EU is better equipped to ‘catalyse’ the resolution of a conflict before the EU accession of a candidate state rather than after. This is what has been called ‘the paradox of the Europeanisation of intra</w:t>
      </w:r>
      <w:r w:rsidR="00D668AA">
        <w:rPr>
          <w:rFonts w:asciiTheme="minorHAnsi" w:hAnsiTheme="minorHAnsi" w:cstheme="minorHAnsi"/>
          <w:color w:val="000000" w:themeColor="text1"/>
          <w:lang w:val="en-GB"/>
        </w:rPr>
        <w:t>-</w:t>
      </w:r>
      <w:r w:rsidRPr="000D303C">
        <w:rPr>
          <w:rFonts w:asciiTheme="minorHAnsi" w:hAnsiTheme="minorHAnsi" w:cstheme="minorHAnsi"/>
          <w:color w:val="000000" w:themeColor="text1"/>
          <w:lang w:val="en-GB"/>
        </w:rPr>
        <w:t xml:space="preserve">state </w:t>
      </w:r>
      <w:proofErr w:type="gramStart"/>
      <w:r w:rsidRPr="000D303C">
        <w:rPr>
          <w:rFonts w:asciiTheme="minorHAnsi" w:hAnsiTheme="minorHAnsi" w:cstheme="minorHAnsi"/>
          <w:color w:val="000000" w:themeColor="text1"/>
          <w:lang w:val="en-GB"/>
        </w:rPr>
        <w:t>conflicts’</w:t>
      </w:r>
      <w:proofErr w:type="gramEnd"/>
      <w:r w:rsidRPr="000D303C">
        <w:rPr>
          <w:rFonts w:asciiTheme="minorHAnsi" w:hAnsiTheme="minorHAnsi" w:cstheme="minorHAnsi"/>
          <w:color w:val="000000" w:themeColor="text1"/>
          <w:lang w:val="en-GB"/>
        </w:rPr>
        <w:t>.</w:t>
      </w:r>
      <w:r w:rsidR="000B7EE3">
        <w:rPr>
          <w:rStyle w:val="FootnoteReference"/>
          <w:rFonts w:asciiTheme="minorHAnsi" w:hAnsiTheme="minorHAnsi" w:cstheme="minorHAnsi"/>
          <w:color w:val="000000" w:themeColor="text1"/>
          <w:lang w:val="en-GB"/>
        </w:rPr>
        <w:footnoteReference w:id="9"/>
      </w:r>
      <w:r w:rsidRPr="000D303C">
        <w:rPr>
          <w:rFonts w:asciiTheme="minorHAnsi" w:eastAsiaTheme="minorEastAsia" w:hAnsiTheme="minorHAnsi" w:cstheme="minorHAnsi"/>
          <w:color w:val="000000" w:themeColor="text1"/>
          <w:lang w:val="en-GB"/>
        </w:rPr>
        <w:t xml:space="preserve"> </w:t>
      </w:r>
    </w:p>
    <w:p w14:paraId="539E4A2A" w14:textId="7BE89F32" w:rsidR="00FF03AF" w:rsidRDefault="000D3A42" w:rsidP="00E44EAF">
      <w:pPr>
        <w:pStyle w:val="TextInd"/>
        <w:jc w:val="both"/>
        <w:rPr>
          <w:rFonts w:asciiTheme="minorHAnsi" w:eastAsiaTheme="minorEastAsia" w:hAnsiTheme="minorHAnsi" w:cstheme="minorHAnsi"/>
          <w:color w:val="000000" w:themeColor="text1"/>
          <w:lang w:val="en-GB"/>
        </w:rPr>
      </w:pPr>
      <w:r>
        <w:rPr>
          <w:rFonts w:asciiTheme="minorHAnsi" w:hAnsiTheme="minorHAnsi" w:cstheme="minorHAnsi"/>
          <w:color w:val="000000" w:themeColor="text1"/>
          <w:lang w:val="en-GB"/>
        </w:rPr>
        <w:t>A</w:t>
      </w:r>
      <w:r w:rsidR="008817B7" w:rsidRPr="000D303C">
        <w:rPr>
          <w:rFonts w:asciiTheme="minorHAnsi" w:hAnsiTheme="minorHAnsi" w:cstheme="minorHAnsi"/>
          <w:color w:val="000000" w:themeColor="text1"/>
          <w:lang w:val="en-GB"/>
        </w:rPr>
        <w:t xml:space="preserve">fter the accession of any candidate state, the Union tends to accommodate the </w:t>
      </w:r>
      <w:r w:rsidR="001B1237">
        <w:rPr>
          <w:rFonts w:asciiTheme="minorHAnsi" w:hAnsiTheme="minorHAnsi" w:cstheme="minorHAnsi"/>
          <w:color w:val="000000" w:themeColor="text1"/>
          <w:lang w:val="en-GB"/>
        </w:rPr>
        <w:t xml:space="preserve">relevant </w:t>
      </w:r>
      <w:r w:rsidR="008817B7" w:rsidRPr="000D303C">
        <w:rPr>
          <w:rFonts w:asciiTheme="minorHAnsi" w:hAnsiTheme="minorHAnsi" w:cstheme="minorHAnsi"/>
          <w:color w:val="000000" w:themeColor="text1"/>
          <w:lang w:val="en-GB"/>
        </w:rPr>
        <w:t xml:space="preserve">conflict within its political and legal order rather than mobilize its resources to </w:t>
      </w:r>
      <w:r w:rsidR="008817B7" w:rsidRPr="000D303C">
        <w:rPr>
          <w:rFonts w:asciiTheme="minorHAnsi" w:hAnsiTheme="minorHAnsi" w:cstheme="minorHAnsi"/>
          <w:color w:val="000000" w:themeColor="text1"/>
          <w:lang w:val="en-GB"/>
        </w:rPr>
        <w:lastRenderedPageBreak/>
        <w:t>resolve it.</w:t>
      </w:r>
      <w:r w:rsidR="000B7EE3">
        <w:rPr>
          <w:rStyle w:val="FootnoteReference"/>
          <w:rFonts w:asciiTheme="minorHAnsi" w:hAnsiTheme="minorHAnsi" w:cstheme="minorHAnsi"/>
          <w:color w:val="000000" w:themeColor="text1"/>
          <w:lang w:val="en-GB"/>
        </w:rPr>
        <w:footnoteReference w:id="10"/>
      </w:r>
      <w:r w:rsidR="008817B7" w:rsidRPr="000D303C">
        <w:rPr>
          <w:rFonts w:asciiTheme="minorHAnsi" w:hAnsiTheme="minorHAnsi" w:cstheme="minorHAnsi"/>
          <w:color w:val="000000" w:themeColor="text1"/>
          <w:lang w:val="en-GB"/>
        </w:rPr>
        <w:t xml:space="preserve"> </w:t>
      </w:r>
      <w:r w:rsidR="001B1237">
        <w:rPr>
          <w:rFonts w:asciiTheme="minorHAnsi" w:hAnsiTheme="minorHAnsi" w:cstheme="minorHAnsi"/>
          <w:color w:val="000000" w:themeColor="text1"/>
          <w:lang w:val="en-GB"/>
        </w:rPr>
        <w:t>Equally, after</w:t>
      </w:r>
      <w:r w:rsidR="00196E83">
        <w:rPr>
          <w:rFonts w:asciiTheme="minorHAnsi" w:hAnsiTheme="minorHAnsi" w:cstheme="minorHAnsi"/>
          <w:color w:val="000000" w:themeColor="text1"/>
          <w:lang w:val="en-GB"/>
        </w:rPr>
        <w:t xml:space="preserve"> the withdrawal of a Member State</w:t>
      </w:r>
      <w:r w:rsidR="00FB53CC">
        <w:rPr>
          <w:rFonts w:asciiTheme="minorHAnsi" w:hAnsiTheme="minorHAnsi" w:cstheme="minorHAnsi"/>
          <w:color w:val="000000" w:themeColor="text1"/>
          <w:lang w:val="en-GB"/>
        </w:rPr>
        <w:t xml:space="preserve"> such as in the case of Brexit</w:t>
      </w:r>
      <w:r w:rsidR="001B1237">
        <w:rPr>
          <w:rFonts w:asciiTheme="minorHAnsi" w:hAnsiTheme="minorHAnsi" w:cstheme="minorHAnsi"/>
          <w:color w:val="000000" w:themeColor="text1"/>
          <w:lang w:val="en-GB"/>
        </w:rPr>
        <w:t>, the EU strives to absorb the frictions and tensions that such political decision creates</w:t>
      </w:r>
      <w:r w:rsidR="00196E83">
        <w:rPr>
          <w:rFonts w:asciiTheme="minorHAnsi" w:hAnsiTheme="minorHAnsi" w:cstheme="minorHAnsi"/>
          <w:color w:val="000000" w:themeColor="text1"/>
          <w:lang w:val="en-GB"/>
        </w:rPr>
        <w:t xml:space="preserve"> on</w:t>
      </w:r>
      <w:r w:rsidR="001B1237">
        <w:rPr>
          <w:rFonts w:asciiTheme="minorHAnsi" w:hAnsiTheme="minorHAnsi" w:cstheme="minorHAnsi"/>
          <w:color w:val="000000" w:themeColor="text1"/>
          <w:lang w:val="en-GB"/>
        </w:rPr>
        <w:t xml:space="preserve"> the relevant</w:t>
      </w:r>
      <w:r w:rsidR="00196E83">
        <w:rPr>
          <w:rFonts w:asciiTheme="minorHAnsi" w:hAnsiTheme="minorHAnsi" w:cstheme="minorHAnsi"/>
          <w:color w:val="000000" w:themeColor="text1"/>
          <w:lang w:val="en-GB"/>
        </w:rPr>
        <w:t xml:space="preserve"> border conflict</w:t>
      </w:r>
      <w:r w:rsidR="001B1237">
        <w:rPr>
          <w:rFonts w:asciiTheme="minorHAnsi" w:hAnsiTheme="minorHAnsi" w:cstheme="minorHAnsi"/>
          <w:color w:val="000000" w:themeColor="text1"/>
          <w:lang w:val="en-GB"/>
        </w:rPr>
        <w:t>(</w:t>
      </w:r>
      <w:r w:rsidR="00196E83">
        <w:rPr>
          <w:rFonts w:asciiTheme="minorHAnsi" w:hAnsiTheme="minorHAnsi" w:cstheme="minorHAnsi"/>
          <w:color w:val="000000" w:themeColor="text1"/>
          <w:lang w:val="en-GB"/>
        </w:rPr>
        <w:t>s</w:t>
      </w:r>
      <w:r w:rsidR="001B1237">
        <w:rPr>
          <w:rFonts w:asciiTheme="minorHAnsi" w:hAnsiTheme="minorHAnsi" w:cstheme="minorHAnsi"/>
          <w:color w:val="000000" w:themeColor="text1"/>
          <w:lang w:val="en-GB"/>
        </w:rPr>
        <w:t>)</w:t>
      </w:r>
      <w:r w:rsidR="000B7EE3">
        <w:rPr>
          <w:rFonts w:asciiTheme="minorHAnsi" w:hAnsiTheme="minorHAnsi" w:cstheme="minorHAnsi"/>
          <w:color w:val="000000" w:themeColor="text1"/>
          <w:lang w:val="en-GB"/>
        </w:rPr>
        <w:t>.</w:t>
      </w:r>
      <w:r w:rsidR="000B7EE3" w:rsidRPr="000B7EE3">
        <w:rPr>
          <w:rStyle w:val="FootnoteReference"/>
          <w:rFonts w:asciiTheme="minorHAnsi" w:hAnsiTheme="minorHAnsi" w:cstheme="minorHAnsi"/>
          <w:color w:val="000000" w:themeColor="text1"/>
          <w:lang w:val="en-GB"/>
        </w:rPr>
        <w:t xml:space="preserve"> </w:t>
      </w:r>
      <w:r w:rsidR="000B7EE3">
        <w:rPr>
          <w:rStyle w:val="FootnoteReference"/>
          <w:rFonts w:asciiTheme="minorHAnsi" w:hAnsiTheme="minorHAnsi" w:cstheme="minorHAnsi"/>
          <w:color w:val="000000" w:themeColor="text1"/>
          <w:lang w:val="en-GB"/>
        </w:rPr>
        <w:footnoteReference w:id="11"/>
      </w:r>
      <w:r w:rsidR="001B1237">
        <w:rPr>
          <w:rFonts w:asciiTheme="minorHAnsi" w:hAnsiTheme="minorHAnsi" w:cstheme="minorHAnsi"/>
          <w:color w:val="000000" w:themeColor="text1"/>
          <w:lang w:val="en-GB"/>
        </w:rPr>
        <w:t xml:space="preserve"> </w:t>
      </w:r>
      <w:r w:rsidR="001B1237">
        <w:rPr>
          <w:rFonts w:asciiTheme="minorHAnsi" w:eastAsiaTheme="minorEastAsia" w:hAnsiTheme="minorHAnsi" w:cstheme="minorHAnsi"/>
          <w:color w:val="000000" w:themeColor="text1"/>
          <w:lang w:val="en-GB"/>
        </w:rPr>
        <w:t xml:space="preserve">In both occasions, it does so mainly by </w:t>
      </w:r>
      <w:r w:rsidR="001B1237" w:rsidRPr="000D303C">
        <w:rPr>
          <w:rFonts w:asciiTheme="minorHAnsi" w:eastAsiaTheme="minorEastAsia" w:hAnsiTheme="minorHAnsi" w:cstheme="minorHAnsi"/>
          <w:color w:val="000000" w:themeColor="text1"/>
          <w:lang w:val="en-GB"/>
        </w:rPr>
        <w:t>extend</w:t>
      </w:r>
      <w:r w:rsidR="001B1237">
        <w:rPr>
          <w:rFonts w:asciiTheme="minorHAnsi" w:eastAsiaTheme="minorEastAsia" w:hAnsiTheme="minorHAnsi" w:cstheme="minorHAnsi"/>
          <w:color w:val="000000" w:themeColor="text1"/>
          <w:lang w:val="en-GB"/>
        </w:rPr>
        <w:t>ing</w:t>
      </w:r>
      <w:r w:rsidR="001B1237" w:rsidRPr="000D303C">
        <w:rPr>
          <w:rFonts w:asciiTheme="minorHAnsi" w:eastAsiaTheme="minorEastAsia" w:hAnsiTheme="minorHAnsi" w:cstheme="minorHAnsi"/>
          <w:color w:val="000000" w:themeColor="text1"/>
          <w:lang w:val="en-GB"/>
        </w:rPr>
        <w:t xml:space="preserve"> the application of </w:t>
      </w:r>
      <w:r w:rsidR="001B1237" w:rsidRPr="000D303C">
        <w:rPr>
          <w:rFonts w:asciiTheme="minorHAnsi" w:hAnsiTheme="minorHAnsi" w:cstheme="minorHAnsi"/>
          <w:color w:val="000000" w:themeColor="text1"/>
          <w:lang w:val="en-GB"/>
        </w:rPr>
        <w:t>EU</w:t>
      </w:r>
      <w:r w:rsidR="001B1237" w:rsidRPr="000D303C">
        <w:rPr>
          <w:rFonts w:asciiTheme="minorHAnsi" w:eastAsiaTheme="minorEastAsia" w:hAnsiTheme="minorHAnsi" w:cstheme="minorHAnsi"/>
          <w:color w:val="000000" w:themeColor="text1"/>
          <w:lang w:val="en-GB"/>
        </w:rPr>
        <w:t xml:space="preserve"> law beyond the Union’s territory to such an extent that the</w:t>
      </w:r>
      <w:r w:rsidR="001B1237">
        <w:rPr>
          <w:rFonts w:asciiTheme="minorHAnsi" w:eastAsiaTheme="minorEastAsia" w:hAnsiTheme="minorHAnsi" w:cstheme="minorHAnsi"/>
          <w:color w:val="000000" w:themeColor="text1"/>
          <w:lang w:val="en-GB"/>
        </w:rPr>
        <w:t xml:space="preserve"> respective</w:t>
      </w:r>
      <w:r w:rsidR="001B1237" w:rsidRPr="000D303C">
        <w:rPr>
          <w:rFonts w:asciiTheme="minorHAnsi" w:eastAsiaTheme="minorEastAsia" w:hAnsiTheme="minorHAnsi" w:cstheme="minorHAnsi"/>
          <w:color w:val="000000" w:themeColor="text1"/>
          <w:lang w:val="en-GB"/>
        </w:rPr>
        <w:t xml:space="preserve"> t</w:t>
      </w:r>
      <w:r w:rsidR="001B1237">
        <w:rPr>
          <w:rFonts w:asciiTheme="minorHAnsi" w:eastAsiaTheme="minorEastAsia" w:hAnsiTheme="minorHAnsi" w:cstheme="minorHAnsi"/>
          <w:color w:val="000000" w:themeColor="text1"/>
          <w:lang w:val="en-GB"/>
        </w:rPr>
        <w:t>erritorial</w:t>
      </w:r>
      <w:r w:rsidR="001B1237" w:rsidRPr="000D303C">
        <w:rPr>
          <w:rFonts w:asciiTheme="minorHAnsi" w:eastAsiaTheme="minorEastAsia" w:hAnsiTheme="minorHAnsi" w:cstheme="minorHAnsi"/>
          <w:color w:val="000000" w:themeColor="text1"/>
          <w:lang w:val="en-GB"/>
        </w:rPr>
        <w:t xml:space="preserve"> borders </w:t>
      </w:r>
      <w:r w:rsidR="001B1237">
        <w:rPr>
          <w:rFonts w:asciiTheme="minorHAnsi" w:eastAsiaTheme="minorEastAsia" w:hAnsiTheme="minorHAnsi" w:cstheme="minorHAnsi"/>
          <w:color w:val="000000" w:themeColor="text1"/>
          <w:lang w:val="en-GB"/>
        </w:rPr>
        <w:t>w</w:t>
      </w:r>
      <w:r w:rsidR="001B1237" w:rsidRPr="000D303C">
        <w:rPr>
          <w:rFonts w:asciiTheme="minorHAnsi" w:eastAsiaTheme="minorEastAsia" w:hAnsiTheme="minorHAnsi" w:cstheme="minorHAnsi"/>
          <w:color w:val="000000" w:themeColor="text1"/>
          <w:lang w:val="en-GB"/>
        </w:rPr>
        <w:t xml:space="preserve">ould experience a significantly </w:t>
      </w:r>
      <w:r w:rsidR="001B1237">
        <w:rPr>
          <w:rFonts w:asciiTheme="minorHAnsi" w:eastAsiaTheme="minorEastAsia" w:hAnsiTheme="minorHAnsi" w:cstheme="minorHAnsi"/>
          <w:color w:val="000000" w:themeColor="text1"/>
          <w:lang w:val="en-GB"/>
        </w:rPr>
        <w:t>low</w:t>
      </w:r>
      <w:r w:rsidR="001B1237" w:rsidRPr="000D303C">
        <w:rPr>
          <w:rFonts w:asciiTheme="minorHAnsi" w:eastAsiaTheme="minorEastAsia" w:hAnsiTheme="minorHAnsi" w:cstheme="minorHAnsi"/>
          <w:color w:val="000000" w:themeColor="text1"/>
          <w:lang w:val="en-GB"/>
        </w:rPr>
        <w:t>er level of friction</w:t>
      </w:r>
      <w:r w:rsidR="001B1237">
        <w:rPr>
          <w:rFonts w:asciiTheme="minorHAnsi" w:eastAsiaTheme="minorEastAsia" w:hAnsiTheme="minorHAnsi" w:cstheme="minorHAnsi"/>
          <w:color w:val="000000" w:themeColor="text1"/>
          <w:lang w:val="en-GB"/>
        </w:rPr>
        <w:t>.</w:t>
      </w:r>
      <w:r w:rsidR="001B1237">
        <w:rPr>
          <w:rFonts w:asciiTheme="minorHAnsi" w:hAnsiTheme="minorHAnsi" w:cstheme="minorHAnsi"/>
          <w:color w:val="000000" w:themeColor="text1"/>
          <w:lang w:val="en-GB"/>
        </w:rPr>
        <w:t xml:space="preserve"> </w:t>
      </w:r>
      <w:r w:rsidR="000B7EE3">
        <w:rPr>
          <w:rFonts w:asciiTheme="minorHAnsi" w:eastAsiaTheme="minorEastAsia" w:hAnsiTheme="minorHAnsi" w:cstheme="minorHAnsi"/>
          <w:color w:val="000000" w:themeColor="text1"/>
          <w:lang w:val="en-GB"/>
        </w:rPr>
        <w:t xml:space="preserve">The present article </w:t>
      </w:r>
      <w:r w:rsidR="001B1237">
        <w:rPr>
          <w:rFonts w:asciiTheme="minorHAnsi" w:eastAsiaTheme="minorEastAsia" w:hAnsiTheme="minorHAnsi" w:cstheme="minorHAnsi"/>
          <w:color w:val="000000" w:themeColor="text1"/>
          <w:lang w:val="en-GB"/>
        </w:rPr>
        <w:t xml:space="preserve">provides for an account of </w:t>
      </w:r>
      <w:r w:rsidR="000B7EE3">
        <w:rPr>
          <w:rFonts w:asciiTheme="minorHAnsi" w:eastAsiaTheme="minorEastAsia" w:hAnsiTheme="minorHAnsi" w:cstheme="minorHAnsi"/>
          <w:color w:val="000000" w:themeColor="text1"/>
          <w:lang w:val="en-GB"/>
        </w:rPr>
        <w:t>th</w:t>
      </w:r>
      <w:r w:rsidR="00FB53CC">
        <w:rPr>
          <w:rFonts w:asciiTheme="minorHAnsi" w:eastAsiaTheme="minorEastAsia" w:hAnsiTheme="minorHAnsi" w:cstheme="minorHAnsi"/>
          <w:color w:val="000000" w:themeColor="text1"/>
          <w:lang w:val="en-GB"/>
        </w:rPr>
        <w:t>e</w:t>
      </w:r>
      <w:r w:rsidR="001B1237">
        <w:rPr>
          <w:rFonts w:asciiTheme="minorHAnsi" w:eastAsiaTheme="minorEastAsia" w:hAnsiTheme="minorHAnsi" w:cstheme="minorHAnsi"/>
          <w:color w:val="000000" w:themeColor="text1"/>
          <w:lang w:val="en-GB"/>
        </w:rPr>
        <w:t xml:space="preserve"> </w:t>
      </w:r>
      <w:r w:rsidR="000B7EE3">
        <w:rPr>
          <w:rFonts w:asciiTheme="minorHAnsi" w:eastAsiaTheme="minorEastAsia" w:hAnsiTheme="minorHAnsi" w:cstheme="minorHAnsi"/>
          <w:color w:val="000000" w:themeColor="text1"/>
          <w:lang w:val="en-GB"/>
        </w:rPr>
        <w:t xml:space="preserve">legal mechanism </w:t>
      </w:r>
      <w:r w:rsidR="00FB53CC">
        <w:rPr>
          <w:rFonts w:asciiTheme="minorHAnsi" w:eastAsiaTheme="minorEastAsia" w:hAnsiTheme="minorHAnsi" w:cstheme="minorHAnsi"/>
          <w:color w:val="000000" w:themeColor="text1"/>
          <w:lang w:val="en-GB"/>
        </w:rPr>
        <w:t xml:space="preserve">of the extra-territorial application of EU law </w:t>
      </w:r>
      <w:r w:rsidR="000B7EE3">
        <w:rPr>
          <w:rFonts w:asciiTheme="minorHAnsi" w:eastAsiaTheme="minorEastAsia" w:hAnsiTheme="minorHAnsi" w:cstheme="minorHAnsi"/>
          <w:color w:val="000000" w:themeColor="text1"/>
          <w:lang w:val="en-GB"/>
        </w:rPr>
        <w:t xml:space="preserve">that </w:t>
      </w:r>
      <w:r w:rsidR="001B1237">
        <w:rPr>
          <w:rFonts w:asciiTheme="minorHAnsi" w:eastAsiaTheme="minorEastAsia" w:hAnsiTheme="minorHAnsi" w:cstheme="minorHAnsi"/>
          <w:color w:val="000000" w:themeColor="text1"/>
          <w:lang w:val="en-GB"/>
        </w:rPr>
        <w:t>has allowed the</w:t>
      </w:r>
      <w:r w:rsidR="000B7EE3">
        <w:rPr>
          <w:rFonts w:asciiTheme="minorHAnsi" w:eastAsiaTheme="minorEastAsia" w:hAnsiTheme="minorHAnsi" w:cstheme="minorHAnsi"/>
          <w:color w:val="000000" w:themeColor="text1"/>
          <w:lang w:val="en-GB"/>
        </w:rPr>
        <w:t xml:space="preserve"> Union </w:t>
      </w:r>
      <w:r w:rsidR="001B1237">
        <w:rPr>
          <w:rFonts w:asciiTheme="minorHAnsi" w:eastAsiaTheme="minorEastAsia" w:hAnsiTheme="minorHAnsi" w:cstheme="minorHAnsi"/>
          <w:color w:val="000000" w:themeColor="text1"/>
          <w:lang w:val="en-GB"/>
        </w:rPr>
        <w:t>to accommodate border disputes by focusing on the cases of Cyprus</w:t>
      </w:r>
      <w:r w:rsidR="00FB53CC">
        <w:rPr>
          <w:rFonts w:asciiTheme="minorHAnsi" w:eastAsiaTheme="minorEastAsia" w:hAnsiTheme="minorHAnsi" w:cstheme="minorHAnsi"/>
          <w:color w:val="000000" w:themeColor="text1"/>
          <w:lang w:val="en-GB"/>
        </w:rPr>
        <w:t xml:space="preserve"> which acceded to the EU in 2004</w:t>
      </w:r>
      <w:r w:rsidR="001B1237">
        <w:rPr>
          <w:rFonts w:asciiTheme="minorHAnsi" w:eastAsiaTheme="minorEastAsia" w:hAnsiTheme="minorHAnsi" w:cstheme="minorHAnsi"/>
          <w:color w:val="000000" w:themeColor="text1"/>
          <w:lang w:val="en-GB"/>
        </w:rPr>
        <w:t xml:space="preserve"> and </w:t>
      </w:r>
      <w:r w:rsidR="00FB53CC">
        <w:rPr>
          <w:rFonts w:asciiTheme="minorHAnsi" w:eastAsiaTheme="minorEastAsia" w:hAnsiTheme="minorHAnsi" w:cstheme="minorHAnsi"/>
          <w:color w:val="000000" w:themeColor="text1"/>
          <w:lang w:val="en-GB"/>
        </w:rPr>
        <w:t xml:space="preserve">Northern </w:t>
      </w:r>
      <w:r w:rsidR="001B1237">
        <w:rPr>
          <w:rFonts w:asciiTheme="minorHAnsi" w:eastAsiaTheme="minorEastAsia" w:hAnsiTheme="minorHAnsi" w:cstheme="minorHAnsi"/>
          <w:color w:val="000000" w:themeColor="text1"/>
          <w:lang w:val="en-GB"/>
        </w:rPr>
        <w:t>Ireland</w:t>
      </w:r>
      <w:r w:rsidR="00FB53CC">
        <w:rPr>
          <w:rFonts w:asciiTheme="minorHAnsi" w:eastAsiaTheme="minorEastAsia" w:hAnsiTheme="minorHAnsi" w:cstheme="minorHAnsi"/>
          <w:color w:val="000000" w:themeColor="text1"/>
          <w:lang w:val="en-GB"/>
        </w:rPr>
        <w:t xml:space="preserve"> that withdrew from the EU in 2020</w:t>
      </w:r>
      <w:r w:rsidR="00050DF9">
        <w:rPr>
          <w:rFonts w:asciiTheme="minorHAnsi" w:eastAsiaTheme="minorEastAsia" w:hAnsiTheme="minorHAnsi" w:cstheme="minorHAnsi"/>
          <w:color w:val="000000" w:themeColor="text1"/>
          <w:lang w:val="en-GB"/>
        </w:rPr>
        <w:t>.</w:t>
      </w:r>
      <w:r w:rsidR="00AC6BA4">
        <w:rPr>
          <w:rFonts w:asciiTheme="minorHAnsi" w:eastAsiaTheme="minorEastAsia" w:hAnsiTheme="minorHAnsi" w:cstheme="minorHAnsi"/>
          <w:color w:val="000000" w:themeColor="text1"/>
          <w:lang w:val="en-GB"/>
        </w:rPr>
        <w:t xml:space="preserve"> </w:t>
      </w:r>
      <w:r w:rsidR="00281A18">
        <w:rPr>
          <w:rFonts w:asciiTheme="minorHAnsi" w:eastAsiaTheme="minorEastAsia" w:hAnsiTheme="minorHAnsi" w:cstheme="minorHAnsi"/>
          <w:color w:val="000000" w:themeColor="text1"/>
          <w:lang w:val="en-GB"/>
        </w:rPr>
        <w:t>It</w:t>
      </w:r>
      <w:r w:rsidR="00441011">
        <w:rPr>
          <w:rFonts w:asciiTheme="minorHAnsi" w:eastAsiaTheme="minorEastAsia" w:hAnsiTheme="minorHAnsi" w:cstheme="minorHAnsi"/>
          <w:color w:val="000000" w:themeColor="text1"/>
          <w:lang w:val="en-GB"/>
        </w:rPr>
        <w:t xml:space="preserve"> points to the remarkable flexibility that the Union legal order has exhibited in accommodating those conflicts</w:t>
      </w:r>
      <w:r w:rsidR="00281A18">
        <w:rPr>
          <w:rFonts w:asciiTheme="minorHAnsi" w:eastAsiaTheme="minorEastAsia" w:hAnsiTheme="minorHAnsi" w:cstheme="minorHAnsi"/>
          <w:color w:val="000000" w:themeColor="text1"/>
          <w:lang w:val="en-GB"/>
        </w:rPr>
        <w:t xml:space="preserve"> that entail territorial contestation</w:t>
      </w:r>
      <w:r w:rsidR="00441011" w:rsidRPr="00281A18">
        <w:rPr>
          <w:rFonts w:asciiTheme="minorHAnsi" w:eastAsiaTheme="minorEastAsia" w:hAnsiTheme="minorHAnsi" w:cstheme="minorHAnsi"/>
          <w:color w:val="000000" w:themeColor="text1"/>
          <w:lang w:val="en-GB"/>
        </w:rPr>
        <w:t>.</w:t>
      </w:r>
      <w:r w:rsidR="00281A18" w:rsidRPr="00281A18">
        <w:rPr>
          <w:rFonts w:asciiTheme="minorHAnsi" w:eastAsiaTheme="minorEastAsia" w:hAnsiTheme="minorHAnsi" w:cstheme="minorHAnsi"/>
          <w:color w:val="000000" w:themeColor="text1"/>
          <w:lang w:val="en-GB"/>
        </w:rPr>
        <w:t xml:space="preserve"> </w:t>
      </w:r>
    </w:p>
    <w:p w14:paraId="07863AAE" w14:textId="13B5178B" w:rsidR="008817B7" w:rsidRPr="00281A18" w:rsidRDefault="00281A18" w:rsidP="00E44EAF">
      <w:pPr>
        <w:pStyle w:val="TextInd"/>
        <w:jc w:val="both"/>
        <w:rPr>
          <w:rFonts w:asciiTheme="minorHAnsi" w:hAnsiTheme="minorHAnsi" w:cstheme="minorHAnsi"/>
          <w:color w:val="000000" w:themeColor="text1"/>
          <w:lang w:val="en-GB"/>
        </w:rPr>
      </w:pPr>
      <w:r w:rsidRPr="00281A18">
        <w:rPr>
          <w:rFonts w:asciiTheme="minorHAnsi" w:eastAsiaTheme="minorEastAsia" w:hAnsiTheme="minorHAnsi" w:cstheme="minorHAnsi"/>
        </w:rPr>
        <w:t xml:space="preserve">The remainder of this </w:t>
      </w:r>
      <w:r w:rsidR="00875B99">
        <w:rPr>
          <w:rFonts w:asciiTheme="minorHAnsi" w:eastAsiaTheme="minorEastAsia" w:hAnsiTheme="minorHAnsi" w:cstheme="minorHAnsi"/>
        </w:rPr>
        <w:t>a</w:t>
      </w:r>
      <w:r w:rsidRPr="00281A18">
        <w:rPr>
          <w:rFonts w:asciiTheme="minorHAnsi" w:eastAsiaTheme="minorEastAsia" w:hAnsiTheme="minorHAnsi" w:cstheme="minorHAnsi"/>
        </w:rPr>
        <w:t xml:space="preserve">rticle is </w:t>
      </w:r>
      <w:proofErr w:type="spellStart"/>
      <w:r w:rsidRPr="00281A18">
        <w:rPr>
          <w:rFonts w:asciiTheme="minorHAnsi" w:eastAsiaTheme="minorEastAsia" w:hAnsiTheme="minorHAnsi" w:cstheme="minorHAnsi"/>
        </w:rPr>
        <w:t>organised</w:t>
      </w:r>
      <w:proofErr w:type="spellEnd"/>
      <w:r w:rsidRPr="00281A18">
        <w:rPr>
          <w:rFonts w:asciiTheme="minorHAnsi" w:eastAsiaTheme="minorEastAsia" w:hAnsiTheme="minorHAnsi" w:cstheme="minorHAnsi"/>
        </w:rPr>
        <w:t xml:space="preserve"> as follows.</w:t>
      </w:r>
      <w:r>
        <w:rPr>
          <w:rFonts w:asciiTheme="minorHAnsi" w:eastAsiaTheme="minorEastAsia" w:hAnsiTheme="minorHAnsi" w:cstheme="minorHAnsi"/>
        </w:rPr>
        <w:t xml:space="preserve"> The next section sets those border conflicts in their broader political and historical context</w:t>
      </w:r>
      <w:r w:rsidR="000D3A42">
        <w:rPr>
          <w:rFonts w:asciiTheme="minorHAnsi" w:eastAsiaTheme="minorEastAsia" w:hAnsiTheme="minorHAnsi" w:cstheme="minorHAnsi"/>
        </w:rPr>
        <w:t>s</w:t>
      </w:r>
      <w:r>
        <w:rPr>
          <w:rFonts w:asciiTheme="minorHAnsi" w:eastAsiaTheme="minorEastAsia" w:hAnsiTheme="minorHAnsi" w:cstheme="minorHAnsi"/>
        </w:rPr>
        <w:t xml:space="preserve"> while the following one analyses the legal arrangements that have allowed their accommodation within the Union legal order. The last part discusses how the</w:t>
      </w:r>
      <w:r w:rsidR="00FF03AF">
        <w:rPr>
          <w:rFonts w:asciiTheme="minorHAnsi" w:eastAsiaTheme="minorEastAsia" w:hAnsiTheme="minorHAnsi" w:cstheme="minorHAnsi"/>
        </w:rPr>
        <w:t xml:space="preserve"> flexibility of</w:t>
      </w:r>
      <w:r>
        <w:rPr>
          <w:rFonts w:asciiTheme="minorHAnsi" w:eastAsiaTheme="minorEastAsia" w:hAnsiTheme="minorHAnsi" w:cstheme="minorHAnsi"/>
        </w:rPr>
        <w:t xml:space="preserve"> </w:t>
      </w:r>
      <w:r w:rsidR="00FF03AF">
        <w:rPr>
          <w:rFonts w:asciiTheme="minorHAnsi" w:eastAsiaTheme="minorEastAsia" w:hAnsiTheme="minorHAnsi" w:cstheme="minorHAnsi"/>
        </w:rPr>
        <w:t xml:space="preserve">the </w:t>
      </w:r>
      <w:r>
        <w:rPr>
          <w:rFonts w:asciiTheme="minorHAnsi" w:eastAsiaTheme="minorEastAsia" w:hAnsiTheme="minorHAnsi" w:cstheme="minorHAnsi"/>
        </w:rPr>
        <w:t>EU</w:t>
      </w:r>
      <w:r w:rsidR="00FF03AF">
        <w:rPr>
          <w:rFonts w:asciiTheme="minorHAnsi" w:eastAsiaTheme="minorEastAsia" w:hAnsiTheme="minorHAnsi" w:cstheme="minorHAnsi"/>
        </w:rPr>
        <w:t xml:space="preserve"> constitutional order</w:t>
      </w:r>
      <w:r>
        <w:rPr>
          <w:rFonts w:asciiTheme="minorHAnsi" w:eastAsiaTheme="minorEastAsia" w:hAnsiTheme="minorHAnsi" w:cstheme="minorHAnsi"/>
        </w:rPr>
        <w:t xml:space="preserve"> will</w:t>
      </w:r>
      <w:r w:rsidR="00FF03AF">
        <w:rPr>
          <w:rFonts w:asciiTheme="minorHAnsi" w:eastAsiaTheme="minorEastAsia" w:hAnsiTheme="minorHAnsi" w:cstheme="minorHAnsi"/>
        </w:rPr>
        <w:t xml:space="preserve"> enable it</w:t>
      </w:r>
      <w:r>
        <w:rPr>
          <w:rFonts w:asciiTheme="minorHAnsi" w:eastAsiaTheme="minorEastAsia" w:hAnsiTheme="minorHAnsi" w:cstheme="minorHAnsi"/>
        </w:rPr>
        <w:t xml:space="preserve"> to accommodate a </w:t>
      </w:r>
      <w:r w:rsidR="0027789D">
        <w:rPr>
          <w:rFonts w:asciiTheme="minorHAnsi" w:eastAsiaTheme="minorEastAsia" w:hAnsiTheme="minorHAnsi" w:cstheme="minorHAnsi"/>
        </w:rPr>
        <w:t>possible</w:t>
      </w:r>
      <w:r>
        <w:rPr>
          <w:rFonts w:asciiTheme="minorHAnsi" w:eastAsiaTheme="minorEastAsia" w:hAnsiTheme="minorHAnsi" w:cstheme="minorHAnsi"/>
        </w:rPr>
        <w:t xml:space="preserve"> national constitutional change that the </w:t>
      </w:r>
      <w:r w:rsidR="0027789D">
        <w:rPr>
          <w:rFonts w:asciiTheme="minorHAnsi" w:eastAsiaTheme="minorEastAsia" w:hAnsiTheme="minorHAnsi" w:cstheme="minorHAnsi"/>
        </w:rPr>
        <w:t>potential</w:t>
      </w:r>
      <w:r>
        <w:rPr>
          <w:rFonts w:asciiTheme="minorHAnsi" w:eastAsiaTheme="minorEastAsia" w:hAnsiTheme="minorHAnsi" w:cstheme="minorHAnsi"/>
        </w:rPr>
        <w:t xml:space="preserve"> reunification of </w:t>
      </w:r>
      <w:r w:rsidR="00FF03AF">
        <w:rPr>
          <w:rFonts w:asciiTheme="minorHAnsi" w:eastAsiaTheme="minorEastAsia" w:hAnsiTheme="minorHAnsi" w:cstheme="minorHAnsi"/>
        </w:rPr>
        <w:t xml:space="preserve">either of </w:t>
      </w:r>
      <w:r>
        <w:rPr>
          <w:rFonts w:asciiTheme="minorHAnsi" w:eastAsiaTheme="minorEastAsia" w:hAnsiTheme="minorHAnsi" w:cstheme="minorHAnsi"/>
        </w:rPr>
        <w:t>those islands will entail.</w:t>
      </w:r>
    </w:p>
    <w:p w14:paraId="724196EF" w14:textId="59483D7E" w:rsidR="008817B7" w:rsidRPr="00281A18" w:rsidRDefault="008817B7" w:rsidP="00E44EAF">
      <w:pPr>
        <w:spacing w:line="480" w:lineRule="auto"/>
        <w:jc w:val="both"/>
        <w:rPr>
          <w:rFonts w:cstheme="minorHAnsi"/>
        </w:rPr>
      </w:pPr>
    </w:p>
    <w:p w14:paraId="2844F438" w14:textId="77777777" w:rsidR="008817B7" w:rsidRDefault="008817B7" w:rsidP="00E44EAF">
      <w:pPr>
        <w:pStyle w:val="TextFlushLeft"/>
        <w:jc w:val="both"/>
        <w:rPr>
          <w:rFonts w:asciiTheme="minorHAnsi" w:hAnsiTheme="minorHAnsi" w:cstheme="minorHAnsi"/>
          <w:lang w:val="en-GB"/>
        </w:rPr>
      </w:pPr>
    </w:p>
    <w:p w14:paraId="26FEEFF0" w14:textId="77777777" w:rsidR="005921D4" w:rsidRDefault="005921D4" w:rsidP="00E44EAF">
      <w:pPr>
        <w:spacing w:line="480" w:lineRule="auto"/>
        <w:jc w:val="center"/>
        <w:rPr>
          <w:rFonts w:cs="Calibri (Body)"/>
        </w:rPr>
      </w:pPr>
      <w:r>
        <w:rPr>
          <w:rFonts w:cs="Calibri (Body)"/>
        </w:rPr>
        <w:t xml:space="preserve">THE </w:t>
      </w:r>
      <w:r w:rsidR="00782EAC">
        <w:rPr>
          <w:rFonts w:cs="Calibri (Body)"/>
        </w:rPr>
        <w:t>CONTEXT</w:t>
      </w:r>
    </w:p>
    <w:p w14:paraId="44D7932C" w14:textId="68DCACC1" w:rsidR="008402A3" w:rsidRPr="00F341AC" w:rsidRDefault="00FF03AF" w:rsidP="00E44EAF">
      <w:pPr>
        <w:pStyle w:val="TextFlushLeft"/>
        <w:jc w:val="both"/>
        <w:rPr>
          <w:rFonts w:asciiTheme="minorHAnsi" w:hAnsiTheme="minorHAnsi" w:cstheme="minorHAnsi"/>
          <w:lang w:val="en-GB"/>
        </w:rPr>
      </w:pPr>
      <w:r>
        <w:rPr>
          <w:rFonts w:asciiTheme="minorHAnsi" w:hAnsiTheme="minorHAnsi" w:cstheme="minorHAnsi"/>
          <w:lang w:val="en-GB"/>
        </w:rPr>
        <w:lastRenderedPageBreak/>
        <w:t>At</w:t>
      </w:r>
      <w:r w:rsidR="008402A3" w:rsidRPr="00F341AC">
        <w:rPr>
          <w:rFonts w:asciiTheme="minorHAnsi" w:hAnsiTheme="minorHAnsi" w:cstheme="minorHAnsi"/>
          <w:lang w:val="en-GB"/>
        </w:rPr>
        <w:t xml:space="preserve"> the heart of every border conflict,</w:t>
      </w:r>
      <w:r>
        <w:rPr>
          <w:rStyle w:val="FootnoteReference"/>
          <w:rFonts w:asciiTheme="minorHAnsi" w:hAnsiTheme="minorHAnsi" w:cstheme="minorHAnsi"/>
          <w:lang w:val="en-GB"/>
        </w:rPr>
        <w:footnoteReference w:id="12"/>
      </w:r>
      <w:r w:rsidR="008402A3" w:rsidRPr="00F341AC">
        <w:rPr>
          <w:rFonts w:asciiTheme="minorHAnsi" w:hAnsiTheme="minorHAnsi" w:cstheme="minorHAnsi"/>
          <w:lang w:val="en-GB"/>
        </w:rPr>
        <w:t xml:space="preserve"> there is a </w:t>
      </w:r>
      <w:r w:rsidR="008402A3">
        <w:rPr>
          <w:rFonts w:asciiTheme="minorHAnsi" w:hAnsiTheme="minorHAnsi" w:cstheme="minorHAnsi"/>
          <w:lang w:val="en-GB"/>
        </w:rPr>
        <w:t xml:space="preserve">territorial contestation marked by a </w:t>
      </w:r>
      <w:r w:rsidR="008402A3" w:rsidRPr="00F341AC">
        <w:rPr>
          <w:rFonts w:asciiTheme="minorHAnsi" w:hAnsiTheme="minorHAnsi" w:cstheme="minorHAnsi"/>
          <w:lang w:val="en-GB"/>
        </w:rPr>
        <w:t>territorial border that is under dispute. In the case of</w:t>
      </w:r>
      <w:r w:rsidR="008402A3">
        <w:rPr>
          <w:rFonts w:asciiTheme="minorHAnsi" w:hAnsiTheme="minorHAnsi" w:cstheme="minorHAnsi"/>
          <w:lang w:val="en-GB"/>
        </w:rPr>
        <w:t xml:space="preserve"> Cyprus, that is the ceasefire line (Green Line) that marks the territorial division of the island while in</w:t>
      </w:r>
      <w:r w:rsidR="008402A3" w:rsidRPr="00F341AC">
        <w:rPr>
          <w:rFonts w:asciiTheme="minorHAnsi" w:hAnsiTheme="minorHAnsi" w:cstheme="minorHAnsi"/>
          <w:lang w:val="en-GB"/>
        </w:rPr>
        <w:t xml:space="preserve"> Northern Ireland, that is the Irish territorial border</w:t>
      </w:r>
      <w:r w:rsidR="008402A3">
        <w:rPr>
          <w:rFonts w:asciiTheme="minorHAnsi" w:hAnsiTheme="minorHAnsi" w:cstheme="minorHAnsi"/>
          <w:lang w:val="en-GB"/>
        </w:rPr>
        <w:t>. In both cases,</w:t>
      </w:r>
      <w:r w:rsidR="008402A3" w:rsidRPr="00F341AC">
        <w:rPr>
          <w:rFonts w:asciiTheme="minorHAnsi" w:hAnsiTheme="minorHAnsi" w:cstheme="minorHAnsi"/>
          <w:lang w:val="en-GB"/>
        </w:rPr>
        <w:t xml:space="preserve"> </w:t>
      </w:r>
      <w:r w:rsidR="008402A3">
        <w:rPr>
          <w:rFonts w:asciiTheme="minorHAnsi" w:hAnsiTheme="minorHAnsi" w:cstheme="minorHAnsi"/>
          <w:lang w:val="en-GB"/>
        </w:rPr>
        <w:t>there is</w:t>
      </w:r>
      <w:r w:rsidR="008402A3" w:rsidRPr="00F341AC">
        <w:rPr>
          <w:rFonts w:asciiTheme="minorHAnsi" w:hAnsiTheme="minorHAnsi" w:cstheme="minorHAnsi"/>
          <w:lang w:val="en-GB"/>
        </w:rPr>
        <w:t xml:space="preserve"> the open question of the unification of th</w:t>
      </w:r>
      <w:r w:rsidR="008402A3">
        <w:rPr>
          <w:rFonts w:asciiTheme="minorHAnsi" w:hAnsiTheme="minorHAnsi" w:cstheme="minorHAnsi"/>
          <w:lang w:val="en-GB"/>
        </w:rPr>
        <w:t>ose</w:t>
      </w:r>
      <w:r w:rsidR="008402A3" w:rsidRPr="00F341AC">
        <w:rPr>
          <w:rFonts w:asciiTheme="minorHAnsi" w:hAnsiTheme="minorHAnsi" w:cstheme="minorHAnsi"/>
          <w:lang w:val="en-GB"/>
        </w:rPr>
        <w:t xml:space="preserve"> island</w:t>
      </w:r>
      <w:r w:rsidR="008402A3">
        <w:rPr>
          <w:rFonts w:asciiTheme="minorHAnsi" w:hAnsiTheme="minorHAnsi" w:cstheme="minorHAnsi"/>
          <w:lang w:val="en-GB"/>
        </w:rPr>
        <w:t>s</w:t>
      </w:r>
      <w:r w:rsidR="008402A3" w:rsidRPr="00F341AC">
        <w:rPr>
          <w:rFonts w:asciiTheme="minorHAnsi" w:hAnsiTheme="minorHAnsi" w:cstheme="minorHAnsi"/>
          <w:lang w:val="en-GB"/>
        </w:rPr>
        <w:t>.</w:t>
      </w:r>
      <w:r w:rsidR="008402A3">
        <w:rPr>
          <w:rFonts w:asciiTheme="minorHAnsi" w:hAnsiTheme="minorHAnsi" w:cstheme="minorHAnsi"/>
          <w:lang w:val="en-GB"/>
        </w:rPr>
        <w:t xml:space="preserve"> Having said that, while in the case of Cyprus, the EU legal order was asked to accommodate such territorial contestation when the island acceded to the EU, in the case of Northern Ireland, the EU</w:t>
      </w:r>
      <w:r>
        <w:rPr>
          <w:rFonts w:asciiTheme="minorHAnsi" w:hAnsiTheme="minorHAnsi" w:cstheme="minorHAnsi"/>
          <w:lang w:val="en-GB"/>
        </w:rPr>
        <w:t xml:space="preserve"> mainly</w:t>
      </w:r>
      <w:r w:rsidR="008402A3">
        <w:rPr>
          <w:rFonts w:asciiTheme="minorHAnsi" w:hAnsiTheme="minorHAnsi" w:cstheme="minorHAnsi"/>
          <w:lang w:val="en-GB"/>
        </w:rPr>
        <w:t xml:space="preserve"> faced such challenge when the</w:t>
      </w:r>
      <w:r w:rsidR="00AC5FA2">
        <w:rPr>
          <w:rFonts w:asciiTheme="minorHAnsi" w:hAnsiTheme="minorHAnsi" w:cstheme="minorHAnsi"/>
          <w:lang w:val="en-GB"/>
        </w:rPr>
        <w:t xml:space="preserve"> </w:t>
      </w:r>
      <w:r w:rsidR="00AC5FA2" w:rsidRPr="006B65CF">
        <w:rPr>
          <w:rFonts w:asciiTheme="minorHAnsi" w:hAnsiTheme="minorHAnsi" w:cstheme="minorHAnsi"/>
          <w:lang w:val="en-GB"/>
        </w:rPr>
        <w:t>United Kingdom</w:t>
      </w:r>
      <w:r w:rsidR="008402A3">
        <w:rPr>
          <w:rFonts w:asciiTheme="minorHAnsi" w:hAnsiTheme="minorHAnsi" w:cstheme="minorHAnsi"/>
          <w:lang w:val="en-GB"/>
        </w:rPr>
        <w:t xml:space="preserve"> </w:t>
      </w:r>
      <w:r w:rsidR="00AC5FA2">
        <w:rPr>
          <w:rFonts w:asciiTheme="minorHAnsi" w:hAnsiTheme="minorHAnsi" w:cstheme="minorHAnsi"/>
          <w:lang w:val="en-GB"/>
        </w:rPr>
        <w:t>(</w:t>
      </w:r>
      <w:r w:rsidR="008402A3">
        <w:rPr>
          <w:rFonts w:asciiTheme="minorHAnsi" w:hAnsiTheme="minorHAnsi" w:cstheme="minorHAnsi"/>
          <w:lang w:val="en-GB"/>
        </w:rPr>
        <w:t>UK</w:t>
      </w:r>
      <w:r w:rsidR="00AC5FA2">
        <w:rPr>
          <w:rFonts w:asciiTheme="minorHAnsi" w:hAnsiTheme="minorHAnsi" w:cstheme="minorHAnsi"/>
          <w:lang w:val="en-GB"/>
        </w:rPr>
        <w:t>)</w:t>
      </w:r>
      <w:r w:rsidR="008402A3">
        <w:rPr>
          <w:rFonts w:asciiTheme="minorHAnsi" w:hAnsiTheme="minorHAnsi" w:cstheme="minorHAnsi"/>
          <w:lang w:val="en-GB"/>
        </w:rPr>
        <w:t xml:space="preserve"> was withdrawing from the Union.</w:t>
      </w:r>
    </w:p>
    <w:p w14:paraId="1D4783F6" w14:textId="77777777" w:rsidR="00782EAC" w:rsidRDefault="00782EAC" w:rsidP="00E44EAF">
      <w:pPr>
        <w:spacing w:line="480" w:lineRule="auto"/>
        <w:rPr>
          <w:rFonts w:cs="Calibri (Body)"/>
        </w:rPr>
      </w:pPr>
    </w:p>
    <w:p w14:paraId="5B9E2991" w14:textId="5468E209" w:rsidR="00782EAC" w:rsidRPr="00F341AC" w:rsidRDefault="00FF211F" w:rsidP="00E44EAF">
      <w:pPr>
        <w:spacing w:line="480" w:lineRule="auto"/>
        <w:rPr>
          <w:rFonts w:cstheme="minorHAnsi"/>
          <w:i/>
          <w:iCs/>
        </w:rPr>
      </w:pPr>
      <w:r>
        <w:rPr>
          <w:rFonts w:cstheme="minorHAnsi"/>
          <w:i/>
          <w:iCs/>
        </w:rPr>
        <w:t>(</w:t>
      </w:r>
      <w:r w:rsidRPr="00FE2768">
        <w:rPr>
          <w:rFonts w:cstheme="minorHAnsi"/>
          <w:i/>
          <w:iCs/>
        </w:rPr>
        <w:t>Northern</w:t>
      </w:r>
      <w:r>
        <w:rPr>
          <w:rFonts w:cstheme="minorHAnsi"/>
          <w:i/>
          <w:iCs/>
        </w:rPr>
        <w:t xml:space="preserve">) </w:t>
      </w:r>
      <w:r w:rsidR="007B0422">
        <w:rPr>
          <w:rFonts w:cstheme="minorHAnsi"/>
          <w:i/>
          <w:iCs/>
        </w:rPr>
        <w:t>Cyprus</w:t>
      </w:r>
    </w:p>
    <w:p w14:paraId="72E28977" w14:textId="24F5C8FF" w:rsidR="005474F5" w:rsidRDefault="00F341AC" w:rsidP="00E44EAF">
      <w:pPr>
        <w:autoSpaceDE w:val="0"/>
        <w:autoSpaceDN w:val="0"/>
        <w:adjustRightInd w:val="0"/>
        <w:spacing w:line="480" w:lineRule="auto"/>
        <w:jc w:val="both"/>
        <w:rPr>
          <w:rFonts w:cstheme="minorHAnsi"/>
        </w:rPr>
      </w:pPr>
      <w:r w:rsidRPr="006B65CF">
        <w:rPr>
          <w:rFonts w:cstheme="minorHAnsi"/>
        </w:rPr>
        <w:t xml:space="preserve">The </w:t>
      </w:r>
      <w:proofErr w:type="spellStart"/>
      <w:r w:rsidR="008402A3">
        <w:rPr>
          <w:rFonts w:cstheme="minorHAnsi"/>
        </w:rPr>
        <w:t>RoC</w:t>
      </w:r>
      <w:proofErr w:type="spellEnd"/>
      <w:r w:rsidRPr="006B65CF">
        <w:rPr>
          <w:rFonts w:cstheme="minorHAnsi"/>
        </w:rPr>
        <w:t xml:space="preserve"> gained its sovereign independence from the </w:t>
      </w:r>
      <w:r w:rsidR="00AC5FA2">
        <w:rPr>
          <w:rFonts w:cstheme="minorHAnsi"/>
        </w:rPr>
        <w:t>UK</w:t>
      </w:r>
      <w:r w:rsidRPr="006B65CF">
        <w:rPr>
          <w:rFonts w:cstheme="minorHAnsi"/>
        </w:rPr>
        <w:t xml:space="preserve"> by virtue of three treaties, namely the Treaty of Guarantee, the Treaty of Alliance and the Treaty of Establishment and a Constitution, all of which came into operation the same day – 16 August 1960.</w:t>
      </w:r>
      <w:r w:rsidRPr="006B65CF">
        <w:rPr>
          <w:rFonts w:cstheme="minorHAnsi"/>
          <w:vertAlign w:val="superscript"/>
        </w:rPr>
        <w:footnoteReference w:id="13"/>
      </w:r>
      <w:r w:rsidRPr="006B65CF">
        <w:rPr>
          <w:rFonts w:cstheme="minorHAnsi"/>
        </w:rPr>
        <w:t xml:space="preserve"> In order to achieve a political compromise between the </w:t>
      </w:r>
      <w:r w:rsidR="00AC5FA2">
        <w:rPr>
          <w:rFonts w:cstheme="minorHAnsi"/>
        </w:rPr>
        <w:t>UK</w:t>
      </w:r>
      <w:r w:rsidRPr="006B65CF">
        <w:rPr>
          <w:rFonts w:cstheme="minorHAnsi"/>
        </w:rPr>
        <w:t>, Greece and Turkey and to ensure the balance between the island’s two main ethno-religious segments, a complicated power-sharing structure was designed.</w:t>
      </w:r>
      <w:r w:rsidR="007B0422" w:rsidRPr="006B65CF">
        <w:rPr>
          <w:rStyle w:val="FootnoteReference"/>
          <w:rFonts w:cstheme="minorHAnsi"/>
        </w:rPr>
        <w:footnoteReference w:id="14"/>
      </w:r>
      <w:r w:rsidR="00210FA6" w:rsidRPr="006B65CF">
        <w:rPr>
          <w:rFonts w:cstheme="minorHAnsi"/>
        </w:rPr>
        <w:t xml:space="preserve"> The Constitution was drawn up explicitly in terms of the </w:t>
      </w:r>
      <w:r w:rsidR="00085C44" w:rsidRPr="006B65CF">
        <w:rPr>
          <w:rFonts w:cstheme="minorHAnsi"/>
        </w:rPr>
        <w:t>Greek-Cypriot and the Turkish-Cypriot</w:t>
      </w:r>
      <w:r w:rsidR="00210FA6" w:rsidRPr="006B65CF">
        <w:rPr>
          <w:rFonts w:cstheme="minorHAnsi"/>
        </w:rPr>
        <w:t xml:space="preserve"> communities while all of the principles of </w:t>
      </w:r>
      <w:proofErr w:type="spellStart"/>
      <w:r w:rsidR="00210FA6" w:rsidRPr="006B65CF">
        <w:rPr>
          <w:rFonts w:cstheme="minorHAnsi"/>
        </w:rPr>
        <w:t>consociational</w:t>
      </w:r>
      <w:proofErr w:type="spellEnd"/>
      <w:r w:rsidR="00210FA6" w:rsidRPr="006B65CF">
        <w:rPr>
          <w:rFonts w:cstheme="minorHAnsi"/>
        </w:rPr>
        <w:t xml:space="preserve"> democracy—grand coalition, proportionality, autonomy and veto—were elaborately embodied in it</w:t>
      </w:r>
      <w:r w:rsidR="00210FA6" w:rsidRPr="006B65CF">
        <w:rPr>
          <w:rFonts w:ascii="Times New Roman" w:hAnsi="Times New Roman" w:cs="Times New Roman"/>
        </w:rPr>
        <w:t xml:space="preserve">. </w:t>
      </w:r>
      <w:r w:rsidR="00210FA6" w:rsidRPr="006B65CF">
        <w:rPr>
          <w:rFonts w:ascii="Calibri" w:hAnsi="Calibri" w:cs="Calibri"/>
          <w:lang w:val="en-US"/>
        </w:rPr>
        <w:t xml:space="preserve">Despite the fact that </w:t>
      </w:r>
      <w:r w:rsidR="00085C44" w:rsidRPr="006B65CF">
        <w:rPr>
          <w:rFonts w:ascii="Calibri" w:hAnsi="Calibri" w:cs="Calibri"/>
          <w:lang w:val="en-US"/>
        </w:rPr>
        <w:t xml:space="preserve">the </w:t>
      </w:r>
      <w:r w:rsidR="00210FA6" w:rsidRPr="006B65CF">
        <w:rPr>
          <w:rFonts w:cstheme="minorHAnsi"/>
        </w:rPr>
        <w:t>United Kingdom, Greece and Turkey</w:t>
      </w:r>
      <w:r w:rsidRPr="006B65CF">
        <w:rPr>
          <w:rFonts w:cstheme="minorHAnsi"/>
        </w:rPr>
        <w:t xml:space="preserve"> guaranteed the </w:t>
      </w:r>
      <w:r w:rsidRPr="006B65CF">
        <w:rPr>
          <w:rFonts w:cstheme="minorHAnsi"/>
        </w:rPr>
        <w:lastRenderedPageBreak/>
        <w:t>state of</w:t>
      </w:r>
      <w:r w:rsidR="00210FA6" w:rsidRPr="006B65CF">
        <w:rPr>
          <w:rFonts w:cstheme="minorHAnsi"/>
        </w:rPr>
        <w:t xml:space="preserve"> affairs,</w:t>
      </w:r>
      <w:r w:rsidRPr="006B65CF">
        <w:rPr>
          <w:rFonts w:cstheme="minorHAnsi"/>
        </w:rPr>
        <w:t xml:space="preserve"> </w:t>
      </w:r>
      <w:r w:rsidR="00210FA6" w:rsidRPr="006B65CF">
        <w:rPr>
          <w:rFonts w:cstheme="minorHAnsi"/>
        </w:rPr>
        <w:t>t</w:t>
      </w:r>
      <w:r w:rsidRPr="006B65CF">
        <w:rPr>
          <w:rFonts w:cstheme="minorHAnsi"/>
        </w:rPr>
        <w:t xml:space="preserve">his regime </w:t>
      </w:r>
      <w:r w:rsidR="00085C44" w:rsidRPr="006B65CF">
        <w:rPr>
          <w:rFonts w:cstheme="minorHAnsi"/>
        </w:rPr>
        <w:t>was</w:t>
      </w:r>
      <w:r w:rsidRPr="006B65CF">
        <w:rPr>
          <w:rFonts w:cstheme="minorHAnsi"/>
        </w:rPr>
        <w:t xml:space="preserve"> short-lived</w:t>
      </w:r>
      <w:r w:rsidR="00210FA6" w:rsidRPr="006B65CF">
        <w:rPr>
          <w:rFonts w:cstheme="minorHAnsi"/>
        </w:rPr>
        <w:t>.</w:t>
      </w:r>
      <w:r w:rsidR="007B0422" w:rsidRPr="006B65CF">
        <w:rPr>
          <w:rFonts w:cstheme="minorHAnsi"/>
        </w:rPr>
        <w:t xml:space="preserve"> </w:t>
      </w:r>
      <w:r w:rsidR="00210FA6" w:rsidRPr="006B65CF">
        <w:rPr>
          <w:rFonts w:cstheme="minorHAnsi"/>
        </w:rPr>
        <w:t>F</w:t>
      </w:r>
      <w:r w:rsidR="0056218D" w:rsidRPr="006B65CF">
        <w:rPr>
          <w:rFonts w:cstheme="minorHAnsi"/>
        </w:rPr>
        <w:t>ollowing the first, low-scale, inter-communal armed conflict in December 1963, the vast majority of</w:t>
      </w:r>
      <w:r w:rsidR="007B0422" w:rsidRPr="006B65CF">
        <w:rPr>
          <w:rFonts w:cstheme="minorHAnsi"/>
        </w:rPr>
        <w:t xml:space="preserve"> the Turkish Cy</w:t>
      </w:r>
      <w:r w:rsidR="0056218D" w:rsidRPr="006B65CF">
        <w:rPr>
          <w:rFonts w:cstheme="minorHAnsi"/>
        </w:rPr>
        <w:t>priot representatives withdrew from their posts in the executive, legislative and judiciary while others were prevented from assuming their positions.</w:t>
      </w:r>
      <w:r w:rsidR="0056218D" w:rsidRPr="006B65CF">
        <w:rPr>
          <w:rStyle w:val="FootnoteReference"/>
          <w:rFonts w:cstheme="minorHAnsi"/>
        </w:rPr>
        <w:footnoteReference w:id="15"/>
      </w:r>
      <w:r w:rsidR="0056218D" w:rsidRPr="006B65CF">
        <w:rPr>
          <w:rFonts w:cstheme="minorHAnsi"/>
        </w:rPr>
        <w:t xml:space="preserve"> </w:t>
      </w:r>
      <w:r w:rsidR="008402A3">
        <w:rPr>
          <w:rFonts w:cstheme="minorHAnsi"/>
        </w:rPr>
        <w:t>Still</w:t>
      </w:r>
      <w:r w:rsidR="0056218D" w:rsidRPr="006B65CF">
        <w:rPr>
          <w:rFonts w:cstheme="minorHAnsi"/>
        </w:rPr>
        <w:t>,</w:t>
      </w:r>
      <w:r w:rsidR="005474F5">
        <w:rPr>
          <w:rFonts w:cstheme="minorHAnsi"/>
        </w:rPr>
        <w:t xml:space="preserve"> </w:t>
      </w:r>
      <w:r w:rsidR="005474F5" w:rsidRPr="006B65CF">
        <w:rPr>
          <w:rFonts w:cstheme="minorHAnsi"/>
        </w:rPr>
        <w:t>despite the fact that since 1964</w:t>
      </w:r>
      <w:r w:rsidR="005474F5">
        <w:rPr>
          <w:rFonts w:cstheme="minorHAnsi"/>
        </w:rPr>
        <w:t>,</w:t>
      </w:r>
      <w:r w:rsidR="005474F5" w:rsidRPr="006B65CF">
        <w:rPr>
          <w:rFonts w:cstheme="minorHAnsi"/>
        </w:rPr>
        <w:t xml:space="preserve"> </w:t>
      </w:r>
      <w:r w:rsidR="005474F5">
        <w:rPr>
          <w:rFonts w:cstheme="minorHAnsi"/>
        </w:rPr>
        <w:t xml:space="preserve">the </w:t>
      </w:r>
      <w:proofErr w:type="spellStart"/>
      <w:r w:rsidR="00AC5FA2">
        <w:rPr>
          <w:rFonts w:cstheme="minorHAnsi"/>
        </w:rPr>
        <w:t>RoC</w:t>
      </w:r>
      <w:proofErr w:type="spellEnd"/>
      <w:r w:rsidR="005474F5" w:rsidRPr="006B65CF">
        <w:rPr>
          <w:rFonts w:cstheme="minorHAnsi"/>
        </w:rPr>
        <w:t xml:space="preserve"> does not operate as a bicommunal State</w:t>
      </w:r>
      <w:r w:rsidR="005474F5">
        <w:rPr>
          <w:rFonts w:cstheme="minorHAnsi"/>
        </w:rPr>
        <w:t>,</w:t>
      </w:r>
      <w:r w:rsidR="0056218D" w:rsidRPr="006B65CF">
        <w:rPr>
          <w:rFonts w:cstheme="minorHAnsi"/>
        </w:rPr>
        <w:t xml:space="preserve"> it is</w:t>
      </w:r>
      <w:r w:rsidR="00085C44" w:rsidRPr="006B65CF">
        <w:rPr>
          <w:rFonts w:cstheme="minorHAnsi"/>
        </w:rPr>
        <w:t xml:space="preserve"> </w:t>
      </w:r>
      <w:r w:rsidR="0056218D" w:rsidRPr="006B65CF">
        <w:rPr>
          <w:rFonts w:cstheme="minorHAnsi"/>
        </w:rPr>
        <w:t>th</w:t>
      </w:r>
      <w:r w:rsidR="005474F5">
        <w:rPr>
          <w:rFonts w:cstheme="minorHAnsi"/>
        </w:rPr>
        <w:t xml:space="preserve">e aforementioned </w:t>
      </w:r>
      <w:r w:rsidRPr="006B65CF">
        <w:rPr>
          <w:rFonts w:cstheme="minorHAnsi"/>
        </w:rPr>
        <w:t xml:space="preserve">international legal framework that regulates </w:t>
      </w:r>
      <w:r w:rsidR="005474F5">
        <w:rPr>
          <w:rFonts w:cstheme="minorHAnsi"/>
        </w:rPr>
        <w:t>its</w:t>
      </w:r>
      <w:r w:rsidRPr="006B65CF">
        <w:rPr>
          <w:rFonts w:cstheme="minorHAnsi"/>
        </w:rPr>
        <w:t xml:space="preserve"> existence </w:t>
      </w:r>
      <w:r w:rsidR="005474F5">
        <w:rPr>
          <w:rFonts w:cstheme="minorHAnsi"/>
        </w:rPr>
        <w:t>in the international arena</w:t>
      </w:r>
      <w:r w:rsidR="0056218D" w:rsidRPr="006B65CF">
        <w:rPr>
          <w:rFonts w:cstheme="minorHAnsi"/>
        </w:rPr>
        <w:t>.</w:t>
      </w:r>
      <w:r w:rsidR="0056218D" w:rsidRPr="006B65CF">
        <w:rPr>
          <w:rStyle w:val="FootnoteReference"/>
          <w:rFonts w:cstheme="minorHAnsi"/>
        </w:rPr>
        <w:footnoteReference w:id="16"/>
      </w:r>
      <w:r w:rsidR="00085C44" w:rsidRPr="006B65CF">
        <w:rPr>
          <w:rFonts w:cstheme="minorHAnsi"/>
        </w:rPr>
        <w:t xml:space="preserve"> </w:t>
      </w:r>
    </w:p>
    <w:p w14:paraId="42097AD2" w14:textId="4B3F2446" w:rsidR="00782EAC" w:rsidRDefault="005474F5" w:rsidP="00E44EAF">
      <w:pPr>
        <w:autoSpaceDE w:val="0"/>
        <w:autoSpaceDN w:val="0"/>
        <w:adjustRightInd w:val="0"/>
        <w:spacing w:line="480" w:lineRule="auto"/>
        <w:ind w:firstLine="567"/>
        <w:jc w:val="both"/>
        <w:rPr>
          <w:rFonts w:cstheme="minorHAnsi"/>
        </w:rPr>
      </w:pPr>
      <w:r>
        <w:rPr>
          <w:rFonts w:cstheme="minorHAnsi"/>
        </w:rPr>
        <w:t>Having said that, i</w:t>
      </w:r>
      <w:r w:rsidR="00085C44" w:rsidRPr="006B65CF">
        <w:rPr>
          <w:rFonts w:cstheme="minorHAnsi"/>
        </w:rPr>
        <w:t xml:space="preserve">t was the 1974 Turkish military intervention in the aftermath of a coup against the President of Cyprus orchestrated by the military regime in Greece that consolidated the territorial segregation of the two communities. This led </w:t>
      </w:r>
      <w:r w:rsidR="006B65CF" w:rsidRPr="006B65CF">
        <w:rPr>
          <w:rFonts w:cstheme="minorHAnsi"/>
        </w:rPr>
        <w:t>in November 1983 to the Turkish Cypriots proclaiming their independence as the Turkish Republic of Northern Cyprus</w:t>
      </w:r>
      <w:r w:rsidR="002A5C3A">
        <w:rPr>
          <w:rFonts w:cstheme="minorHAnsi"/>
        </w:rPr>
        <w:t xml:space="preserve"> (TRNC)</w:t>
      </w:r>
      <w:r w:rsidR="006B65CF" w:rsidRPr="006B65CF">
        <w:rPr>
          <w:rFonts w:cstheme="minorHAnsi"/>
        </w:rPr>
        <w:t xml:space="preserve">. </w:t>
      </w:r>
      <w:r w:rsidR="008402A3">
        <w:rPr>
          <w:rFonts w:cstheme="minorHAnsi"/>
        </w:rPr>
        <w:t>T</w:t>
      </w:r>
      <w:r w:rsidR="006B65CF" w:rsidRPr="006B65CF">
        <w:rPr>
          <w:rFonts w:cstheme="minorHAnsi"/>
        </w:rPr>
        <w:t>he UN Security Council deplored ‘the purported</w:t>
      </w:r>
      <w:r w:rsidR="006B65CF">
        <w:rPr>
          <w:rFonts w:cstheme="minorHAnsi"/>
        </w:rPr>
        <w:t xml:space="preserve"> </w:t>
      </w:r>
      <w:r w:rsidR="006B65CF" w:rsidRPr="006B65CF">
        <w:rPr>
          <w:rFonts w:cstheme="minorHAnsi"/>
        </w:rPr>
        <w:t>secession of part of the Republic of Cyprus’ and called upon all States ‘not to recognise</w:t>
      </w:r>
      <w:r w:rsidR="006B65CF">
        <w:rPr>
          <w:rFonts w:cstheme="minorHAnsi"/>
        </w:rPr>
        <w:t xml:space="preserve"> </w:t>
      </w:r>
      <w:r w:rsidR="006B65CF" w:rsidRPr="006B65CF">
        <w:rPr>
          <w:rFonts w:cstheme="minorHAnsi"/>
        </w:rPr>
        <w:t>the purported State of the “Turkish Republic of Northern Cyprus” set up by</w:t>
      </w:r>
      <w:r w:rsidR="006B65CF">
        <w:rPr>
          <w:rFonts w:cstheme="minorHAnsi"/>
        </w:rPr>
        <w:t xml:space="preserve"> </w:t>
      </w:r>
      <w:r w:rsidR="006B65CF" w:rsidRPr="006B65CF">
        <w:rPr>
          <w:rFonts w:cstheme="minorHAnsi"/>
        </w:rPr>
        <w:t>secessionist acts</w:t>
      </w:r>
      <w:r w:rsidR="006B65CF">
        <w:rPr>
          <w:rFonts w:cstheme="minorHAnsi"/>
        </w:rPr>
        <w:t>.</w:t>
      </w:r>
      <w:r w:rsidR="006B65CF" w:rsidRPr="006B65CF">
        <w:rPr>
          <w:rFonts w:cstheme="minorHAnsi"/>
        </w:rPr>
        <w:t>’</w:t>
      </w:r>
      <w:r w:rsidR="006B65CF">
        <w:rPr>
          <w:rStyle w:val="FootnoteReference"/>
          <w:rFonts w:cstheme="minorHAnsi"/>
        </w:rPr>
        <w:footnoteReference w:id="17"/>
      </w:r>
      <w:r w:rsidR="006B65CF" w:rsidRPr="006B65CF">
        <w:rPr>
          <w:rFonts w:cstheme="minorHAnsi"/>
        </w:rPr>
        <w:t xml:space="preserve"> </w:t>
      </w:r>
    </w:p>
    <w:p w14:paraId="3F8EA902" w14:textId="458B89EA" w:rsidR="006B65CF" w:rsidRPr="00542F61" w:rsidRDefault="002A5C3A" w:rsidP="00E44EAF">
      <w:pPr>
        <w:spacing w:line="480" w:lineRule="auto"/>
        <w:ind w:firstLine="567"/>
        <w:jc w:val="both"/>
        <w:rPr>
          <w:rFonts w:cstheme="minorHAnsi"/>
          <w:color w:val="000000"/>
        </w:rPr>
      </w:pPr>
      <w:r>
        <w:rPr>
          <w:rFonts w:cstheme="minorHAnsi"/>
          <w:color w:val="000000"/>
        </w:rPr>
        <w:t>With regard to the EU-Cyprus relations, o</w:t>
      </w:r>
      <w:r w:rsidR="006B65CF" w:rsidRPr="00542F61">
        <w:rPr>
          <w:rFonts w:cstheme="minorHAnsi"/>
          <w:color w:val="000000"/>
        </w:rPr>
        <w:t xml:space="preserve">n 4 July 1990, </w:t>
      </w:r>
      <w:proofErr w:type="spellStart"/>
      <w:r w:rsidR="008402A3">
        <w:rPr>
          <w:rFonts w:cstheme="minorHAnsi"/>
          <w:color w:val="000000"/>
        </w:rPr>
        <w:t>RoC’s</w:t>
      </w:r>
      <w:proofErr w:type="spellEnd"/>
      <w:r w:rsidR="008402A3">
        <w:rPr>
          <w:rFonts w:cstheme="minorHAnsi"/>
          <w:color w:val="000000"/>
        </w:rPr>
        <w:t xml:space="preserve"> </w:t>
      </w:r>
      <w:r w:rsidR="006B65CF" w:rsidRPr="00542F61">
        <w:rPr>
          <w:rFonts w:cstheme="minorHAnsi"/>
          <w:color w:val="000000"/>
        </w:rPr>
        <w:t xml:space="preserve">then Foreign Minister, </w:t>
      </w:r>
      <w:r w:rsidR="006B65CF" w:rsidRPr="002A5C3A">
        <w:rPr>
          <w:rFonts w:cstheme="minorHAnsi"/>
          <w:iCs/>
          <w:color w:val="000000"/>
        </w:rPr>
        <w:t xml:space="preserve">George </w:t>
      </w:r>
      <w:proofErr w:type="spellStart"/>
      <w:r w:rsidR="006B65CF" w:rsidRPr="002A5C3A">
        <w:rPr>
          <w:rFonts w:cstheme="minorHAnsi"/>
          <w:iCs/>
          <w:color w:val="000000"/>
        </w:rPr>
        <w:t>Iacovou</w:t>
      </w:r>
      <w:proofErr w:type="spellEnd"/>
      <w:r w:rsidR="006B65CF" w:rsidRPr="00542F61">
        <w:rPr>
          <w:rFonts w:cstheme="minorHAnsi"/>
          <w:i/>
          <w:color w:val="000000"/>
        </w:rPr>
        <w:t>,</w:t>
      </w:r>
      <w:r w:rsidR="006B65CF" w:rsidRPr="00542F61">
        <w:rPr>
          <w:rFonts w:cstheme="minorHAnsi"/>
          <w:color w:val="000000"/>
        </w:rPr>
        <w:t xml:space="preserve"> on behalf of the whole island, presented an application for membership to the European Community. Three years later, the Commission issued its Opinion.</w:t>
      </w:r>
      <w:r w:rsidR="006B65CF" w:rsidRPr="00542F61">
        <w:rPr>
          <w:rStyle w:val="FootnoteReference"/>
          <w:rFonts w:cstheme="minorHAnsi"/>
          <w:color w:val="000000"/>
        </w:rPr>
        <w:footnoteReference w:id="18"/>
      </w:r>
      <w:r w:rsidR="006B65CF" w:rsidRPr="00542F61">
        <w:rPr>
          <w:rFonts w:cstheme="minorHAnsi"/>
          <w:color w:val="000000"/>
        </w:rPr>
        <w:t xml:space="preserve"> There, it considered Cyprus to be eligible for membership</w:t>
      </w:r>
      <w:r w:rsidR="006B65CF" w:rsidRPr="00542F61">
        <w:rPr>
          <w:rStyle w:val="FootnoteReference"/>
          <w:rFonts w:cstheme="minorHAnsi"/>
          <w:color w:val="000000"/>
        </w:rPr>
        <w:footnoteReference w:id="19"/>
      </w:r>
      <w:r w:rsidR="006B65CF" w:rsidRPr="00542F61">
        <w:rPr>
          <w:rFonts w:cstheme="minorHAnsi"/>
          <w:color w:val="000000"/>
        </w:rPr>
        <w:t xml:space="preserve"> but noted that</w:t>
      </w:r>
    </w:p>
    <w:p w14:paraId="5EF67D67" w14:textId="77777777" w:rsidR="006B65CF" w:rsidRPr="00542F61" w:rsidRDefault="006B65CF" w:rsidP="00E44EAF">
      <w:pPr>
        <w:spacing w:line="480" w:lineRule="auto"/>
        <w:ind w:left="567" w:right="567"/>
        <w:jc w:val="both"/>
        <w:rPr>
          <w:rFonts w:cstheme="minorHAnsi"/>
        </w:rPr>
      </w:pPr>
      <w:r w:rsidRPr="00542F61">
        <w:rPr>
          <w:rFonts w:cstheme="minorHAnsi"/>
        </w:rPr>
        <w:t xml:space="preserve">the fundamental freedoms laid down by the Treaty, […] and the universally recognised political, economic, social and cultural rights […] would have to be </w:t>
      </w:r>
      <w:r w:rsidRPr="00542F61">
        <w:rPr>
          <w:rFonts w:cstheme="minorHAnsi"/>
        </w:rPr>
        <w:lastRenderedPageBreak/>
        <w:t>guaranteed as part of a comprehensive settlement restoring constitutional arrangements covering the whole of the Republic of Cyprus.</w:t>
      </w:r>
      <w:r w:rsidRPr="00542F61">
        <w:rPr>
          <w:rStyle w:val="FootnoteReference"/>
          <w:rFonts w:cstheme="minorHAnsi"/>
        </w:rPr>
        <w:footnoteReference w:id="20"/>
      </w:r>
    </w:p>
    <w:p w14:paraId="3135C3CB" w14:textId="1086BC10" w:rsidR="006B65CF" w:rsidRPr="00542F61" w:rsidRDefault="006B65CF" w:rsidP="00E44EAF">
      <w:pPr>
        <w:spacing w:line="480" w:lineRule="auto"/>
        <w:jc w:val="both"/>
        <w:rPr>
          <w:rFonts w:cstheme="minorHAnsi"/>
          <w:color w:val="000000"/>
        </w:rPr>
      </w:pPr>
      <w:r w:rsidRPr="00542F61">
        <w:rPr>
          <w:rFonts w:cstheme="minorHAnsi"/>
          <w:color w:val="000000"/>
        </w:rPr>
        <w:t xml:space="preserve">This is the main reason why it concluded that </w:t>
      </w:r>
      <w:r w:rsidR="002A5C3A">
        <w:rPr>
          <w:rFonts w:cstheme="minorHAnsi"/>
          <w:color w:val="000000"/>
        </w:rPr>
        <w:t>‘</w:t>
      </w:r>
      <w:r w:rsidRPr="00542F61">
        <w:rPr>
          <w:rFonts w:cstheme="minorHAnsi"/>
          <w:color w:val="000000"/>
        </w:rPr>
        <w:t>Cyprus’s integration with the Community implies a peaceful, balanced and lasting settlement of the Cyprus question.</w:t>
      </w:r>
      <w:r w:rsidR="002A5C3A">
        <w:rPr>
          <w:rFonts w:cstheme="minorHAnsi"/>
          <w:color w:val="000000"/>
        </w:rPr>
        <w:t>’</w:t>
      </w:r>
      <w:r w:rsidRPr="00542F61">
        <w:rPr>
          <w:rStyle w:val="FootnoteReference"/>
          <w:rFonts w:cstheme="minorHAnsi"/>
          <w:color w:val="000000"/>
        </w:rPr>
        <w:footnoteReference w:id="21"/>
      </w:r>
      <w:r w:rsidRPr="00542F61">
        <w:rPr>
          <w:rFonts w:cstheme="minorHAnsi"/>
          <w:color w:val="000000"/>
        </w:rPr>
        <w:t xml:space="preserve"> It felt, however, that it was necessary to clarify that in case of a failure to reach a settlement through the inter-communal talks under the UN auspices, the situation should be reassessed.</w:t>
      </w:r>
      <w:r w:rsidRPr="00542F61">
        <w:rPr>
          <w:rStyle w:val="FootnoteReference"/>
          <w:rFonts w:cstheme="minorHAnsi"/>
          <w:color w:val="000000"/>
        </w:rPr>
        <w:footnoteReference w:id="22"/>
      </w:r>
    </w:p>
    <w:p w14:paraId="3333071C" w14:textId="4F61CCF1" w:rsidR="006B65CF" w:rsidRPr="00542F61" w:rsidRDefault="002A5C3A" w:rsidP="00E44EAF">
      <w:pPr>
        <w:spacing w:line="480" w:lineRule="auto"/>
        <w:ind w:firstLine="720"/>
        <w:jc w:val="both"/>
        <w:rPr>
          <w:rFonts w:cstheme="minorHAnsi"/>
          <w:color w:val="000000"/>
        </w:rPr>
      </w:pPr>
      <w:r>
        <w:rPr>
          <w:rFonts w:cstheme="minorHAnsi"/>
          <w:color w:val="000000"/>
        </w:rPr>
        <w:t>H</w:t>
      </w:r>
      <w:r w:rsidR="006B65CF" w:rsidRPr="00542F61">
        <w:rPr>
          <w:rFonts w:cstheme="minorHAnsi"/>
          <w:color w:val="000000"/>
        </w:rPr>
        <w:t xml:space="preserve">oping to use the ‘carrots’ and ‘sticks’ offered by the accession negotiations, the then UN Secretary-General </w:t>
      </w:r>
      <w:r w:rsidR="006B65CF" w:rsidRPr="002A5C3A">
        <w:rPr>
          <w:rFonts w:cstheme="minorHAnsi"/>
          <w:iCs/>
          <w:color w:val="000000"/>
        </w:rPr>
        <w:t>Kofi Annan</w:t>
      </w:r>
      <w:r w:rsidR="006B65CF" w:rsidRPr="00542F61">
        <w:rPr>
          <w:rFonts w:cstheme="minorHAnsi"/>
          <w:color w:val="000000"/>
        </w:rPr>
        <w:t xml:space="preserve"> invited the two communities to re-launch their talks</w:t>
      </w:r>
      <w:r>
        <w:rPr>
          <w:rFonts w:cstheme="minorHAnsi"/>
          <w:color w:val="000000"/>
        </w:rPr>
        <w:t xml:space="preserve"> for the comprehensive settlement of the Cyprus conflict</w:t>
      </w:r>
      <w:r w:rsidR="006B65CF" w:rsidRPr="00542F61">
        <w:rPr>
          <w:rFonts w:cstheme="minorHAnsi"/>
          <w:color w:val="000000"/>
        </w:rPr>
        <w:t>. In December 1999, the Helsinki European Council,</w:t>
      </w:r>
      <w:r w:rsidR="00AC5FA2" w:rsidRPr="00AC5FA2">
        <w:rPr>
          <w:rFonts w:cstheme="minorHAnsi"/>
          <w:color w:val="000000"/>
        </w:rPr>
        <w:t xml:space="preserve"> </w:t>
      </w:r>
      <w:r w:rsidR="00AC5FA2" w:rsidRPr="00542F61">
        <w:rPr>
          <w:rFonts w:cstheme="minorHAnsi"/>
          <w:color w:val="000000"/>
        </w:rPr>
        <w:t xml:space="preserve">commenting on those important developments, expressed its </w:t>
      </w:r>
      <w:r w:rsidR="00AC5FA2">
        <w:rPr>
          <w:rFonts w:cstheme="minorHAnsi"/>
          <w:color w:val="000000"/>
        </w:rPr>
        <w:t>‘</w:t>
      </w:r>
      <w:r w:rsidR="00AC5FA2" w:rsidRPr="00542F61">
        <w:rPr>
          <w:rFonts w:cstheme="minorHAnsi"/>
          <w:color w:val="000000"/>
        </w:rPr>
        <w:t>strong support for the UN Secretary-General’s efforts to bring the process to a successful conclusion.</w:t>
      </w:r>
      <w:r w:rsidR="00AC5FA2">
        <w:rPr>
          <w:rFonts w:cstheme="minorHAnsi"/>
          <w:color w:val="000000"/>
        </w:rPr>
        <w:t>’</w:t>
      </w:r>
      <w:r w:rsidR="006B65CF" w:rsidRPr="00542F61">
        <w:rPr>
          <w:rStyle w:val="FootnoteReference"/>
          <w:rFonts w:cstheme="minorHAnsi"/>
          <w:color w:val="000000"/>
        </w:rPr>
        <w:footnoteReference w:id="23"/>
      </w:r>
      <w:r w:rsidR="006B65CF" w:rsidRPr="00542F61">
        <w:rPr>
          <w:rFonts w:cstheme="minorHAnsi"/>
          <w:color w:val="000000"/>
        </w:rPr>
        <w:t xml:space="preserve"> It also underlined that a political settlement would</w:t>
      </w:r>
      <w:r>
        <w:rPr>
          <w:rFonts w:cstheme="minorHAnsi"/>
          <w:color w:val="000000"/>
        </w:rPr>
        <w:t xml:space="preserve"> ‘</w:t>
      </w:r>
      <w:r w:rsidR="006B65CF" w:rsidRPr="00542F61">
        <w:rPr>
          <w:rFonts w:cstheme="minorHAnsi"/>
          <w:color w:val="000000"/>
        </w:rPr>
        <w:t>facilitate the accession of Cyprus to the European Union</w:t>
      </w:r>
      <w:r>
        <w:rPr>
          <w:rFonts w:cstheme="minorHAnsi"/>
          <w:color w:val="000000"/>
        </w:rPr>
        <w:t>’</w:t>
      </w:r>
      <w:r w:rsidR="006B65CF" w:rsidRPr="00542F61">
        <w:rPr>
          <w:rFonts w:cstheme="minorHAnsi"/>
          <w:color w:val="000000"/>
        </w:rPr>
        <w:t xml:space="preserve"> but clarified that, in case a settlement was not reached by the completion of the negotiations, the Council’s decisions would </w:t>
      </w:r>
      <w:r>
        <w:rPr>
          <w:rFonts w:cstheme="minorHAnsi"/>
          <w:color w:val="000000"/>
        </w:rPr>
        <w:t>‘</w:t>
      </w:r>
      <w:r w:rsidR="006B65CF" w:rsidRPr="00542F61">
        <w:rPr>
          <w:rFonts w:cstheme="minorHAnsi"/>
          <w:color w:val="000000"/>
        </w:rPr>
        <w:t xml:space="preserve">be made without the above being a precondition. In this, the Council would </w:t>
      </w:r>
      <w:r>
        <w:rPr>
          <w:rFonts w:cstheme="minorHAnsi"/>
          <w:color w:val="000000"/>
        </w:rPr>
        <w:t>“</w:t>
      </w:r>
      <w:r w:rsidR="006B65CF" w:rsidRPr="00542F61">
        <w:rPr>
          <w:rFonts w:cstheme="minorHAnsi"/>
          <w:color w:val="000000"/>
        </w:rPr>
        <w:t>take all the relevant factors</w:t>
      </w:r>
      <w:r>
        <w:rPr>
          <w:rFonts w:cstheme="minorHAnsi"/>
          <w:color w:val="000000"/>
        </w:rPr>
        <w:t>”</w:t>
      </w:r>
      <w:r w:rsidR="006B65CF" w:rsidRPr="00542F61">
        <w:rPr>
          <w:rFonts w:cstheme="minorHAnsi"/>
          <w:color w:val="000000"/>
        </w:rPr>
        <w:t xml:space="preserve"> into account.</w:t>
      </w:r>
      <w:r>
        <w:rPr>
          <w:rFonts w:cstheme="minorHAnsi"/>
          <w:color w:val="000000"/>
        </w:rPr>
        <w:t>’</w:t>
      </w:r>
      <w:r w:rsidR="006B65CF" w:rsidRPr="00542F61">
        <w:rPr>
          <w:rStyle w:val="FootnoteReference"/>
          <w:rFonts w:cstheme="minorHAnsi"/>
          <w:color w:val="000000"/>
        </w:rPr>
        <w:footnoteReference w:id="24"/>
      </w:r>
      <w:r w:rsidR="006B65CF" w:rsidRPr="00542F61">
        <w:rPr>
          <w:rFonts w:cstheme="minorHAnsi"/>
          <w:color w:val="000000"/>
        </w:rPr>
        <w:t xml:space="preserve"> In exchange, Turkey </w:t>
      </w:r>
      <w:r w:rsidR="004A1736">
        <w:rPr>
          <w:rFonts w:cstheme="minorHAnsi"/>
          <w:color w:val="000000"/>
        </w:rPr>
        <w:t>achieved its long-standing aim to be officially declared</w:t>
      </w:r>
      <w:r w:rsidR="006B65CF" w:rsidRPr="00542F61">
        <w:rPr>
          <w:rFonts w:cstheme="minorHAnsi"/>
          <w:color w:val="000000"/>
        </w:rPr>
        <w:t xml:space="preserve"> </w:t>
      </w:r>
      <w:r w:rsidR="004A1736">
        <w:rPr>
          <w:rFonts w:cstheme="minorHAnsi"/>
          <w:color w:val="000000"/>
        </w:rPr>
        <w:t xml:space="preserve">as </w:t>
      </w:r>
      <w:r w:rsidR="006B65CF" w:rsidRPr="00542F61">
        <w:rPr>
          <w:rFonts w:cstheme="minorHAnsi"/>
          <w:color w:val="000000"/>
        </w:rPr>
        <w:t>a candidate State for accession to the EU.</w:t>
      </w:r>
    </w:p>
    <w:p w14:paraId="3B84DBD2" w14:textId="09B972B6" w:rsidR="002A5C3A" w:rsidRDefault="006B65CF" w:rsidP="00E44EAF">
      <w:pPr>
        <w:spacing w:line="480" w:lineRule="auto"/>
        <w:ind w:firstLine="720"/>
        <w:jc w:val="both"/>
        <w:rPr>
          <w:rFonts w:cstheme="minorHAnsi"/>
        </w:rPr>
      </w:pPr>
      <w:r w:rsidRPr="00542F61">
        <w:rPr>
          <w:rFonts w:cstheme="minorHAnsi"/>
          <w:color w:val="000000"/>
        </w:rPr>
        <w:t xml:space="preserve">It is difficult to overemphasise the importance of the conclusions of the European Council in Helsinki. The rationale of lifting the conditionality for the Greek-Cypriot-run </w:t>
      </w:r>
      <w:proofErr w:type="spellStart"/>
      <w:r w:rsidRPr="00542F61">
        <w:rPr>
          <w:rFonts w:cstheme="minorHAnsi"/>
          <w:color w:val="000000"/>
        </w:rPr>
        <w:t>RoC</w:t>
      </w:r>
      <w:proofErr w:type="spellEnd"/>
      <w:r w:rsidRPr="00542F61">
        <w:rPr>
          <w:rFonts w:cstheme="minorHAnsi"/>
          <w:color w:val="000000"/>
        </w:rPr>
        <w:t xml:space="preserve"> </w:t>
      </w:r>
      <w:r w:rsidRPr="00542F61">
        <w:rPr>
          <w:rFonts w:cstheme="minorHAnsi"/>
        </w:rPr>
        <w:t xml:space="preserve">rested on a realist logic of conflict settlement. </w:t>
      </w:r>
      <w:r w:rsidRPr="00542F61">
        <w:rPr>
          <w:rFonts w:cstheme="minorHAnsi"/>
          <w:color w:val="000000"/>
        </w:rPr>
        <w:t xml:space="preserve">According to it, </w:t>
      </w:r>
      <w:r w:rsidRPr="00542F61">
        <w:rPr>
          <w:rFonts w:cstheme="minorHAnsi"/>
        </w:rPr>
        <w:t xml:space="preserve">the Turkish and Turkish Cypriot </w:t>
      </w:r>
      <w:r w:rsidRPr="00542F61">
        <w:rPr>
          <w:rFonts w:cstheme="minorHAnsi"/>
        </w:rPr>
        <w:lastRenderedPageBreak/>
        <w:t xml:space="preserve">desire to reap the conditional benefits of membership, and the high costs entailed in the absence of a solution before accession, would create the ‘ripe’ conditions for a settlement by generating Turkish incentives to change their positions. In other words, a conditional ‘stick’ both to Turkey and the breakaway State of TRNC would raise the costs of the </w:t>
      </w:r>
      <w:r w:rsidRPr="00542F61">
        <w:rPr>
          <w:rFonts w:cstheme="minorHAnsi"/>
          <w:i/>
        </w:rPr>
        <w:t>status quo</w:t>
      </w:r>
      <w:r w:rsidRPr="00542F61">
        <w:rPr>
          <w:rFonts w:cstheme="minorHAnsi"/>
        </w:rPr>
        <w:t>. In addition, the EU ‘carrot’ would encourage the parties, including the Greek Cypriots, to support reunification within the EU.</w:t>
      </w:r>
    </w:p>
    <w:p w14:paraId="102B20CD" w14:textId="734B3AC0" w:rsidR="006B65CF" w:rsidRPr="002A5C3A" w:rsidRDefault="006B65CF" w:rsidP="00E44EAF">
      <w:pPr>
        <w:spacing w:line="480" w:lineRule="auto"/>
        <w:ind w:firstLine="720"/>
        <w:jc w:val="both"/>
        <w:rPr>
          <w:rFonts w:cstheme="minorHAnsi"/>
        </w:rPr>
      </w:pPr>
      <w:r w:rsidRPr="00542F61">
        <w:rPr>
          <w:rFonts w:cstheme="minorHAnsi"/>
        </w:rPr>
        <w:t xml:space="preserve">Such a strategy was effective enough to ensure the support of Turkey, and most importantly the Turkish Cypriots, to the </w:t>
      </w:r>
      <w:r w:rsidR="00C64146" w:rsidRPr="00C64146">
        <w:rPr>
          <w:rFonts w:cstheme="minorHAnsi"/>
        </w:rPr>
        <w:t>UN-sponsored plan for the Comprehensive Settlement of the Cyprus Problem</w:t>
      </w:r>
      <w:r w:rsidR="009A3856">
        <w:rPr>
          <w:rFonts w:cstheme="minorHAnsi"/>
        </w:rPr>
        <w:t>—commonly known as the Annan Plan</w:t>
      </w:r>
      <w:r w:rsidRPr="00542F61">
        <w:rPr>
          <w:rFonts w:cstheme="minorHAnsi"/>
        </w:rPr>
        <w:t>.</w:t>
      </w:r>
      <w:r w:rsidR="00943126">
        <w:rPr>
          <w:rStyle w:val="FootnoteReference"/>
          <w:rFonts w:cstheme="minorHAnsi"/>
        </w:rPr>
        <w:footnoteReference w:id="25"/>
      </w:r>
      <w:r w:rsidRPr="00542F61">
        <w:rPr>
          <w:rFonts w:cstheme="minorHAnsi"/>
        </w:rPr>
        <w:t xml:space="preserve"> Their community overwhelmingly voted in favour of the reunification of the island in the simultaneous referendums in April 2004. However, it failed to foresee the stance of the Greek Cypriots after they signed the Treaty of Accession in 2003 when they had, thereby, ensured that the </w:t>
      </w:r>
      <w:proofErr w:type="spellStart"/>
      <w:r w:rsidRPr="00542F61">
        <w:rPr>
          <w:rFonts w:cstheme="minorHAnsi"/>
        </w:rPr>
        <w:t>RoC</w:t>
      </w:r>
      <w:proofErr w:type="spellEnd"/>
      <w:r w:rsidRPr="00542F61">
        <w:rPr>
          <w:rFonts w:cstheme="minorHAnsi"/>
        </w:rPr>
        <w:t xml:space="preserve"> would become an EU Member State. In fact, </w:t>
      </w:r>
      <w:r w:rsidRPr="00542F61">
        <w:rPr>
          <w:rFonts w:cstheme="minorHAnsi"/>
          <w:color w:val="000000"/>
        </w:rPr>
        <w:t>the then</w:t>
      </w:r>
      <w:r w:rsidR="00436FBB">
        <w:rPr>
          <w:rFonts w:cstheme="minorHAnsi"/>
          <w:color w:val="000000"/>
        </w:rPr>
        <w:t xml:space="preserve"> </w:t>
      </w:r>
      <w:proofErr w:type="spellStart"/>
      <w:r w:rsidR="00436FBB">
        <w:rPr>
          <w:rFonts w:cstheme="minorHAnsi"/>
          <w:color w:val="000000"/>
        </w:rPr>
        <w:t>RoC’s</w:t>
      </w:r>
      <w:proofErr w:type="spellEnd"/>
      <w:r w:rsidRPr="00542F61">
        <w:rPr>
          <w:rFonts w:cstheme="minorHAnsi"/>
          <w:color w:val="000000"/>
        </w:rPr>
        <w:t xml:space="preserve"> President, </w:t>
      </w:r>
      <w:r w:rsidRPr="002A5C3A">
        <w:rPr>
          <w:rFonts w:cstheme="minorHAnsi"/>
          <w:iCs/>
          <w:color w:val="000000"/>
        </w:rPr>
        <w:t>Papadopoulos</w:t>
      </w:r>
      <w:r w:rsidRPr="00542F61">
        <w:rPr>
          <w:rFonts w:cstheme="minorHAnsi"/>
          <w:i/>
          <w:color w:val="000000"/>
        </w:rPr>
        <w:t>,</w:t>
      </w:r>
      <w:r w:rsidRPr="00542F61">
        <w:rPr>
          <w:rFonts w:cstheme="minorHAnsi"/>
          <w:color w:val="000000"/>
        </w:rPr>
        <w:t xml:space="preserve"> in his dramatic speech on 7 April 2004, asked the Greek Cypriots to say </w:t>
      </w:r>
      <w:r w:rsidR="002A5C3A">
        <w:rPr>
          <w:rFonts w:cstheme="minorHAnsi"/>
          <w:color w:val="000000"/>
        </w:rPr>
        <w:t>‘</w:t>
      </w:r>
      <w:r w:rsidRPr="00542F61">
        <w:rPr>
          <w:rFonts w:cstheme="minorHAnsi"/>
          <w:color w:val="000000"/>
        </w:rPr>
        <w:t>a resounding NO on 24 April,</w:t>
      </w:r>
      <w:r w:rsidR="002A5C3A">
        <w:rPr>
          <w:rFonts w:cstheme="minorHAnsi"/>
          <w:color w:val="000000"/>
        </w:rPr>
        <w:t>’</w:t>
      </w:r>
      <w:r w:rsidRPr="00542F61">
        <w:rPr>
          <w:rStyle w:val="FootnoteReference"/>
          <w:rFonts w:cstheme="minorHAnsi"/>
          <w:color w:val="000000"/>
        </w:rPr>
        <w:footnoteReference w:id="26"/>
      </w:r>
      <w:r w:rsidRPr="00542F61">
        <w:rPr>
          <w:rFonts w:cstheme="minorHAnsi"/>
          <w:color w:val="000000"/>
        </w:rPr>
        <w:t xml:space="preserve"> pointing out that if the Greek Cypriots rejected the Plan </w:t>
      </w:r>
      <w:r w:rsidR="00FE2768">
        <w:rPr>
          <w:rFonts w:cstheme="minorHAnsi"/>
          <w:color w:val="000000"/>
        </w:rPr>
        <w:t>still</w:t>
      </w:r>
      <w:r w:rsidRPr="00542F61">
        <w:rPr>
          <w:rFonts w:cstheme="minorHAnsi"/>
          <w:color w:val="000000"/>
        </w:rPr>
        <w:t xml:space="preserve"> the internationally recognised Republic of Cyprus would </w:t>
      </w:r>
      <w:r w:rsidR="009A3856">
        <w:rPr>
          <w:rFonts w:cstheme="minorHAnsi"/>
          <w:color w:val="000000"/>
        </w:rPr>
        <w:t>‘</w:t>
      </w:r>
      <w:r w:rsidRPr="00542F61">
        <w:rPr>
          <w:rFonts w:cstheme="minorHAnsi"/>
          <w:color w:val="000000"/>
        </w:rPr>
        <w:t>become a full and equal member of the European Union.</w:t>
      </w:r>
      <w:r w:rsidR="009A3856">
        <w:rPr>
          <w:rFonts w:cstheme="minorHAnsi"/>
          <w:color w:val="000000"/>
        </w:rPr>
        <w:t>’</w:t>
      </w:r>
      <w:r w:rsidRPr="00542F61">
        <w:rPr>
          <w:rStyle w:val="FootnoteReference"/>
          <w:rFonts w:cstheme="minorHAnsi"/>
          <w:color w:val="000000"/>
        </w:rPr>
        <w:footnoteReference w:id="27"/>
      </w:r>
      <w:r w:rsidRPr="00542F61">
        <w:rPr>
          <w:rFonts w:cstheme="minorHAnsi"/>
          <w:color w:val="000000"/>
        </w:rPr>
        <w:t xml:space="preserve"> Indeed, the Greek Cypriot community rejected the Annan Plan in an almost 3:1 ratio</w:t>
      </w:r>
      <w:r w:rsidRPr="002A5C3A">
        <w:rPr>
          <w:rFonts w:cstheme="minorHAnsi"/>
          <w:color w:val="000000"/>
        </w:rPr>
        <w:t>.</w:t>
      </w:r>
      <w:r w:rsidR="00C64146" w:rsidRPr="00C64146">
        <w:rPr>
          <w:rStyle w:val="FootnoteReference"/>
          <w:rFonts w:cstheme="minorHAnsi"/>
        </w:rPr>
        <w:t xml:space="preserve"> </w:t>
      </w:r>
      <w:r w:rsidR="002A5C3A" w:rsidRPr="002A5C3A">
        <w:rPr>
          <w:rFonts w:cstheme="minorHAnsi"/>
        </w:rPr>
        <w:t xml:space="preserve"> A week later, on 1 May 2004, Cyprus became </w:t>
      </w:r>
      <w:r w:rsidR="009A3856">
        <w:rPr>
          <w:rFonts w:cstheme="minorHAnsi"/>
        </w:rPr>
        <w:t>an</w:t>
      </w:r>
      <w:r w:rsidR="002A5C3A" w:rsidRPr="002A5C3A">
        <w:rPr>
          <w:rFonts w:cstheme="minorHAnsi"/>
        </w:rPr>
        <w:t xml:space="preserve"> EU Member </w:t>
      </w:r>
      <w:r w:rsidR="009A3856">
        <w:rPr>
          <w:rFonts w:cstheme="minorHAnsi"/>
        </w:rPr>
        <w:t>despite the fact that</w:t>
      </w:r>
      <w:r w:rsidR="002A5C3A">
        <w:rPr>
          <w:rFonts w:cstheme="minorHAnsi"/>
        </w:rPr>
        <w:t xml:space="preserve"> </w:t>
      </w:r>
      <w:r w:rsidR="009A3856">
        <w:rPr>
          <w:rFonts w:cstheme="minorHAnsi"/>
        </w:rPr>
        <w:t>it</w:t>
      </w:r>
      <w:r w:rsidR="002A5C3A">
        <w:rPr>
          <w:rFonts w:cstheme="minorHAnsi"/>
        </w:rPr>
        <w:t xml:space="preserve"> could not control a </w:t>
      </w:r>
      <w:r w:rsidR="009A3856">
        <w:rPr>
          <w:rFonts w:cstheme="minorHAnsi"/>
        </w:rPr>
        <w:t xml:space="preserve">significant </w:t>
      </w:r>
      <w:r w:rsidR="002A5C3A">
        <w:rPr>
          <w:rFonts w:cstheme="minorHAnsi"/>
        </w:rPr>
        <w:t xml:space="preserve">part of its territory. </w:t>
      </w:r>
      <w:r w:rsidR="009A3856">
        <w:rPr>
          <w:rFonts w:cstheme="minorHAnsi"/>
        </w:rPr>
        <w:t xml:space="preserve">As we will see in the next section, the Union </w:t>
      </w:r>
      <w:r w:rsidR="009A3856">
        <w:rPr>
          <w:rFonts w:cstheme="minorHAnsi"/>
        </w:rPr>
        <w:lastRenderedPageBreak/>
        <w:t>constitutional order managed to accommodate this territorial contestation</w:t>
      </w:r>
      <w:r w:rsidR="002E4DD6">
        <w:rPr>
          <w:rFonts w:cstheme="minorHAnsi"/>
        </w:rPr>
        <w:t xml:space="preserve"> by partially extending the application of EU law on an area where the </w:t>
      </w:r>
      <w:r w:rsidR="002E4DD6">
        <w:rPr>
          <w:rFonts w:cstheme="minorHAnsi"/>
          <w:i/>
          <w:iCs/>
        </w:rPr>
        <w:t xml:space="preserve">acquis </w:t>
      </w:r>
      <w:r w:rsidR="002E4DD6">
        <w:rPr>
          <w:rFonts w:cstheme="minorHAnsi"/>
        </w:rPr>
        <w:t>is suspended</w:t>
      </w:r>
      <w:r w:rsidR="009A3856">
        <w:rPr>
          <w:rFonts w:cstheme="minorHAnsi"/>
        </w:rPr>
        <w:t>.</w:t>
      </w:r>
    </w:p>
    <w:p w14:paraId="00B9AFE5" w14:textId="77777777" w:rsidR="00F341AC" w:rsidRPr="00085C44" w:rsidRDefault="00F341AC" w:rsidP="00E44EAF">
      <w:pPr>
        <w:spacing w:line="480" w:lineRule="auto"/>
        <w:jc w:val="both"/>
        <w:rPr>
          <w:rFonts w:cs="Calibri (Body)"/>
        </w:rPr>
      </w:pPr>
    </w:p>
    <w:p w14:paraId="6E9DA35A" w14:textId="779D6AF7" w:rsidR="00782EAC" w:rsidRPr="00FE2768" w:rsidRDefault="00BB4476" w:rsidP="00E44EAF">
      <w:pPr>
        <w:spacing w:line="480" w:lineRule="auto"/>
        <w:rPr>
          <w:rFonts w:cstheme="minorHAnsi"/>
          <w:i/>
          <w:iCs/>
        </w:rPr>
      </w:pPr>
      <w:r>
        <w:rPr>
          <w:rFonts w:cstheme="minorHAnsi"/>
          <w:i/>
          <w:iCs/>
        </w:rPr>
        <w:t>(</w:t>
      </w:r>
      <w:r w:rsidR="007B0422" w:rsidRPr="00FE2768">
        <w:rPr>
          <w:rFonts w:cstheme="minorHAnsi"/>
          <w:i/>
          <w:iCs/>
        </w:rPr>
        <w:t>Northern</w:t>
      </w:r>
      <w:r>
        <w:rPr>
          <w:rFonts w:cstheme="minorHAnsi"/>
          <w:i/>
          <w:iCs/>
        </w:rPr>
        <w:t>)</w:t>
      </w:r>
      <w:r w:rsidR="007B0422" w:rsidRPr="00FE2768">
        <w:rPr>
          <w:rFonts w:cstheme="minorHAnsi"/>
          <w:i/>
          <w:iCs/>
        </w:rPr>
        <w:t xml:space="preserve"> Ireland</w:t>
      </w:r>
    </w:p>
    <w:p w14:paraId="4E9F649D" w14:textId="1D4E3B7D" w:rsidR="007B0422" w:rsidRPr="00355DBA" w:rsidRDefault="00C602EE" w:rsidP="00E44EAF">
      <w:pPr>
        <w:widowControl w:val="0"/>
        <w:suppressAutoHyphens/>
        <w:spacing w:line="480" w:lineRule="auto"/>
        <w:jc w:val="both"/>
        <w:rPr>
          <w:rFonts w:cstheme="minorHAnsi"/>
        </w:rPr>
      </w:pPr>
      <w:r w:rsidRPr="00C602EE">
        <w:rPr>
          <w:rFonts w:cstheme="minorHAnsi"/>
        </w:rPr>
        <w:t>Following resolutions by the parliaments in Dublin and London, Ireland was united with Great Britain by the Acts of Union 1800</w:t>
      </w:r>
      <w:r w:rsidR="00195899">
        <w:rPr>
          <w:rFonts w:cstheme="minorHAnsi"/>
        </w:rPr>
        <w:t>-01</w:t>
      </w:r>
      <w:r w:rsidRPr="00C602EE">
        <w:rPr>
          <w:rFonts w:cstheme="minorHAnsi"/>
        </w:rPr>
        <w:t>.</w:t>
      </w:r>
      <w:r>
        <w:rPr>
          <w:rFonts w:ascii="Times New Roman" w:hAnsi="Times New Roman" w:cs="Times New Roman"/>
        </w:rPr>
        <w:t xml:space="preserve"> </w:t>
      </w:r>
      <w:r w:rsidR="00FE2768" w:rsidRPr="00FE2768">
        <w:rPr>
          <w:rFonts w:cstheme="minorHAnsi"/>
        </w:rPr>
        <w:t xml:space="preserve">To accommodate deep-seated differences between unionists and nationalists </w:t>
      </w:r>
      <w:r w:rsidR="00FE2768">
        <w:rPr>
          <w:rFonts w:cstheme="minorHAnsi"/>
        </w:rPr>
        <w:t>on the island of</w:t>
      </w:r>
      <w:r w:rsidR="00FE2768" w:rsidRPr="00FE2768">
        <w:rPr>
          <w:rFonts w:cstheme="minorHAnsi"/>
        </w:rPr>
        <w:t xml:space="preserve"> Ireland, </w:t>
      </w:r>
      <w:r w:rsidR="00FE2768">
        <w:rPr>
          <w:rFonts w:cstheme="minorHAnsi"/>
        </w:rPr>
        <w:t xml:space="preserve">Westminster passed </w:t>
      </w:r>
      <w:r w:rsidR="00FE2768" w:rsidRPr="00FE2768">
        <w:rPr>
          <w:rFonts w:cstheme="minorHAnsi"/>
        </w:rPr>
        <w:t>the Government of Ireland Act 1920</w:t>
      </w:r>
      <w:r w:rsidR="00FE2768">
        <w:rPr>
          <w:rFonts w:cstheme="minorHAnsi"/>
        </w:rPr>
        <w:t>. This</w:t>
      </w:r>
      <w:r w:rsidR="00FE2768" w:rsidRPr="00FE2768">
        <w:rPr>
          <w:rFonts w:cstheme="minorHAnsi"/>
        </w:rPr>
        <w:t xml:space="preserve"> ‘was based on partition between the six counties in the North, comprising Northern Ireland with a Parliament in Belfast, and the remainder of Ireland with a Parliament in Dublin’</w:t>
      </w:r>
      <w:r w:rsidR="00981442">
        <w:rPr>
          <w:rFonts w:cstheme="minorHAnsi"/>
        </w:rPr>
        <w:t>.</w:t>
      </w:r>
      <w:r w:rsidR="00981442">
        <w:rPr>
          <w:rStyle w:val="FootnoteReference"/>
          <w:rFonts w:cstheme="minorHAnsi"/>
        </w:rPr>
        <w:footnoteReference w:id="28"/>
      </w:r>
      <w:r w:rsidR="00981442">
        <w:rPr>
          <w:rFonts w:cstheme="minorHAnsi"/>
        </w:rPr>
        <w:t xml:space="preserve"> </w:t>
      </w:r>
      <w:r w:rsidR="00FE2768" w:rsidRPr="00FE2768">
        <w:rPr>
          <w:rFonts w:cstheme="minorHAnsi"/>
        </w:rPr>
        <w:t>The Irish resistance, however, during the Irish War of Independence led the United Kingdom to sign the Anglo-Irish Treaty with representatives of the Irish Republic.</w:t>
      </w:r>
      <w:r w:rsidR="009C0059">
        <w:rPr>
          <w:rStyle w:val="FootnoteReference"/>
          <w:rFonts w:cstheme="minorHAnsi"/>
        </w:rPr>
        <w:footnoteReference w:id="29"/>
      </w:r>
      <w:r w:rsidR="00FE2768" w:rsidRPr="00FE2768">
        <w:rPr>
          <w:rFonts w:cstheme="minorHAnsi"/>
        </w:rPr>
        <w:t xml:space="preserve"> The treaty provided for the establishment of the Irish Free State and gave the right to Northern Ireland to opt out of </w:t>
      </w:r>
      <w:r w:rsidR="004A1736">
        <w:rPr>
          <w:rFonts w:cstheme="minorHAnsi"/>
        </w:rPr>
        <w:t>it</w:t>
      </w:r>
      <w:r w:rsidR="00FE2768" w:rsidRPr="00FE2768">
        <w:rPr>
          <w:rFonts w:cstheme="minorHAnsi"/>
        </w:rPr>
        <w:t>.</w:t>
      </w:r>
      <w:r w:rsidR="009C0059">
        <w:rPr>
          <w:rStyle w:val="FootnoteReference"/>
          <w:rFonts w:cstheme="minorHAnsi"/>
        </w:rPr>
        <w:footnoteReference w:id="30"/>
      </w:r>
      <w:r w:rsidR="00981442" w:rsidRPr="00FE2768">
        <w:rPr>
          <w:rFonts w:cstheme="minorHAnsi"/>
        </w:rPr>
        <w:t xml:space="preserve"> </w:t>
      </w:r>
      <w:r w:rsidR="00FE2768" w:rsidRPr="00FE2768">
        <w:rPr>
          <w:rFonts w:cstheme="minorHAnsi"/>
        </w:rPr>
        <w:t>Indeed, Northern Ireland exercised this right and a parliamentary system of devolved government was established in the region while the rest of the island eventually achieved its independence. Having failed to effectively address the needs of the nationalist/republican/Irish/Catholic community, Westminster suspended the devolution arrangements in the North in March 1972. During an era of political violence known as ‘The Troubles’, Northern Ireland was directly governed by London.</w:t>
      </w:r>
      <w:r w:rsidR="00355DBA">
        <w:rPr>
          <w:rFonts w:cstheme="minorHAnsi"/>
        </w:rPr>
        <w:t xml:space="preserve"> </w:t>
      </w:r>
      <w:r w:rsidR="00FE2768">
        <w:rPr>
          <w:rFonts w:cstheme="minorHAnsi"/>
        </w:rPr>
        <w:t>It was</w:t>
      </w:r>
      <w:r w:rsidR="007B0422" w:rsidRPr="00F341AC">
        <w:rPr>
          <w:rFonts w:cstheme="minorHAnsi"/>
        </w:rPr>
        <w:t xml:space="preserve"> the Good Friday/Belfast Agreement (GFA) </w:t>
      </w:r>
      <w:r w:rsidR="00FE2768">
        <w:rPr>
          <w:rFonts w:cstheme="minorHAnsi"/>
        </w:rPr>
        <w:t xml:space="preserve">that </w:t>
      </w:r>
      <w:r w:rsidR="007B0422" w:rsidRPr="00F341AC">
        <w:rPr>
          <w:rFonts w:cstheme="minorHAnsi"/>
        </w:rPr>
        <w:t xml:space="preserve">put an end to the sectarian violence that had plagued the region for decades. The GFA highlighted that Northern Ireland is an integral part of the </w:t>
      </w:r>
      <w:r w:rsidR="007B0422" w:rsidRPr="00F341AC">
        <w:rPr>
          <w:rFonts w:cstheme="minorHAnsi"/>
        </w:rPr>
        <w:lastRenderedPageBreak/>
        <w:t>United Kingdom but established its constitutionally recognized right to secede.</w:t>
      </w:r>
      <w:r w:rsidR="007B0422" w:rsidRPr="00F341AC">
        <w:rPr>
          <w:rFonts w:cstheme="minorHAnsi"/>
          <w:vertAlign w:val="superscript"/>
        </w:rPr>
        <w:footnoteReference w:id="31"/>
      </w:r>
      <w:r w:rsidR="007B0422" w:rsidRPr="00F341AC">
        <w:rPr>
          <w:rFonts w:cstheme="minorHAnsi"/>
        </w:rPr>
        <w:t xml:space="preserve"> Such unique constitutional status was ‘accompanied by unusual multi-level governance: regional, north/south and British/Irish</w:t>
      </w:r>
      <w:r w:rsidR="00355DBA">
        <w:rPr>
          <w:rFonts w:cstheme="minorHAnsi"/>
        </w:rPr>
        <w:t>.</w:t>
      </w:r>
      <w:r w:rsidR="007B0422" w:rsidRPr="00F341AC">
        <w:rPr>
          <w:rFonts w:cstheme="minorHAnsi"/>
        </w:rPr>
        <w:t>’</w:t>
      </w:r>
      <w:r w:rsidR="00355DBA">
        <w:rPr>
          <w:rStyle w:val="FootnoteReference"/>
          <w:rFonts w:cstheme="minorHAnsi"/>
        </w:rPr>
        <w:footnoteReference w:id="32"/>
      </w:r>
      <w:r w:rsidR="007B0422" w:rsidRPr="00F341AC">
        <w:rPr>
          <w:rFonts w:cstheme="minorHAnsi"/>
        </w:rPr>
        <w:t xml:space="preserve"> </w:t>
      </w:r>
    </w:p>
    <w:p w14:paraId="3090B89F" w14:textId="58179614" w:rsidR="00F64B30" w:rsidRPr="00F64B30" w:rsidRDefault="00F64B30" w:rsidP="00E44EAF">
      <w:pPr>
        <w:pStyle w:val="TextFlushLeft"/>
        <w:ind w:firstLine="720"/>
        <w:jc w:val="both"/>
        <w:rPr>
          <w:rFonts w:asciiTheme="minorHAnsi" w:hAnsiTheme="minorHAnsi" w:cstheme="minorHAnsi"/>
          <w:color w:val="000000" w:themeColor="text1"/>
          <w:lang w:val="en-GB"/>
        </w:rPr>
      </w:pPr>
      <w:r w:rsidRPr="00F64B30">
        <w:rPr>
          <w:rFonts w:asciiTheme="minorHAnsi" w:hAnsiTheme="minorHAnsi" w:cstheme="minorHAnsi"/>
          <w:color w:val="000000" w:themeColor="text1"/>
          <w:lang w:val="en-GB"/>
        </w:rPr>
        <w:t>Although the text of the GFA does not include many references to the EU,</w:t>
      </w:r>
      <w:r w:rsidRPr="00F64B30">
        <w:rPr>
          <w:rFonts w:asciiTheme="minorHAnsi" w:hAnsiTheme="minorHAnsi" w:cstheme="minorHAnsi"/>
          <w:color w:val="000000" w:themeColor="text1"/>
          <w:vertAlign w:val="superscript"/>
          <w:lang w:val="en-GB"/>
        </w:rPr>
        <w:footnoteReference w:id="33"/>
      </w:r>
      <w:r w:rsidRPr="00F64B30">
        <w:rPr>
          <w:rFonts w:asciiTheme="minorHAnsi" w:hAnsiTheme="minorHAnsi" w:cstheme="minorHAnsi"/>
          <w:color w:val="000000" w:themeColor="text1"/>
          <w:lang w:val="en-GB"/>
        </w:rPr>
        <w:t xml:space="preserve"> Meehan has explained that EU membership has facilitated the peacebuilding process of the GFA</w:t>
      </w:r>
      <w:r w:rsidR="008A5BAC">
        <w:rPr>
          <w:rFonts w:asciiTheme="minorHAnsi" w:hAnsiTheme="minorHAnsi" w:cstheme="minorHAnsi"/>
          <w:color w:val="000000" w:themeColor="text1"/>
          <w:lang w:val="en-GB"/>
        </w:rPr>
        <w:t>.</w:t>
      </w:r>
      <w:r w:rsidR="008A5BAC">
        <w:rPr>
          <w:rStyle w:val="FootnoteReference"/>
          <w:rFonts w:asciiTheme="minorHAnsi" w:hAnsiTheme="minorHAnsi" w:cstheme="minorHAnsi"/>
          <w:color w:val="000000" w:themeColor="text1"/>
          <w:lang w:val="en-GB"/>
        </w:rPr>
        <w:footnoteReference w:id="34"/>
      </w:r>
      <w:r w:rsidRPr="00F64B30">
        <w:rPr>
          <w:rFonts w:asciiTheme="minorHAnsi" w:hAnsiTheme="minorHAnsi" w:cstheme="minorHAnsi"/>
          <w:color w:val="000000" w:themeColor="text1"/>
          <w:lang w:val="en-GB"/>
        </w:rPr>
        <w:t xml:space="preserve"> ‘The sharing of sovereignty within the EU has spilled over into some sharing of sovereignty over Northern Ireland’.</w:t>
      </w:r>
      <w:r w:rsidR="008A5BAC">
        <w:rPr>
          <w:rStyle w:val="FootnoteReference"/>
          <w:rFonts w:asciiTheme="minorHAnsi" w:hAnsiTheme="minorHAnsi" w:cstheme="minorHAnsi"/>
          <w:color w:val="000000" w:themeColor="text1"/>
          <w:lang w:val="en-GB"/>
        </w:rPr>
        <w:footnoteReference w:id="35"/>
      </w:r>
      <w:r w:rsidRPr="00F64B30">
        <w:rPr>
          <w:rFonts w:asciiTheme="minorHAnsi" w:hAnsiTheme="minorHAnsi" w:cstheme="minorHAnsi"/>
          <w:color w:val="000000" w:themeColor="text1"/>
          <w:lang w:val="en-GB"/>
        </w:rPr>
        <w:t xml:space="preserve"> In a way, the GFA ‘was premised on the assumption of common policies and interests across a wide range of policy areas’,</w:t>
      </w:r>
      <w:r w:rsidR="00447B8F">
        <w:rPr>
          <w:rStyle w:val="FootnoteReference"/>
          <w:rFonts w:asciiTheme="minorHAnsi" w:hAnsiTheme="minorHAnsi" w:cstheme="minorHAnsi"/>
          <w:color w:val="000000" w:themeColor="text1"/>
          <w:lang w:val="en-GB"/>
        </w:rPr>
        <w:footnoteReference w:id="36"/>
      </w:r>
      <w:r w:rsidRPr="00F64B30">
        <w:rPr>
          <w:rFonts w:asciiTheme="minorHAnsi" w:hAnsiTheme="minorHAnsi" w:cstheme="minorHAnsi"/>
          <w:color w:val="000000" w:themeColor="text1"/>
          <w:lang w:val="en-GB"/>
        </w:rPr>
        <w:t xml:space="preserve"> which the EU membership of both the </w:t>
      </w:r>
      <w:r w:rsidRPr="00F64B30">
        <w:rPr>
          <w:rFonts w:asciiTheme="minorHAnsi" w:hAnsiTheme="minorHAnsi" w:cstheme="minorHAnsi"/>
          <w:iCs/>
          <w:color w:val="000000" w:themeColor="text1"/>
          <w:lang w:val="en-GB"/>
        </w:rPr>
        <w:t>United Kingdom</w:t>
      </w:r>
      <w:r w:rsidRPr="00F64B30">
        <w:rPr>
          <w:rFonts w:asciiTheme="minorHAnsi" w:hAnsiTheme="minorHAnsi" w:cstheme="minorHAnsi"/>
          <w:color w:val="000000" w:themeColor="text1"/>
          <w:lang w:val="en-GB"/>
        </w:rPr>
        <w:t xml:space="preserve"> and the Republic of Ireland had secured. The fact that both the </w:t>
      </w:r>
      <w:r w:rsidRPr="00F64B30">
        <w:rPr>
          <w:rFonts w:asciiTheme="minorHAnsi" w:hAnsiTheme="minorHAnsi" w:cstheme="minorHAnsi"/>
          <w:iCs/>
          <w:color w:val="000000" w:themeColor="text1"/>
          <w:lang w:val="en-GB"/>
        </w:rPr>
        <w:t>United Kingdom</w:t>
      </w:r>
      <w:r w:rsidRPr="00F64B30">
        <w:rPr>
          <w:rFonts w:asciiTheme="minorHAnsi" w:hAnsiTheme="minorHAnsi" w:cstheme="minorHAnsi"/>
          <w:color w:val="000000" w:themeColor="text1"/>
          <w:lang w:val="en-GB"/>
        </w:rPr>
        <w:t xml:space="preserve"> and the Republic have been participating in the single market and the EU customs union meant that their land border was by definition invisible and they did not have to negotiate its status.</w:t>
      </w:r>
    </w:p>
    <w:p w14:paraId="26E7639A" w14:textId="5724CB42" w:rsidR="00F64B30" w:rsidRDefault="00981442" w:rsidP="00195899">
      <w:pPr>
        <w:pStyle w:val="TextInd"/>
        <w:jc w:val="both"/>
        <w:rPr>
          <w:rFonts w:asciiTheme="minorHAnsi" w:hAnsiTheme="minorHAnsi" w:cstheme="minorHAnsi"/>
          <w:color w:val="000000" w:themeColor="text1"/>
          <w:lang w:val="en-GB"/>
        </w:rPr>
      </w:pPr>
      <w:r>
        <w:rPr>
          <w:rFonts w:asciiTheme="minorHAnsi" w:hAnsiTheme="minorHAnsi" w:cstheme="minorHAnsi"/>
          <w:color w:val="000000" w:themeColor="text1"/>
          <w:shd w:val="clear" w:color="auto" w:fill="FFFFFF"/>
          <w:lang w:val="en-GB"/>
        </w:rPr>
        <w:lastRenderedPageBreak/>
        <w:t xml:space="preserve">This is why the decision of the UK to withdraw from the </w:t>
      </w:r>
      <w:r w:rsidR="00CE36A7">
        <w:rPr>
          <w:rFonts w:asciiTheme="minorHAnsi" w:hAnsiTheme="minorHAnsi" w:cstheme="minorHAnsi"/>
          <w:color w:val="000000" w:themeColor="text1"/>
          <w:shd w:val="clear" w:color="auto" w:fill="FFFFFF"/>
          <w:lang w:val="en-GB"/>
        </w:rPr>
        <w:t>EU</w:t>
      </w:r>
      <w:r w:rsidR="00F64B30" w:rsidRPr="00F64B30">
        <w:rPr>
          <w:rFonts w:asciiTheme="minorHAnsi" w:hAnsiTheme="minorHAnsi" w:cstheme="minorHAnsi"/>
          <w:color w:val="000000" w:themeColor="text1"/>
          <w:lang w:val="en-GB"/>
        </w:rPr>
        <w:t xml:space="preserve"> put all three strands of the GFA at risk of deep fissures.</w:t>
      </w:r>
      <w:r w:rsidR="00F64B30" w:rsidRPr="00F64B30">
        <w:rPr>
          <w:rFonts w:asciiTheme="minorHAnsi" w:hAnsiTheme="minorHAnsi" w:cstheme="minorHAnsi"/>
          <w:color w:val="000000" w:themeColor="text1"/>
          <w:vertAlign w:val="superscript"/>
          <w:lang w:val="en-GB"/>
        </w:rPr>
        <w:footnoteReference w:id="37"/>
      </w:r>
      <w:r w:rsidR="00F64B30" w:rsidRPr="00F64B30">
        <w:rPr>
          <w:rFonts w:asciiTheme="minorHAnsi" w:hAnsiTheme="minorHAnsi" w:cstheme="minorHAnsi"/>
          <w:color w:val="000000" w:themeColor="text1"/>
          <w:lang w:val="en-GB"/>
        </w:rPr>
        <w:t xml:space="preserve"> It challenge</w:t>
      </w:r>
      <w:r w:rsidR="00D668AA">
        <w:rPr>
          <w:rFonts w:asciiTheme="minorHAnsi" w:hAnsiTheme="minorHAnsi" w:cstheme="minorHAnsi"/>
          <w:color w:val="000000" w:themeColor="text1"/>
          <w:lang w:val="en-GB"/>
        </w:rPr>
        <w:t>s</w:t>
      </w:r>
      <w:r w:rsidR="00195899">
        <w:rPr>
          <w:rFonts w:asciiTheme="minorHAnsi" w:hAnsiTheme="minorHAnsi" w:cstheme="minorHAnsi"/>
          <w:color w:val="000000" w:themeColor="text1"/>
          <w:lang w:val="en-GB"/>
        </w:rPr>
        <w:t xml:space="preserve"> </w:t>
      </w:r>
      <w:r w:rsidR="00F64B30" w:rsidRPr="00F64B30">
        <w:rPr>
          <w:rFonts w:asciiTheme="minorHAnsi" w:hAnsiTheme="minorHAnsi" w:cstheme="minorHAnsi"/>
          <w:color w:val="000000" w:themeColor="text1"/>
          <w:lang w:val="en-GB"/>
        </w:rPr>
        <w:t>‘</w:t>
      </w:r>
      <w:r w:rsidR="00F64B30" w:rsidRPr="00F64B30">
        <w:rPr>
          <w:rFonts w:asciiTheme="minorHAnsi" w:hAnsiTheme="minorHAnsi" w:cstheme="minorHAnsi"/>
          <w:color w:val="000000" w:themeColor="text1"/>
          <w:shd w:val="clear" w:color="auto" w:fill="FFFFFF"/>
          <w:lang w:val="en-GB"/>
        </w:rPr>
        <w:t>the narrative of a shared and interdependent Northern Ireland’</w:t>
      </w:r>
      <w:r w:rsidR="00A6593C">
        <w:rPr>
          <w:rStyle w:val="FootnoteReference"/>
          <w:rFonts w:asciiTheme="minorHAnsi" w:hAnsiTheme="minorHAnsi" w:cstheme="minorHAnsi"/>
          <w:color w:val="000000" w:themeColor="text1"/>
          <w:shd w:val="clear" w:color="auto" w:fill="FFFFFF"/>
          <w:lang w:val="en-GB"/>
        </w:rPr>
        <w:footnoteReference w:id="38"/>
      </w:r>
      <w:r w:rsidR="00F64B30" w:rsidRPr="00F64B30">
        <w:rPr>
          <w:rFonts w:asciiTheme="minorHAnsi" w:hAnsiTheme="minorHAnsi" w:cstheme="minorHAnsi"/>
          <w:color w:val="000000" w:themeColor="text1"/>
          <w:shd w:val="clear" w:color="auto" w:fill="FFFFFF"/>
          <w:lang w:val="en-GB"/>
        </w:rPr>
        <w:t xml:space="preserve"> </w:t>
      </w:r>
      <w:r w:rsidR="00F64B30" w:rsidRPr="00F64B30">
        <w:rPr>
          <w:rFonts w:asciiTheme="minorHAnsi" w:hAnsiTheme="minorHAnsi" w:cstheme="minorHAnsi"/>
          <w:color w:val="000000" w:themeColor="text1"/>
          <w:lang w:val="en-GB"/>
        </w:rPr>
        <w:t xml:space="preserve">and impedes the sharing of sovereignty across the region, since the </w:t>
      </w:r>
      <w:r w:rsidR="00F64B30" w:rsidRPr="00F64B30">
        <w:rPr>
          <w:rFonts w:asciiTheme="minorHAnsi" w:hAnsiTheme="minorHAnsi" w:cstheme="minorHAnsi"/>
          <w:iCs/>
          <w:color w:val="000000" w:themeColor="text1"/>
          <w:lang w:val="en-GB"/>
        </w:rPr>
        <w:t>United Kingdom</w:t>
      </w:r>
      <w:r w:rsidR="00F64B30" w:rsidRPr="00F64B30">
        <w:rPr>
          <w:rFonts w:asciiTheme="minorHAnsi" w:hAnsiTheme="minorHAnsi" w:cstheme="minorHAnsi"/>
          <w:color w:val="000000" w:themeColor="text1"/>
          <w:lang w:val="en-GB"/>
        </w:rPr>
        <w:t xml:space="preserve"> and (by extension) Northern Ireland are no longer part of the EU. By definition, this situation changes the balance of powers between the two Guarantors: </w:t>
      </w:r>
      <w:proofErr w:type="gramStart"/>
      <w:r w:rsidR="00F64B30" w:rsidRPr="00F64B30">
        <w:rPr>
          <w:rFonts w:asciiTheme="minorHAnsi" w:hAnsiTheme="minorHAnsi" w:cstheme="minorHAnsi"/>
          <w:color w:val="000000" w:themeColor="text1"/>
          <w:lang w:val="en-GB"/>
        </w:rPr>
        <w:t>the</w:t>
      </w:r>
      <w:proofErr w:type="gramEnd"/>
      <w:r w:rsidR="00F64B30" w:rsidRPr="00F64B30">
        <w:rPr>
          <w:rFonts w:asciiTheme="minorHAnsi" w:hAnsiTheme="minorHAnsi" w:cstheme="minorHAnsi"/>
          <w:color w:val="000000" w:themeColor="text1"/>
          <w:lang w:val="en-GB"/>
        </w:rPr>
        <w:t xml:space="preserve"> </w:t>
      </w:r>
      <w:r w:rsidR="00F64B30" w:rsidRPr="00F64B30">
        <w:rPr>
          <w:rFonts w:asciiTheme="minorHAnsi" w:hAnsiTheme="minorHAnsi" w:cstheme="minorHAnsi"/>
          <w:iCs/>
          <w:color w:val="000000" w:themeColor="text1"/>
          <w:lang w:val="en-GB"/>
        </w:rPr>
        <w:t>United Kingdom</w:t>
      </w:r>
      <w:r w:rsidR="00F64B30" w:rsidRPr="00F64B30">
        <w:rPr>
          <w:rFonts w:asciiTheme="minorHAnsi" w:hAnsiTheme="minorHAnsi" w:cstheme="minorHAnsi"/>
          <w:color w:val="000000" w:themeColor="text1"/>
          <w:lang w:val="en-GB"/>
        </w:rPr>
        <w:t xml:space="preserve"> and the Republic of Ireland. At the same time, </w:t>
      </w:r>
      <w:r w:rsidR="00AE00A8">
        <w:rPr>
          <w:rFonts w:asciiTheme="minorHAnsi" w:hAnsiTheme="minorHAnsi" w:cstheme="minorHAnsi"/>
          <w:color w:val="000000" w:themeColor="text1"/>
          <w:lang w:val="en-GB"/>
        </w:rPr>
        <w:t>there was a question whether Brexit would lead to the loss of EU funding from which the peace process in Northern Ireland ha</w:t>
      </w:r>
      <w:r w:rsidR="00195899">
        <w:rPr>
          <w:rFonts w:asciiTheme="minorHAnsi" w:hAnsiTheme="minorHAnsi" w:cstheme="minorHAnsi"/>
          <w:color w:val="000000" w:themeColor="text1"/>
          <w:lang w:val="en-GB"/>
        </w:rPr>
        <w:t>d</w:t>
      </w:r>
      <w:r w:rsidR="00AE00A8">
        <w:rPr>
          <w:rFonts w:asciiTheme="minorHAnsi" w:hAnsiTheme="minorHAnsi" w:cstheme="minorHAnsi"/>
          <w:color w:val="000000" w:themeColor="text1"/>
          <w:lang w:val="en-GB"/>
        </w:rPr>
        <w:t xml:space="preserve"> benefited</w:t>
      </w:r>
      <w:r w:rsidR="00F64B30" w:rsidRPr="00F64B30">
        <w:rPr>
          <w:rFonts w:asciiTheme="minorHAnsi" w:hAnsiTheme="minorHAnsi" w:cstheme="minorHAnsi"/>
          <w:color w:val="000000" w:themeColor="text1"/>
          <w:lang w:val="en-GB"/>
        </w:rPr>
        <w:t>.</w:t>
      </w:r>
      <w:r w:rsidR="00AE00A8">
        <w:rPr>
          <w:rStyle w:val="FootnoteReference"/>
          <w:rFonts w:asciiTheme="minorHAnsi" w:hAnsiTheme="minorHAnsi" w:cstheme="minorHAnsi"/>
          <w:color w:val="000000" w:themeColor="text1"/>
          <w:lang w:val="en-GB"/>
        </w:rPr>
        <w:footnoteReference w:id="39"/>
      </w:r>
      <w:r w:rsidR="00F64B30" w:rsidRPr="00F64B30">
        <w:rPr>
          <w:rFonts w:asciiTheme="minorHAnsi" w:hAnsiTheme="minorHAnsi" w:cstheme="minorHAnsi"/>
          <w:color w:val="000000" w:themeColor="text1"/>
          <w:lang w:val="en-GB"/>
        </w:rPr>
        <w:t xml:space="preserve"> Finally, the creation of a customs border would</w:t>
      </w:r>
      <w:r w:rsidR="00A6593C">
        <w:rPr>
          <w:rFonts w:asciiTheme="minorHAnsi" w:hAnsiTheme="minorHAnsi" w:cstheme="minorHAnsi"/>
          <w:color w:val="000000" w:themeColor="text1"/>
          <w:lang w:val="en-GB"/>
        </w:rPr>
        <w:t xml:space="preserve"> have</w:t>
      </w:r>
      <w:r w:rsidR="00F64B30" w:rsidRPr="00F64B30">
        <w:rPr>
          <w:rFonts w:asciiTheme="minorHAnsi" w:hAnsiTheme="minorHAnsi" w:cstheme="minorHAnsi"/>
          <w:color w:val="000000" w:themeColor="text1"/>
          <w:lang w:val="en-GB"/>
        </w:rPr>
        <w:t xml:space="preserve"> pose</w:t>
      </w:r>
      <w:r w:rsidR="00A6593C">
        <w:rPr>
          <w:rFonts w:asciiTheme="minorHAnsi" w:hAnsiTheme="minorHAnsi" w:cstheme="minorHAnsi"/>
          <w:color w:val="000000" w:themeColor="text1"/>
          <w:lang w:val="en-GB"/>
        </w:rPr>
        <w:t>d</w:t>
      </w:r>
      <w:r w:rsidR="00F64B30" w:rsidRPr="00F64B30">
        <w:rPr>
          <w:rFonts w:asciiTheme="minorHAnsi" w:hAnsiTheme="minorHAnsi" w:cstheme="minorHAnsi"/>
          <w:color w:val="000000" w:themeColor="text1"/>
          <w:lang w:val="en-GB"/>
        </w:rPr>
        <w:t xml:space="preserve"> a significant threat to the island of Ireland </w:t>
      </w:r>
      <w:r w:rsidR="00F64B30" w:rsidRPr="00F64B30">
        <w:rPr>
          <w:rFonts w:asciiTheme="minorHAnsi" w:hAnsiTheme="minorHAnsi" w:cstheme="minorHAnsi"/>
          <w:color w:val="000000" w:themeColor="text1"/>
          <w:shd w:val="clear" w:color="auto" w:fill="FFFFFF"/>
          <w:lang w:val="en-GB"/>
        </w:rPr>
        <w:t>as a single economic area</w:t>
      </w:r>
      <w:r>
        <w:rPr>
          <w:rFonts w:asciiTheme="minorHAnsi" w:hAnsiTheme="minorHAnsi" w:cstheme="minorHAnsi"/>
          <w:color w:val="000000" w:themeColor="text1"/>
          <w:shd w:val="clear" w:color="auto" w:fill="FFFFFF"/>
          <w:lang w:val="en-GB"/>
        </w:rPr>
        <w:t xml:space="preserve"> and a safe space</w:t>
      </w:r>
      <w:r w:rsidR="00F64B30" w:rsidRPr="00F64B30">
        <w:rPr>
          <w:rFonts w:asciiTheme="minorHAnsi" w:hAnsiTheme="minorHAnsi" w:cstheme="minorHAnsi"/>
          <w:color w:val="000000" w:themeColor="text1"/>
          <w:shd w:val="clear" w:color="auto" w:fill="FFFFFF"/>
          <w:lang w:val="en-GB"/>
        </w:rPr>
        <w:t xml:space="preserve">. </w:t>
      </w:r>
      <w:r w:rsidR="00F64B30" w:rsidRPr="00F64B30">
        <w:rPr>
          <w:rFonts w:asciiTheme="minorHAnsi" w:hAnsiTheme="minorHAnsi" w:cstheme="minorHAnsi"/>
          <w:color w:val="000000" w:themeColor="text1"/>
          <w:lang w:val="en-GB"/>
        </w:rPr>
        <w:t>In particular, such a development</w:t>
      </w:r>
    </w:p>
    <w:p w14:paraId="0A41DF08" w14:textId="04CE7D95" w:rsidR="00F64B30" w:rsidRPr="00F64B30" w:rsidRDefault="00F64B30" w:rsidP="00E44EAF">
      <w:pPr>
        <w:pStyle w:val="TextInd"/>
        <w:ind w:left="720" w:right="720" w:firstLine="0"/>
        <w:jc w:val="both"/>
        <w:rPr>
          <w:rFonts w:asciiTheme="minorHAnsi" w:hAnsiTheme="minorHAnsi" w:cstheme="minorHAnsi"/>
          <w:color w:val="000000" w:themeColor="text1"/>
          <w:lang w:val="en-GB"/>
        </w:rPr>
      </w:pPr>
      <w:r w:rsidRPr="00F64B30">
        <w:rPr>
          <w:rFonts w:asciiTheme="minorHAnsi" w:hAnsiTheme="minorHAnsi" w:cstheme="minorHAnsi"/>
          <w:color w:val="000000" w:themeColor="text1"/>
          <w:lang w:val="en-GB"/>
        </w:rPr>
        <w:t>would not only require a massive investment by Ireland, as the EU Member State required to enforce the EU external customs border with the UK at this point, but also</w:t>
      </w:r>
      <w:r w:rsidRPr="00F64B30">
        <w:rPr>
          <w:rFonts w:asciiTheme="minorHAnsi" w:hAnsiTheme="minorHAnsi" w:cstheme="minorHAnsi"/>
          <w:color w:val="000000" w:themeColor="text1"/>
          <w:shd w:val="clear" w:color="auto" w:fill="FFFFFF"/>
          <w:lang w:val="en-GB"/>
        </w:rPr>
        <w:t xml:space="preserve"> </w:t>
      </w:r>
      <w:r w:rsidRPr="00F64B30">
        <w:rPr>
          <w:rFonts w:asciiTheme="minorHAnsi" w:hAnsiTheme="minorHAnsi" w:cstheme="minorHAnsi"/>
          <w:color w:val="000000" w:themeColor="text1"/>
          <w:lang w:val="en-GB"/>
        </w:rPr>
        <w:t>bring back painful memories of the times of conflict on the island, when the trade border was not</w:t>
      </w:r>
      <w:r w:rsidRPr="00F64B30">
        <w:rPr>
          <w:rFonts w:asciiTheme="minorHAnsi" w:hAnsiTheme="minorHAnsi" w:cstheme="minorHAnsi"/>
          <w:color w:val="000000" w:themeColor="text1"/>
          <w:shd w:val="clear" w:color="auto" w:fill="FFFFFF"/>
          <w:lang w:val="en-GB"/>
        </w:rPr>
        <w:t xml:space="preserve"> </w:t>
      </w:r>
      <w:r w:rsidRPr="00F64B30">
        <w:rPr>
          <w:rFonts w:asciiTheme="minorHAnsi" w:hAnsiTheme="minorHAnsi" w:cstheme="minorHAnsi"/>
          <w:color w:val="000000" w:themeColor="text1"/>
          <w:lang w:val="en-GB"/>
        </w:rPr>
        <w:t>only (ab)used for intimidation through its harsh enforcement, but also had a real impact on livelihoods.</w:t>
      </w:r>
      <w:r w:rsidR="00A6593C">
        <w:rPr>
          <w:rStyle w:val="FootnoteReference"/>
          <w:rFonts w:asciiTheme="minorHAnsi" w:hAnsiTheme="minorHAnsi" w:cstheme="minorHAnsi"/>
          <w:color w:val="000000" w:themeColor="text1"/>
          <w:lang w:val="en-GB"/>
        </w:rPr>
        <w:footnoteReference w:id="40"/>
      </w:r>
    </w:p>
    <w:p w14:paraId="4B2D72F1" w14:textId="3B7D8561" w:rsidR="00F64B30" w:rsidRPr="005474F5" w:rsidRDefault="00CE36A7" w:rsidP="00E44EAF">
      <w:pPr>
        <w:pStyle w:val="TextFlushLeft"/>
        <w:ind w:firstLine="720"/>
        <w:jc w:val="both"/>
        <w:rPr>
          <w:rFonts w:asciiTheme="minorHAnsi" w:hAnsiTheme="minorHAnsi" w:cstheme="minorHAnsi"/>
          <w:color w:val="000000" w:themeColor="text1"/>
          <w:shd w:val="clear" w:color="auto" w:fill="FFFFFF"/>
          <w:lang w:val="en-GB"/>
        </w:rPr>
      </w:pPr>
      <w:r>
        <w:rPr>
          <w:rFonts w:asciiTheme="minorHAnsi" w:hAnsiTheme="minorHAnsi" w:cstheme="minorHAnsi"/>
          <w:color w:val="000000" w:themeColor="text1"/>
          <w:shd w:val="clear" w:color="auto" w:fill="FFFFFF"/>
          <w:lang w:val="en-GB"/>
        </w:rPr>
        <w:lastRenderedPageBreak/>
        <w:t>And although all</w:t>
      </w:r>
      <w:r w:rsidRPr="00CE36A7">
        <w:rPr>
          <w:rFonts w:asciiTheme="minorHAnsi" w:hAnsiTheme="minorHAnsi" w:cstheme="minorHAnsi"/>
          <w:color w:val="000000" w:themeColor="text1"/>
          <w:shd w:val="clear" w:color="auto" w:fill="FFFFFF"/>
          <w:lang w:val="en-GB"/>
        </w:rPr>
        <w:t xml:space="preserve"> </w:t>
      </w:r>
      <w:r w:rsidRPr="00F64B30">
        <w:rPr>
          <w:rFonts w:asciiTheme="minorHAnsi" w:hAnsiTheme="minorHAnsi" w:cstheme="minorHAnsi"/>
          <w:color w:val="000000" w:themeColor="text1"/>
          <w:shd w:val="clear" w:color="auto" w:fill="FFFFFF"/>
          <w:lang w:val="en-GB"/>
        </w:rPr>
        <w:t>interested parties</w:t>
      </w:r>
      <w:r w:rsidR="00A6593C" w:rsidRPr="00A6593C">
        <w:rPr>
          <w:rFonts w:asciiTheme="minorHAnsi" w:hAnsiTheme="minorHAnsi" w:cstheme="minorHAnsi"/>
          <w:color w:val="000000" w:themeColor="text1"/>
          <w:shd w:val="clear" w:color="auto" w:fill="FFFFFF"/>
          <w:lang w:val="en-GB"/>
        </w:rPr>
        <w:t xml:space="preserve"> </w:t>
      </w:r>
      <w:r w:rsidR="00A6593C">
        <w:rPr>
          <w:rFonts w:asciiTheme="minorHAnsi" w:hAnsiTheme="minorHAnsi" w:cstheme="minorHAnsi"/>
          <w:color w:val="000000" w:themeColor="text1"/>
          <w:shd w:val="clear" w:color="auto" w:fill="FFFFFF"/>
          <w:lang w:val="en-GB"/>
        </w:rPr>
        <w:t xml:space="preserve">accepted the </w:t>
      </w:r>
      <w:r w:rsidR="00A6593C" w:rsidRPr="00F64B30">
        <w:rPr>
          <w:rFonts w:asciiTheme="minorHAnsi" w:hAnsiTheme="minorHAnsi" w:cstheme="minorHAnsi"/>
          <w:color w:val="000000" w:themeColor="text1"/>
          <w:shd w:val="clear" w:color="auto" w:fill="FFFFFF"/>
          <w:lang w:val="en-GB"/>
        </w:rPr>
        <w:t>importance of the ‘Northern Irish question’ in the context of the Brexit negotiations</w:t>
      </w:r>
      <w:r w:rsidR="00A6593C">
        <w:rPr>
          <w:rFonts w:asciiTheme="minorHAnsi" w:hAnsiTheme="minorHAnsi" w:cstheme="minorHAnsi"/>
          <w:color w:val="000000" w:themeColor="text1"/>
          <w:shd w:val="clear" w:color="auto" w:fill="FFFFFF"/>
          <w:lang w:val="en-GB"/>
        </w:rPr>
        <w:t>,</w:t>
      </w:r>
      <w:r>
        <w:rPr>
          <w:rStyle w:val="FootnoteReference"/>
          <w:rFonts w:asciiTheme="minorHAnsi" w:hAnsiTheme="minorHAnsi" w:cstheme="minorHAnsi"/>
          <w:color w:val="000000" w:themeColor="text1"/>
          <w:shd w:val="clear" w:color="auto" w:fill="FFFFFF"/>
          <w:lang w:val="en-GB"/>
        </w:rPr>
        <w:footnoteReference w:id="41"/>
      </w:r>
      <w:r>
        <w:rPr>
          <w:rFonts w:asciiTheme="minorHAnsi" w:hAnsiTheme="minorHAnsi" w:cstheme="minorHAnsi"/>
          <w:color w:val="000000" w:themeColor="text1"/>
          <w:shd w:val="clear" w:color="auto" w:fill="FFFFFF"/>
          <w:lang w:val="en-GB"/>
        </w:rPr>
        <w:t xml:space="preserve"> keeping the </w:t>
      </w:r>
      <w:r w:rsidR="005474F5">
        <w:rPr>
          <w:rFonts w:asciiTheme="minorHAnsi" w:hAnsiTheme="minorHAnsi" w:cstheme="minorHAnsi"/>
          <w:color w:val="000000" w:themeColor="text1"/>
          <w:shd w:val="clear" w:color="auto" w:fill="FFFFFF"/>
          <w:lang w:val="en-GB"/>
        </w:rPr>
        <w:t xml:space="preserve">Irish </w:t>
      </w:r>
      <w:r>
        <w:rPr>
          <w:rFonts w:asciiTheme="minorHAnsi" w:hAnsiTheme="minorHAnsi" w:cstheme="minorHAnsi"/>
          <w:color w:val="000000" w:themeColor="text1"/>
          <w:shd w:val="clear" w:color="auto" w:fill="FFFFFF"/>
          <w:lang w:val="en-GB"/>
        </w:rPr>
        <w:t>territorial border frictionless proved</w:t>
      </w:r>
      <w:r w:rsidR="00A6593C">
        <w:rPr>
          <w:rFonts w:asciiTheme="minorHAnsi" w:hAnsiTheme="minorHAnsi" w:cstheme="minorHAnsi"/>
          <w:color w:val="000000" w:themeColor="text1"/>
          <w:shd w:val="clear" w:color="auto" w:fill="FFFFFF"/>
          <w:lang w:val="en-GB"/>
        </w:rPr>
        <w:t xml:space="preserve"> to be</w:t>
      </w:r>
      <w:r>
        <w:rPr>
          <w:rFonts w:asciiTheme="minorHAnsi" w:hAnsiTheme="minorHAnsi" w:cstheme="minorHAnsi"/>
          <w:color w:val="000000" w:themeColor="text1"/>
          <w:shd w:val="clear" w:color="auto" w:fill="FFFFFF"/>
          <w:lang w:val="en-GB"/>
        </w:rPr>
        <w:t xml:space="preserve"> a formidable challenge.</w:t>
      </w:r>
      <w:r w:rsidR="005474F5">
        <w:rPr>
          <w:rFonts w:asciiTheme="minorHAnsi" w:hAnsiTheme="minorHAnsi" w:cstheme="minorHAnsi"/>
          <w:color w:val="000000" w:themeColor="text1"/>
          <w:shd w:val="clear" w:color="auto" w:fill="FFFFFF"/>
          <w:lang w:val="en-GB"/>
        </w:rPr>
        <w:t xml:space="preserve"> In the next section, we will examine </w:t>
      </w:r>
      <w:r w:rsidR="002E4DD6">
        <w:rPr>
          <w:rFonts w:asciiTheme="minorHAnsi" w:hAnsiTheme="minorHAnsi" w:cstheme="minorHAnsi"/>
          <w:color w:val="000000" w:themeColor="text1"/>
          <w:shd w:val="clear" w:color="auto" w:fill="FFFFFF"/>
          <w:lang w:val="en-GB"/>
        </w:rPr>
        <w:t>how</w:t>
      </w:r>
      <w:r w:rsidR="005474F5">
        <w:rPr>
          <w:rFonts w:asciiTheme="minorHAnsi" w:hAnsiTheme="minorHAnsi" w:cstheme="minorHAnsi"/>
          <w:color w:val="000000" w:themeColor="text1"/>
          <w:shd w:val="clear" w:color="auto" w:fill="FFFFFF"/>
          <w:lang w:val="en-GB"/>
        </w:rPr>
        <w:t xml:space="preserve"> the EU legal order </w:t>
      </w:r>
      <w:r w:rsidR="002E4DD6">
        <w:rPr>
          <w:rFonts w:asciiTheme="minorHAnsi" w:hAnsiTheme="minorHAnsi" w:cstheme="minorHAnsi"/>
          <w:color w:val="000000" w:themeColor="text1"/>
          <w:shd w:val="clear" w:color="auto" w:fill="FFFFFF"/>
          <w:lang w:val="en-GB"/>
        </w:rPr>
        <w:t>extended the application of EU law to a region of a State, which withdrew from the Union in order</w:t>
      </w:r>
      <w:r w:rsidR="005474F5">
        <w:rPr>
          <w:rFonts w:asciiTheme="minorHAnsi" w:hAnsiTheme="minorHAnsi" w:cstheme="minorHAnsi"/>
          <w:color w:val="000000" w:themeColor="text1"/>
          <w:shd w:val="clear" w:color="auto" w:fill="FFFFFF"/>
          <w:lang w:val="en-GB"/>
        </w:rPr>
        <w:t xml:space="preserve"> to accommodate th</w:t>
      </w:r>
      <w:r w:rsidR="002E4DD6">
        <w:rPr>
          <w:rFonts w:asciiTheme="minorHAnsi" w:hAnsiTheme="minorHAnsi" w:cstheme="minorHAnsi"/>
          <w:color w:val="000000" w:themeColor="text1"/>
          <w:shd w:val="clear" w:color="auto" w:fill="FFFFFF"/>
          <w:lang w:val="en-GB"/>
        </w:rPr>
        <w:t>is</w:t>
      </w:r>
      <w:r w:rsidR="005474F5">
        <w:rPr>
          <w:rFonts w:asciiTheme="minorHAnsi" w:hAnsiTheme="minorHAnsi" w:cstheme="minorHAnsi"/>
          <w:color w:val="000000" w:themeColor="text1"/>
          <w:shd w:val="clear" w:color="auto" w:fill="FFFFFF"/>
          <w:lang w:val="en-GB"/>
        </w:rPr>
        <w:t xml:space="preserve"> territorial contestation.</w:t>
      </w:r>
    </w:p>
    <w:p w14:paraId="299F56AD" w14:textId="77777777" w:rsidR="00782EAC" w:rsidRDefault="00782EAC" w:rsidP="00E44EAF">
      <w:pPr>
        <w:spacing w:line="480" w:lineRule="auto"/>
        <w:jc w:val="center"/>
        <w:rPr>
          <w:rFonts w:cs="Calibri (Body)"/>
        </w:rPr>
      </w:pPr>
    </w:p>
    <w:p w14:paraId="60CCFD7E" w14:textId="77777777" w:rsidR="00782EAC" w:rsidRDefault="00782EAC" w:rsidP="00E44EAF">
      <w:pPr>
        <w:spacing w:line="480" w:lineRule="auto"/>
        <w:jc w:val="center"/>
        <w:rPr>
          <w:rFonts w:cs="Calibri (Body)"/>
        </w:rPr>
      </w:pPr>
      <w:r>
        <w:rPr>
          <w:rFonts w:cs="Calibri (Body)"/>
        </w:rPr>
        <w:t>ACCOMMODATING TERRITORIAL CONTESTATION</w:t>
      </w:r>
    </w:p>
    <w:p w14:paraId="3325B207" w14:textId="66FC2EA6" w:rsidR="004472BF" w:rsidRDefault="00436FBB" w:rsidP="00E44EAF">
      <w:pPr>
        <w:spacing w:line="480" w:lineRule="auto"/>
        <w:jc w:val="both"/>
        <w:rPr>
          <w:rFonts w:cs="Calibri (Body)"/>
        </w:rPr>
      </w:pPr>
      <w:r>
        <w:rPr>
          <w:rFonts w:cs="Calibri (Body)"/>
        </w:rPr>
        <w:t xml:space="preserve">In the case of Cyprus, the Union legal order had to accommodate the territorial contestation created by </w:t>
      </w:r>
      <w:r w:rsidR="000F70F6">
        <w:rPr>
          <w:rFonts w:cstheme="minorHAnsi"/>
          <w:color w:val="000000"/>
        </w:rPr>
        <w:t xml:space="preserve">the non-consensual secession of the TRNC and the failure to reach a settlement </w:t>
      </w:r>
      <w:r>
        <w:rPr>
          <w:rFonts w:cs="Calibri (Body)"/>
        </w:rPr>
        <w:t>at the moment that the divided</w:t>
      </w:r>
      <w:r w:rsidR="000F70F6">
        <w:rPr>
          <w:rFonts w:cs="Calibri (Body)"/>
        </w:rPr>
        <w:t xml:space="preserve"> </w:t>
      </w:r>
      <w:r>
        <w:rPr>
          <w:rFonts w:cs="Calibri (Body)"/>
        </w:rPr>
        <w:t>island was acceding to the EU. In the case of Northern Ireland,</w:t>
      </w:r>
      <w:r w:rsidR="000F70F6">
        <w:rPr>
          <w:rFonts w:cs="Calibri (Body)"/>
        </w:rPr>
        <w:t xml:space="preserve"> such challenge became apparent at the moment that the UK decided to withdraw from the EU. Despite this significant difference, the main mechanism that the Union used in both cases was the extra-territorial application of EU law in order to ease the frictions created by those divisions.</w:t>
      </w:r>
      <w:r w:rsidR="00AC5FA2">
        <w:rPr>
          <w:rFonts w:cs="Calibri (Body)"/>
        </w:rPr>
        <w:t xml:space="preserve"> In the case of </w:t>
      </w:r>
      <w:proofErr w:type="gramStart"/>
      <w:r w:rsidR="00AC5FA2">
        <w:rPr>
          <w:rFonts w:cs="Calibri (Body)"/>
        </w:rPr>
        <w:t>northern Cyprus</w:t>
      </w:r>
      <w:proofErr w:type="gramEnd"/>
      <w:r w:rsidR="00AC5FA2">
        <w:rPr>
          <w:rFonts w:cs="Calibri (Body)"/>
        </w:rPr>
        <w:t xml:space="preserve">, this was mainly achieved through Protocol No 10 of </w:t>
      </w:r>
      <w:r w:rsidR="00AC5FA2">
        <w:rPr>
          <w:rFonts w:cs="Calibri (Body)"/>
        </w:rPr>
        <w:lastRenderedPageBreak/>
        <w:t>the Act of Accession 2003.</w:t>
      </w:r>
      <w:r w:rsidR="00AC5FA2">
        <w:rPr>
          <w:rStyle w:val="FootnoteReference"/>
          <w:rFonts w:cs="Calibri (Body)"/>
        </w:rPr>
        <w:footnoteReference w:id="42"/>
      </w:r>
      <w:r w:rsidR="00AC5FA2">
        <w:rPr>
          <w:rFonts w:cs="Calibri (Body)"/>
        </w:rPr>
        <w:t xml:space="preserve"> In the case of Northern Ireland, the fabled Protocol of the UK’s Withdrawal Agreement</w:t>
      </w:r>
      <w:r w:rsidR="00E72351">
        <w:rPr>
          <w:rFonts w:cs="Calibri (Body)"/>
        </w:rPr>
        <w:t xml:space="preserve"> </w:t>
      </w:r>
      <w:r w:rsidR="00B7104A">
        <w:rPr>
          <w:rFonts w:cs="Calibri (Body)"/>
        </w:rPr>
        <w:t xml:space="preserve">(WA) </w:t>
      </w:r>
      <w:r w:rsidR="00E72351">
        <w:rPr>
          <w:rFonts w:cs="Calibri (Body)"/>
        </w:rPr>
        <w:t>as amended by the Windsor Framework</w:t>
      </w:r>
      <w:r w:rsidR="00AC5FA2">
        <w:rPr>
          <w:rFonts w:cs="Calibri (Body)"/>
        </w:rPr>
        <w:t xml:space="preserve"> </w:t>
      </w:r>
      <w:r w:rsidR="00C90FAB">
        <w:rPr>
          <w:rFonts w:cs="Calibri (Body)"/>
        </w:rPr>
        <w:t>is the main conduit for the extra-territorial application of EU law in the region.</w:t>
      </w:r>
      <w:r w:rsidR="00C90FAB">
        <w:rPr>
          <w:rStyle w:val="FootnoteReference"/>
          <w:rFonts w:cs="Calibri (Body)"/>
        </w:rPr>
        <w:footnoteReference w:id="43"/>
      </w:r>
    </w:p>
    <w:p w14:paraId="1251EE8C" w14:textId="77777777" w:rsidR="00436FBB" w:rsidRDefault="00436FBB" w:rsidP="00E44EAF">
      <w:pPr>
        <w:spacing w:line="480" w:lineRule="auto"/>
        <w:jc w:val="both"/>
        <w:rPr>
          <w:rFonts w:cs="Calibri (Body)"/>
        </w:rPr>
      </w:pPr>
    </w:p>
    <w:p w14:paraId="482B758F" w14:textId="5F15D04C" w:rsidR="004472BF" w:rsidRDefault="00FF211F" w:rsidP="00E44EAF">
      <w:pPr>
        <w:spacing w:line="480" w:lineRule="auto"/>
        <w:rPr>
          <w:rFonts w:cs="Calibri (Body)"/>
          <w:i/>
          <w:iCs/>
        </w:rPr>
      </w:pPr>
      <w:r>
        <w:rPr>
          <w:rFonts w:cstheme="minorHAnsi"/>
          <w:i/>
          <w:iCs/>
        </w:rPr>
        <w:t>(</w:t>
      </w:r>
      <w:r w:rsidRPr="00FE2768">
        <w:rPr>
          <w:rFonts w:cstheme="minorHAnsi"/>
          <w:i/>
          <w:iCs/>
        </w:rPr>
        <w:t>Northern</w:t>
      </w:r>
      <w:r>
        <w:rPr>
          <w:rFonts w:cstheme="minorHAnsi"/>
          <w:i/>
          <w:iCs/>
        </w:rPr>
        <w:t xml:space="preserve">) </w:t>
      </w:r>
      <w:r w:rsidR="004472BF">
        <w:rPr>
          <w:rFonts w:cs="Calibri (Body)"/>
          <w:i/>
          <w:iCs/>
        </w:rPr>
        <w:t>Cyprus</w:t>
      </w:r>
    </w:p>
    <w:p w14:paraId="13DEA355" w14:textId="3B377FA8" w:rsidR="00C64146" w:rsidRPr="00C64146" w:rsidRDefault="00C64146" w:rsidP="00E44EAF">
      <w:pPr>
        <w:pStyle w:val="BodyTextFormat"/>
        <w:spacing w:line="480" w:lineRule="auto"/>
        <w:ind w:firstLine="0"/>
        <w:rPr>
          <w:rFonts w:asciiTheme="minorHAnsi" w:hAnsiTheme="minorHAnsi" w:cstheme="minorHAnsi"/>
          <w:color w:val="000000"/>
          <w:sz w:val="24"/>
          <w:szCs w:val="24"/>
        </w:rPr>
      </w:pPr>
      <w:r w:rsidRPr="00C64146">
        <w:rPr>
          <w:rFonts w:asciiTheme="minorHAnsi" w:hAnsiTheme="minorHAnsi" w:cstheme="minorHAnsi"/>
          <w:sz w:val="24"/>
          <w:szCs w:val="24"/>
        </w:rPr>
        <w:t>On 24 April 2004,</w:t>
      </w:r>
      <w:r w:rsidR="00D43A8D">
        <w:rPr>
          <w:rFonts w:asciiTheme="minorHAnsi" w:hAnsiTheme="minorHAnsi" w:cstheme="minorHAnsi"/>
          <w:sz w:val="24"/>
          <w:szCs w:val="24"/>
        </w:rPr>
        <w:t xml:space="preserve"> the Turkish Cypriots</w:t>
      </w:r>
      <w:r w:rsidRPr="00C64146">
        <w:rPr>
          <w:rFonts w:asciiTheme="minorHAnsi" w:hAnsiTheme="minorHAnsi" w:cstheme="minorHAnsi"/>
          <w:sz w:val="24"/>
          <w:szCs w:val="24"/>
        </w:rPr>
        <w:t xml:space="preserve"> </w:t>
      </w:r>
      <w:r w:rsidR="00D43A8D">
        <w:rPr>
          <w:rFonts w:asciiTheme="minorHAnsi" w:hAnsiTheme="minorHAnsi" w:cstheme="minorHAnsi"/>
          <w:sz w:val="24"/>
          <w:szCs w:val="24"/>
        </w:rPr>
        <w:t xml:space="preserve">approved the Annan Plan while the </w:t>
      </w:r>
      <w:r w:rsidRPr="00C64146">
        <w:rPr>
          <w:rFonts w:asciiTheme="minorHAnsi" w:hAnsiTheme="minorHAnsi" w:cstheme="minorHAnsi"/>
          <w:sz w:val="24"/>
          <w:szCs w:val="24"/>
        </w:rPr>
        <w:t>Greek Cypriot community rejected</w:t>
      </w:r>
      <w:r w:rsidR="007E77F2">
        <w:rPr>
          <w:rFonts w:asciiTheme="minorHAnsi" w:hAnsiTheme="minorHAnsi" w:cstheme="minorHAnsi"/>
          <w:sz w:val="24"/>
          <w:szCs w:val="24"/>
        </w:rPr>
        <w:t xml:space="preserve"> </w:t>
      </w:r>
      <w:r w:rsidR="00D43A8D">
        <w:rPr>
          <w:rFonts w:asciiTheme="minorHAnsi" w:hAnsiTheme="minorHAnsi" w:cstheme="minorHAnsi"/>
          <w:sz w:val="24"/>
          <w:szCs w:val="24"/>
        </w:rPr>
        <w:t xml:space="preserve">it </w:t>
      </w:r>
      <w:r w:rsidRPr="00C64146">
        <w:rPr>
          <w:rFonts w:asciiTheme="minorHAnsi" w:hAnsiTheme="minorHAnsi" w:cstheme="minorHAnsi"/>
          <w:sz w:val="24"/>
          <w:szCs w:val="24"/>
        </w:rPr>
        <w:t>in</w:t>
      </w:r>
      <w:r w:rsidR="00D43A8D">
        <w:rPr>
          <w:rFonts w:asciiTheme="minorHAnsi" w:hAnsiTheme="minorHAnsi" w:cstheme="minorHAnsi"/>
          <w:sz w:val="24"/>
          <w:szCs w:val="24"/>
        </w:rPr>
        <w:t xml:space="preserve"> simultaneous</w:t>
      </w:r>
      <w:r w:rsidRPr="00C64146">
        <w:rPr>
          <w:rFonts w:asciiTheme="minorHAnsi" w:hAnsiTheme="minorHAnsi" w:cstheme="minorHAnsi"/>
          <w:sz w:val="24"/>
          <w:szCs w:val="24"/>
        </w:rPr>
        <w:t xml:space="preserve"> referendum</w:t>
      </w:r>
      <w:r w:rsidR="00D43A8D">
        <w:rPr>
          <w:rFonts w:asciiTheme="minorHAnsi" w:hAnsiTheme="minorHAnsi" w:cstheme="minorHAnsi"/>
          <w:sz w:val="24"/>
          <w:szCs w:val="24"/>
        </w:rPr>
        <w:t>s</w:t>
      </w:r>
      <w:r w:rsidRPr="00C64146">
        <w:rPr>
          <w:rFonts w:asciiTheme="minorHAnsi" w:hAnsiTheme="minorHAnsi" w:cstheme="minorHAnsi"/>
          <w:sz w:val="24"/>
          <w:szCs w:val="24"/>
        </w:rPr>
        <w:t>.</w:t>
      </w:r>
      <w:r w:rsidRPr="00C64146">
        <w:rPr>
          <w:rStyle w:val="FootnoteReference"/>
          <w:rFonts w:asciiTheme="minorHAnsi" w:hAnsiTheme="minorHAnsi" w:cstheme="minorHAnsi"/>
          <w:sz w:val="24"/>
          <w:szCs w:val="24"/>
        </w:rPr>
        <w:t xml:space="preserve"> </w:t>
      </w:r>
      <w:r w:rsidRPr="00C64146">
        <w:rPr>
          <w:rFonts w:asciiTheme="minorHAnsi" w:hAnsiTheme="minorHAnsi" w:cstheme="minorHAnsi"/>
          <w:sz w:val="24"/>
          <w:szCs w:val="24"/>
        </w:rPr>
        <w:t xml:space="preserve">Despite this, a week later, </w:t>
      </w:r>
      <w:r w:rsidRPr="00C64146">
        <w:rPr>
          <w:rFonts w:asciiTheme="minorHAnsi" w:hAnsiTheme="minorHAnsi" w:cstheme="minorHAnsi"/>
          <w:color w:val="000000"/>
          <w:sz w:val="24"/>
          <w:szCs w:val="24"/>
        </w:rPr>
        <w:t xml:space="preserve">Cyprus as a whole became an EU member state. </w:t>
      </w:r>
      <w:r w:rsidR="00D43A8D">
        <w:rPr>
          <w:rFonts w:asciiTheme="minorHAnsi" w:hAnsiTheme="minorHAnsi" w:cstheme="minorHAnsi"/>
          <w:color w:val="000000"/>
          <w:sz w:val="24"/>
          <w:szCs w:val="24"/>
        </w:rPr>
        <w:t>To accommodate this territorial contestation,</w:t>
      </w:r>
      <w:r w:rsidRPr="00C64146">
        <w:rPr>
          <w:rFonts w:asciiTheme="minorHAnsi" w:hAnsiTheme="minorHAnsi" w:cstheme="minorHAnsi"/>
          <w:color w:val="000000"/>
          <w:sz w:val="24"/>
          <w:szCs w:val="24"/>
        </w:rPr>
        <w:t xml:space="preserve"> the EU legal order </w:t>
      </w:r>
      <w:r w:rsidR="00D43A8D">
        <w:rPr>
          <w:rFonts w:asciiTheme="minorHAnsi" w:hAnsiTheme="minorHAnsi" w:cstheme="minorHAnsi"/>
          <w:color w:val="000000"/>
          <w:sz w:val="24"/>
          <w:szCs w:val="24"/>
        </w:rPr>
        <w:t xml:space="preserve">had to </w:t>
      </w:r>
      <w:r w:rsidRPr="00C64146">
        <w:rPr>
          <w:rFonts w:asciiTheme="minorHAnsi" w:hAnsiTheme="minorHAnsi" w:cstheme="minorHAnsi"/>
          <w:color w:val="000000"/>
          <w:sz w:val="24"/>
          <w:szCs w:val="24"/>
        </w:rPr>
        <w:t xml:space="preserve">prove </w:t>
      </w:r>
      <w:r w:rsidR="00D43A8D">
        <w:rPr>
          <w:rFonts w:asciiTheme="minorHAnsi" w:hAnsiTheme="minorHAnsi" w:cstheme="minorHAnsi"/>
          <w:color w:val="000000"/>
          <w:sz w:val="24"/>
          <w:szCs w:val="24"/>
        </w:rPr>
        <w:t xml:space="preserve">its </w:t>
      </w:r>
      <w:r w:rsidR="00394465">
        <w:rPr>
          <w:rFonts w:asciiTheme="minorHAnsi" w:hAnsiTheme="minorHAnsi" w:cstheme="minorHAnsi"/>
          <w:color w:val="000000"/>
          <w:sz w:val="24"/>
          <w:szCs w:val="24"/>
        </w:rPr>
        <w:t>remarkable</w:t>
      </w:r>
      <w:r w:rsidR="00D43A8D">
        <w:rPr>
          <w:rFonts w:asciiTheme="minorHAnsi" w:hAnsiTheme="minorHAnsi" w:cstheme="minorHAnsi"/>
          <w:color w:val="000000"/>
          <w:sz w:val="24"/>
          <w:szCs w:val="24"/>
        </w:rPr>
        <w:t xml:space="preserve"> flexibility</w:t>
      </w:r>
      <w:r w:rsidRPr="00C64146">
        <w:rPr>
          <w:rFonts w:asciiTheme="minorHAnsi" w:hAnsiTheme="minorHAnsi" w:cstheme="minorHAnsi"/>
          <w:color w:val="000000"/>
          <w:sz w:val="24"/>
          <w:szCs w:val="24"/>
        </w:rPr>
        <w:t>.</w:t>
      </w:r>
    </w:p>
    <w:p w14:paraId="0704D34C" w14:textId="25546AEF" w:rsidR="00394465" w:rsidRDefault="00C64146" w:rsidP="00E44EAF">
      <w:pPr>
        <w:spacing w:line="480" w:lineRule="auto"/>
        <w:ind w:firstLine="720"/>
        <w:jc w:val="both"/>
        <w:rPr>
          <w:rFonts w:cstheme="minorHAnsi"/>
        </w:rPr>
      </w:pPr>
      <w:r w:rsidRPr="00C64146">
        <w:rPr>
          <w:rFonts w:cstheme="minorHAnsi"/>
          <w:color w:val="000000"/>
        </w:rPr>
        <w:t>At the</w:t>
      </w:r>
      <w:r w:rsidRPr="00886DF2">
        <w:rPr>
          <w:color w:val="000000"/>
        </w:rPr>
        <w:t xml:space="preserve"> very centre of the EU</w:t>
      </w:r>
      <w:r w:rsidR="000F70F6">
        <w:rPr>
          <w:color w:val="000000"/>
        </w:rPr>
        <w:t>’s</w:t>
      </w:r>
      <w:r w:rsidRPr="00886DF2">
        <w:rPr>
          <w:color w:val="000000"/>
        </w:rPr>
        <w:t xml:space="preserve"> pragmatic approach lies Protocol No 10 on Cyprus of the Act of Accession 2003</w:t>
      </w:r>
      <w:r>
        <w:rPr>
          <w:color w:val="000000"/>
        </w:rPr>
        <w:t>,</w:t>
      </w:r>
      <w:r w:rsidRPr="00886DF2">
        <w:rPr>
          <w:color w:val="000000"/>
        </w:rPr>
        <w:t xml:space="preserve"> which describes the terms of </w:t>
      </w:r>
      <w:proofErr w:type="spellStart"/>
      <w:r w:rsidRPr="00886DF2">
        <w:rPr>
          <w:color w:val="000000"/>
        </w:rPr>
        <w:t>RoC</w:t>
      </w:r>
      <w:r>
        <w:rPr>
          <w:color w:val="000000"/>
        </w:rPr>
        <w:t>’</w:t>
      </w:r>
      <w:r w:rsidRPr="00886DF2">
        <w:rPr>
          <w:color w:val="000000"/>
        </w:rPr>
        <w:t>s</w:t>
      </w:r>
      <w:proofErr w:type="spellEnd"/>
      <w:r w:rsidRPr="00886DF2">
        <w:rPr>
          <w:color w:val="000000"/>
        </w:rPr>
        <w:t xml:space="preserve"> accession.</w:t>
      </w:r>
      <w:r w:rsidRPr="001F7467">
        <w:rPr>
          <w:rStyle w:val="FootnoteReference"/>
          <w:sz w:val="23"/>
        </w:rPr>
        <w:t xml:space="preserve"> </w:t>
      </w:r>
      <w:r w:rsidRPr="00886DF2">
        <w:rPr>
          <w:color w:val="000000"/>
        </w:rPr>
        <w:t>It</w:t>
      </w:r>
      <w:r w:rsidRPr="00886DF2">
        <w:t xml:space="preserve"> </w:t>
      </w:r>
      <w:r w:rsidR="00394465">
        <w:t>allows</w:t>
      </w:r>
      <w:r w:rsidRPr="00886DF2">
        <w:t xml:space="preserve"> the Union</w:t>
      </w:r>
      <w:r>
        <w:t>’s</w:t>
      </w:r>
      <w:r w:rsidRPr="00886DF2">
        <w:t xml:space="preserve"> legal order to manage the unprecedented (for an EU </w:t>
      </w:r>
      <w:r>
        <w:t>member state</w:t>
      </w:r>
      <w:r w:rsidRPr="00886DF2">
        <w:t>) situation of not controlling part of its territory without recognising the</w:t>
      </w:r>
      <w:r w:rsidR="00394465">
        <w:t xml:space="preserve"> respective</w:t>
      </w:r>
      <w:r w:rsidRPr="00886DF2">
        <w:t xml:space="preserve"> breakaway entity. In the preamble</w:t>
      </w:r>
      <w:r>
        <w:t xml:space="preserve"> of the Protocol</w:t>
      </w:r>
      <w:r w:rsidRPr="00886DF2">
        <w:t xml:space="preserve">, the EU </w:t>
      </w:r>
      <w:r>
        <w:t>member state</w:t>
      </w:r>
      <w:r w:rsidRPr="00886DF2">
        <w:t xml:space="preserve">s and the acceding </w:t>
      </w:r>
      <w:r>
        <w:t>s</w:t>
      </w:r>
      <w:r w:rsidRPr="00886DF2">
        <w:t xml:space="preserve">tates considered that in the absence of a comprehensive settlement, it was necessary to provide for the terms under which EU law would apply to </w:t>
      </w:r>
      <w:proofErr w:type="gramStart"/>
      <w:r w:rsidRPr="00886DF2">
        <w:t>northern Cyprus</w:t>
      </w:r>
      <w:proofErr w:type="gramEnd"/>
      <w:r w:rsidRPr="00886DF2">
        <w:t>.</w:t>
      </w:r>
      <w:r>
        <w:t xml:space="preserve"> </w:t>
      </w:r>
      <w:r w:rsidR="00542F61" w:rsidRPr="00542F61">
        <w:rPr>
          <w:rFonts w:cstheme="minorHAnsi"/>
        </w:rPr>
        <w:t xml:space="preserve">So, Article 1(1) Protocol No 10 provides that the application of the </w:t>
      </w:r>
      <w:r w:rsidR="00542F61" w:rsidRPr="00542F61">
        <w:rPr>
          <w:rFonts w:cstheme="minorHAnsi"/>
          <w:i/>
          <w:iCs/>
        </w:rPr>
        <w:t>acquis</w:t>
      </w:r>
      <w:r w:rsidR="00542F61" w:rsidRPr="00542F61">
        <w:rPr>
          <w:rFonts w:cstheme="minorHAnsi"/>
        </w:rPr>
        <w:t xml:space="preserve"> is suspended </w:t>
      </w:r>
      <w:r>
        <w:rPr>
          <w:rFonts w:cstheme="minorHAnsi"/>
        </w:rPr>
        <w:t>there</w:t>
      </w:r>
      <w:r w:rsidR="00542F61" w:rsidRPr="00542F61">
        <w:rPr>
          <w:rFonts w:cstheme="minorHAnsi"/>
        </w:rPr>
        <w:t xml:space="preserve">. The main scope of </w:t>
      </w:r>
      <w:r>
        <w:rPr>
          <w:rFonts w:cstheme="minorHAnsi"/>
        </w:rPr>
        <w:t>this provision</w:t>
      </w:r>
      <w:r w:rsidR="00542F61" w:rsidRPr="00542F61">
        <w:rPr>
          <w:rFonts w:cstheme="minorHAnsi"/>
        </w:rPr>
        <w:t xml:space="preserve"> is to limit the responsibilities and liability of Cyprus as a Member State under EU law. Although Cyprus joined the Union with its entire territory, its government cannot guarantee effective </w:t>
      </w:r>
      <w:r w:rsidR="00542F61" w:rsidRPr="00542F61">
        <w:rPr>
          <w:rFonts w:cstheme="minorHAnsi"/>
        </w:rPr>
        <w:lastRenderedPageBreak/>
        <w:t>implementation of EU law north</w:t>
      </w:r>
      <w:r w:rsidR="00792076">
        <w:rPr>
          <w:rFonts w:cstheme="minorHAnsi"/>
        </w:rPr>
        <w:t xml:space="preserve"> of the </w:t>
      </w:r>
      <w:proofErr w:type="gramStart"/>
      <w:r w:rsidR="00792076">
        <w:rPr>
          <w:rFonts w:cstheme="minorHAnsi"/>
        </w:rPr>
        <w:t>Green</w:t>
      </w:r>
      <w:proofErr w:type="gramEnd"/>
      <w:r w:rsidR="00792076">
        <w:rPr>
          <w:rFonts w:cstheme="minorHAnsi"/>
        </w:rPr>
        <w:t xml:space="preserve"> line</w:t>
      </w:r>
      <w:r w:rsidR="00542F61" w:rsidRPr="00542F61">
        <w:rPr>
          <w:rFonts w:cstheme="minorHAnsi"/>
        </w:rPr>
        <w:t>.</w:t>
      </w:r>
      <w:r w:rsidR="00542F61" w:rsidRPr="00542F61">
        <w:rPr>
          <w:rStyle w:val="FootnoteReference"/>
          <w:rFonts w:cstheme="minorHAnsi"/>
        </w:rPr>
        <w:footnoteReference w:id="44"/>
      </w:r>
      <w:r w:rsidR="00542F61" w:rsidRPr="00542F61">
        <w:rPr>
          <w:rFonts w:cstheme="minorHAnsi"/>
        </w:rPr>
        <w:t xml:space="preserve"> In fact, according to </w:t>
      </w:r>
      <w:r w:rsidR="007E77F2">
        <w:rPr>
          <w:rFonts w:cstheme="minorHAnsi"/>
        </w:rPr>
        <w:t>the European Court of Human Rights, it is</w:t>
      </w:r>
      <w:r w:rsidR="007E77F2" w:rsidRPr="007E77F2">
        <w:rPr>
          <w:rFonts w:cstheme="minorHAnsi"/>
        </w:rPr>
        <w:t xml:space="preserve"> </w:t>
      </w:r>
      <w:r w:rsidR="007E77F2" w:rsidRPr="00542F61">
        <w:rPr>
          <w:rFonts w:cstheme="minorHAnsi"/>
        </w:rPr>
        <w:t xml:space="preserve">Turkey </w:t>
      </w:r>
      <w:r w:rsidR="007E77F2">
        <w:rPr>
          <w:rFonts w:cstheme="minorHAnsi"/>
        </w:rPr>
        <w:t xml:space="preserve">that </w:t>
      </w:r>
      <w:r w:rsidR="007E77F2" w:rsidRPr="00542F61">
        <w:rPr>
          <w:rFonts w:cstheme="minorHAnsi"/>
        </w:rPr>
        <w:t>exercises effective control in those areas.</w:t>
      </w:r>
      <w:r w:rsidR="00542F61" w:rsidRPr="00542F61">
        <w:rPr>
          <w:rStyle w:val="FootnoteReference"/>
          <w:rFonts w:cstheme="minorHAnsi"/>
        </w:rPr>
        <w:footnoteReference w:id="45"/>
      </w:r>
      <w:r w:rsidR="00542F61" w:rsidRPr="00542F61">
        <w:rPr>
          <w:rFonts w:cstheme="minorHAnsi"/>
        </w:rPr>
        <w:t xml:space="preserve"> However</w:t>
      </w:r>
      <w:r>
        <w:rPr>
          <w:rFonts w:cstheme="minorHAnsi"/>
        </w:rPr>
        <w:t>,</w:t>
      </w:r>
      <w:r w:rsidR="00542F61" w:rsidRPr="00542F61">
        <w:rPr>
          <w:rFonts w:cstheme="minorHAnsi"/>
        </w:rPr>
        <w:t xml:space="preserve"> the scope of the suspension is territorial. This means that the Turkish Cypriot citizens of the Cyprus Republic residing in the northern part of the island should be able to enjoy, as far as possible, the rights attached to Union citizenship that are not linked to the territory as such.</w:t>
      </w:r>
      <w:r w:rsidR="00542F61" w:rsidRPr="00542F61">
        <w:rPr>
          <w:rStyle w:val="FootnoteReference"/>
          <w:rFonts w:cstheme="minorHAnsi"/>
        </w:rPr>
        <w:footnoteReference w:id="46"/>
      </w:r>
      <w:r>
        <w:rPr>
          <w:rFonts w:cstheme="minorHAnsi"/>
        </w:rPr>
        <w:t xml:space="preserve"> </w:t>
      </w:r>
    </w:p>
    <w:p w14:paraId="43F11D14" w14:textId="4CD89799" w:rsidR="00542F61" w:rsidRPr="00542F61" w:rsidRDefault="00394465" w:rsidP="00E44EAF">
      <w:pPr>
        <w:spacing w:line="480" w:lineRule="auto"/>
        <w:ind w:firstLine="720"/>
        <w:jc w:val="both"/>
        <w:rPr>
          <w:rFonts w:cstheme="minorHAnsi"/>
        </w:rPr>
      </w:pPr>
      <w:r>
        <w:rPr>
          <w:rFonts w:cstheme="minorHAnsi"/>
        </w:rPr>
        <w:t>F</w:t>
      </w:r>
      <w:r w:rsidR="00861B1D">
        <w:rPr>
          <w:rFonts w:cstheme="minorHAnsi"/>
        </w:rPr>
        <w:t>ollowing</w:t>
      </w:r>
      <w:r w:rsidR="00D43A8D">
        <w:rPr>
          <w:rFonts w:cstheme="minorHAnsi"/>
        </w:rPr>
        <w:t xml:space="preserve"> a possible future</w:t>
      </w:r>
      <w:r w:rsidR="00861B1D">
        <w:rPr>
          <w:rFonts w:cstheme="minorHAnsi"/>
        </w:rPr>
        <w:t xml:space="preserve"> solution of the Cyprus issue,</w:t>
      </w:r>
      <w:r w:rsidR="00C64146">
        <w:rPr>
          <w:rFonts w:cstheme="minorHAnsi"/>
        </w:rPr>
        <w:t xml:space="preserve"> the Council of the EU </w:t>
      </w:r>
      <w:r w:rsidR="00C64146" w:rsidRPr="00542F61">
        <w:rPr>
          <w:rFonts w:cstheme="minorHAnsi"/>
        </w:rPr>
        <w:t xml:space="preserve">acting unanimously on the basis of a proposal from the Commission, </w:t>
      </w:r>
      <w:r w:rsidR="00C64146">
        <w:rPr>
          <w:rFonts w:cstheme="minorHAnsi"/>
        </w:rPr>
        <w:t>may</w:t>
      </w:r>
      <w:r w:rsidR="00C64146" w:rsidRPr="00542F61">
        <w:rPr>
          <w:rFonts w:cstheme="minorHAnsi"/>
        </w:rPr>
        <w:t xml:space="preserve"> eventually decide </w:t>
      </w:r>
      <w:r w:rsidR="00C64146">
        <w:rPr>
          <w:rFonts w:cstheme="minorHAnsi"/>
        </w:rPr>
        <w:t xml:space="preserve">to withdraw the </w:t>
      </w:r>
      <w:r w:rsidR="00542F61" w:rsidRPr="00542F61">
        <w:rPr>
          <w:rFonts w:cstheme="minorHAnsi"/>
        </w:rPr>
        <w:t>suspension</w:t>
      </w:r>
      <w:r w:rsidR="00C64146">
        <w:rPr>
          <w:rFonts w:cstheme="minorHAnsi"/>
        </w:rPr>
        <w:t xml:space="preserve"> in full or in part</w:t>
      </w:r>
      <w:r w:rsidR="00861B1D">
        <w:rPr>
          <w:rFonts w:cstheme="minorHAnsi"/>
        </w:rPr>
        <w:t>.</w:t>
      </w:r>
      <w:r w:rsidR="00861B1D">
        <w:rPr>
          <w:rStyle w:val="FootnoteReference"/>
          <w:rFonts w:cstheme="minorHAnsi"/>
        </w:rPr>
        <w:footnoteReference w:id="47"/>
      </w:r>
      <w:r w:rsidR="00C64146">
        <w:rPr>
          <w:rFonts w:cstheme="minorHAnsi"/>
        </w:rPr>
        <w:t xml:space="preserve"> </w:t>
      </w:r>
      <w:r w:rsidR="00542F61" w:rsidRPr="00542F61">
        <w:rPr>
          <w:rFonts w:cstheme="minorHAnsi"/>
        </w:rPr>
        <w:t>Until the withdrawal of the suspension takes place, Article 2 allow</w:t>
      </w:r>
      <w:r>
        <w:rPr>
          <w:rFonts w:cstheme="minorHAnsi"/>
        </w:rPr>
        <w:t>s</w:t>
      </w:r>
      <w:r w:rsidR="00542F61" w:rsidRPr="00542F61">
        <w:rPr>
          <w:rFonts w:cstheme="minorHAnsi"/>
        </w:rPr>
        <w:t xml:space="preserve"> the Council to define the terms under which the provisions of EU law </w:t>
      </w:r>
      <w:proofErr w:type="gramStart"/>
      <w:r w:rsidR="00542F61" w:rsidRPr="00542F61">
        <w:rPr>
          <w:rFonts w:cstheme="minorHAnsi"/>
        </w:rPr>
        <w:t>appl</w:t>
      </w:r>
      <w:r w:rsidR="00861B1D">
        <w:rPr>
          <w:rFonts w:cstheme="minorHAnsi"/>
        </w:rPr>
        <w:t>ies</w:t>
      </w:r>
      <w:proofErr w:type="gramEnd"/>
      <w:r w:rsidR="00542F61" w:rsidRPr="00542F61">
        <w:rPr>
          <w:rFonts w:cstheme="minorHAnsi"/>
        </w:rPr>
        <w:t xml:space="preserve"> to the territorial ‘border’ between the government-controlled areas and northern Cyprus. </w:t>
      </w:r>
      <w:r>
        <w:rPr>
          <w:rFonts w:cstheme="minorHAnsi"/>
        </w:rPr>
        <w:t>As such, it</w:t>
      </w:r>
      <w:r w:rsidR="00542F61" w:rsidRPr="00542F61">
        <w:rPr>
          <w:rFonts w:cstheme="minorHAnsi"/>
        </w:rPr>
        <w:t xml:space="preserve"> provided the legal basis for the adoption of </w:t>
      </w:r>
      <w:r w:rsidR="00792076">
        <w:rPr>
          <w:rFonts w:cstheme="minorHAnsi"/>
        </w:rPr>
        <w:t xml:space="preserve">the </w:t>
      </w:r>
      <w:r w:rsidR="00542F61" w:rsidRPr="00542F61">
        <w:rPr>
          <w:rFonts w:cstheme="minorHAnsi"/>
        </w:rPr>
        <w:t>Green Line Regulation</w:t>
      </w:r>
      <w:r>
        <w:rPr>
          <w:rFonts w:cstheme="minorHAnsi"/>
        </w:rPr>
        <w:t>.</w:t>
      </w:r>
      <w:r w:rsidR="00542F61" w:rsidRPr="00542F61">
        <w:rPr>
          <w:rStyle w:val="FootnoteReference"/>
          <w:rFonts w:cstheme="minorHAnsi"/>
        </w:rPr>
        <w:footnoteReference w:id="48"/>
      </w:r>
      <w:r w:rsidR="00542F61" w:rsidRPr="00542F61">
        <w:rPr>
          <w:rFonts w:cstheme="minorHAnsi"/>
        </w:rPr>
        <w:t xml:space="preserve"> </w:t>
      </w:r>
      <w:r>
        <w:rPr>
          <w:rFonts w:cstheme="minorHAnsi"/>
        </w:rPr>
        <w:t xml:space="preserve">This legislative device has allowed </w:t>
      </w:r>
      <w:r w:rsidR="00542F61" w:rsidRPr="00542F61">
        <w:rPr>
          <w:rFonts w:cstheme="minorHAnsi"/>
        </w:rPr>
        <w:t>the partial application of the</w:t>
      </w:r>
      <w:r>
        <w:rPr>
          <w:rFonts w:cstheme="minorHAnsi"/>
        </w:rPr>
        <w:t xml:space="preserve"> EU</w:t>
      </w:r>
      <w:r w:rsidR="00542F61" w:rsidRPr="00542F61">
        <w:rPr>
          <w:rFonts w:cstheme="minorHAnsi"/>
        </w:rPr>
        <w:t xml:space="preserve"> </w:t>
      </w:r>
      <w:r w:rsidR="00542F61" w:rsidRPr="00542F61">
        <w:rPr>
          <w:rFonts w:cstheme="minorHAnsi"/>
          <w:i/>
        </w:rPr>
        <w:t>acquis</w:t>
      </w:r>
      <w:r w:rsidR="00542F61" w:rsidRPr="00542F61">
        <w:rPr>
          <w:rFonts w:cstheme="minorHAnsi"/>
        </w:rPr>
        <w:t xml:space="preserve"> </w:t>
      </w:r>
      <w:r w:rsidR="00C64146" w:rsidRPr="00886DF2">
        <w:t xml:space="preserve">in </w:t>
      </w:r>
      <w:proofErr w:type="gramStart"/>
      <w:r w:rsidR="00C64146" w:rsidRPr="00886DF2">
        <w:t>northern Cyprus</w:t>
      </w:r>
      <w:proofErr w:type="gramEnd"/>
      <w:r w:rsidR="00E72351">
        <w:t>. In particular, it has made possible to establish some free movement of goods and persons with an area</w:t>
      </w:r>
      <w:r w:rsidR="00290F85">
        <w:t xml:space="preserve"> outside the territorial scope of EU law</w:t>
      </w:r>
      <w:r w:rsidR="00E72351">
        <w:t xml:space="preserve"> </w:t>
      </w:r>
      <w:r w:rsidR="00C64146" w:rsidRPr="00886DF2">
        <w:t xml:space="preserve">despite the fact that </w:t>
      </w:r>
      <w:r w:rsidR="00C64146">
        <w:t>an unrecognised state lies there</w:t>
      </w:r>
      <w:r w:rsidR="00542F61" w:rsidRPr="00542F61">
        <w:rPr>
          <w:rFonts w:cstheme="minorHAnsi"/>
        </w:rPr>
        <w:t xml:space="preserve">. </w:t>
      </w:r>
      <w:r w:rsidR="00290F85">
        <w:rPr>
          <w:rFonts w:cstheme="minorHAnsi"/>
        </w:rPr>
        <w:t>It has done so without recognising the breakaway state. It is a prime example of ‘engagement without recognition.’</w:t>
      </w:r>
      <w:r w:rsidR="00290F85">
        <w:rPr>
          <w:rStyle w:val="FootnoteReference"/>
          <w:rFonts w:cstheme="minorHAnsi"/>
        </w:rPr>
        <w:footnoteReference w:id="49"/>
      </w:r>
    </w:p>
    <w:p w14:paraId="45127664" w14:textId="4E039DDE" w:rsidR="00542F61" w:rsidRPr="00542F61" w:rsidRDefault="00542F61" w:rsidP="00E44EAF">
      <w:pPr>
        <w:spacing w:line="480" w:lineRule="auto"/>
        <w:ind w:firstLine="720"/>
        <w:jc w:val="both"/>
        <w:rPr>
          <w:rFonts w:cstheme="minorHAnsi"/>
        </w:rPr>
      </w:pPr>
      <w:r w:rsidRPr="00542F61">
        <w:rPr>
          <w:rFonts w:cstheme="minorHAnsi"/>
        </w:rPr>
        <w:t xml:space="preserve">Concerning the free movement of persons, </w:t>
      </w:r>
      <w:r w:rsidR="00861B1D" w:rsidRPr="00542F61">
        <w:rPr>
          <w:rFonts w:cstheme="minorHAnsi"/>
        </w:rPr>
        <w:t>Article 2(1)</w:t>
      </w:r>
      <w:r w:rsidR="00861B1D">
        <w:rPr>
          <w:rFonts w:cstheme="minorHAnsi"/>
        </w:rPr>
        <w:t xml:space="preserve"> of the</w:t>
      </w:r>
      <w:r w:rsidRPr="00542F61">
        <w:rPr>
          <w:rFonts w:cstheme="minorHAnsi"/>
        </w:rPr>
        <w:t xml:space="preserve"> Green Line Regulation </w:t>
      </w:r>
      <w:r w:rsidR="00394465">
        <w:rPr>
          <w:rFonts w:cstheme="minorHAnsi"/>
        </w:rPr>
        <w:t xml:space="preserve">provides that </w:t>
      </w:r>
      <w:r w:rsidRPr="00542F61">
        <w:rPr>
          <w:rFonts w:cstheme="minorHAnsi"/>
        </w:rPr>
        <w:t xml:space="preserve">the </w:t>
      </w:r>
      <w:proofErr w:type="spellStart"/>
      <w:r w:rsidRPr="00542F61">
        <w:rPr>
          <w:rFonts w:cstheme="minorHAnsi"/>
        </w:rPr>
        <w:t>RoC</w:t>
      </w:r>
      <w:proofErr w:type="spellEnd"/>
      <w:r w:rsidRPr="00542F61">
        <w:rPr>
          <w:rFonts w:cstheme="minorHAnsi"/>
        </w:rPr>
        <w:t xml:space="preserve"> has the responsibility to carry out checks on all persons crossing the </w:t>
      </w:r>
      <w:r w:rsidR="00861B1D">
        <w:rPr>
          <w:rFonts w:cstheme="minorHAnsi"/>
        </w:rPr>
        <w:t>ceasefire line</w:t>
      </w:r>
      <w:r w:rsidRPr="00542F61">
        <w:rPr>
          <w:rFonts w:cstheme="minorHAnsi"/>
        </w:rPr>
        <w:t xml:space="preserve"> with the aim of combating illegal immigration of third-country nationals and to </w:t>
      </w:r>
      <w:r w:rsidRPr="00542F61">
        <w:rPr>
          <w:rFonts w:cstheme="minorHAnsi"/>
        </w:rPr>
        <w:lastRenderedPageBreak/>
        <w:t>detect and prevent any threat to public security and public policy.</w:t>
      </w:r>
      <w:r w:rsidRPr="00542F61">
        <w:rPr>
          <w:rStyle w:val="FootnoteReference"/>
          <w:rFonts w:cstheme="minorHAnsi"/>
        </w:rPr>
        <w:footnoteReference w:id="50"/>
      </w:r>
      <w:r w:rsidR="00394465">
        <w:rPr>
          <w:rFonts w:cstheme="minorHAnsi"/>
        </w:rPr>
        <w:t xml:space="preserve"> </w:t>
      </w:r>
      <w:r w:rsidRPr="00542F61">
        <w:rPr>
          <w:rFonts w:cstheme="minorHAnsi"/>
        </w:rPr>
        <w:t>With regard to the free movement of goods, the</w:t>
      </w:r>
      <w:r w:rsidR="00394465">
        <w:rPr>
          <w:rFonts w:cstheme="minorHAnsi"/>
        </w:rPr>
        <w:t xml:space="preserve"> challenge that the</w:t>
      </w:r>
      <w:r w:rsidRPr="00542F61">
        <w:rPr>
          <w:rFonts w:cstheme="minorHAnsi"/>
        </w:rPr>
        <w:t xml:space="preserve"> EU had to </w:t>
      </w:r>
      <w:r w:rsidR="00394465">
        <w:rPr>
          <w:rFonts w:cstheme="minorHAnsi"/>
        </w:rPr>
        <w:t xml:space="preserve">face was the following. It had to </w:t>
      </w:r>
      <w:r w:rsidRPr="00542F61">
        <w:rPr>
          <w:rFonts w:cstheme="minorHAnsi"/>
        </w:rPr>
        <w:t xml:space="preserve">establish trade relations with a territory where there is an unrecognised government </w:t>
      </w:r>
      <w:r w:rsidR="00861B1D">
        <w:rPr>
          <w:rFonts w:cstheme="minorHAnsi"/>
        </w:rPr>
        <w:t xml:space="preserve">without </w:t>
      </w:r>
      <w:r w:rsidR="00574C2B">
        <w:rPr>
          <w:rFonts w:cstheme="minorHAnsi"/>
        </w:rPr>
        <w:t xml:space="preserve">actually </w:t>
      </w:r>
      <w:r w:rsidR="00861B1D">
        <w:rPr>
          <w:rFonts w:cstheme="minorHAnsi"/>
        </w:rPr>
        <w:t>recognising it</w:t>
      </w:r>
      <w:r w:rsidRPr="00542F61">
        <w:rPr>
          <w:rFonts w:cstheme="minorHAnsi"/>
        </w:rPr>
        <w:t>. In order to do so, the U</w:t>
      </w:r>
      <w:r w:rsidR="00861B1D">
        <w:rPr>
          <w:rFonts w:cstheme="minorHAnsi"/>
        </w:rPr>
        <w:t>nion</w:t>
      </w:r>
      <w:r w:rsidRPr="00542F61">
        <w:rPr>
          <w:rFonts w:cstheme="minorHAnsi"/>
        </w:rPr>
        <w:t xml:space="preserve">, in agreement with the </w:t>
      </w:r>
      <w:proofErr w:type="spellStart"/>
      <w:r w:rsidRPr="00542F61">
        <w:rPr>
          <w:rFonts w:cstheme="minorHAnsi"/>
        </w:rPr>
        <w:t>RoC</w:t>
      </w:r>
      <w:proofErr w:type="spellEnd"/>
      <w:r w:rsidRPr="00542F61">
        <w:rPr>
          <w:rFonts w:cstheme="minorHAnsi"/>
        </w:rPr>
        <w:t>, authorised a Turkish Cypriot NGO, the Turkish Cypriot Chamber of Commerce,</w:t>
      </w:r>
      <w:r w:rsidR="00574C2B" w:rsidRPr="00574C2B">
        <w:rPr>
          <w:rFonts w:cstheme="minorHAnsi"/>
        </w:rPr>
        <w:t xml:space="preserve"> </w:t>
      </w:r>
      <w:r w:rsidR="00574C2B" w:rsidRPr="00542F61">
        <w:rPr>
          <w:rFonts w:cstheme="minorHAnsi"/>
        </w:rPr>
        <w:t xml:space="preserve">to issue accompanying documents so that goods originating in </w:t>
      </w:r>
      <w:proofErr w:type="gramStart"/>
      <w:r w:rsidR="00574C2B" w:rsidRPr="00542F61">
        <w:rPr>
          <w:rFonts w:cstheme="minorHAnsi"/>
        </w:rPr>
        <w:t>northern Cyprus</w:t>
      </w:r>
      <w:proofErr w:type="gramEnd"/>
      <w:r w:rsidR="00574C2B" w:rsidRPr="00542F61">
        <w:rPr>
          <w:rFonts w:cstheme="minorHAnsi"/>
        </w:rPr>
        <w:t xml:space="preserve"> may cross the line and be circulated in southern Cyprus and the </w:t>
      </w:r>
      <w:r w:rsidR="000F70F6">
        <w:rPr>
          <w:rFonts w:cstheme="minorHAnsi"/>
        </w:rPr>
        <w:t xml:space="preserve">rest of the </w:t>
      </w:r>
      <w:r w:rsidR="00574C2B" w:rsidRPr="00542F61">
        <w:rPr>
          <w:rFonts w:cstheme="minorHAnsi"/>
        </w:rPr>
        <w:t>Union market</w:t>
      </w:r>
      <w:r w:rsidR="00574C2B">
        <w:rPr>
          <w:rFonts w:cstheme="minorHAnsi"/>
        </w:rPr>
        <w:t xml:space="preserve"> as EU products</w:t>
      </w:r>
      <w:r w:rsidR="00574C2B" w:rsidRPr="00542F61">
        <w:rPr>
          <w:rFonts w:cstheme="minorHAnsi"/>
        </w:rPr>
        <w:t>.</w:t>
      </w:r>
      <w:r w:rsidRPr="00542F61">
        <w:rPr>
          <w:rStyle w:val="FootnoteReference"/>
          <w:rFonts w:cstheme="minorHAnsi"/>
        </w:rPr>
        <w:footnoteReference w:id="51"/>
      </w:r>
      <w:r w:rsidRPr="00542F61">
        <w:rPr>
          <w:rFonts w:cstheme="minorHAnsi"/>
        </w:rPr>
        <w:t xml:space="preserve"> </w:t>
      </w:r>
    </w:p>
    <w:p w14:paraId="7054A734" w14:textId="106D419A" w:rsidR="00542F61" w:rsidRDefault="00574C2B" w:rsidP="00E44EAF">
      <w:pPr>
        <w:spacing w:line="480" w:lineRule="auto"/>
        <w:ind w:firstLine="720"/>
        <w:jc w:val="both"/>
        <w:rPr>
          <w:rFonts w:cstheme="minorHAnsi"/>
        </w:rPr>
      </w:pPr>
      <w:r>
        <w:rPr>
          <w:rFonts w:cstheme="minorHAnsi"/>
        </w:rPr>
        <w:t>It is clear from the aforementioned that t</w:t>
      </w:r>
      <w:r w:rsidR="00542F61" w:rsidRPr="00542F61">
        <w:rPr>
          <w:rFonts w:cstheme="minorHAnsi"/>
        </w:rPr>
        <w:t>he intention of the drafters of Protocol No 10</w:t>
      </w:r>
      <w:r w:rsidR="00861B1D">
        <w:rPr>
          <w:rFonts w:cstheme="minorHAnsi"/>
        </w:rPr>
        <w:t xml:space="preserve"> was never</w:t>
      </w:r>
      <w:r w:rsidR="00542F61" w:rsidRPr="00542F61">
        <w:rPr>
          <w:rFonts w:cstheme="minorHAnsi"/>
        </w:rPr>
        <w:t xml:space="preserve"> </w:t>
      </w:r>
      <w:r w:rsidR="00226EA7">
        <w:rPr>
          <w:rFonts w:cstheme="minorHAnsi"/>
        </w:rPr>
        <w:t>‘</w:t>
      </w:r>
      <w:r w:rsidR="00542F61" w:rsidRPr="00542F61">
        <w:rPr>
          <w:rFonts w:cstheme="minorHAnsi"/>
        </w:rPr>
        <w:t xml:space="preserve">to exclude the application of all provisions of </w:t>
      </w:r>
      <w:r>
        <w:rPr>
          <w:rFonts w:cstheme="minorHAnsi"/>
        </w:rPr>
        <w:t>[Union]</w:t>
      </w:r>
      <w:r w:rsidR="00542F61" w:rsidRPr="00542F61">
        <w:rPr>
          <w:rFonts w:cstheme="minorHAnsi"/>
        </w:rPr>
        <w:t xml:space="preserve"> law with a bearing on areas under the control of the Turkish Cypriot community.</w:t>
      </w:r>
      <w:r w:rsidR="00226EA7">
        <w:rPr>
          <w:rFonts w:cstheme="minorHAnsi"/>
        </w:rPr>
        <w:t>’</w:t>
      </w:r>
      <w:r w:rsidR="00542F61" w:rsidRPr="00542F61">
        <w:rPr>
          <w:rStyle w:val="FootnoteReference"/>
          <w:rFonts w:cstheme="minorHAnsi"/>
        </w:rPr>
        <w:footnoteReference w:id="52"/>
      </w:r>
      <w:r w:rsidR="00542F61" w:rsidRPr="00542F61">
        <w:rPr>
          <w:rFonts w:cstheme="minorHAnsi"/>
        </w:rPr>
        <w:t xml:space="preserve"> </w:t>
      </w:r>
      <w:r w:rsidR="00861B1D">
        <w:rPr>
          <w:rFonts w:cstheme="minorHAnsi"/>
        </w:rPr>
        <w:t>In fact</w:t>
      </w:r>
      <w:r w:rsidR="00542F61" w:rsidRPr="00542F61">
        <w:rPr>
          <w:rFonts w:cstheme="minorHAnsi"/>
        </w:rPr>
        <w:t xml:space="preserve">, Article 3 </w:t>
      </w:r>
      <w:r w:rsidR="00861B1D">
        <w:rPr>
          <w:rFonts w:cstheme="minorHAnsi"/>
        </w:rPr>
        <w:t xml:space="preserve">of </w:t>
      </w:r>
      <w:r w:rsidR="00542F61" w:rsidRPr="00542F61">
        <w:rPr>
          <w:rFonts w:cstheme="minorHAnsi"/>
        </w:rPr>
        <w:t xml:space="preserve">Protocol No 10 allows measures with a view to promoting the economic development of </w:t>
      </w:r>
      <w:proofErr w:type="gramStart"/>
      <w:r w:rsidR="00542F61" w:rsidRPr="00542F61">
        <w:rPr>
          <w:rFonts w:cstheme="minorHAnsi"/>
        </w:rPr>
        <w:t>northern Cyprus</w:t>
      </w:r>
      <w:proofErr w:type="gramEnd"/>
      <w:r w:rsidR="00542F61" w:rsidRPr="00542F61">
        <w:rPr>
          <w:rFonts w:cstheme="minorHAnsi"/>
        </w:rPr>
        <w:t xml:space="preserve">. </w:t>
      </w:r>
      <w:r>
        <w:rPr>
          <w:rFonts w:cstheme="minorHAnsi"/>
        </w:rPr>
        <w:t xml:space="preserve">This </w:t>
      </w:r>
      <w:r w:rsidR="00542F61" w:rsidRPr="00542F61">
        <w:rPr>
          <w:rFonts w:cstheme="minorHAnsi"/>
        </w:rPr>
        <w:t xml:space="preserve">provision clarifies that the division of the island should not rule out economic assistance of the Union to </w:t>
      </w:r>
      <w:r>
        <w:rPr>
          <w:rFonts w:cstheme="minorHAnsi"/>
        </w:rPr>
        <w:t>its more impoverished</w:t>
      </w:r>
      <w:r w:rsidR="00542F61" w:rsidRPr="00542F61">
        <w:rPr>
          <w:rFonts w:cstheme="minorHAnsi"/>
        </w:rPr>
        <w:t xml:space="preserve"> part. Indeed, on 27 February 2006, the Council unanimously adopted </w:t>
      </w:r>
      <w:r w:rsidR="00792076">
        <w:rPr>
          <w:rFonts w:cstheme="minorHAnsi"/>
        </w:rPr>
        <w:t xml:space="preserve">the </w:t>
      </w:r>
      <w:r w:rsidR="00792076" w:rsidRPr="00542F61">
        <w:rPr>
          <w:rFonts w:cstheme="minorHAnsi"/>
        </w:rPr>
        <w:t>Financial Aid Regulation</w:t>
      </w:r>
      <w:r w:rsidR="00542F61" w:rsidRPr="00542F61">
        <w:rPr>
          <w:rFonts w:cstheme="minorHAnsi"/>
        </w:rPr>
        <w:t xml:space="preserve"> which establishes an instrument for encouraging the economic development of the Turkish Cypriot community.</w:t>
      </w:r>
      <w:r w:rsidR="00542F61" w:rsidRPr="00542F61">
        <w:rPr>
          <w:rStyle w:val="FootnoteReference"/>
          <w:rFonts w:cstheme="minorHAnsi"/>
        </w:rPr>
        <w:footnoteReference w:id="53"/>
      </w:r>
      <w:r w:rsidR="00542F61" w:rsidRPr="00542F61">
        <w:rPr>
          <w:rFonts w:cstheme="minorHAnsi"/>
        </w:rPr>
        <w:t xml:space="preserve"> </w:t>
      </w:r>
    </w:p>
    <w:p w14:paraId="6AA04C08" w14:textId="7F7D707F" w:rsidR="00C02C95" w:rsidRDefault="00574C2B" w:rsidP="00E44EAF">
      <w:pPr>
        <w:spacing w:line="480" w:lineRule="auto"/>
        <w:ind w:firstLine="720"/>
        <w:jc w:val="both"/>
      </w:pPr>
      <w:r>
        <w:t>Undoubtedly, t</w:t>
      </w:r>
      <w:r w:rsidR="00C64146" w:rsidRPr="00886DF2">
        <w:t xml:space="preserve">he existence of </w:t>
      </w:r>
      <w:r w:rsidR="00C64146">
        <w:t>this</w:t>
      </w:r>
      <w:r w:rsidR="00C64146" w:rsidRPr="00886DF2">
        <w:t xml:space="preserve"> legal framework highlights </w:t>
      </w:r>
      <w:r>
        <w:t xml:space="preserve">the flexibility of </w:t>
      </w:r>
      <w:r w:rsidR="00C64146" w:rsidRPr="00886DF2">
        <w:t xml:space="preserve">the EU constitutional order </w:t>
      </w:r>
      <w:r>
        <w:t xml:space="preserve">which </w:t>
      </w:r>
      <w:r w:rsidR="007712E3">
        <w:t xml:space="preserve">allows it to </w:t>
      </w:r>
      <w:r w:rsidR="00861B1D">
        <w:t>accommodate territorial contestation</w:t>
      </w:r>
      <w:r w:rsidR="00C64146" w:rsidRPr="00886DF2">
        <w:t xml:space="preserve">. </w:t>
      </w:r>
      <w:r w:rsidR="007712E3">
        <w:t>Because of this flexibility, t</w:t>
      </w:r>
      <w:r w:rsidR="00C64146" w:rsidRPr="00886DF2">
        <w:t xml:space="preserve">he Union can </w:t>
      </w:r>
      <w:r w:rsidR="007712E3">
        <w:t xml:space="preserve">even </w:t>
      </w:r>
      <w:r w:rsidR="00C64146" w:rsidRPr="00886DF2">
        <w:t>engage with</w:t>
      </w:r>
      <w:r w:rsidR="00792076">
        <w:t xml:space="preserve"> an</w:t>
      </w:r>
      <w:r w:rsidR="00C64146" w:rsidRPr="00886DF2">
        <w:t xml:space="preserve"> unrecognised entit</w:t>
      </w:r>
      <w:r w:rsidR="00792076">
        <w:t>y</w:t>
      </w:r>
      <w:r w:rsidR="00C64146" w:rsidRPr="00886DF2">
        <w:t xml:space="preserve"> that ha</w:t>
      </w:r>
      <w:r w:rsidR="00792076">
        <w:t>s</w:t>
      </w:r>
      <w:r w:rsidR="00C64146" w:rsidRPr="00886DF2">
        <w:t xml:space="preserve"> been established as a result of a non-consensual secession. </w:t>
      </w:r>
    </w:p>
    <w:p w14:paraId="3E190EA9" w14:textId="6404F3CF" w:rsidR="00C02C95" w:rsidRDefault="00C64146" w:rsidP="00E44EAF">
      <w:pPr>
        <w:spacing w:line="480" w:lineRule="auto"/>
        <w:ind w:firstLine="720"/>
        <w:jc w:val="both"/>
        <w:rPr>
          <w:rFonts w:cstheme="minorHAnsi"/>
        </w:rPr>
      </w:pPr>
      <w:r w:rsidRPr="00886DF2">
        <w:t xml:space="preserve">Of course, </w:t>
      </w:r>
      <w:r>
        <w:t>this</w:t>
      </w:r>
      <w:r w:rsidRPr="00886DF2">
        <w:t xml:space="preserve"> accommodation </w:t>
      </w:r>
      <w:r>
        <w:t>was made possible through</w:t>
      </w:r>
      <w:r w:rsidRPr="00886DF2">
        <w:t xml:space="preserve"> the consent of the metropolitan </w:t>
      </w:r>
      <w:r>
        <w:t>s</w:t>
      </w:r>
      <w:r w:rsidRPr="00886DF2">
        <w:t xml:space="preserve">tate and primary legislation in the form of an Accession Treaty. If </w:t>
      </w:r>
      <w:proofErr w:type="spellStart"/>
      <w:r w:rsidR="005D5218">
        <w:t>RoC</w:t>
      </w:r>
      <w:proofErr w:type="spellEnd"/>
      <w:r w:rsidRPr="00886DF2">
        <w:t xml:space="preserve"> had not </w:t>
      </w:r>
      <w:r w:rsidRPr="00886DF2">
        <w:lastRenderedPageBreak/>
        <w:t xml:space="preserve">consented to it, it would have been </w:t>
      </w:r>
      <w:r w:rsidR="007712E3">
        <w:t>im</w:t>
      </w:r>
      <w:r w:rsidRPr="00886DF2">
        <w:t xml:space="preserve">possible for the EU legal order to engage with the regime in </w:t>
      </w:r>
      <w:proofErr w:type="gramStart"/>
      <w:r>
        <w:t>n</w:t>
      </w:r>
      <w:r w:rsidRPr="00886DF2">
        <w:t>orth</w:t>
      </w:r>
      <w:r>
        <w:t>ern Cyprus</w:t>
      </w:r>
      <w:proofErr w:type="gramEnd"/>
      <w:r w:rsidRPr="00886DF2">
        <w:t xml:space="preserve"> to such an extent. </w:t>
      </w:r>
      <w:r w:rsidR="005A1561" w:rsidRPr="005A1561">
        <w:rPr>
          <w:rFonts w:cstheme="minorHAnsi"/>
        </w:rPr>
        <w:t>A</w:t>
      </w:r>
      <w:r w:rsidR="005A1561">
        <w:rPr>
          <w:rFonts w:cstheme="minorHAnsi"/>
        </w:rPr>
        <w:t xml:space="preserve">n </w:t>
      </w:r>
      <w:r w:rsidR="005A1561" w:rsidRPr="005A1561">
        <w:rPr>
          <w:rFonts w:cstheme="minorHAnsi"/>
        </w:rPr>
        <w:t xml:space="preserve">effort from the EU and the other Member States to build economic and political relations with </w:t>
      </w:r>
      <w:r w:rsidR="00792076">
        <w:rPr>
          <w:rFonts w:cstheme="minorHAnsi"/>
        </w:rPr>
        <w:t>the</w:t>
      </w:r>
      <w:r w:rsidR="005A1561" w:rsidRPr="005A1561">
        <w:rPr>
          <w:rFonts w:cstheme="minorHAnsi"/>
        </w:rPr>
        <w:t xml:space="preserve"> breakaway entity </w:t>
      </w:r>
      <w:r w:rsidR="00792076">
        <w:rPr>
          <w:rFonts w:cstheme="minorHAnsi"/>
        </w:rPr>
        <w:t xml:space="preserve">unilaterally and </w:t>
      </w:r>
      <w:r w:rsidR="005A1561" w:rsidRPr="005A1561">
        <w:rPr>
          <w:rFonts w:cstheme="minorHAnsi"/>
        </w:rPr>
        <w:t>without</w:t>
      </w:r>
      <w:r w:rsidR="00792076">
        <w:rPr>
          <w:rFonts w:cstheme="minorHAnsi"/>
        </w:rPr>
        <w:t xml:space="preserve"> </w:t>
      </w:r>
      <w:proofErr w:type="spellStart"/>
      <w:r w:rsidR="00792076">
        <w:rPr>
          <w:rFonts w:cstheme="minorHAnsi"/>
        </w:rPr>
        <w:t>RoC’s</w:t>
      </w:r>
      <w:proofErr w:type="spellEnd"/>
      <w:r w:rsidR="005A1561" w:rsidRPr="005A1561">
        <w:rPr>
          <w:rFonts w:cstheme="minorHAnsi"/>
        </w:rPr>
        <w:t xml:space="preserve"> explicit consent</w:t>
      </w:r>
      <w:r w:rsidR="005A1561">
        <w:rPr>
          <w:rFonts w:cstheme="minorHAnsi"/>
        </w:rPr>
        <w:t xml:space="preserve">, </w:t>
      </w:r>
      <w:r w:rsidR="00574C2B" w:rsidRPr="005A1561">
        <w:rPr>
          <w:rFonts w:cstheme="minorHAnsi"/>
        </w:rPr>
        <w:t xml:space="preserve">would </w:t>
      </w:r>
      <w:r w:rsidR="005A1561">
        <w:rPr>
          <w:rFonts w:cstheme="minorHAnsi"/>
        </w:rPr>
        <w:t>have led to a</w:t>
      </w:r>
      <w:r w:rsidR="00574C2B" w:rsidRPr="005A1561">
        <w:rPr>
          <w:rFonts w:cstheme="minorHAnsi"/>
        </w:rPr>
        <w:t xml:space="preserve"> breach</w:t>
      </w:r>
      <w:r w:rsidR="005A1561">
        <w:rPr>
          <w:rFonts w:cstheme="minorHAnsi"/>
        </w:rPr>
        <w:t xml:space="preserve"> of</w:t>
      </w:r>
      <w:r w:rsidR="00574C2B" w:rsidRPr="005A1561">
        <w:rPr>
          <w:rFonts w:cstheme="minorHAnsi"/>
        </w:rPr>
        <w:t xml:space="preserve"> the duty of loyal cooperation.</w:t>
      </w:r>
      <w:r w:rsidR="005A1561">
        <w:rPr>
          <w:rStyle w:val="FootnoteReference"/>
          <w:rFonts w:cstheme="minorHAnsi"/>
        </w:rPr>
        <w:footnoteReference w:id="54"/>
      </w:r>
      <w:r w:rsidR="00574C2B" w:rsidRPr="005A1561">
        <w:rPr>
          <w:rFonts w:cstheme="minorHAnsi"/>
        </w:rPr>
        <w:t xml:space="preserve"> This is one of the arguments that the </w:t>
      </w:r>
      <w:r w:rsidR="00792076">
        <w:rPr>
          <w:rFonts w:cstheme="minorHAnsi"/>
        </w:rPr>
        <w:t>Cypriot government</w:t>
      </w:r>
      <w:r w:rsidR="00574C2B" w:rsidRPr="005A1561">
        <w:rPr>
          <w:rFonts w:cstheme="minorHAnsi"/>
        </w:rPr>
        <w:t xml:space="preserve"> has put forward to block the proposal for a Regulation that would establish direct trade relations between the Union and the unrecognised </w:t>
      </w:r>
      <w:r w:rsidR="00602EEE">
        <w:rPr>
          <w:rFonts w:cstheme="minorHAnsi"/>
        </w:rPr>
        <w:t>TRNC</w:t>
      </w:r>
      <w:r w:rsidR="00574C2B" w:rsidRPr="005A1561">
        <w:rPr>
          <w:rFonts w:cstheme="minorHAnsi"/>
        </w:rPr>
        <w:t>.</w:t>
      </w:r>
      <w:r w:rsidR="00574C2B" w:rsidRPr="005A1561">
        <w:rPr>
          <w:rStyle w:val="FootnoteReference"/>
          <w:rFonts w:cstheme="minorHAnsi"/>
        </w:rPr>
        <w:footnoteReference w:id="55"/>
      </w:r>
      <w:r w:rsidR="00574C2B" w:rsidRPr="005A1561">
        <w:rPr>
          <w:rFonts w:cstheme="minorHAnsi"/>
        </w:rPr>
        <w:t xml:space="preserve"> </w:t>
      </w:r>
      <w:r w:rsidR="00574C2B" w:rsidRPr="005A1561">
        <w:rPr>
          <w:rFonts w:eastAsiaTheme="minorEastAsia" w:cstheme="minorHAnsi"/>
          <w:color w:val="000000"/>
        </w:rPr>
        <w:t>In particular, they emphasised that due to the duty of loyal cooperation, the EU and its member states should respect the closure of the ports in northern Cyprus and not build direct economic relations between the breakaway state and the rest of the EU without the explicit consent of the Republic.</w:t>
      </w:r>
      <w:bookmarkStart w:id="3" w:name="_Ref151918420"/>
      <w:r w:rsidR="00574C2B" w:rsidRPr="005A1561">
        <w:rPr>
          <w:rStyle w:val="FootnoteReference"/>
          <w:rFonts w:eastAsiaTheme="minorEastAsia" w:cstheme="minorHAnsi"/>
          <w:color w:val="000000"/>
        </w:rPr>
        <w:footnoteReference w:id="56"/>
      </w:r>
      <w:bookmarkEnd w:id="3"/>
      <w:r w:rsidR="005A1561">
        <w:rPr>
          <w:rFonts w:cstheme="minorHAnsi"/>
        </w:rPr>
        <w:t xml:space="preserve"> </w:t>
      </w:r>
    </w:p>
    <w:p w14:paraId="180F30EE" w14:textId="21090260" w:rsidR="00F167D1" w:rsidRPr="00424008" w:rsidRDefault="00602EEE" w:rsidP="00E44EAF">
      <w:pPr>
        <w:spacing w:line="480" w:lineRule="auto"/>
        <w:ind w:firstLine="720"/>
        <w:jc w:val="both"/>
        <w:rPr>
          <w:rFonts w:cstheme="minorHAnsi"/>
        </w:rPr>
      </w:pPr>
      <w:r>
        <w:t xml:space="preserve">This </w:t>
      </w:r>
      <w:r w:rsidR="003E17CE">
        <w:t>points to the limitations of</w:t>
      </w:r>
      <w:r w:rsidR="005A1561">
        <w:t xml:space="preserve"> t</w:t>
      </w:r>
      <w:r w:rsidR="00C64146">
        <w:t>h</w:t>
      </w:r>
      <w:r>
        <w:t>e</w:t>
      </w:r>
      <w:r w:rsidR="00C64146" w:rsidRPr="00886DF2">
        <w:t xml:space="preserve"> </w:t>
      </w:r>
      <w:r w:rsidR="003E17CE">
        <w:t xml:space="preserve">EU’s </w:t>
      </w:r>
      <w:r w:rsidR="00C64146" w:rsidRPr="00886DF2">
        <w:t>pragmatic</w:t>
      </w:r>
      <w:r>
        <w:t xml:space="preserve"> </w:t>
      </w:r>
      <w:r w:rsidR="00C64146" w:rsidRPr="00886DF2">
        <w:t>approach</w:t>
      </w:r>
      <w:r w:rsidR="005D5218">
        <w:t xml:space="preserve"> and the mechanism of extraterritorial application of Union.</w:t>
      </w:r>
      <w:r w:rsidR="00C64146" w:rsidRPr="00886DF2">
        <w:t xml:space="preserve"> </w:t>
      </w:r>
      <w:r w:rsidR="005D5218">
        <w:t>It</w:t>
      </w:r>
      <w:r w:rsidR="00C64146">
        <w:t xml:space="preserve"> </w:t>
      </w:r>
      <w:r>
        <w:t>has</w:t>
      </w:r>
      <w:r w:rsidR="00C64146" w:rsidRPr="00886DF2">
        <w:t xml:space="preserve"> not led to the complete normalisation of the relations between </w:t>
      </w:r>
      <w:r w:rsidR="005D5218">
        <w:t xml:space="preserve">the EU </w:t>
      </w:r>
      <w:r w:rsidR="00C64146" w:rsidRPr="00886DF2">
        <w:t xml:space="preserve">and </w:t>
      </w:r>
      <w:proofErr w:type="gramStart"/>
      <w:r w:rsidR="00C64146" w:rsidRPr="00886DF2">
        <w:t>northern Cyprus</w:t>
      </w:r>
      <w:proofErr w:type="gramEnd"/>
      <w:r w:rsidR="00C64146" w:rsidRPr="00886DF2">
        <w:t>. It</w:t>
      </w:r>
      <w:r>
        <w:t xml:space="preserve"> has</w:t>
      </w:r>
      <w:r w:rsidR="00C64146" w:rsidRPr="00886DF2">
        <w:t xml:space="preserve"> merely eased the frictions created by the territorial division of the island. Still, it is important to highlight that without formally recognising the breakaway entity</w:t>
      </w:r>
      <w:r w:rsidR="00C64146">
        <w:t xml:space="preserve"> that lies within its borders</w:t>
      </w:r>
      <w:r w:rsidR="00C64146" w:rsidRPr="00886DF2">
        <w:t>, the U</w:t>
      </w:r>
      <w:r w:rsidR="003E17CE">
        <w:t>nion</w:t>
      </w:r>
      <w:r w:rsidR="00C64146" w:rsidRPr="00886DF2">
        <w:t xml:space="preserve"> engages with it regarding trade, free movement of people and economic assistance</w:t>
      </w:r>
      <w:r w:rsidR="007712E3">
        <w:t>—accommodating this territorial contestation</w:t>
      </w:r>
      <w:r w:rsidR="00C64146" w:rsidRPr="00886DF2">
        <w:t>.</w:t>
      </w:r>
    </w:p>
    <w:p w14:paraId="4649BF92" w14:textId="77777777" w:rsidR="004472BF" w:rsidRDefault="004472BF" w:rsidP="00E44EAF">
      <w:pPr>
        <w:spacing w:line="480" w:lineRule="auto"/>
        <w:rPr>
          <w:rFonts w:cs="Calibri (Body)"/>
          <w:i/>
          <w:iCs/>
        </w:rPr>
      </w:pPr>
    </w:p>
    <w:p w14:paraId="16472EF7" w14:textId="1D9736CE" w:rsidR="004472BF" w:rsidRDefault="00BB4476" w:rsidP="00E44EAF">
      <w:pPr>
        <w:spacing w:line="480" w:lineRule="auto"/>
        <w:rPr>
          <w:rFonts w:cs="Calibri (Body)"/>
          <w:i/>
          <w:iCs/>
        </w:rPr>
      </w:pPr>
      <w:r>
        <w:rPr>
          <w:rFonts w:cs="Calibri (Body)"/>
          <w:i/>
          <w:iCs/>
        </w:rPr>
        <w:t>(</w:t>
      </w:r>
      <w:r w:rsidR="004472BF">
        <w:rPr>
          <w:rFonts w:cs="Calibri (Body)"/>
          <w:i/>
          <w:iCs/>
        </w:rPr>
        <w:t>Northern</w:t>
      </w:r>
      <w:r>
        <w:rPr>
          <w:rFonts w:cs="Calibri (Body)"/>
          <w:i/>
          <w:iCs/>
        </w:rPr>
        <w:t>)</w:t>
      </w:r>
      <w:r w:rsidR="004472BF">
        <w:rPr>
          <w:rFonts w:cs="Calibri (Body)"/>
          <w:i/>
          <w:iCs/>
        </w:rPr>
        <w:t xml:space="preserve"> Ireland</w:t>
      </w:r>
    </w:p>
    <w:p w14:paraId="747CE7D8" w14:textId="6AE555A9" w:rsidR="00A20E63" w:rsidRPr="00A20E63" w:rsidRDefault="00A20E63" w:rsidP="00E44EAF">
      <w:pPr>
        <w:pStyle w:val="TextFlushLeft"/>
        <w:jc w:val="both"/>
        <w:rPr>
          <w:rFonts w:asciiTheme="minorHAnsi" w:hAnsiTheme="minorHAnsi" w:cstheme="minorHAnsi"/>
          <w:lang w:val="en-GB"/>
        </w:rPr>
      </w:pPr>
      <w:r w:rsidRPr="00A20E63">
        <w:rPr>
          <w:rFonts w:asciiTheme="minorHAnsi" w:hAnsiTheme="minorHAnsi" w:cstheme="minorHAnsi"/>
          <w:lang w:val="en-GB"/>
        </w:rPr>
        <w:t xml:space="preserve">The </w:t>
      </w:r>
      <w:r w:rsidRPr="00A20E63">
        <w:rPr>
          <w:rFonts w:asciiTheme="minorHAnsi" w:hAnsiTheme="minorHAnsi" w:cstheme="minorHAnsi"/>
          <w:iCs/>
          <w:lang w:val="en-GB"/>
        </w:rPr>
        <w:t>United Kingdom</w:t>
      </w:r>
      <w:r w:rsidRPr="00A20E63">
        <w:rPr>
          <w:rFonts w:asciiTheme="minorHAnsi" w:hAnsiTheme="minorHAnsi" w:cstheme="minorHAnsi"/>
          <w:lang w:val="en-GB"/>
        </w:rPr>
        <w:t>’s withdrawal from the EU posed a significant challenge to the progress that had been achieved in</w:t>
      </w:r>
      <w:r w:rsidR="00BB4476">
        <w:rPr>
          <w:rFonts w:asciiTheme="minorHAnsi" w:hAnsiTheme="minorHAnsi" w:cstheme="minorHAnsi"/>
          <w:lang w:val="en-GB"/>
        </w:rPr>
        <w:t xml:space="preserve"> Northern Ireland–</w:t>
      </w:r>
      <w:r w:rsidRPr="00A20E63">
        <w:rPr>
          <w:rFonts w:asciiTheme="minorHAnsi" w:hAnsiTheme="minorHAnsi" w:cstheme="minorHAnsi"/>
          <w:lang w:val="en-GB"/>
        </w:rPr>
        <w:t xml:space="preserve">one of the most impoverished areas in Europe. </w:t>
      </w:r>
      <w:r w:rsidRPr="00A20E63">
        <w:rPr>
          <w:rFonts w:asciiTheme="minorHAnsi" w:hAnsiTheme="minorHAnsi" w:cstheme="minorHAnsi"/>
          <w:lang w:val="en-GB"/>
        </w:rPr>
        <w:lastRenderedPageBreak/>
        <w:t xml:space="preserve">Brexit could raise significant frictions along the territorial border between the two sides of Ireland and its all-island economy. If the </w:t>
      </w:r>
      <w:r w:rsidRPr="00A20E63">
        <w:rPr>
          <w:rFonts w:asciiTheme="minorHAnsi" w:hAnsiTheme="minorHAnsi" w:cstheme="minorHAnsi"/>
          <w:iCs/>
          <w:lang w:val="en-GB"/>
        </w:rPr>
        <w:t>United Kingdom</w:t>
      </w:r>
      <w:r w:rsidRPr="00A20E63">
        <w:rPr>
          <w:rFonts w:asciiTheme="minorHAnsi" w:hAnsiTheme="minorHAnsi" w:cstheme="minorHAnsi"/>
          <w:lang w:val="en-GB"/>
        </w:rPr>
        <w:t xml:space="preserve"> had decided to remain in the single market and the EU customs union after Brexit, the vast majority of these challenges would have been avoided.</w:t>
      </w:r>
    </w:p>
    <w:p w14:paraId="76D72DDF" w14:textId="29EC9BAA" w:rsidR="00A20E63" w:rsidRPr="00A20E63" w:rsidRDefault="00A20E63" w:rsidP="00E44EAF">
      <w:pPr>
        <w:pStyle w:val="TextInd"/>
        <w:jc w:val="both"/>
        <w:rPr>
          <w:rFonts w:asciiTheme="minorHAnsi" w:hAnsiTheme="minorHAnsi" w:cstheme="minorHAnsi"/>
          <w:lang w:val="en-GB"/>
        </w:rPr>
      </w:pPr>
      <w:r w:rsidRPr="00A20E63">
        <w:rPr>
          <w:rFonts w:asciiTheme="minorHAnsi" w:hAnsiTheme="minorHAnsi" w:cstheme="minorHAnsi"/>
          <w:lang w:val="en-GB"/>
        </w:rPr>
        <w:t xml:space="preserve">In her Lancaster House speech, however, former Prime Minister May clarified that the </w:t>
      </w:r>
      <w:r w:rsidRPr="00A20E63">
        <w:rPr>
          <w:rFonts w:asciiTheme="minorHAnsi" w:hAnsiTheme="minorHAnsi" w:cstheme="minorHAnsi"/>
          <w:iCs/>
          <w:lang w:val="en-GB"/>
        </w:rPr>
        <w:t>United Kingdom</w:t>
      </w:r>
      <w:r w:rsidRPr="00A20E63">
        <w:rPr>
          <w:rFonts w:asciiTheme="minorHAnsi" w:hAnsiTheme="minorHAnsi" w:cstheme="minorHAnsi"/>
          <w:lang w:val="en-GB"/>
        </w:rPr>
        <w:t>’s aim was to leave both the single market and the EU customs union.</w:t>
      </w:r>
      <w:r w:rsidR="00BB4476">
        <w:rPr>
          <w:rStyle w:val="FootnoteReference"/>
          <w:rFonts w:asciiTheme="minorHAnsi" w:hAnsiTheme="minorHAnsi" w:cstheme="minorHAnsi"/>
          <w:lang w:val="en-GB"/>
        </w:rPr>
        <w:footnoteReference w:id="57"/>
      </w:r>
      <w:r w:rsidRPr="00A20E63">
        <w:rPr>
          <w:rFonts w:asciiTheme="minorHAnsi" w:hAnsiTheme="minorHAnsi" w:cstheme="minorHAnsi"/>
          <w:lang w:val="en-GB"/>
        </w:rPr>
        <w:t xml:space="preserve"> </w:t>
      </w:r>
      <w:r w:rsidR="00BB4476">
        <w:rPr>
          <w:rFonts w:asciiTheme="minorHAnsi" w:hAnsiTheme="minorHAnsi" w:cstheme="minorHAnsi"/>
          <w:lang w:val="en-GB"/>
        </w:rPr>
        <w:t>S</w:t>
      </w:r>
      <w:r w:rsidRPr="00A20E63">
        <w:rPr>
          <w:rFonts w:asciiTheme="minorHAnsi" w:hAnsiTheme="minorHAnsi" w:cstheme="minorHAnsi"/>
          <w:lang w:val="en-GB"/>
        </w:rPr>
        <w:t>he reaffirmed this message in her Florence speech,</w:t>
      </w:r>
      <w:r w:rsidR="003F68CB">
        <w:rPr>
          <w:rStyle w:val="FootnoteReference"/>
          <w:rFonts w:asciiTheme="minorHAnsi" w:hAnsiTheme="minorHAnsi" w:cstheme="minorHAnsi"/>
          <w:lang w:val="en-GB"/>
        </w:rPr>
        <w:footnoteReference w:id="58"/>
      </w:r>
      <w:r w:rsidRPr="00A20E63">
        <w:rPr>
          <w:rFonts w:asciiTheme="minorHAnsi" w:hAnsiTheme="minorHAnsi" w:cstheme="minorHAnsi"/>
          <w:lang w:val="en-GB"/>
        </w:rPr>
        <w:t xml:space="preserve"> her </w:t>
      </w:r>
      <w:proofErr w:type="gramStart"/>
      <w:r w:rsidRPr="00A20E63">
        <w:rPr>
          <w:rFonts w:asciiTheme="minorHAnsi" w:hAnsiTheme="minorHAnsi" w:cstheme="minorHAnsi"/>
          <w:lang w:val="en-GB"/>
        </w:rPr>
        <w:t>Mansion</w:t>
      </w:r>
      <w:proofErr w:type="gramEnd"/>
      <w:r w:rsidRPr="00A20E63">
        <w:rPr>
          <w:rFonts w:asciiTheme="minorHAnsi" w:hAnsiTheme="minorHAnsi" w:cstheme="minorHAnsi"/>
          <w:lang w:val="en-GB"/>
        </w:rPr>
        <w:t xml:space="preserve"> House speech</w:t>
      </w:r>
      <w:r w:rsidR="003F68CB">
        <w:rPr>
          <w:rStyle w:val="FootnoteReference"/>
          <w:rFonts w:asciiTheme="minorHAnsi" w:hAnsiTheme="minorHAnsi" w:cstheme="minorHAnsi"/>
          <w:lang w:val="en-GB"/>
        </w:rPr>
        <w:footnoteReference w:id="59"/>
      </w:r>
      <w:r w:rsidRPr="00A20E63">
        <w:rPr>
          <w:rFonts w:asciiTheme="minorHAnsi" w:hAnsiTheme="minorHAnsi" w:cstheme="minorHAnsi"/>
          <w:lang w:val="en-GB"/>
        </w:rPr>
        <w:t xml:space="preserve"> and numerous other occasions</w:t>
      </w:r>
      <w:r w:rsidR="003F68CB">
        <w:rPr>
          <w:rFonts w:asciiTheme="minorHAnsi" w:hAnsiTheme="minorHAnsi" w:cstheme="minorHAnsi"/>
          <w:lang w:val="en-GB"/>
        </w:rPr>
        <w:t>.</w:t>
      </w:r>
      <w:r w:rsidRPr="00A20E63">
        <w:rPr>
          <w:rFonts w:asciiTheme="minorHAnsi" w:hAnsiTheme="minorHAnsi" w:cstheme="minorHAnsi"/>
          <w:lang w:val="en-GB"/>
        </w:rPr>
        <w:t xml:space="preserve"> </w:t>
      </w:r>
      <w:proofErr w:type="gramStart"/>
      <w:r w:rsidR="003F68CB">
        <w:rPr>
          <w:rFonts w:asciiTheme="minorHAnsi" w:hAnsiTheme="minorHAnsi" w:cstheme="minorHAnsi"/>
          <w:lang w:val="en-GB"/>
        </w:rPr>
        <w:t>Similarly</w:t>
      </w:r>
      <w:proofErr w:type="gramEnd"/>
      <w:r w:rsidRPr="00A20E63">
        <w:rPr>
          <w:rFonts w:asciiTheme="minorHAnsi" w:hAnsiTheme="minorHAnsi" w:cstheme="minorHAnsi"/>
          <w:lang w:val="en-GB"/>
        </w:rPr>
        <w:t xml:space="preserve"> her successor</w:t>
      </w:r>
      <w:r w:rsidR="003F68CB">
        <w:rPr>
          <w:rFonts w:asciiTheme="minorHAnsi" w:hAnsiTheme="minorHAnsi" w:cstheme="minorHAnsi"/>
          <w:lang w:val="en-GB"/>
        </w:rPr>
        <w:t xml:space="preserve">, Boris Johnson, </w:t>
      </w:r>
      <w:r w:rsidRPr="00A20E63">
        <w:rPr>
          <w:rFonts w:asciiTheme="minorHAnsi" w:hAnsiTheme="minorHAnsi" w:cstheme="minorHAnsi"/>
          <w:lang w:val="en-GB"/>
        </w:rPr>
        <w:t xml:space="preserve">never moved from the position that the </w:t>
      </w:r>
      <w:r w:rsidRPr="00A20E63">
        <w:rPr>
          <w:rFonts w:asciiTheme="minorHAnsi" w:hAnsiTheme="minorHAnsi" w:cstheme="minorHAnsi"/>
          <w:iCs/>
          <w:lang w:val="en-GB"/>
        </w:rPr>
        <w:t>United Kingdom</w:t>
      </w:r>
      <w:r w:rsidRPr="00A20E63">
        <w:rPr>
          <w:rFonts w:asciiTheme="minorHAnsi" w:hAnsiTheme="minorHAnsi" w:cstheme="minorHAnsi"/>
          <w:lang w:val="en-GB"/>
        </w:rPr>
        <w:t xml:space="preserve"> should not take part in the single market and the customs union after the end of the transition period.</w:t>
      </w:r>
    </w:p>
    <w:p w14:paraId="3807AD23" w14:textId="77777777" w:rsidR="00A20E63" w:rsidRPr="00A20E63" w:rsidRDefault="00A20E63" w:rsidP="00E44EAF">
      <w:pPr>
        <w:pStyle w:val="TextInd"/>
        <w:jc w:val="both"/>
        <w:rPr>
          <w:rFonts w:asciiTheme="minorHAnsi" w:hAnsiTheme="minorHAnsi" w:cstheme="minorHAnsi"/>
          <w:lang w:val="en-GB"/>
        </w:rPr>
      </w:pPr>
      <w:r w:rsidRPr="00A20E63">
        <w:rPr>
          <w:rFonts w:asciiTheme="minorHAnsi" w:hAnsiTheme="minorHAnsi" w:cstheme="minorHAnsi"/>
          <w:shd w:val="clear" w:color="auto" w:fill="FFFFFF"/>
          <w:lang w:val="en-GB"/>
        </w:rPr>
        <w:t>This position made the challenge of keeping the Irish border free of any physical infrastructure significantly harder. In order to achieve this elusive aim, t</w:t>
      </w:r>
      <w:r w:rsidRPr="00A20E63">
        <w:rPr>
          <w:rFonts w:asciiTheme="minorHAnsi" w:hAnsiTheme="minorHAnsi" w:cstheme="minorHAnsi"/>
          <w:lang w:val="en-GB"/>
        </w:rPr>
        <w:t xml:space="preserve">he </w:t>
      </w:r>
      <w:r w:rsidRPr="00A20E63">
        <w:rPr>
          <w:rFonts w:asciiTheme="minorHAnsi" w:hAnsiTheme="minorHAnsi" w:cstheme="minorHAnsi"/>
          <w:iCs/>
          <w:lang w:val="en-GB"/>
        </w:rPr>
        <w:t>United Kingdom</w:t>
      </w:r>
      <w:r w:rsidRPr="00A20E63">
        <w:rPr>
          <w:rFonts w:asciiTheme="minorHAnsi" w:hAnsiTheme="minorHAnsi" w:cstheme="minorHAnsi"/>
          <w:lang w:val="en-GB"/>
        </w:rPr>
        <w:t xml:space="preserve"> as a whole had to opt for a relationship with the EU that is much closer than the one described in its red lines. Alternatively, the </w:t>
      </w:r>
      <w:r w:rsidRPr="00A20E63">
        <w:rPr>
          <w:rFonts w:asciiTheme="minorHAnsi" w:hAnsiTheme="minorHAnsi" w:cstheme="minorHAnsi"/>
          <w:iCs/>
          <w:lang w:val="en-GB"/>
        </w:rPr>
        <w:t>United Kingdom</w:t>
      </w:r>
      <w:r w:rsidRPr="00A20E63">
        <w:rPr>
          <w:rFonts w:asciiTheme="minorHAnsi" w:hAnsiTheme="minorHAnsi" w:cstheme="minorHAnsi"/>
          <w:lang w:val="en-GB"/>
        </w:rPr>
        <w:t xml:space="preserve"> could accept that Northern Ireland would have a closer relationship with the EU than the rest of the country.</w:t>
      </w:r>
    </w:p>
    <w:p w14:paraId="5CAC8CE1" w14:textId="77777777" w:rsidR="00A20E63" w:rsidRDefault="00A20E63" w:rsidP="00E44EAF">
      <w:pPr>
        <w:pStyle w:val="TextInd"/>
        <w:jc w:val="both"/>
        <w:rPr>
          <w:rFonts w:asciiTheme="minorHAnsi" w:hAnsiTheme="minorHAnsi" w:cstheme="minorHAnsi"/>
          <w:lang w:val="en-GB"/>
        </w:rPr>
      </w:pPr>
      <w:r w:rsidRPr="00A20E63">
        <w:rPr>
          <w:rFonts w:asciiTheme="minorHAnsi" w:hAnsiTheme="minorHAnsi" w:cstheme="minorHAnsi"/>
          <w:lang w:val="en-GB"/>
        </w:rPr>
        <w:t>This dilemma was described in the December 2017 Joint Report. According to the infamous Paragraph 49,</w:t>
      </w:r>
    </w:p>
    <w:p w14:paraId="52C6D327" w14:textId="52BDF6A9" w:rsidR="00A20E63" w:rsidRPr="00A20E63" w:rsidRDefault="00A20E63" w:rsidP="00E44EAF">
      <w:pPr>
        <w:pStyle w:val="TextInd"/>
        <w:ind w:left="720" w:right="720" w:firstLine="0"/>
        <w:jc w:val="both"/>
        <w:rPr>
          <w:rFonts w:asciiTheme="minorHAnsi" w:hAnsiTheme="minorHAnsi" w:cstheme="minorHAnsi"/>
          <w:lang w:val="en-GB"/>
        </w:rPr>
      </w:pPr>
      <w:r w:rsidRPr="00A20E63">
        <w:rPr>
          <w:rFonts w:asciiTheme="minorHAnsi" w:hAnsiTheme="minorHAnsi" w:cstheme="minorHAnsi"/>
          <w:lang w:val="en-GB"/>
        </w:rPr>
        <w:t xml:space="preserve">the United Kingdom remains committed to protecting North-South cooperation and to its guarantee of avoiding a hard border. Any future </w:t>
      </w:r>
      <w:r w:rsidRPr="00A20E63">
        <w:rPr>
          <w:rFonts w:asciiTheme="minorHAnsi" w:hAnsiTheme="minorHAnsi" w:cstheme="minorHAnsi"/>
          <w:lang w:val="en-GB"/>
        </w:rPr>
        <w:lastRenderedPageBreak/>
        <w:t>arrangements must be compatible with these overarching requirements. The United Kingdom’s intention is to achieve these objectives through the overall EU-UK relationship. Should this not be possible, the United Kingdom will propose specific solutions to address the unique circumstances of the island of Ireland. In the absence of agreed solutions, the United Kingdom will maintain full alignment with those rules of the Internal Market and the Customs Union which, now or in the future, support North-South cooperation, the all-island economy and the protection of the 1998 Agreement.</w:t>
      </w:r>
      <w:r w:rsidRPr="00A20E63">
        <w:rPr>
          <w:rFonts w:asciiTheme="minorHAnsi" w:hAnsiTheme="minorHAnsi" w:cstheme="minorHAnsi"/>
          <w:vertAlign w:val="superscript"/>
          <w:lang w:val="en-GB"/>
        </w:rPr>
        <w:footnoteReference w:id="60"/>
      </w:r>
    </w:p>
    <w:p w14:paraId="309F581C" w14:textId="77777777" w:rsidR="00A20E63" w:rsidRPr="00A20E63" w:rsidRDefault="00A20E63" w:rsidP="00E44EAF">
      <w:pPr>
        <w:pStyle w:val="TextFlushLeft"/>
        <w:jc w:val="both"/>
        <w:rPr>
          <w:rFonts w:asciiTheme="minorHAnsi" w:hAnsiTheme="minorHAnsi" w:cstheme="minorHAnsi"/>
          <w:lang w:val="en-GB"/>
        </w:rPr>
      </w:pPr>
      <w:r w:rsidRPr="00A20E63">
        <w:rPr>
          <w:rFonts w:asciiTheme="minorHAnsi" w:hAnsiTheme="minorHAnsi" w:cstheme="minorHAnsi"/>
          <w:lang w:val="en-GB"/>
        </w:rPr>
        <w:t xml:space="preserve">In other words, the overall aim of the negotiations was to address the challenge of the Irish border through the overall EU–UK relationship. If this was to prove impossible, then specific ‘technological’ solutions would be applied to Northern Ireland. Should the two sides fail to reach agreement on these specific solutions, then Northern Ireland at a minimum or the </w:t>
      </w:r>
      <w:r w:rsidRPr="00A20E63">
        <w:rPr>
          <w:rFonts w:asciiTheme="minorHAnsi" w:hAnsiTheme="minorHAnsi" w:cstheme="minorHAnsi"/>
          <w:iCs/>
          <w:lang w:val="en-GB"/>
        </w:rPr>
        <w:t>United Kingdom</w:t>
      </w:r>
      <w:r w:rsidRPr="00A20E63">
        <w:rPr>
          <w:rFonts w:asciiTheme="minorHAnsi" w:hAnsiTheme="minorHAnsi" w:cstheme="minorHAnsi"/>
          <w:lang w:val="en-GB"/>
        </w:rPr>
        <w:t xml:space="preserve"> as a whole should remain aligned to the single market and the EU customs union.</w:t>
      </w:r>
    </w:p>
    <w:p w14:paraId="13E5C649" w14:textId="1BC05EBD" w:rsidR="00A20E63" w:rsidRPr="00A20E63" w:rsidRDefault="00A20E63" w:rsidP="00290F85">
      <w:pPr>
        <w:pStyle w:val="TextInd"/>
        <w:jc w:val="both"/>
        <w:rPr>
          <w:rFonts w:asciiTheme="minorHAnsi" w:hAnsiTheme="minorHAnsi" w:cstheme="minorHAnsi"/>
          <w:lang w:val="en-GB"/>
        </w:rPr>
      </w:pPr>
      <w:r w:rsidRPr="00A20E63">
        <w:rPr>
          <w:rFonts w:asciiTheme="minorHAnsi" w:hAnsiTheme="minorHAnsi" w:cstheme="minorHAnsi"/>
          <w:lang w:val="en-GB"/>
        </w:rPr>
        <w:t>The first time that this arrangement</w:t>
      </w:r>
      <w:r w:rsidRPr="00A20E63">
        <w:rPr>
          <w:rFonts w:asciiTheme="minorHAnsi" w:hAnsiTheme="minorHAnsi" w:cstheme="minorHAnsi"/>
          <w:shd w:val="clear" w:color="auto" w:fill="FFFFFF"/>
          <w:lang w:val="en-GB"/>
        </w:rPr>
        <w:t xml:space="preserve"> was legally codified was in a Protocol on Ireland/Northern Ireland contained in the </w:t>
      </w:r>
      <w:r w:rsidRPr="00A20E63">
        <w:rPr>
          <w:rFonts w:asciiTheme="minorHAnsi" w:hAnsiTheme="minorHAnsi" w:cstheme="minorHAnsi"/>
          <w:lang w:val="en-GB"/>
        </w:rPr>
        <w:t>draft Withdrawal Treaty</w:t>
      </w:r>
      <w:r w:rsidRPr="00A20E63">
        <w:rPr>
          <w:rFonts w:asciiTheme="minorHAnsi" w:hAnsiTheme="minorHAnsi" w:cstheme="minorHAnsi"/>
          <w:shd w:val="clear" w:color="auto" w:fill="FFFFFF"/>
          <w:lang w:val="en-GB"/>
        </w:rPr>
        <w:t xml:space="preserve"> published by the </w:t>
      </w:r>
      <w:r w:rsidRPr="00A20E63">
        <w:rPr>
          <w:rFonts w:asciiTheme="minorHAnsi" w:hAnsiTheme="minorHAnsi" w:cstheme="minorHAnsi"/>
          <w:lang w:val="en-GB"/>
        </w:rPr>
        <w:t>EU</w:t>
      </w:r>
      <w:r w:rsidRPr="00A20E63">
        <w:rPr>
          <w:rFonts w:asciiTheme="minorHAnsi" w:hAnsiTheme="minorHAnsi" w:cstheme="minorHAnsi"/>
          <w:shd w:val="clear" w:color="auto" w:fill="FFFFFF"/>
          <w:lang w:val="en-GB"/>
        </w:rPr>
        <w:t xml:space="preserve"> on 28 February 2018. </w:t>
      </w:r>
      <w:r w:rsidRPr="00A20E63">
        <w:rPr>
          <w:rFonts w:asciiTheme="minorHAnsi" w:hAnsiTheme="minorHAnsi" w:cstheme="minorHAnsi"/>
          <w:lang w:val="en-GB"/>
        </w:rPr>
        <w:t xml:space="preserve">According to this, a common regulatory area comprising the EU and Northern Ireland would be established, and the region would remain part of the EU customs territory. </w:t>
      </w:r>
      <w:r w:rsidR="00290F85">
        <w:rPr>
          <w:rFonts w:asciiTheme="minorHAnsi" w:hAnsiTheme="minorHAnsi" w:cstheme="minorHAnsi"/>
          <w:lang w:val="en-GB"/>
        </w:rPr>
        <w:t>As a result of the British objections, t</w:t>
      </w:r>
      <w:r w:rsidRPr="00A20E63">
        <w:rPr>
          <w:rFonts w:asciiTheme="minorHAnsi" w:hAnsiTheme="minorHAnsi" w:cstheme="minorHAnsi"/>
          <w:lang w:val="en-GB"/>
        </w:rPr>
        <w:t xml:space="preserve">he EU significantly amended </w:t>
      </w:r>
      <w:r w:rsidR="00290F85">
        <w:rPr>
          <w:rFonts w:asciiTheme="minorHAnsi" w:hAnsiTheme="minorHAnsi" w:cstheme="minorHAnsi"/>
          <w:lang w:val="en-GB"/>
        </w:rPr>
        <w:t>the Protoco</w:t>
      </w:r>
      <w:r w:rsidR="005D5218">
        <w:rPr>
          <w:rFonts w:asciiTheme="minorHAnsi" w:hAnsiTheme="minorHAnsi" w:cstheme="minorHAnsi"/>
          <w:lang w:val="en-GB"/>
        </w:rPr>
        <w:t>l</w:t>
      </w:r>
      <w:r w:rsidR="00290F85">
        <w:rPr>
          <w:rFonts w:asciiTheme="minorHAnsi" w:hAnsiTheme="minorHAnsi" w:cstheme="minorHAnsi"/>
          <w:lang w:val="en-GB"/>
        </w:rPr>
        <w:t xml:space="preserve"> on Ireland/Northern Ireland in the</w:t>
      </w:r>
      <w:r w:rsidRPr="00A20E63">
        <w:rPr>
          <w:rFonts w:asciiTheme="minorHAnsi" w:hAnsiTheme="minorHAnsi" w:cstheme="minorHAnsi"/>
          <w:lang w:val="en-GB"/>
        </w:rPr>
        <w:t xml:space="preserve"> November 2018 draft </w:t>
      </w:r>
      <w:r w:rsidRPr="00A20E63">
        <w:rPr>
          <w:rFonts w:asciiTheme="minorHAnsi" w:hAnsiTheme="minorHAnsi" w:cstheme="minorHAnsi"/>
          <w:iCs/>
          <w:color w:val="000000"/>
          <w:lang w:val="en-GB"/>
        </w:rPr>
        <w:t>WA</w:t>
      </w:r>
      <w:r w:rsidRPr="00A20E63">
        <w:rPr>
          <w:rFonts w:asciiTheme="minorHAnsi" w:hAnsiTheme="minorHAnsi" w:cstheme="minorHAnsi"/>
          <w:lang w:val="en-GB"/>
        </w:rPr>
        <w:t>. Th</w:t>
      </w:r>
      <w:r w:rsidR="003F68CB">
        <w:rPr>
          <w:rFonts w:asciiTheme="minorHAnsi" w:hAnsiTheme="minorHAnsi" w:cstheme="minorHAnsi"/>
          <w:lang w:val="en-GB"/>
        </w:rPr>
        <w:t xml:space="preserve">is </w:t>
      </w:r>
      <w:r w:rsidR="00290F85">
        <w:rPr>
          <w:rFonts w:asciiTheme="minorHAnsi" w:hAnsiTheme="minorHAnsi" w:cstheme="minorHAnsi"/>
          <w:lang w:val="en-GB"/>
        </w:rPr>
        <w:t>provi</w:t>
      </w:r>
      <w:r w:rsidR="003F68CB">
        <w:rPr>
          <w:rFonts w:asciiTheme="minorHAnsi" w:hAnsiTheme="minorHAnsi" w:cstheme="minorHAnsi"/>
          <w:lang w:val="en-GB"/>
        </w:rPr>
        <w:t>ded</w:t>
      </w:r>
      <w:r w:rsidR="00290F85">
        <w:rPr>
          <w:rFonts w:asciiTheme="minorHAnsi" w:hAnsiTheme="minorHAnsi" w:cstheme="minorHAnsi"/>
          <w:lang w:val="en-GB"/>
        </w:rPr>
        <w:t xml:space="preserve"> for</w:t>
      </w:r>
      <w:r w:rsidR="003F68CB">
        <w:rPr>
          <w:rFonts w:asciiTheme="minorHAnsi" w:hAnsiTheme="minorHAnsi" w:cstheme="minorHAnsi"/>
          <w:lang w:val="en-GB"/>
        </w:rPr>
        <w:t xml:space="preserve"> </w:t>
      </w:r>
      <w:r w:rsidRPr="00A20E63">
        <w:rPr>
          <w:rFonts w:asciiTheme="minorHAnsi" w:hAnsiTheme="minorHAnsi" w:cstheme="minorHAnsi"/>
          <w:lang w:val="en-GB"/>
        </w:rPr>
        <w:t xml:space="preserve">a UK-wide ‘backstop’ solution. Barring a deal on free trade that would secure a frictionless border, the </w:t>
      </w:r>
      <w:r w:rsidRPr="00A20E63">
        <w:rPr>
          <w:rFonts w:asciiTheme="minorHAnsi" w:hAnsiTheme="minorHAnsi" w:cstheme="minorHAnsi"/>
          <w:iCs/>
          <w:lang w:val="en-GB"/>
        </w:rPr>
        <w:t>United Kingdom</w:t>
      </w:r>
      <w:r w:rsidRPr="00A20E63">
        <w:rPr>
          <w:rFonts w:asciiTheme="minorHAnsi" w:hAnsiTheme="minorHAnsi" w:cstheme="minorHAnsi"/>
          <w:lang w:val="en-GB"/>
        </w:rPr>
        <w:t xml:space="preserve"> as a whole would remain in a ‘bare bones’ customs union with the EU. </w:t>
      </w:r>
      <w:r w:rsidRPr="00A20E63">
        <w:rPr>
          <w:rFonts w:asciiTheme="minorHAnsi" w:hAnsiTheme="minorHAnsi" w:cstheme="minorHAnsi"/>
          <w:lang w:val="en-GB"/>
        </w:rPr>
        <w:lastRenderedPageBreak/>
        <w:t xml:space="preserve">Additionally, Northern Ireland would remain aligned to the single market rules necessary to maintain the free movement of goods across the Irish border. </w:t>
      </w:r>
      <w:r w:rsidR="00290F85">
        <w:rPr>
          <w:rFonts w:asciiTheme="minorHAnsi" w:hAnsiTheme="minorHAnsi" w:cstheme="minorHAnsi"/>
          <w:lang w:val="en-GB"/>
        </w:rPr>
        <w:t>Notwithstanding</w:t>
      </w:r>
      <w:r w:rsidRPr="00A20E63">
        <w:rPr>
          <w:rFonts w:asciiTheme="minorHAnsi" w:hAnsiTheme="minorHAnsi" w:cstheme="minorHAnsi"/>
          <w:lang w:val="en-GB"/>
        </w:rPr>
        <w:t xml:space="preserve">, the then-Prime Minister failed to secure </w:t>
      </w:r>
      <w:r w:rsidR="003F68CB">
        <w:rPr>
          <w:rFonts w:asciiTheme="minorHAnsi" w:hAnsiTheme="minorHAnsi" w:cstheme="minorHAnsi"/>
          <w:lang w:val="en-GB"/>
        </w:rPr>
        <w:t>Westminster</w:t>
      </w:r>
      <w:r w:rsidRPr="00A20E63">
        <w:rPr>
          <w:rFonts w:asciiTheme="minorHAnsi" w:hAnsiTheme="minorHAnsi" w:cstheme="minorHAnsi"/>
          <w:lang w:val="en-GB"/>
        </w:rPr>
        <w:t>’s consent in three consecutive attempts. After that, it was patently obvious that her position had become untenable. The following summer she resigned, and her successor Boris Johnson was electe</w:t>
      </w:r>
      <w:r w:rsidR="00B46723">
        <w:rPr>
          <w:rFonts w:asciiTheme="minorHAnsi" w:hAnsiTheme="minorHAnsi" w:cstheme="minorHAnsi"/>
          <w:lang w:val="en-GB"/>
        </w:rPr>
        <w:t xml:space="preserve">d. Johnson’s declared aim was </w:t>
      </w:r>
      <w:r w:rsidR="005D5218">
        <w:rPr>
          <w:rFonts w:asciiTheme="minorHAnsi" w:hAnsiTheme="minorHAnsi" w:cstheme="minorHAnsi"/>
          <w:lang w:val="en-GB"/>
        </w:rPr>
        <w:t>to re-negotiate the post-Brexit arrangement applying to Northern Ireland</w:t>
      </w:r>
      <w:r w:rsidRPr="00A20E63">
        <w:rPr>
          <w:rFonts w:asciiTheme="minorHAnsi" w:hAnsiTheme="minorHAnsi" w:cstheme="minorHAnsi"/>
          <w:lang w:val="en-GB"/>
        </w:rPr>
        <w:t>.</w:t>
      </w:r>
    </w:p>
    <w:p w14:paraId="7118FABD" w14:textId="36D1167D" w:rsidR="00A20E63" w:rsidRPr="00A20E63" w:rsidRDefault="003F68CB" w:rsidP="00E44EAF">
      <w:pPr>
        <w:pStyle w:val="TextInd"/>
        <w:jc w:val="both"/>
        <w:rPr>
          <w:rFonts w:asciiTheme="minorHAnsi" w:hAnsiTheme="minorHAnsi" w:cstheme="minorHAnsi"/>
          <w:lang w:val="en-GB"/>
        </w:rPr>
      </w:pPr>
      <w:r>
        <w:rPr>
          <w:rFonts w:asciiTheme="minorHAnsi" w:hAnsiTheme="minorHAnsi" w:cstheme="minorHAnsi"/>
          <w:lang w:val="en-GB"/>
        </w:rPr>
        <w:t>I</w:t>
      </w:r>
      <w:r w:rsidR="00B46723">
        <w:rPr>
          <w:rFonts w:asciiTheme="minorHAnsi" w:hAnsiTheme="minorHAnsi" w:cstheme="minorHAnsi"/>
          <w:lang w:val="en-GB"/>
        </w:rPr>
        <w:t>ndeed, i</w:t>
      </w:r>
      <w:r w:rsidR="00A20E63" w:rsidRPr="00A20E63">
        <w:rPr>
          <w:rFonts w:asciiTheme="minorHAnsi" w:hAnsiTheme="minorHAnsi" w:cstheme="minorHAnsi"/>
          <w:lang w:val="en-GB"/>
        </w:rPr>
        <w:t xml:space="preserve">n October 2019, an agreement on a revised </w:t>
      </w:r>
      <w:r w:rsidR="00A20E63" w:rsidRPr="00A20E63">
        <w:rPr>
          <w:rFonts w:asciiTheme="minorHAnsi" w:hAnsiTheme="minorHAnsi" w:cstheme="minorHAnsi"/>
          <w:iCs/>
          <w:color w:val="000000"/>
          <w:lang w:val="en-GB"/>
        </w:rPr>
        <w:t>WA</w:t>
      </w:r>
      <w:r w:rsidR="00A20E63" w:rsidRPr="00A20E63">
        <w:rPr>
          <w:rFonts w:asciiTheme="minorHAnsi" w:hAnsiTheme="minorHAnsi" w:cstheme="minorHAnsi"/>
          <w:lang w:val="en-GB"/>
        </w:rPr>
        <w:t xml:space="preserve"> was achieved. The new and final Brexit Deal is almost identical to Theresa May’s except for one significant change: the fabled backstop (and the changes in the non-legally binding political declaration). The new arrangement for Northern Ireland is no longer an insurance policy that would kick in should the future UK–EU relationship prove unable to keep the Irish border open. Instead, it is a differentiated arrangement for the region that could only collapse should the regional parliament decide so or if a future arrangement supersedes it.</w:t>
      </w:r>
    </w:p>
    <w:p w14:paraId="665811AE" w14:textId="77120EF8" w:rsidR="00A20E63" w:rsidRPr="00A20E63" w:rsidRDefault="00A20E63" w:rsidP="00E44EAF">
      <w:pPr>
        <w:pStyle w:val="TextInd"/>
        <w:jc w:val="both"/>
        <w:rPr>
          <w:rFonts w:asciiTheme="minorHAnsi" w:hAnsiTheme="minorHAnsi" w:cstheme="minorHAnsi"/>
          <w:lang w:val="en-GB"/>
        </w:rPr>
      </w:pPr>
      <w:r w:rsidRPr="00A20E63">
        <w:rPr>
          <w:rFonts w:asciiTheme="minorHAnsi" w:hAnsiTheme="minorHAnsi" w:cstheme="minorHAnsi"/>
          <w:lang w:val="en-GB"/>
        </w:rPr>
        <w:t xml:space="preserve">The major difference with the February 2018 EU proposal for a Northern Ireland-specific arrangement is that the current deal recognizes that </w:t>
      </w:r>
      <w:r w:rsidRPr="00A20E63">
        <w:rPr>
          <w:rFonts w:asciiTheme="minorHAnsi" w:hAnsiTheme="minorHAnsi" w:cstheme="minorHAnsi"/>
          <w:i/>
          <w:lang w:val="en-GB"/>
        </w:rPr>
        <w:t>de jure</w:t>
      </w:r>
      <w:r w:rsidRPr="00A20E63">
        <w:rPr>
          <w:rFonts w:asciiTheme="minorHAnsi" w:hAnsiTheme="minorHAnsi" w:cstheme="minorHAnsi"/>
          <w:lang w:val="en-GB"/>
        </w:rPr>
        <w:t xml:space="preserve"> Northern Ireland remains within the UK customs union.</w:t>
      </w:r>
      <w:r w:rsidRPr="00A20E63">
        <w:rPr>
          <w:rFonts w:asciiTheme="minorHAnsi" w:hAnsiTheme="minorHAnsi" w:cstheme="minorHAnsi"/>
          <w:vertAlign w:val="superscript"/>
          <w:lang w:val="en-GB"/>
        </w:rPr>
        <w:footnoteReference w:id="61"/>
      </w:r>
      <w:r w:rsidRPr="00A20E63">
        <w:rPr>
          <w:rFonts w:asciiTheme="minorHAnsi" w:hAnsiTheme="minorHAnsi" w:cstheme="minorHAnsi"/>
          <w:lang w:val="en-GB"/>
        </w:rPr>
        <w:t xml:space="preserve"> This amendment was considered necessary not least because in the meantime section 55 of the Taxation (Cross-Border Trade) Act 2018 was introduced. According to it, Northern Ireland should not be in a separate customs territory than the rest of the </w:t>
      </w:r>
      <w:r w:rsidRPr="00A20E63">
        <w:rPr>
          <w:rFonts w:asciiTheme="minorHAnsi" w:hAnsiTheme="minorHAnsi" w:cstheme="minorHAnsi"/>
          <w:iCs/>
          <w:lang w:val="en-GB"/>
        </w:rPr>
        <w:t>United Kingdom</w:t>
      </w:r>
      <w:r w:rsidRPr="00A20E63">
        <w:rPr>
          <w:rFonts w:asciiTheme="minorHAnsi" w:hAnsiTheme="minorHAnsi" w:cstheme="minorHAnsi"/>
          <w:lang w:val="en-GB"/>
        </w:rPr>
        <w:t xml:space="preserve">. </w:t>
      </w:r>
      <w:r w:rsidRPr="00A20E63">
        <w:rPr>
          <w:rFonts w:asciiTheme="minorHAnsi" w:hAnsiTheme="minorHAnsi" w:cstheme="minorHAnsi"/>
          <w:shd w:val="clear" w:color="auto" w:fill="FFFFFF"/>
          <w:lang w:val="en-GB"/>
        </w:rPr>
        <w:t xml:space="preserve">From a substance point of view, the fact that the region would remain </w:t>
      </w:r>
      <w:r w:rsidRPr="00A20E63">
        <w:rPr>
          <w:rFonts w:asciiTheme="minorHAnsi" w:hAnsiTheme="minorHAnsi" w:cstheme="minorHAnsi"/>
          <w:i/>
          <w:shd w:val="clear" w:color="auto" w:fill="FFFFFF"/>
          <w:lang w:val="en-GB"/>
        </w:rPr>
        <w:t xml:space="preserve">de jure </w:t>
      </w:r>
      <w:r w:rsidRPr="00A20E63">
        <w:rPr>
          <w:rFonts w:asciiTheme="minorHAnsi" w:hAnsiTheme="minorHAnsi" w:cstheme="minorHAnsi"/>
          <w:shd w:val="clear" w:color="auto" w:fill="FFFFFF"/>
          <w:lang w:val="en-GB"/>
        </w:rPr>
        <w:t xml:space="preserve">part of the UK customs territory in accordance with Article XXIV:2 GATT ensures that it </w:t>
      </w:r>
      <w:r w:rsidR="003F68CB">
        <w:rPr>
          <w:rFonts w:asciiTheme="minorHAnsi" w:hAnsiTheme="minorHAnsi" w:cstheme="minorHAnsi"/>
          <w:shd w:val="clear" w:color="auto" w:fill="FFFFFF"/>
          <w:lang w:val="en-GB"/>
        </w:rPr>
        <w:t>has</w:t>
      </w:r>
      <w:r w:rsidRPr="00A20E63">
        <w:rPr>
          <w:rFonts w:asciiTheme="minorHAnsi" w:hAnsiTheme="minorHAnsi" w:cstheme="minorHAnsi"/>
          <w:shd w:val="clear" w:color="auto" w:fill="FFFFFF"/>
          <w:lang w:val="en-GB"/>
        </w:rPr>
        <w:t xml:space="preserve"> access to the free trade agreements t</w:t>
      </w:r>
      <w:r w:rsidR="003F68CB">
        <w:rPr>
          <w:rFonts w:asciiTheme="minorHAnsi" w:hAnsiTheme="minorHAnsi" w:cstheme="minorHAnsi"/>
          <w:shd w:val="clear" w:color="auto" w:fill="FFFFFF"/>
          <w:lang w:val="en-GB"/>
        </w:rPr>
        <w:t>o which</w:t>
      </w:r>
      <w:r w:rsidRPr="00A20E63">
        <w:rPr>
          <w:rFonts w:asciiTheme="minorHAnsi" w:hAnsiTheme="minorHAnsi" w:cstheme="minorHAnsi"/>
          <w:shd w:val="clear" w:color="auto" w:fill="FFFFFF"/>
          <w:lang w:val="en-GB"/>
        </w:rPr>
        <w:t xml:space="preserve"> the </w:t>
      </w:r>
      <w:r w:rsidRPr="00A20E63">
        <w:rPr>
          <w:rFonts w:asciiTheme="minorHAnsi" w:hAnsiTheme="minorHAnsi" w:cstheme="minorHAnsi"/>
          <w:iCs/>
          <w:lang w:val="en-GB"/>
        </w:rPr>
        <w:t>United Kingdom</w:t>
      </w:r>
      <w:r w:rsidRPr="00A20E63">
        <w:rPr>
          <w:rFonts w:asciiTheme="minorHAnsi" w:hAnsiTheme="minorHAnsi" w:cstheme="minorHAnsi"/>
          <w:shd w:val="clear" w:color="auto" w:fill="FFFFFF"/>
          <w:lang w:val="en-GB"/>
        </w:rPr>
        <w:t xml:space="preserve"> </w:t>
      </w:r>
      <w:r w:rsidR="003F68CB">
        <w:rPr>
          <w:rFonts w:asciiTheme="minorHAnsi" w:hAnsiTheme="minorHAnsi" w:cstheme="minorHAnsi"/>
          <w:shd w:val="clear" w:color="auto" w:fill="FFFFFF"/>
          <w:lang w:val="en-GB"/>
        </w:rPr>
        <w:t>is signatory party</w:t>
      </w:r>
      <w:r w:rsidRPr="00A20E63">
        <w:rPr>
          <w:rFonts w:asciiTheme="minorHAnsi" w:hAnsiTheme="minorHAnsi" w:cstheme="minorHAnsi"/>
          <w:shd w:val="clear" w:color="auto" w:fill="FFFFFF"/>
          <w:lang w:val="en-GB"/>
        </w:rPr>
        <w:t>.</w:t>
      </w:r>
      <w:r w:rsidRPr="00A20E63">
        <w:rPr>
          <w:rFonts w:asciiTheme="minorHAnsi" w:hAnsiTheme="minorHAnsi" w:cstheme="minorHAnsi"/>
          <w:i/>
          <w:lang w:val="en-GB"/>
        </w:rPr>
        <w:t xml:space="preserve"> </w:t>
      </w:r>
      <w:r w:rsidRPr="00A20E63">
        <w:rPr>
          <w:rFonts w:asciiTheme="minorHAnsi" w:hAnsiTheme="minorHAnsi" w:cstheme="minorHAnsi"/>
          <w:shd w:val="clear" w:color="auto" w:fill="FFFFFF"/>
          <w:lang w:val="en-GB"/>
        </w:rPr>
        <w:t xml:space="preserve">Notwithstanding, </w:t>
      </w:r>
      <w:r w:rsidRPr="00A20E63">
        <w:rPr>
          <w:rFonts w:asciiTheme="minorHAnsi" w:hAnsiTheme="minorHAnsi" w:cstheme="minorHAnsi"/>
          <w:lang w:val="en-GB"/>
        </w:rPr>
        <w:t>EU</w:t>
      </w:r>
      <w:r w:rsidRPr="00A20E63">
        <w:rPr>
          <w:rFonts w:asciiTheme="minorHAnsi" w:hAnsiTheme="minorHAnsi" w:cstheme="minorHAnsi"/>
          <w:shd w:val="clear" w:color="auto" w:fill="FFFFFF"/>
          <w:lang w:val="en-GB"/>
        </w:rPr>
        <w:t xml:space="preserve"> customs legislation continues to apply to the region even after the end </w:t>
      </w:r>
      <w:r w:rsidRPr="00A20E63">
        <w:rPr>
          <w:rFonts w:asciiTheme="minorHAnsi" w:hAnsiTheme="minorHAnsi" w:cstheme="minorHAnsi"/>
          <w:shd w:val="clear" w:color="auto" w:fill="FFFFFF"/>
          <w:lang w:val="en-GB"/>
        </w:rPr>
        <w:lastRenderedPageBreak/>
        <w:t>of the transition period.</w:t>
      </w:r>
      <w:r w:rsidRPr="00A20E63">
        <w:rPr>
          <w:rFonts w:asciiTheme="minorHAnsi" w:hAnsiTheme="minorHAnsi" w:cstheme="minorHAnsi"/>
          <w:shd w:val="clear" w:color="auto" w:fill="FFFFFF"/>
          <w:vertAlign w:val="superscript"/>
          <w:lang w:val="en-GB"/>
        </w:rPr>
        <w:footnoteReference w:id="62"/>
      </w:r>
      <w:r w:rsidRPr="00A20E63">
        <w:rPr>
          <w:rFonts w:asciiTheme="minorHAnsi" w:hAnsiTheme="minorHAnsi" w:cstheme="minorHAnsi"/>
          <w:shd w:val="clear" w:color="auto" w:fill="FFFFFF"/>
          <w:lang w:val="en-GB"/>
        </w:rPr>
        <w:t xml:space="preserve"> Similarly, Articles 30 and 110 TF</w:t>
      </w:r>
      <w:r w:rsidRPr="00A20E63">
        <w:rPr>
          <w:rFonts w:asciiTheme="minorHAnsi" w:hAnsiTheme="minorHAnsi" w:cstheme="minorHAnsi"/>
          <w:lang w:val="en-GB"/>
        </w:rPr>
        <w:t>EU</w:t>
      </w:r>
      <w:r w:rsidRPr="00A20E63">
        <w:rPr>
          <w:rFonts w:asciiTheme="minorHAnsi" w:hAnsiTheme="minorHAnsi" w:cstheme="minorHAnsi"/>
          <w:shd w:val="clear" w:color="auto" w:fill="FFFFFF"/>
          <w:vertAlign w:val="superscript"/>
          <w:lang w:val="en-GB"/>
        </w:rPr>
        <w:footnoteReference w:id="63"/>
      </w:r>
      <w:r w:rsidRPr="00A20E63">
        <w:rPr>
          <w:rFonts w:asciiTheme="minorHAnsi" w:hAnsiTheme="minorHAnsi" w:cstheme="minorHAnsi"/>
          <w:shd w:val="clear" w:color="auto" w:fill="FFFFFF"/>
          <w:lang w:val="en-GB"/>
        </w:rPr>
        <w:t xml:space="preserve"> that prohibit customs duties and discriminatory internal taxation on imported goods from </w:t>
      </w:r>
      <w:r w:rsidRPr="00A20E63">
        <w:rPr>
          <w:rFonts w:asciiTheme="minorHAnsi" w:hAnsiTheme="minorHAnsi" w:cstheme="minorHAnsi"/>
          <w:lang w:val="en-GB"/>
        </w:rPr>
        <w:t>EU</w:t>
      </w:r>
      <w:r w:rsidRPr="00A20E63">
        <w:rPr>
          <w:rFonts w:asciiTheme="minorHAnsi" w:hAnsiTheme="minorHAnsi" w:cstheme="minorHAnsi"/>
          <w:shd w:val="clear" w:color="auto" w:fill="FFFFFF"/>
          <w:lang w:val="en-GB"/>
        </w:rPr>
        <w:t xml:space="preserve"> Member States and a significant part of the </w:t>
      </w:r>
      <w:r w:rsidRPr="00A20E63">
        <w:rPr>
          <w:rFonts w:asciiTheme="minorHAnsi" w:hAnsiTheme="minorHAnsi" w:cstheme="minorHAnsi"/>
          <w:lang w:val="en-GB"/>
        </w:rPr>
        <w:t>EU</w:t>
      </w:r>
      <w:r w:rsidRPr="00A20E63">
        <w:rPr>
          <w:rFonts w:asciiTheme="minorHAnsi" w:hAnsiTheme="minorHAnsi" w:cstheme="minorHAnsi"/>
          <w:shd w:val="clear" w:color="auto" w:fill="FFFFFF"/>
          <w:lang w:val="en-GB"/>
        </w:rPr>
        <w:t xml:space="preserve"> </w:t>
      </w:r>
      <w:r w:rsidRPr="00A20E63">
        <w:rPr>
          <w:rFonts w:asciiTheme="minorHAnsi" w:hAnsiTheme="minorHAnsi" w:cstheme="minorHAnsi"/>
          <w:i/>
          <w:shd w:val="clear" w:color="auto" w:fill="FFFFFF"/>
          <w:lang w:val="en-GB"/>
        </w:rPr>
        <w:t xml:space="preserve">acquis </w:t>
      </w:r>
      <w:r w:rsidRPr="00A20E63">
        <w:rPr>
          <w:rFonts w:asciiTheme="minorHAnsi" w:hAnsiTheme="minorHAnsi" w:cstheme="minorHAnsi"/>
          <w:shd w:val="clear" w:color="auto" w:fill="FFFFFF"/>
          <w:lang w:val="en-GB"/>
        </w:rPr>
        <w:t>on the free movement of goods remain applicable with regard to Northern Ireland,</w:t>
      </w:r>
      <w:r w:rsidRPr="00A20E63">
        <w:rPr>
          <w:rFonts w:asciiTheme="minorHAnsi" w:hAnsiTheme="minorHAnsi" w:cstheme="minorHAnsi"/>
          <w:shd w:val="clear" w:color="auto" w:fill="FFFFFF"/>
          <w:vertAlign w:val="superscript"/>
          <w:lang w:val="en-GB"/>
        </w:rPr>
        <w:footnoteReference w:id="64"/>
      </w:r>
      <w:r w:rsidRPr="00A20E63">
        <w:rPr>
          <w:rFonts w:asciiTheme="minorHAnsi" w:hAnsiTheme="minorHAnsi" w:cstheme="minorHAnsi"/>
          <w:shd w:val="clear" w:color="auto" w:fill="FFFFFF"/>
          <w:lang w:val="en-GB"/>
        </w:rPr>
        <w:t xml:space="preserve"> as is the case for </w:t>
      </w:r>
      <w:r w:rsidRPr="00A20E63">
        <w:rPr>
          <w:rFonts w:asciiTheme="minorHAnsi" w:hAnsiTheme="minorHAnsi" w:cstheme="minorHAnsi"/>
          <w:lang w:val="en-GB"/>
        </w:rPr>
        <w:t>EU</w:t>
      </w:r>
      <w:r w:rsidRPr="00A20E63">
        <w:rPr>
          <w:rFonts w:asciiTheme="minorHAnsi" w:hAnsiTheme="minorHAnsi" w:cstheme="minorHAnsi"/>
          <w:shd w:val="clear" w:color="auto" w:fill="FFFFFF"/>
          <w:lang w:val="en-GB"/>
        </w:rPr>
        <w:t xml:space="preserve"> law provisions concerning VAT and excise.</w:t>
      </w:r>
      <w:r w:rsidRPr="00A20E63">
        <w:rPr>
          <w:rFonts w:asciiTheme="minorHAnsi" w:hAnsiTheme="minorHAnsi" w:cstheme="minorHAnsi"/>
          <w:shd w:val="clear" w:color="auto" w:fill="FFFFFF"/>
          <w:vertAlign w:val="superscript"/>
          <w:lang w:val="en-GB"/>
        </w:rPr>
        <w:footnoteReference w:id="65"/>
      </w:r>
      <w:r w:rsidRPr="00A20E63">
        <w:rPr>
          <w:rFonts w:asciiTheme="minorHAnsi" w:hAnsiTheme="minorHAnsi" w:cstheme="minorHAnsi"/>
          <w:shd w:val="clear" w:color="auto" w:fill="FFFFFF"/>
          <w:lang w:val="en-GB"/>
        </w:rPr>
        <w:t xml:space="preserve"> This makes the region </w:t>
      </w:r>
      <w:r w:rsidRPr="00A20E63">
        <w:rPr>
          <w:rFonts w:asciiTheme="minorHAnsi" w:hAnsiTheme="minorHAnsi" w:cstheme="minorHAnsi"/>
          <w:i/>
          <w:iCs/>
          <w:shd w:val="clear" w:color="auto" w:fill="FFFFFF"/>
          <w:lang w:val="en-GB"/>
        </w:rPr>
        <w:t xml:space="preserve">de facto </w:t>
      </w:r>
      <w:r w:rsidRPr="00A20E63">
        <w:rPr>
          <w:rFonts w:asciiTheme="minorHAnsi" w:hAnsiTheme="minorHAnsi" w:cstheme="minorHAnsi"/>
          <w:shd w:val="clear" w:color="auto" w:fill="FFFFFF"/>
          <w:lang w:val="en-GB"/>
        </w:rPr>
        <w:t xml:space="preserve">part of the </w:t>
      </w:r>
      <w:r w:rsidRPr="00A20E63">
        <w:rPr>
          <w:rFonts w:asciiTheme="minorHAnsi" w:hAnsiTheme="minorHAnsi" w:cstheme="minorHAnsi"/>
          <w:lang w:val="en-GB"/>
        </w:rPr>
        <w:t>EU</w:t>
      </w:r>
      <w:r w:rsidRPr="00A20E63">
        <w:rPr>
          <w:rFonts w:asciiTheme="minorHAnsi" w:hAnsiTheme="minorHAnsi" w:cstheme="minorHAnsi"/>
          <w:shd w:val="clear" w:color="auto" w:fill="FFFFFF"/>
          <w:lang w:val="en-GB"/>
        </w:rPr>
        <w:t xml:space="preserve"> customs territory in the sense that this crucial part of the law of the </w:t>
      </w:r>
      <w:r w:rsidRPr="00A20E63">
        <w:rPr>
          <w:rFonts w:asciiTheme="minorHAnsi" w:hAnsiTheme="minorHAnsi" w:cstheme="minorHAnsi"/>
          <w:lang w:val="en-GB"/>
        </w:rPr>
        <w:t>EU</w:t>
      </w:r>
      <w:r w:rsidRPr="00A20E63">
        <w:rPr>
          <w:rFonts w:asciiTheme="minorHAnsi" w:hAnsiTheme="minorHAnsi" w:cstheme="minorHAnsi"/>
          <w:shd w:val="clear" w:color="auto" w:fill="FFFFFF"/>
          <w:lang w:val="en-GB"/>
        </w:rPr>
        <w:t xml:space="preserve"> internal market enjoys extraterritorial application over this area.</w:t>
      </w:r>
    </w:p>
    <w:p w14:paraId="5BAB2523" w14:textId="245234AE" w:rsidR="00A20E63" w:rsidRPr="00A20E63" w:rsidRDefault="00A20E63" w:rsidP="00E44EAF">
      <w:pPr>
        <w:pStyle w:val="TextInd"/>
        <w:jc w:val="both"/>
        <w:rPr>
          <w:rFonts w:asciiTheme="minorHAnsi" w:hAnsiTheme="minorHAnsi" w:cstheme="minorHAnsi"/>
          <w:lang w:val="en-GB"/>
        </w:rPr>
      </w:pPr>
      <w:r w:rsidRPr="00A20E63">
        <w:rPr>
          <w:rFonts w:asciiTheme="minorHAnsi" w:hAnsiTheme="minorHAnsi" w:cstheme="minorHAnsi"/>
          <w:shd w:val="clear" w:color="auto" w:fill="FFFFFF"/>
          <w:lang w:val="en-GB"/>
        </w:rPr>
        <w:t>In practice, this hybrid regime mean</w:t>
      </w:r>
      <w:r w:rsidR="00E40453">
        <w:rPr>
          <w:rFonts w:asciiTheme="minorHAnsi" w:hAnsiTheme="minorHAnsi" w:cstheme="minorHAnsi"/>
          <w:shd w:val="clear" w:color="auto" w:fill="FFFFFF"/>
          <w:lang w:val="en-GB"/>
        </w:rPr>
        <w:t>t</w:t>
      </w:r>
      <w:r w:rsidRPr="00A20E63">
        <w:rPr>
          <w:rFonts w:asciiTheme="minorHAnsi" w:hAnsiTheme="minorHAnsi" w:cstheme="minorHAnsi"/>
          <w:shd w:val="clear" w:color="auto" w:fill="FFFFFF"/>
          <w:lang w:val="en-GB"/>
        </w:rPr>
        <w:t xml:space="preserve"> that after the end of the transition period, trade between the two shores of the Irish Sea </w:t>
      </w:r>
      <w:r w:rsidR="00E40453">
        <w:rPr>
          <w:rFonts w:asciiTheme="minorHAnsi" w:hAnsiTheme="minorHAnsi" w:cstheme="minorHAnsi"/>
          <w:shd w:val="clear" w:color="auto" w:fill="FFFFFF"/>
          <w:lang w:val="en-GB"/>
        </w:rPr>
        <w:t>would</w:t>
      </w:r>
      <w:r w:rsidRPr="00A20E63">
        <w:rPr>
          <w:rFonts w:asciiTheme="minorHAnsi" w:hAnsiTheme="minorHAnsi" w:cstheme="minorHAnsi"/>
          <w:shd w:val="clear" w:color="auto" w:fill="FFFFFF"/>
          <w:lang w:val="en-GB"/>
        </w:rPr>
        <w:t xml:space="preserve"> not</w:t>
      </w:r>
      <w:r w:rsidR="00E40453">
        <w:rPr>
          <w:rFonts w:asciiTheme="minorHAnsi" w:hAnsiTheme="minorHAnsi" w:cstheme="minorHAnsi"/>
          <w:shd w:val="clear" w:color="auto" w:fill="FFFFFF"/>
          <w:lang w:val="en-GB"/>
        </w:rPr>
        <w:t xml:space="preserve"> be</w:t>
      </w:r>
      <w:r w:rsidRPr="00A20E63">
        <w:rPr>
          <w:rFonts w:asciiTheme="minorHAnsi" w:hAnsiTheme="minorHAnsi" w:cstheme="minorHAnsi"/>
          <w:shd w:val="clear" w:color="auto" w:fill="FFFFFF"/>
          <w:lang w:val="en-GB"/>
        </w:rPr>
        <w:t xml:space="preserve"> frictionless anymore. According to Article 263 of the Union Customs Code, goods that are taken out of Northern Ireland and sent to Great Britain </w:t>
      </w:r>
      <w:r w:rsidR="00AE2E0B">
        <w:rPr>
          <w:rFonts w:asciiTheme="minorHAnsi" w:hAnsiTheme="minorHAnsi" w:cstheme="minorHAnsi"/>
          <w:shd w:val="clear" w:color="auto" w:fill="FFFFFF"/>
          <w:lang w:val="en-GB"/>
        </w:rPr>
        <w:t xml:space="preserve">would </w:t>
      </w:r>
      <w:r w:rsidRPr="00A20E63">
        <w:rPr>
          <w:rFonts w:asciiTheme="minorHAnsi" w:hAnsiTheme="minorHAnsi" w:cstheme="minorHAnsi"/>
          <w:shd w:val="clear" w:color="auto" w:fill="FFFFFF"/>
          <w:lang w:val="en-GB"/>
        </w:rPr>
        <w:t xml:space="preserve">have to be covered by a pre-departure declaration. The situation </w:t>
      </w:r>
      <w:r w:rsidR="00E40453">
        <w:rPr>
          <w:rFonts w:asciiTheme="minorHAnsi" w:hAnsiTheme="minorHAnsi" w:cstheme="minorHAnsi"/>
          <w:shd w:val="clear" w:color="auto" w:fill="FFFFFF"/>
          <w:lang w:val="en-GB"/>
        </w:rPr>
        <w:t>would be</w:t>
      </w:r>
      <w:r w:rsidRPr="00A20E63">
        <w:rPr>
          <w:rFonts w:asciiTheme="minorHAnsi" w:hAnsiTheme="minorHAnsi" w:cstheme="minorHAnsi"/>
          <w:shd w:val="clear" w:color="auto" w:fill="FFFFFF"/>
          <w:lang w:val="en-GB"/>
        </w:rPr>
        <w:t xml:space="preserve"> significantly more complicated for trade flows in the opposite direction: from Great Britain to Northern Ireland. Apart from complying with </w:t>
      </w:r>
      <w:r w:rsidRPr="00A20E63">
        <w:rPr>
          <w:rFonts w:asciiTheme="minorHAnsi" w:hAnsiTheme="minorHAnsi" w:cstheme="minorHAnsi"/>
          <w:lang w:val="en-GB"/>
        </w:rPr>
        <w:t>EU</w:t>
      </w:r>
      <w:r w:rsidRPr="00A20E63">
        <w:rPr>
          <w:rFonts w:asciiTheme="minorHAnsi" w:hAnsiTheme="minorHAnsi" w:cstheme="minorHAnsi"/>
          <w:shd w:val="clear" w:color="auto" w:fill="FFFFFF"/>
          <w:lang w:val="en-GB"/>
        </w:rPr>
        <w:t xml:space="preserve"> import formalities, including entry summary declarations and customs declarations, traders </w:t>
      </w:r>
      <w:r w:rsidR="00E40453">
        <w:rPr>
          <w:rFonts w:asciiTheme="minorHAnsi" w:hAnsiTheme="minorHAnsi" w:cstheme="minorHAnsi"/>
          <w:shd w:val="clear" w:color="auto" w:fill="FFFFFF"/>
          <w:lang w:val="en-GB"/>
        </w:rPr>
        <w:t>would</w:t>
      </w:r>
      <w:r w:rsidRPr="00A20E63">
        <w:rPr>
          <w:rFonts w:asciiTheme="minorHAnsi" w:hAnsiTheme="minorHAnsi" w:cstheme="minorHAnsi"/>
          <w:shd w:val="clear" w:color="auto" w:fill="FFFFFF"/>
          <w:lang w:val="en-GB"/>
        </w:rPr>
        <w:t xml:space="preserve"> also face tariffs if the relevant goods </w:t>
      </w:r>
      <w:r w:rsidR="00AE2E0B">
        <w:rPr>
          <w:rFonts w:asciiTheme="minorHAnsi" w:hAnsiTheme="minorHAnsi" w:cstheme="minorHAnsi"/>
          <w:shd w:val="clear" w:color="auto" w:fill="FFFFFF"/>
          <w:lang w:val="en-GB"/>
        </w:rPr>
        <w:t>we</w:t>
      </w:r>
      <w:r w:rsidRPr="00A20E63">
        <w:rPr>
          <w:rFonts w:asciiTheme="minorHAnsi" w:hAnsiTheme="minorHAnsi" w:cstheme="minorHAnsi"/>
          <w:shd w:val="clear" w:color="auto" w:fill="FFFFFF"/>
          <w:lang w:val="en-GB"/>
        </w:rPr>
        <w:t xml:space="preserve">re not wholly obtained in the </w:t>
      </w:r>
      <w:r w:rsidRPr="00A20E63">
        <w:rPr>
          <w:rFonts w:asciiTheme="minorHAnsi" w:hAnsiTheme="minorHAnsi" w:cstheme="minorHAnsi"/>
          <w:iCs/>
          <w:lang w:val="en-GB"/>
        </w:rPr>
        <w:t>United Kingdom</w:t>
      </w:r>
      <w:r w:rsidRPr="00A20E63">
        <w:rPr>
          <w:rFonts w:asciiTheme="minorHAnsi" w:hAnsiTheme="minorHAnsi" w:cstheme="minorHAnsi"/>
          <w:shd w:val="clear" w:color="auto" w:fill="FFFFFF"/>
          <w:lang w:val="en-GB"/>
        </w:rPr>
        <w:t xml:space="preserve">. </w:t>
      </w:r>
      <w:r w:rsidR="00AE2E0B">
        <w:rPr>
          <w:rFonts w:asciiTheme="minorHAnsi" w:hAnsiTheme="minorHAnsi" w:cstheme="minorHAnsi"/>
          <w:lang w:val="en-GB"/>
        </w:rPr>
        <w:t>More importantly</w:t>
      </w:r>
      <w:r w:rsidRPr="00A20E63">
        <w:rPr>
          <w:rFonts w:asciiTheme="minorHAnsi" w:hAnsiTheme="minorHAnsi" w:cstheme="minorHAnsi"/>
          <w:shd w:val="clear" w:color="auto" w:fill="FFFFFF"/>
          <w:lang w:val="en-GB"/>
        </w:rPr>
        <w:t>, when it c</w:t>
      </w:r>
      <w:r w:rsidR="00AE2E0B">
        <w:rPr>
          <w:rFonts w:asciiTheme="minorHAnsi" w:hAnsiTheme="minorHAnsi" w:cstheme="minorHAnsi"/>
          <w:shd w:val="clear" w:color="auto" w:fill="FFFFFF"/>
          <w:lang w:val="en-GB"/>
        </w:rPr>
        <w:t>a</w:t>
      </w:r>
      <w:r w:rsidRPr="00A20E63">
        <w:rPr>
          <w:rFonts w:asciiTheme="minorHAnsi" w:hAnsiTheme="minorHAnsi" w:cstheme="minorHAnsi"/>
          <w:shd w:val="clear" w:color="auto" w:fill="FFFFFF"/>
          <w:lang w:val="en-GB"/>
        </w:rPr>
        <w:t>me to live animals, animal products and plants, systematic sanitary and phytosanitary checks</w:t>
      </w:r>
      <w:r w:rsidR="00E40453">
        <w:rPr>
          <w:rFonts w:asciiTheme="minorHAnsi" w:hAnsiTheme="minorHAnsi" w:cstheme="minorHAnsi"/>
          <w:shd w:val="clear" w:color="auto" w:fill="FFFFFF"/>
          <w:lang w:val="en-GB"/>
        </w:rPr>
        <w:t xml:space="preserve"> </w:t>
      </w:r>
      <w:r w:rsidR="00AE2E0B">
        <w:rPr>
          <w:rFonts w:asciiTheme="minorHAnsi" w:hAnsiTheme="minorHAnsi" w:cstheme="minorHAnsi"/>
          <w:shd w:val="clear" w:color="auto" w:fill="FFFFFF"/>
          <w:lang w:val="en-GB"/>
        </w:rPr>
        <w:t>would be</w:t>
      </w:r>
      <w:r w:rsidR="00E40453">
        <w:rPr>
          <w:rFonts w:asciiTheme="minorHAnsi" w:hAnsiTheme="minorHAnsi" w:cstheme="minorHAnsi"/>
          <w:shd w:val="clear" w:color="auto" w:fill="FFFFFF"/>
          <w:lang w:val="en-GB"/>
        </w:rPr>
        <w:t xml:space="preserve"> required to</w:t>
      </w:r>
      <w:r w:rsidRPr="00A20E63">
        <w:rPr>
          <w:rFonts w:asciiTheme="minorHAnsi" w:hAnsiTheme="minorHAnsi" w:cstheme="minorHAnsi"/>
          <w:shd w:val="clear" w:color="auto" w:fill="FFFFFF"/>
          <w:lang w:val="en-GB"/>
        </w:rPr>
        <w:t xml:space="preserve"> take place at entry points to secure the integrity of the Union’s single market.</w:t>
      </w:r>
      <w:r w:rsidRPr="00A20E63">
        <w:rPr>
          <w:rFonts w:asciiTheme="minorHAnsi" w:hAnsiTheme="minorHAnsi" w:cstheme="minorHAnsi"/>
          <w:shd w:val="clear" w:color="auto" w:fill="FFFFFF"/>
          <w:vertAlign w:val="superscript"/>
          <w:lang w:val="en-GB"/>
        </w:rPr>
        <w:footnoteReference w:id="66"/>
      </w:r>
    </w:p>
    <w:p w14:paraId="51F78D14" w14:textId="41FD4E17" w:rsidR="00E40453" w:rsidRDefault="00E40453" w:rsidP="00E44EAF">
      <w:pPr>
        <w:pStyle w:val="TextInd"/>
        <w:jc w:val="both"/>
        <w:rPr>
          <w:rFonts w:asciiTheme="minorHAnsi" w:hAnsiTheme="minorHAnsi" w:cstheme="minorHAnsi"/>
          <w:shd w:val="clear" w:color="auto" w:fill="FFFFFF"/>
          <w:lang w:val="en-GB"/>
        </w:rPr>
      </w:pPr>
      <w:r>
        <w:rPr>
          <w:rFonts w:asciiTheme="minorHAnsi" w:hAnsiTheme="minorHAnsi" w:cstheme="minorHAnsi"/>
          <w:shd w:val="clear" w:color="auto" w:fill="FFFFFF"/>
          <w:lang w:val="en-GB"/>
        </w:rPr>
        <w:t>Initially</w:t>
      </w:r>
      <w:r w:rsidR="00A20E63" w:rsidRPr="00A20E63">
        <w:rPr>
          <w:rFonts w:asciiTheme="minorHAnsi" w:hAnsiTheme="minorHAnsi" w:cstheme="minorHAnsi"/>
          <w:shd w:val="clear" w:color="auto" w:fill="FFFFFF"/>
          <w:lang w:val="en-GB"/>
        </w:rPr>
        <w:t xml:space="preserve">, those unavoidable frictions </w:t>
      </w:r>
      <w:r>
        <w:rPr>
          <w:rFonts w:asciiTheme="minorHAnsi" w:hAnsiTheme="minorHAnsi" w:cstheme="minorHAnsi"/>
          <w:shd w:val="clear" w:color="auto" w:fill="FFFFFF"/>
          <w:lang w:val="en-GB"/>
        </w:rPr>
        <w:t>were</w:t>
      </w:r>
      <w:r w:rsidR="00A20E63" w:rsidRPr="00A20E63">
        <w:rPr>
          <w:rFonts w:asciiTheme="minorHAnsi" w:hAnsiTheme="minorHAnsi" w:cstheme="minorHAnsi"/>
          <w:shd w:val="clear" w:color="auto" w:fill="FFFFFF"/>
          <w:lang w:val="en-GB"/>
        </w:rPr>
        <w:t xml:space="preserve"> largely addressed by allowing for grace periods. With regard to food, for instance, major retailers d</w:t>
      </w:r>
      <w:r>
        <w:rPr>
          <w:rFonts w:asciiTheme="minorHAnsi" w:hAnsiTheme="minorHAnsi" w:cstheme="minorHAnsi"/>
          <w:shd w:val="clear" w:color="auto" w:fill="FFFFFF"/>
          <w:lang w:val="en-GB"/>
        </w:rPr>
        <w:t>id</w:t>
      </w:r>
      <w:r w:rsidR="00A20E63" w:rsidRPr="00A20E63">
        <w:rPr>
          <w:rFonts w:asciiTheme="minorHAnsi" w:hAnsiTheme="minorHAnsi" w:cstheme="minorHAnsi"/>
          <w:shd w:val="clear" w:color="auto" w:fill="FFFFFF"/>
          <w:lang w:val="en-GB"/>
        </w:rPr>
        <w:t xml:space="preserve"> not need to comply with all the </w:t>
      </w:r>
      <w:r w:rsidR="00A20E63" w:rsidRPr="00A20E63">
        <w:rPr>
          <w:rFonts w:asciiTheme="minorHAnsi" w:hAnsiTheme="minorHAnsi" w:cstheme="minorHAnsi"/>
          <w:lang w:val="en-GB"/>
        </w:rPr>
        <w:t>EU</w:t>
      </w:r>
      <w:r w:rsidR="00A20E63" w:rsidRPr="00A20E63">
        <w:rPr>
          <w:rFonts w:asciiTheme="minorHAnsi" w:hAnsiTheme="minorHAnsi" w:cstheme="minorHAnsi"/>
          <w:shd w:val="clear" w:color="auto" w:fill="FFFFFF"/>
          <w:lang w:val="en-GB"/>
        </w:rPr>
        <w:t xml:space="preserve">’s usual certification requirements when importing goods from the rest of the </w:t>
      </w:r>
      <w:r w:rsidR="00A20E63" w:rsidRPr="00A20E63">
        <w:rPr>
          <w:rFonts w:asciiTheme="minorHAnsi" w:hAnsiTheme="minorHAnsi" w:cstheme="minorHAnsi"/>
          <w:iCs/>
          <w:lang w:val="en-GB"/>
        </w:rPr>
        <w:t>United Kingdom</w:t>
      </w:r>
      <w:r w:rsidR="00A20E63" w:rsidRPr="00A20E63">
        <w:rPr>
          <w:rFonts w:asciiTheme="minorHAnsi" w:hAnsiTheme="minorHAnsi" w:cstheme="minorHAnsi"/>
          <w:shd w:val="clear" w:color="auto" w:fill="FFFFFF"/>
          <w:lang w:val="en-GB"/>
        </w:rPr>
        <w:t>. However, once those grace periods expire</w:t>
      </w:r>
      <w:r>
        <w:rPr>
          <w:rFonts w:asciiTheme="minorHAnsi" w:hAnsiTheme="minorHAnsi" w:cstheme="minorHAnsi"/>
          <w:shd w:val="clear" w:color="auto" w:fill="FFFFFF"/>
          <w:lang w:val="en-GB"/>
        </w:rPr>
        <w:t>d</w:t>
      </w:r>
      <w:r w:rsidR="00A20E63" w:rsidRPr="00A20E63">
        <w:rPr>
          <w:rFonts w:asciiTheme="minorHAnsi" w:hAnsiTheme="minorHAnsi" w:cstheme="minorHAnsi"/>
          <w:shd w:val="clear" w:color="auto" w:fill="FFFFFF"/>
          <w:lang w:val="en-GB"/>
        </w:rPr>
        <w:t xml:space="preserve">, there </w:t>
      </w:r>
      <w:r>
        <w:rPr>
          <w:rFonts w:asciiTheme="minorHAnsi" w:hAnsiTheme="minorHAnsi" w:cstheme="minorHAnsi"/>
          <w:shd w:val="clear" w:color="auto" w:fill="FFFFFF"/>
          <w:lang w:val="en-GB"/>
        </w:rPr>
        <w:t xml:space="preserve">was </w:t>
      </w:r>
      <w:r w:rsidR="00A20E63" w:rsidRPr="00A20E63">
        <w:rPr>
          <w:rFonts w:asciiTheme="minorHAnsi" w:hAnsiTheme="minorHAnsi" w:cstheme="minorHAnsi"/>
          <w:shd w:val="clear" w:color="auto" w:fill="FFFFFF"/>
          <w:lang w:val="en-GB"/>
        </w:rPr>
        <w:t xml:space="preserve">the fear that the systems of </w:t>
      </w:r>
      <w:r w:rsidR="00A20E63" w:rsidRPr="00A20E63">
        <w:rPr>
          <w:rFonts w:asciiTheme="minorHAnsi" w:hAnsiTheme="minorHAnsi" w:cstheme="minorHAnsi"/>
          <w:shd w:val="clear" w:color="auto" w:fill="FFFFFF"/>
          <w:lang w:val="en-GB"/>
        </w:rPr>
        <w:lastRenderedPageBreak/>
        <w:t xml:space="preserve">those supermarkets and other retailers would be overwhelmed by the existence of complex bureaucratic requirements. </w:t>
      </w:r>
    </w:p>
    <w:p w14:paraId="1EF79F85" w14:textId="2C662613" w:rsidR="00E40453" w:rsidRPr="00603FDB" w:rsidRDefault="0005656A" w:rsidP="00E44EAF">
      <w:pPr>
        <w:pStyle w:val="TextInd"/>
        <w:jc w:val="both"/>
        <w:rPr>
          <w:rFonts w:asciiTheme="minorHAnsi" w:hAnsiTheme="minorHAnsi" w:cstheme="minorHAnsi"/>
          <w:shd w:val="clear" w:color="auto" w:fill="FFFFFF"/>
          <w:lang w:val="en-GB"/>
        </w:rPr>
      </w:pPr>
      <w:r w:rsidRPr="00603FDB">
        <w:rPr>
          <w:rFonts w:asciiTheme="minorHAnsi" w:hAnsiTheme="minorHAnsi" w:cstheme="minorHAnsi"/>
          <w:shd w:val="clear" w:color="auto" w:fill="FFFFFF"/>
          <w:lang w:val="en-GB"/>
        </w:rPr>
        <w:t>Realising the significant risks this could entail for the economy and the politics of the re</w:t>
      </w:r>
      <w:r w:rsidR="00D96AAE" w:rsidRPr="00603FDB">
        <w:rPr>
          <w:rFonts w:asciiTheme="minorHAnsi" w:hAnsiTheme="minorHAnsi" w:cstheme="minorHAnsi"/>
          <w:shd w:val="clear" w:color="auto" w:fill="FFFFFF"/>
          <w:lang w:val="en-GB"/>
        </w:rPr>
        <w:t>gion, the EU and the UK reached a compromise in agreeing the Windsor Framework. This ‘permits the partial disapplication of EU rules for goods provided their final destination is in Northern Ireland.’</w:t>
      </w:r>
      <w:r w:rsidR="00D96AAE" w:rsidRPr="00603FDB">
        <w:rPr>
          <w:rStyle w:val="FootnoteReference"/>
          <w:rFonts w:asciiTheme="minorHAnsi" w:hAnsiTheme="minorHAnsi" w:cstheme="minorHAnsi"/>
          <w:shd w:val="clear" w:color="auto" w:fill="FFFFFF"/>
          <w:lang w:val="en-GB"/>
        </w:rPr>
        <w:footnoteReference w:id="67"/>
      </w:r>
      <w:r w:rsidR="00C80314" w:rsidRPr="00603FDB">
        <w:rPr>
          <w:rFonts w:asciiTheme="minorHAnsi" w:hAnsiTheme="minorHAnsi" w:cstheme="minorHAnsi"/>
          <w:shd w:val="clear" w:color="auto" w:fill="FFFFFF"/>
          <w:lang w:val="en-GB"/>
        </w:rPr>
        <w:t xml:space="preserve"> Following this agreement, the amended Article 6(2) of the Protocol allows </w:t>
      </w:r>
    </w:p>
    <w:p w14:paraId="633799F4" w14:textId="5BA2246E" w:rsidR="00C80314" w:rsidRPr="00603FDB" w:rsidRDefault="00C80314" w:rsidP="00E44EAF">
      <w:pPr>
        <w:pStyle w:val="TextInd"/>
        <w:ind w:left="720" w:right="720" w:firstLine="0"/>
        <w:jc w:val="both"/>
        <w:rPr>
          <w:rFonts w:asciiTheme="minorHAnsi" w:hAnsiTheme="minorHAnsi" w:cstheme="minorHAnsi"/>
          <w:shd w:val="clear" w:color="auto" w:fill="FFFFFF"/>
          <w:lang w:val="en-GB"/>
        </w:rPr>
      </w:pPr>
      <w:r w:rsidRPr="00603FDB">
        <w:rPr>
          <w:rFonts w:asciiTheme="minorHAnsi" w:hAnsiTheme="minorHAnsi" w:cstheme="minorHAnsi"/>
        </w:rPr>
        <w:t>specific arrangements for the movement of goods within the</w:t>
      </w:r>
      <w:r w:rsidR="00CE7458" w:rsidRPr="00603FDB">
        <w:rPr>
          <w:rFonts w:asciiTheme="minorHAnsi" w:hAnsiTheme="minorHAnsi" w:cstheme="minorHAnsi"/>
        </w:rPr>
        <w:t xml:space="preserve"> </w:t>
      </w:r>
      <w:proofErr w:type="gramStart"/>
      <w:r w:rsidRPr="00603FDB">
        <w:rPr>
          <w:rFonts w:asciiTheme="minorHAnsi" w:hAnsiTheme="minorHAnsi" w:cstheme="minorHAnsi"/>
        </w:rPr>
        <w:t xml:space="preserve">United </w:t>
      </w:r>
      <w:r w:rsidR="0092007B">
        <w:rPr>
          <w:rFonts w:asciiTheme="minorHAnsi" w:hAnsiTheme="minorHAnsi" w:cstheme="minorHAnsi"/>
        </w:rPr>
        <w:t xml:space="preserve"> </w:t>
      </w:r>
      <w:r w:rsidRPr="00603FDB">
        <w:rPr>
          <w:rFonts w:asciiTheme="minorHAnsi" w:hAnsiTheme="minorHAnsi" w:cstheme="minorHAnsi"/>
        </w:rPr>
        <w:t>Kingdom’s</w:t>
      </w:r>
      <w:proofErr w:type="gramEnd"/>
      <w:r w:rsidRPr="00603FDB">
        <w:rPr>
          <w:rFonts w:asciiTheme="minorHAnsi" w:hAnsiTheme="minorHAnsi" w:cstheme="minorHAnsi"/>
        </w:rPr>
        <w:t xml:space="preserve">  internal  market,  consistent  with  Northern Ireland’s position as part of the customs territory of the United Kingdom in accordance with this Protocol, where the goods are destined for final consumption or final use in Northern Ireland and where the necessary safeguards are in place to protect the integrity of the Union’s internal market and customs union.</w:t>
      </w:r>
    </w:p>
    <w:p w14:paraId="21261E93" w14:textId="65A6E208" w:rsidR="00CE7458" w:rsidRDefault="00CE7458" w:rsidP="00E44EAF">
      <w:pPr>
        <w:pStyle w:val="TextInd"/>
        <w:ind w:firstLine="0"/>
        <w:jc w:val="both"/>
        <w:rPr>
          <w:rFonts w:asciiTheme="minorHAnsi" w:hAnsiTheme="minorHAnsi" w:cstheme="minorHAnsi"/>
          <w:shd w:val="clear" w:color="auto" w:fill="FFFFFF"/>
          <w:lang w:val="en-GB"/>
        </w:rPr>
      </w:pPr>
      <w:r w:rsidRPr="00603FDB">
        <w:rPr>
          <w:rFonts w:asciiTheme="minorHAnsi" w:hAnsiTheme="minorHAnsi" w:cstheme="minorHAnsi"/>
          <w:shd w:val="clear" w:color="auto" w:fill="FFFFFF"/>
          <w:lang w:val="en-GB"/>
        </w:rPr>
        <w:t>In essence, this arrangement creates a ‘green lane’</w:t>
      </w:r>
      <w:r w:rsidR="00603FDB" w:rsidRPr="00603FDB">
        <w:rPr>
          <w:rFonts w:asciiTheme="minorHAnsi" w:hAnsiTheme="minorHAnsi" w:cstheme="minorHAnsi"/>
          <w:shd w:val="clear" w:color="auto" w:fill="FFFFFF"/>
          <w:lang w:val="en-GB"/>
        </w:rPr>
        <w:t xml:space="preserve"> </w:t>
      </w:r>
      <w:r w:rsidRPr="00603FDB">
        <w:rPr>
          <w:rFonts w:asciiTheme="minorHAnsi" w:hAnsiTheme="minorHAnsi" w:cstheme="minorHAnsi"/>
        </w:rPr>
        <w:t xml:space="preserve">through which goods </w:t>
      </w:r>
      <w:r w:rsidR="00603FDB" w:rsidRPr="00603FDB">
        <w:rPr>
          <w:rFonts w:asciiTheme="minorHAnsi" w:hAnsiTheme="minorHAnsi" w:cstheme="minorHAnsi"/>
        </w:rPr>
        <w:t>coming to</w:t>
      </w:r>
      <w:r w:rsidRPr="00603FDB">
        <w:rPr>
          <w:rFonts w:asciiTheme="minorHAnsi" w:hAnsiTheme="minorHAnsi" w:cstheme="minorHAnsi"/>
        </w:rPr>
        <w:t xml:space="preserve"> Northern Ireland </w:t>
      </w:r>
      <w:r w:rsidR="00603FDB" w:rsidRPr="00603FDB">
        <w:rPr>
          <w:rFonts w:asciiTheme="minorHAnsi" w:hAnsiTheme="minorHAnsi" w:cstheme="minorHAnsi"/>
        </w:rPr>
        <w:t xml:space="preserve">from the rest of the UK </w:t>
      </w:r>
      <w:r w:rsidRPr="00603FDB">
        <w:rPr>
          <w:rFonts w:asciiTheme="minorHAnsi" w:hAnsiTheme="minorHAnsi" w:cstheme="minorHAnsi"/>
        </w:rPr>
        <w:t xml:space="preserve">are moved with greater ease than those which are at risk of </w:t>
      </w:r>
      <w:r w:rsidR="0092007B">
        <w:rPr>
          <w:rFonts w:asciiTheme="minorHAnsi" w:hAnsiTheme="minorHAnsi" w:cstheme="minorHAnsi"/>
        </w:rPr>
        <w:t>moving to</w:t>
      </w:r>
      <w:r w:rsidRPr="00603FDB">
        <w:rPr>
          <w:rFonts w:asciiTheme="minorHAnsi" w:hAnsiTheme="minorHAnsi" w:cstheme="minorHAnsi"/>
        </w:rPr>
        <w:t xml:space="preserve"> the EU.</w:t>
      </w:r>
      <w:r w:rsidR="0092007B">
        <w:rPr>
          <w:rStyle w:val="FootnoteReference"/>
          <w:rFonts w:asciiTheme="minorHAnsi" w:hAnsiTheme="minorHAnsi" w:cstheme="minorHAnsi"/>
        </w:rPr>
        <w:footnoteReference w:id="68"/>
      </w:r>
      <w:r w:rsidRPr="00603FDB">
        <w:rPr>
          <w:rFonts w:asciiTheme="minorHAnsi" w:hAnsiTheme="minorHAnsi" w:cstheme="minorHAnsi"/>
        </w:rPr>
        <w:t xml:space="preserve"> </w:t>
      </w:r>
      <w:r w:rsidR="0092007B">
        <w:rPr>
          <w:rFonts w:asciiTheme="minorHAnsi" w:hAnsiTheme="minorHAnsi" w:cstheme="minorHAnsi"/>
        </w:rPr>
        <w:t>‘</w:t>
      </w:r>
      <w:r w:rsidRPr="00603FDB">
        <w:rPr>
          <w:rFonts w:asciiTheme="minorHAnsi" w:hAnsiTheme="minorHAnsi" w:cstheme="minorHAnsi"/>
        </w:rPr>
        <w:t xml:space="preserve">The latter transit the Irish Sea on the basis of </w:t>
      </w:r>
      <w:r w:rsidR="0092007B">
        <w:rPr>
          <w:rFonts w:asciiTheme="minorHAnsi" w:hAnsiTheme="minorHAnsi" w:cstheme="minorHAnsi"/>
        </w:rPr>
        <w:t>“</w:t>
      </w:r>
      <w:r w:rsidRPr="00603FDB">
        <w:rPr>
          <w:rFonts w:asciiTheme="minorHAnsi" w:hAnsiTheme="minorHAnsi" w:cstheme="minorHAnsi"/>
        </w:rPr>
        <w:t>red lane</w:t>
      </w:r>
      <w:r w:rsidR="0092007B">
        <w:rPr>
          <w:rFonts w:asciiTheme="minorHAnsi" w:hAnsiTheme="minorHAnsi" w:cstheme="minorHAnsi"/>
        </w:rPr>
        <w:t>”</w:t>
      </w:r>
      <w:r w:rsidRPr="00603FDB">
        <w:rPr>
          <w:rFonts w:asciiTheme="minorHAnsi" w:hAnsiTheme="minorHAnsi" w:cstheme="minorHAnsi"/>
        </w:rPr>
        <w:t xml:space="preserve"> arrangements, to be applied at the Irish Sea border as if the goods were entering the Single Market</w:t>
      </w:r>
      <w:r w:rsidR="0092007B">
        <w:rPr>
          <w:rFonts w:asciiTheme="minorHAnsi" w:hAnsiTheme="minorHAnsi" w:cstheme="minorHAnsi"/>
        </w:rPr>
        <w:t xml:space="preserve"> from’ a third country.</w:t>
      </w:r>
      <w:r w:rsidR="0092007B">
        <w:rPr>
          <w:rStyle w:val="FootnoteReference"/>
          <w:rFonts w:asciiTheme="minorHAnsi" w:hAnsiTheme="minorHAnsi" w:cstheme="minorHAnsi"/>
        </w:rPr>
        <w:footnoteReference w:id="69"/>
      </w:r>
    </w:p>
    <w:p w14:paraId="4FBCA341" w14:textId="7E713D4C" w:rsidR="00A20E63" w:rsidRPr="00A20E63" w:rsidRDefault="0092007B" w:rsidP="00E44EAF">
      <w:pPr>
        <w:pStyle w:val="TextInd"/>
        <w:jc w:val="both"/>
        <w:rPr>
          <w:rFonts w:asciiTheme="minorHAnsi" w:hAnsiTheme="minorHAnsi" w:cstheme="minorHAnsi"/>
          <w:lang w:val="en-GB"/>
        </w:rPr>
      </w:pPr>
      <w:r>
        <w:rPr>
          <w:rFonts w:asciiTheme="minorHAnsi" w:hAnsiTheme="minorHAnsi" w:cstheme="minorHAnsi"/>
          <w:shd w:val="clear" w:color="auto" w:fill="FFFFFF"/>
          <w:lang w:val="en-GB"/>
        </w:rPr>
        <w:t xml:space="preserve">Overall, like in the case of Cyprus, the EU legal order managed to accommodate </w:t>
      </w:r>
      <w:r w:rsidR="00112471">
        <w:rPr>
          <w:rFonts w:asciiTheme="minorHAnsi" w:hAnsiTheme="minorHAnsi" w:cstheme="minorHAnsi"/>
          <w:shd w:val="clear" w:color="auto" w:fill="FFFFFF"/>
          <w:lang w:val="en-GB"/>
        </w:rPr>
        <w:t>the</w:t>
      </w:r>
      <w:r>
        <w:rPr>
          <w:rFonts w:asciiTheme="minorHAnsi" w:hAnsiTheme="minorHAnsi" w:cstheme="minorHAnsi"/>
          <w:shd w:val="clear" w:color="auto" w:fill="FFFFFF"/>
          <w:lang w:val="en-GB"/>
        </w:rPr>
        <w:t xml:space="preserve"> territorial contestation</w:t>
      </w:r>
      <w:r w:rsidR="00112471">
        <w:rPr>
          <w:rFonts w:asciiTheme="minorHAnsi" w:hAnsiTheme="minorHAnsi" w:cstheme="minorHAnsi"/>
          <w:shd w:val="clear" w:color="auto" w:fill="FFFFFF"/>
          <w:lang w:val="en-GB"/>
        </w:rPr>
        <w:t xml:space="preserve"> on the island of Ireland</w:t>
      </w:r>
      <w:r>
        <w:rPr>
          <w:rFonts w:asciiTheme="minorHAnsi" w:hAnsiTheme="minorHAnsi" w:cstheme="minorHAnsi"/>
          <w:shd w:val="clear" w:color="auto" w:fill="FFFFFF"/>
          <w:lang w:val="en-GB"/>
        </w:rPr>
        <w:t xml:space="preserve"> by </w:t>
      </w:r>
      <w:r w:rsidR="00112471">
        <w:rPr>
          <w:rFonts w:asciiTheme="minorHAnsi" w:hAnsiTheme="minorHAnsi" w:cstheme="minorHAnsi"/>
          <w:shd w:val="clear" w:color="auto" w:fill="FFFFFF"/>
          <w:lang w:val="en-GB"/>
        </w:rPr>
        <w:t>apply</w:t>
      </w:r>
      <w:r>
        <w:rPr>
          <w:rFonts w:asciiTheme="minorHAnsi" w:hAnsiTheme="minorHAnsi" w:cstheme="minorHAnsi"/>
          <w:shd w:val="clear" w:color="auto" w:fill="FFFFFF"/>
          <w:lang w:val="en-GB"/>
        </w:rPr>
        <w:t xml:space="preserve">ing </w:t>
      </w:r>
      <w:r w:rsidR="00B46723">
        <w:rPr>
          <w:rFonts w:asciiTheme="minorHAnsi" w:hAnsiTheme="minorHAnsi" w:cstheme="minorHAnsi"/>
          <w:shd w:val="clear" w:color="auto" w:fill="FFFFFF"/>
          <w:lang w:val="en-GB"/>
        </w:rPr>
        <w:t xml:space="preserve">a significant part of </w:t>
      </w:r>
      <w:r>
        <w:rPr>
          <w:rFonts w:asciiTheme="minorHAnsi" w:hAnsiTheme="minorHAnsi" w:cstheme="minorHAnsi"/>
          <w:shd w:val="clear" w:color="auto" w:fill="FFFFFF"/>
          <w:lang w:val="en-GB"/>
        </w:rPr>
        <w:t>EU law</w:t>
      </w:r>
      <w:r w:rsidR="00112471">
        <w:rPr>
          <w:rFonts w:asciiTheme="minorHAnsi" w:hAnsiTheme="minorHAnsi" w:cstheme="minorHAnsi"/>
          <w:shd w:val="clear" w:color="auto" w:fill="FFFFFF"/>
          <w:lang w:val="en-GB"/>
        </w:rPr>
        <w:t xml:space="preserve"> extra-territorially</w:t>
      </w:r>
      <w:r>
        <w:rPr>
          <w:rFonts w:asciiTheme="minorHAnsi" w:hAnsiTheme="minorHAnsi" w:cstheme="minorHAnsi"/>
          <w:shd w:val="clear" w:color="auto" w:fill="FFFFFF"/>
          <w:lang w:val="en-GB"/>
        </w:rPr>
        <w:t>.</w:t>
      </w:r>
    </w:p>
    <w:p w14:paraId="43E174ED" w14:textId="77777777" w:rsidR="004472BF" w:rsidRDefault="004472BF" w:rsidP="00E44EAF">
      <w:pPr>
        <w:spacing w:line="480" w:lineRule="auto"/>
        <w:rPr>
          <w:rFonts w:cs="Calibri (Body)"/>
        </w:rPr>
      </w:pPr>
    </w:p>
    <w:p w14:paraId="3B4F6E9B" w14:textId="77777777" w:rsidR="004472BF" w:rsidRDefault="004472BF" w:rsidP="00E44EAF">
      <w:pPr>
        <w:spacing w:line="480" w:lineRule="auto"/>
        <w:jc w:val="center"/>
        <w:rPr>
          <w:rFonts w:cs="Calibri (Body)"/>
        </w:rPr>
      </w:pPr>
      <w:r>
        <w:rPr>
          <w:rFonts w:cs="Calibri (Body)"/>
        </w:rPr>
        <w:lastRenderedPageBreak/>
        <w:t>ACCOMODATING NATIONAL CONSTITUTIONAL CHANGE</w:t>
      </w:r>
    </w:p>
    <w:p w14:paraId="1FB04BA7" w14:textId="7F26D408" w:rsidR="00112471" w:rsidRPr="00112471" w:rsidRDefault="00112471" w:rsidP="00E44EAF">
      <w:pPr>
        <w:spacing w:line="480" w:lineRule="auto"/>
        <w:jc w:val="both"/>
        <w:rPr>
          <w:rFonts w:cstheme="minorHAnsi"/>
        </w:rPr>
      </w:pPr>
      <w:r>
        <w:rPr>
          <w:rFonts w:cstheme="minorHAnsi"/>
        </w:rPr>
        <w:t xml:space="preserve">The extra-territorial application of EU law has allowed the Union to accommodate territorial contestation in those divided islands. However, such territorial division might end in the future. </w:t>
      </w:r>
      <w:r w:rsidR="006A5DD1">
        <w:rPr>
          <w:rFonts w:cstheme="minorHAnsi"/>
        </w:rPr>
        <w:t>It is the remarkable flexibility of the EU legal order that</w:t>
      </w:r>
      <w:r>
        <w:rPr>
          <w:rFonts w:cstheme="minorHAnsi"/>
        </w:rPr>
        <w:t xml:space="preserve"> </w:t>
      </w:r>
      <w:r w:rsidR="006A5DD1">
        <w:rPr>
          <w:rFonts w:cstheme="minorHAnsi"/>
        </w:rPr>
        <w:t>will enable it to</w:t>
      </w:r>
      <w:r>
        <w:rPr>
          <w:rFonts w:cstheme="minorHAnsi"/>
        </w:rPr>
        <w:t xml:space="preserve"> accommodate</w:t>
      </w:r>
      <w:r w:rsidR="006A5DD1">
        <w:rPr>
          <w:rFonts w:cstheme="minorHAnsi"/>
        </w:rPr>
        <w:t xml:space="preserve"> not only territorial contestation but also</w:t>
      </w:r>
      <w:r>
        <w:rPr>
          <w:rFonts w:cstheme="minorHAnsi"/>
        </w:rPr>
        <w:t xml:space="preserve"> the national constitutional change that a potential unification of either of the two islands </w:t>
      </w:r>
      <w:r w:rsidR="006A5DD1">
        <w:rPr>
          <w:rFonts w:cstheme="minorHAnsi"/>
        </w:rPr>
        <w:t>will</w:t>
      </w:r>
      <w:r>
        <w:rPr>
          <w:rFonts w:cstheme="minorHAnsi"/>
        </w:rPr>
        <w:t xml:space="preserve"> entail.</w:t>
      </w:r>
    </w:p>
    <w:p w14:paraId="1109FCA6" w14:textId="77777777" w:rsidR="00112471" w:rsidRDefault="00112471" w:rsidP="00E44EAF">
      <w:pPr>
        <w:spacing w:line="480" w:lineRule="auto"/>
        <w:rPr>
          <w:rFonts w:cstheme="minorHAnsi"/>
          <w:i/>
          <w:iCs/>
        </w:rPr>
      </w:pPr>
    </w:p>
    <w:p w14:paraId="5337A3AB" w14:textId="49530595" w:rsidR="00D750B0" w:rsidRDefault="00FF211F" w:rsidP="00E44EAF">
      <w:pPr>
        <w:spacing w:line="480" w:lineRule="auto"/>
        <w:rPr>
          <w:rFonts w:cs="Calibri (Body)"/>
          <w:i/>
          <w:iCs/>
        </w:rPr>
      </w:pPr>
      <w:r>
        <w:rPr>
          <w:rFonts w:cstheme="minorHAnsi"/>
          <w:i/>
          <w:iCs/>
        </w:rPr>
        <w:t>(</w:t>
      </w:r>
      <w:r w:rsidRPr="00FE2768">
        <w:rPr>
          <w:rFonts w:cstheme="minorHAnsi"/>
          <w:i/>
          <w:iCs/>
        </w:rPr>
        <w:t>Northern</w:t>
      </w:r>
      <w:r>
        <w:rPr>
          <w:rFonts w:cstheme="minorHAnsi"/>
          <w:i/>
          <w:iCs/>
        </w:rPr>
        <w:t xml:space="preserve">) </w:t>
      </w:r>
      <w:r w:rsidR="00D750B0">
        <w:rPr>
          <w:rFonts w:cs="Calibri (Body)"/>
          <w:i/>
          <w:iCs/>
        </w:rPr>
        <w:t>Cyprus</w:t>
      </w:r>
    </w:p>
    <w:p w14:paraId="0ECD95E4" w14:textId="77777777" w:rsidR="00DC0CD1" w:rsidRDefault="0063017F" w:rsidP="00E44EAF">
      <w:pPr>
        <w:spacing w:line="480" w:lineRule="auto"/>
        <w:jc w:val="both"/>
        <w:rPr>
          <w:rFonts w:cstheme="minorHAnsi"/>
        </w:rPr>
      </w:pPr>
      <w:r>
        <w:rPr>
          <w:rFonts w:cstheme="minorHAnsi"/>
        </w:rPr>
        <w:t>I</w:t>
      </w:r>
      <w:r w:rsidRPr="0063017F">
        <w:rPr>
          <w:rFonts w:cstheme="minorHAnsi"/>
        </w:rPr>
        <w:t>n the event of a settlement,</w:t>
      </w:r>
      <w:r>
        <w:rPr>
          <w:rFonts w:cstheme="minorHAnsi"/>
        </w:rPr>
        <w:t xml:space="preserve"> Article 4 of the</w:t>
      </w:r>
      <w:r w:rsidRPr="0063017F">
        <w:rPr>
          <w:rFonts w:cstheme="minorHAnsi"/>
        </w:rPr>
        <w:t xml:space="preserve"> Protocol</w:t>
      </w:r>
      <w:r>
        <w:rPr>
          <w:rFonts w:cstheme="minorHAnsi"/>
        </w:rPr>
        <w:t xml:space="preserve"> No 10</w:t>
      </w:r>
      <w:r w:rsidRPr="0063017F">
        <w:rPr>
          <w:rFonts w:cstheme="minorHAnsi"/>
        </w:rPr>
        <w:t xml:space="preserve"> </w:t>
      </w:r>
      <w:r w:rsidRPr="00886DF2">
        <w:t xml:space="preserve">provides for a simplified procedure that enables the Union to accommodate the terms of the relevant unification plan. In particular, it allows the EU, </w:t>
      </w:r>
      <w:r>
        <w:t>via a</w:t>
      </w:r>
      <w:r w:rsidRPr="00886DF2">
        <w:t xml:space="preserve"> unanimous Council Decision, to alter the terms of Cyprus</w:t>
      </w:r>
      <w:r>
        <w:t>’s</w:t>
      </w:r>
      <w:r w:rsidRPr="00886DF2">
        <w:t xml:space="preserve"> EU accession</w:t>
      </w:r>
      <w:r>
        <w:t xml:space="preserve">, which are </w:t>
      </w:r>
      <w:r w:rsidRPr="00886DF2">
        <w:t>contained in the Act of Accession 2003. In other words, it allows the Council to amend primary law (i.e.</w:t>
      </w:r>
      <w:r>
        <w:t>,</w:t>
      </w:r>
      <w:r w:rsidRPr="00886DF2">
        <w:t xml:space="preserve"> Act of Accession 2003)</w:t>
      </w:r>
      <w:r>
        <w:t xml:space="preserve"> through </w:t>
      </w:r>
      <w:r w:rsidRPr="00886DF2">
        <w:t xml:space="preserve">a unanimous decision to ease the transition of </w:t>
      </w:r>
      <w:proofErr w:type="gramStart"/>
      <w:r w:rsidRPr="00886DF2">
        <w:t>northern Cyprus</w:t>
      </w:r>
      <w:proofErr w:type="gramEnd"/>
      <w:r w:rsidRPr="00886DF2">
        <w:t xml:space="preserve"> within the Union.</w:t>
      </w:r>
      <w:r w:rsidRPr="00995F97">
        <w:rPr>
          <w:rStyle w:val="FootnoteReference"/>
          <w:sz w:val="23"/>
        </w:rPr>
        <w:footnoteReference w:id="70"/>
      </w:r>
      <w:r w:rsidRPr="0063017F">
        <w:rPr>
          <w:rFonts w:cstheme="minorHAnsi"/>
        </w:rPr>
        <w:t xml:space="preserve"> </w:t>
      </w:r>
    </w:p>
    <w:p w14:paraId="6C429E67" w14:textId="6DC8DB52" w:rsidR="00B05764" w:rsidRDefault="0063017F" w:rsidP="006002D4">
      <w:pPr>
        <w:spacing w:line="480" w:lineRule="auto"/>
        <w:ind w:firstLine="720"/>
        <w:jc w:val="both"/>
        <w:rPr>
          <w:rFonts w:cstheme="minorHAnsi"/>
        </w:rPr>
      </w:pPr>
      <w:r w:rsidRPr="0063017F">
        <w:rPr>
          <w:rFonts w:cstheme="minorHAnsi"/>
        </w:rPr>
        <w:t>Indeed, if the April 2004 referend</w:t>
      </w:r>
      <w:r>
        <w:rPr>
          <w:rFonts w:cstheme="minorHAnsi"/>
        </w:rPr>
        <w:t>ums</w:t>
      </w:r>
      <w:r w:rsidRPr="0063017F">
        <w:rPr>
          <w:rFonts w:cstheme="minorHAnsi"/>
        </w:rPr>
        <w:t xml:space="preserve"> had approved the new state of affairs envisaged in the Annan Plan, the Council of the European Union, would have adopted</w:t>
      </w:r>
      <w:r w:rsidR="00FF211F">
        <w:rPr>
          <w:rFonts w:cstheme="minorHAnsi"/>
        </w:rPr>
        <w:t xml:space="preserve"> on the basis of Article 4</w:t>
      </w:r>
      <w:r w:rsidRPr="0063017F">
        <w:rPr>
          <w:rFonts w:cstheme="minorHAnsi"/>
        </w:rPr>
        <w:t xml:space="preserve"> the Draft Act of Adaptation of the Terms of Accession of the United Cyprus Republic to the European Union as a Regulation.</w:t>
      </w:r>
      <w:r w:rsidR="00DC0CD1">
        <w:rPr>
          <w:rStyle w:val="FootnoteReference"/>
          <w:rFonts w:cstheme="minorHAnsi"/>
        </w:rPr>
        <w:footnoteReference w:id="71"/>
      </w:r>
      <w:r w:rsidRPr="0063017F">
        <w:rPr>
          <w:rFonts w:cstheme="minorHAnsi"/>
        </w:rPr>
        <w:t xml:space="preserve"> </w:t>
      </w:r>
      <w:r w:rsidR="00A02A70">
        <w:rPr>
          <w:rFonts w:cstheme="minorHAnsi"/>
        </w:rPr>
        <w:t xml:space="preserve">What is particularly interesting is that </w:t>
      </w:r>
      <w:r w:rsidR="006002D4">
        <w:rPr>
          <w:rFonts w:cstheme="minorHAnsi"/>
        </w:rPr>
        <w:t xml:space="preserve">the </w:t>
      </w:r>
      <w:r w:rsidR="006B1054">
        <w:rPr>
          <w:rFonts w:cstheme="minorHAnsi"/>
        </w:rPr>
        <w:t xml:space="preserve">accommodation of </w:t>
      </w:r>
      <w:r w:rsidR="006002D4">
        <w:rPr>
          <w:rFonts w:cstheme="minorHAnsi"/>
        </w:rPr>
        <w:t>any</w:t>
      </w:r>
      <w:r w:rsidR="006B1054">
        <w:rPr>
          <w:rFonts w:cstheme="minorHAnsi"/>
        </w:rPr>
        <w:t xml:space="preserve"> settlement</w:t>
      </w:r>
      <w:r w:rsidR="00DC0CD1">
        <w:rPr>
          <w:rFonts w:cstheme="minorHAnsi"/>
        </w:rPr>
        <w:t xml:space="preserve"> </w:t>
      </w:r>
      <w:r w:rsidR="006B1054">
        <w:rPr>
          <w:rFonts w:cstheme="minorHAnsi"/>
        </w:rPr>
        <w:t>of the Cyprus issue</w:t>
      </w:r>
      <w:r w:rsidR="00034172">
        <w:rPr>
          <w:rFonts w:cstheme="minorHAnsi"/>
        </w:rPr>
        <w:t xml:space="preserve"> which</w:t>
      </w:r>
      <w:r w:rsidR="006002D4">
        <w:rPr>
          <w:rFonts w:cstheme="minorHAnsi"/>
        </w:rPr>
        <w:t xml:space="preserve"> is based on the agreed parameters (</w:t>
      </w:r>
      <w:proofErr w:type="spellStart"/>
      <w:r w:rsidR="006002D4">
        <w:rPr>
          <w:rFonts w:cstheme="minorHAnsi"/>
        </w:rPr>
        <w:t>ie</w:t>
      </w:r>
      <w:proofErr w:type="spellEnd"/>
      <w:r w:rsidR="006002D4">
        <w:rPr>
          <w:rFonts w:cstheme="minorHAnsi"/>
        </w:rPr>
        <w:t xml:space="preserve">. bizonal, bicommunal federation </w:t>
      </w:r>
      <w:r w:rsidR="006002D4">
        <w:rPr>
          <w:rFonts w:cstheme="minorHAnsi"/>
        </w:rPr>
        <w:t>with political equality</w:t>
      </w:r>
      <w:r w:rsidR="006002D4">
        <w:rPr>
          <w:rFonts w:cstheme="minorHAnsi"/>
        </w:rPr>
        <w:t>)</w:t>
      </w:r>
      <w:r w:rsidR="006B1054">
        <w:rPr>
          <w:rFonts w:cstheme="minorHAnsi"/>
        </w:rPr>
        <w:t xml:space="preserve"> would entail significant derogations from EU law</w:t>
      </w:r>
      <w:r w:rsidR="006002D4">
        <w:rPr>
          <w:rFonts w:cstheme="minorHAnsi"/>
        </w:rPr>
        <w:t xml:space="preserve">. </w:t>
      </w:r>
      <w:r w:rsidR="006002D4" w:rsidRPr="0063017F">
        <w:rPr>
          <w:rFonts w:cstheme="minorHAnsi"/>
        </w:rPr>
        <w:t>The reason for that is that if the bi-</w:t>
      </w:r>
      <w:proofErr w:type="spellStart"/>
      <w:r w:rsidR="006002D4" w:rsidRPr="0063017F">
        <w:rPr>
          <w:rFonts w:cstheme="minorHAnsi"/>
        </w:rPr>
        <w:t>zonality</w:t>
      </w:r>
      <w:proofErr w:type="spellEnd"/>
      <w:r w:rsidR="006002D4" w:rsidRPr="0063017F">
        <w:rPr>
          <w:rFonts w:cstheme="minorHAnsi"/>
        </w:rPr>
        <w:t xml:space="preserve"> of the future </w:t>
      </w:r>
      <w:r w:rsidR="006002D4" w:rsidRPr="0063017F">
        <w:rPr>
          <w:rFonts w:cstheme="minorHAnsi"/>
        </w:rPr>
        <w:lastRenderedPageBreak/>
        <w:t>unified federal Cyprus were to be reflected in the fact that each ‘federated state would be administered by one community which would be guaranteed a clear majority of the population and of land ownership in its area’,</w:t>
      </w:r>
      <w:r w:rsidR="006002D4" w:rsidRPr="0063017F">
        <w:rPr>
          <w:rStyle w:val="FootnoteReference"/>
          <w:rFonts w:cstheme="minorHAnsi"/>
        </w:rPr>
        <w:footnoteReference w:id="72"/>
      </w:r>
      <w:r w:rsidR="006002D4" w:rsidRPr="0063017F">
        <w:rPr>
          <w:rFonts w:cstheme="minorHAnsi"/>
        </w:rPr>
        <w:t xml:space="preserve"> it is almost definite that certain permanent restrictions to the free movement of persons and capital will be deemed necessary.</w:t>
      </w:r>
      <w:r w:rsidR="006002D4">
        <w:rPr>
          <w:rFonts w:cstheme="minorHAnsi"/>
        </w:rPr>
        <w:t xml:space="preserve"> This is why the aforementioned Draft Act</w:t>
      </w:r>
      <w:r w:rsidR="006B1054">
        <w:rPr>
          <w:rFonts w:cstheme="minorHAnsi"/>
        </w:rPr>
        <w:t xml:space="preserve"> includ</w:t>
      </w:r>
      <w:r w:rsidR="006002D4">
        <w:rPr>
          <w:rFonts w:cstheme="minorHAnsi"/>
        </w:rPr>
        <w:t>ed</w:t>
      </w:r>
      <w:r w:rsidRPr="0063017F">
        <w:rPr>
          <w:rFonts w:cstheme="minorHAnsi"/>
        </w:rPr>
        <w:t xml:space="preserve"> restrictions on the right of non-residents in the </w:t>
      </w:r>
      <w:r w:rsidR="00473993">
        <w:rPr>
          <w:rFonts w:cstheme="minorHAnsi"/>
        </w:rPr>
        <w:t>federal Greek-Cypriot and Turkish-Cypriot</w:t>
      </w:r>
      <w:r w:rsidRPr="0063017F">
        <w:rPr>
          <w:rFonts w:cstheme="minorHAnsi"/>
        </w:rPr>
        <w:t xml:space="preserve"> states to purchase immovable property; restrictions on the right of Cypriot citizens to reside in a </w:t>
      </w:r>
      <w:r w:rsidR="00473993">
        <w:rPr>
          <w:rFonts w:cstheme="minorHAnsi"/>
        </w:rPr>
        <w:t>federal</w:t>
      </w:r>
      <w:r w:rsidRPr="0063017F">
        <w:rPr>
          <w:rFonts w:cstheme="minorHAnsi"/>
        </w:rPr>
        <w:t xml:space="preserve"> state of which they do not hold the internal </w:t>
      </w:r>
      <w:r w:rsidR="00473993">
        <w:rPr>
          <w:rFonts w:cstheme="minorHAnsi"/>
        </w:rPr>
        <w:t>federal</w:t>
      </w:r>
      <w:r w:rsidRPr="0063017F">
        <w:rPr>
          <w:rFonts w:cstheme="minorHAnsi"/>
        </w:rPr>
        <w:t xml:space="preserve"> state citizenship status; restrictions on the right not only of Greek and Turkish nationals but also of Union citizens to reside in Cyprus, after the comprehensive settlement takes place, in order for the demographic ratio between permanent residents, speaking either Greek or Turkish as mother tongue, not to be substantially altered.</w:t>
      </w:r>
      <w:r w:rsidR="00FF211F">
        <w:rPr>
          <w:rFonts w:cstheme="minorHAnsi"/>
        </w:rPr>
        <w:t xml:space="preserve"> </w:t>
      </w:r>
      <w:r w:rsidR="00473993">
        <w:rPr>
          <w:rFonts w:cstheme="minorHAnsi"/>
        </w:rPr>
        <w:t xml:space="preserve"> </w:t>
      </w:r>
      <w:r w:rsidR="006002D4">
        <w:rPr>
          <w:rFonts w:cstheme="minorHAnsi"/>
        </w:rPr>
        <w:t>So</w:t>
      </w:r>
      <w:r w:rsidR="00FF211F">
        <w:rPr>
          <w:rFonts w:cstheme="minorHAnsi"/>
        </w:rPr>
        <w:t>, th</w:t>
      </w:r>
      <w:r w:rsidR="00112471">
        <w:rPr>
          <w:rFonts w:cstheme="minorHAnsi"/>
        </w:rPr>
        <w:t>e Article 4</w:t>
      </w:r>
      <w:r w:rsidR="00FF211F">
        <w:rPr>
          <w:rFonts w:cstheme="minorHAnsi"/>
        </w:rPr>
        <w:t xml:space="preserve"> </w:t>
      </w:r>
      <w:r w:rsidR="00B05764">
        <w:rPr>
          <w:rFonts w:cstheme="minorHAnsi"/>
        </w:rPr>
        <w:t>provision underlines</w:t>
      </w:r>
      <w:r w:rsidR="00B05764" w:rsidRPr="0063017F">
        <w:rPr>
          <w:rFonts w:cstheme="minorHAnsi"/>
        </w:rPr>
        <w:t xml:space="preserve"> the willingness</w:t>
      </w:r>
      <w:r w:rsidR="00FF211F">
        <w:rPr>
          <w:rFonts w:cstheme="minorHAnsi"/>
        </w:rPr>
        <w:t xml:space="preserve"> and the flexibility</w:t>
      </w:r>
      <w:r w:rsidR="00B05764" w:rsidRPr="0063017F">
        <w:rPr>
          <w:rFonts w:cstheme="minorHAnsi"/>
        </w:rPr>
        <w:t xml:space="preserve"> of the Union to accommodate the terms of a solution of the Cyprus issue </w:t>
      </w:r>
      <w:r w:rsidR="00B05764">
        <w:rPr>
          <w:rFonts w:cstheme="minorHAnsi"/>
        </w:rPr>
        <w:t xml:space="preserve">even </w:t>
      </w:r>
      <w:r w:rsidR="00FF211F">
        <w:rPr>
          <w:rFonts w:cstheme="minorHAnsi"/>
        </w:rPr>
        <w:t>if it</w:t>
      </w:r>
      <w:r w:rsidR="00B05764">
        <w:rPr>
          <w:rFonts w:cstheme="minorHAnsi"/>
        </w:rPr>
        <w:t xml:space="preserve"> entails derogations from EU law</w:t>
      </w:r>
      <w:r w:rsidRPr="0063017F">
        <w:rPr>
          <w:rFonts w:cstheme="minorHAnsi"/>
        </w:rPr>
        <w:t>.</w:t>
      </w:r>
      <w:r w:rsidR="00B05764">
        <w:rPr>
          <w:rFonts w:cstheme="minorHAnsi"/>
        </w:rPr>
        <w:t xml:space="preserve">  </w:t>
      </w:r>
    </w:p>
    <w:p w14:paraId="16B3E860" w14:textId="002542A8" w:rsidR="00B05764" w:rsidRDefault="00FF211F" w:rsidP="00E44EAF">
      <w:pPr>
        <w:spacing w:line="480" w:lineRule="auto"/>
        <w:ind w:firstLine="720"/>
        <w:jc w:val="both"/>
        <w:rPr>
          <w:rFonts w:cstheme="minorHAnsi"/>
        </w:rPr>
      </w:pPr>
      <w:r>
        <w:rPr>
          <w:rFonts w:cstheme="minorHAnsi"/>
        </w:rPr>
        <w:t>Overall,</w:t>
      </w:r>
      <w:r w:rsidR="00B05764">
        <w:rPr>
          <w:rFonts w:cstheme="minorHAnsi"/>
        </w:rPr>
        <w:t xml:space="preserve"> Article 4</w:t>
      </w:r>
      <w:r>
        <w:rPr>
          <w:rFonts w:cstheme="minorHAnsi"/>
        </w:rPr>
        <w:t xml:space="preserve"> of Protocol </w:t>
      </w:r>
      <w:r w:rsidR="00473993">
        <w:rPr>
          <w:rFonts w:cstheme="minorHAnsi"/>
        </w:rPr>
        <w:t xml:space="preserve">No </w:t>
      </w:r>
      <w:r>
        <w:rPr>
          <w:rFonts w:cstheme="minorHAnsi"/>
        </w:rPr>
        <w:t>10 contains an</w:t>
      </w:r>
      <w:r w:rsidR="0063017F" w:rsidRPr="0063017F">
        <w:rPr>
          <w:rFonts w:cstheme="minorHAnsi"/>
        </w:rPr>
        <w:t xml:space="preserve"> enabling clause </w:t>
      </w:r>
      <w:r>
        <w:rPr>
          <w:rFonts w:cstheme="minorHAnsi"/>
        </w:rPr>
        <w:t xml:space="preserve">that </w:t>
      </w:r>
      <w:r w:rsidR="00B05764">
        <w:rPr>
          <w:rFonts w:cstheme="minorHAnsi"/>
        </w:rPr>
        <w:t>would allow the Union to accommodate a solution to the Cyprus issue despite possible frictions with EU law.</w:t>
      </w:r>
      <w:r w:rsidR="0063017F" w:rsidRPr="0063017F">
        <w:rPr>
          <w:rFonts w:cstheme="minorHAnsi"/>
        </w:rPr>
        <w:t xml:space="preserve"> </w:t>
      </w:r>
      <w:r>
        <w:rPr>
          <w:rFonts w:cstheme="minorHAnsi"/>
        </w:rPr>
        <w:t>T</w:t>
      </w:r>
      <w:r w:rsidR="00B05764">
        <w:rPr>
          <w:rFonts w:cstheme="minorHAnsi"/>
        </w:rPr>
        <w:t>his</w:t>
      </w:r>
      <w:r w:rsidR="0063017F" w:rsidRPr="0063017F">
        <w:rPr>
          <w:rFonts w:cstheme="minorHAnsi"/>
        </w:rPr>
        <w:t xml:space="preserve"> is far from unexpected given the</w:t>
      </w:r>
      <w:r w:rsidR="00B05764">
        <w:rPr>
          <w:rFonts w:cstheme="minorHAnsi"/>
        </w:rPr>
        <w:t xml:space="preserve"> declared aim of the EU ‘to promote peace, its values and the well-being of its peoples’.</w:t>
      </w:r>
      <w:r w:rsidR="00B05764">
        <w:rPr>
          <w:rStyle w:val="FootnoteReference"/>
          <w:rFonts w:cstheme="minorHAnsi"/>
        </w:rPr>
        <w:footnoteReference w:id="73"/>
      </w:r>
      <w:r w:rsidR="00B05764">
        <w:rPr>
          <w:rFonts w:cstheme="minorHAnsi"/>
        </w:rPr>
        <w:t xml:space="preserve"> Still, it </w:t>
      </w:r>
      <w:r>
        <w:rPr>
          <w:rFonts w:cstheme="minorHAnsi"/>
        </w:rPr>
        <w:t>is another reminder of the flexibility of the Union legal order t</w:t>
      </w:r>
      <w:r w:rsidR="00112471">
        <w:rPr>
          <w:rFonts w:cstheme="minorHAnsi"/>
        </w:rPr>
        <w:t>hat allows it to</w:t>
      </w:r>
      <w:r>
        <w:rPr>
          <w:rFonts w:cstheme="minorHAnsi"/>
        </w:rPr>
        <w:t xml:space="preserve"> accommodate national constitutional change</w:t>
      </w:r>
      <w:r w:rsidR="00473993">
        <w:rPr>
          <w:rFonts w:cstheme="minorHAnsi"/>
        </w:rPr>
        <w:t xml:space="preserve"> as well</w:t>
      </w:r>
      <w:r>
        <w:rPr>
          <w:rFonts w:cstheme="minorHAnsi"/>
        </w:rPr>
        <w:t>.</w:t>
      </w:r>
    </w:p>
    <w:p w14:paraId="55D7CF46" w14:textId="77777777" w:rsidR="00D750B0" w:rsidRDefault="00D750B0" w:rsidP="00E44EAF">
      <w:pPr>
        <w:spacing w:line="480" w:lineRule="auto"/>
        <w:rPr>
          <w:rFonts w:cs="Calibri (Body)"/>
        </w:rPr>
      </w:pPr>
    </w:p>
    <w:p w14:paraId="3DA024AA" w14:textId="197ADEF0" w:rsidR="00FF211F" w:rsidRDefault="00FF211F" w:rsidP="00E44EAF">
      <w:pPr>
        <w:spacing w:line="480" w:lineRule="auto"/>
        <w:rPr>
          <w:rFonts w:cs="Calibri (Body)"/>
          <w:i/>
          <w:iCs/>
        </w:rPr>
      </w:pPr>
      <w:r>
        <w:rPr>
          <w:rFonts w:cs="Calibri (Body)"/>
          <w:i/>
          <w:iCs/>
        </w:rPr>
        <w:t>(Northern) Ireland</w:t>
      </w:r>
    </w:p>
    <w:p w14:paraId="28C65470" w14:textId="18FA16A9" w:rsidR="00FF211F" w:rsidRPr="00FF211F" w:rsidRDefault="00FF211F" w:rsidP="00E44EAF">
      <w:pPr>
        <w:spacing w:line="480" w:lineRule="auto"/>
        <w:jc w:val="both"/>
        <w:rPr>
          <w:rFonts w:eastAsia="Times New Roman" w:cstheme="minorHAnsi"/>
        </w:rPr>
      </w:pPr>
      <w:r w:rsidRPr="00FF211F">
        <w:rPr>
          <w:rFonts w:cstheme="minorHAnsi"/>
        </w:rPr>
        <w:t xml:space="preserve">‘Westminster has formally conceded that Northern Ireland can secede from the United Kingdom to join a united Ireland, if its people, and the people of the Irish Republic, voting </w:t>
      </w:r>
      <w:r w:rsidRPr="00FF211F">
        <w:rPr>
          <w:rFonts w:cstheme="minorHAnsi"/>
        </w:rPr>
        <w:lastRenderedPageBreak/>
        <w:t>separately, agree to this’.</w:t>
      </w:r>
      <w:r w:rsidRPr="00FF211F">
        <w:rPr>
          <w:rStyle w:val="FootnoteReference"/>
          <w:rFonts w:cstheme="minorHAnsi"/>
        </w:rPr>
        <w:footnoteReference w:id="74"/>
      </w:r>
      <w:r w:rsidRPr="00FF211F">
        <w:rPr>
          <w:rFonts w:cstheme="minorHAnsi"/>
        </w:rPr>
        <w:t xml:space="preserve"> Article 1 of the legally binding British-Irish Agreement </w:t>
      </w:r>
      <w:r w:rsidRPr="00FF211F">
        <w:rPr>
          <w:rFonts w:eastAsia="Times New Roman" w:cstheme="minorHAnsi"/>
        </w:rPr>
        <w:t>recognizes such right in no uncertain terms. In particular, the UK and the Republic of Ireland:</w:t>
      </w:r>
    </w:p>
    <w:p w14:paraId="76A15B3B" w14:textId="7931EEF8" w:rsidR="00FF211F" w:rsidRPr="00FF211F" w:rsidRDefault="00FF211F" w:rsidP="00E44EAF">
      <w:pPr>
        <w:pStyle w:val="ListParagraph"/>
        <w:spacing w:line="480" w:lineRule="auto"/>
        <w:ind w:right="720"/>
        <w:jc w:val="both"/>
        <w:rPr>
          <w:rFonts w:asciiTheme="minorHAnsi" w:eastAsia="Times New Roman" w:hAnsiTheme="minorHAnsi" w:cstheme="minorHAnsi"/>
          <w:lang w:val="en-GB"/>
        </w:rPr>
      </w:pPr>
      <w:r w:rsidRPr="00FF211F">
        <w:rPr>
          <w:rFonts w:asciiTheme="minorHAnsi" w:eastAsiaTheme="minorEastAsia" w:hAnsiTheme="minorHAnsi" w:cstheme="minorHAnsi"/>
          <w:lang w:val="en-GB"/>
        </w:rPr>
        <w:t xml:space="preserve">(ii) recognise that it is for the people of the island of Ireland alone, […] to exercise their right of self-determination on the basis of consent, freely and concurrently given, North and South, to bring about a united Ireland </w:t>
      </w:r>
      <w:r w:rsidR="00473993">
        <w:rPr>
          <w:rFonts w:asciiTheme="minorHAnsi" w:eastAsiaTheme="minorEastAsia" w:hAnsiTheme="minorHAnsi" w:cstheme="minorHAnsi"/>
          <w:lang w:val="en-GB"/>
        </w:rPr>
        <w:t>[…];</w:t>
      </w:r>
    </w:p>
    <w:p w14:paraId="56853380" w14:textId="77777777" w:rsidR="00FF211F" w:rsidRPr="00FF211F" w:rsidRDefault="00FF211F" w:rsidP="00E44EAF">
      <w:pPr>
        <w:pStyle w:val="ListParagraph"/>
        <w:spacing w:line="480" w:lineRule="auto"/>
        <w:ind w:right="720"/>
        <w:jc w:val="both"/>
        <w:rPr>
          <w:rFonts w:asciiTheme="minorHAnsi" w:eastAsia="Times New Roman" w:hAnsiTheme="minorHAnsi" w:cstheme="minorHAnsi"/>
          <w:lang w:val="en-GB"/>
        </w:rPr>
      </w:pPr>
      <w:r w:rsidRPr="00FF211F">
        <w:rPr>
          <w:rFonts w:asciiTheme="minorHAnsi" w:eastAsiaTheme="minorEastAsia" w:hAnsiTheme="minorHAnsi" w:cstheme="minorHAnsi"/>
          <w:lang w:val="en-GB"/>
        </w:rPr>
        <w:t>(iv) affirm that if, in the future, the people of the island of Ireland exercise their right of self-determination on the basis set out in sections (</w:t>
      </w:r>
      <w:proofErr w:type="spellStart"/>
      <w:r w:rsidRPr="00FF211F">
        <w:rPr>
          <w:rFonts w:asciiTheme="minorHAnsi" w:eastAsiaTheme="minorEastAsia" w:hAnsiTheme="minorHAnsi" w:cstheme="minorHAnsi"/>
          <w:lang w:val="en-GB"/>
        </w:rPr>
        <w:t>i</w:t>
      </w:r>
      <w:proofErr w:type="spellEnd"/>
      <w:r w:rsidRPr="00FF211F">
        <w:rPr>
          <w:rFonts w:asciiTheme="minorHAnsi" w:eastAsiaTheme="minorEastAsia" w:hAnsiTheme="minorHAnsi" w:cstheme="minorHAnsi"/>
          <w:lang w:val="en-GB"/>
        </w:rPr>
        <w:t>) and (ii) above to bring about a united Ireland, it will be a binding obligation on both Governments to introduce and support in their respective Parliaments legislation to give effect to that wish.</w:t>
      </w:r>
    </w:p>
    <w:p w14:paraId="0D12CB04" w14:textId="10479864" w:rsidR="00FF211F" w:rsidRPr="00FF211F" w:rsidRDefault="00FF211F" w:rsidP="00E44EAF">
      <w:pPr>
        <w:spacing w:line="480" w:lineRule="auto"/>
        <w:ind w:firstLine="720"/>
        <w:jc w:val="both"/>
        <w:rPr>
          <w:rFonts w:cstheme="minorHAnsi"/>
        </w:rPr>
      </w:pPr>
      <w:r w:rsidRPr="00FF211F">
        <w:rPr>
          <w:rFonts w:cstheme="minorHAnsi"/>
        </w:rPr>
        <w:t>Those international legal obligations concerning the status of Northern Ireland have also been enshrined in UK legislation. Section 1 of the Northern Ireland Act 1998 is a rare example of a provision of a constitutional statute explicitly recogni</w:t>
      </w:r>
      <w:r w:rsidR="00473993">
        <w:rPr>
          <w:rFonts w:cstheme="minorHAnsi"/>
        </w:rPr>
        <w:t>s</w:t>
      </w:r>
      <w:r w:rsidRPr="00FF211F">
        <w:rPr>
          <w:rFonts w:cstheme="minorHAnsi"/>
        </w:rPr>
        <w:t xml:space="preserve">ing the right of secession of a region. Schedule 1 of the Northern Ireland Act describes under which circumstances a referendum for the reunification of Ireland can and should be called by </w:t>
      </w:r>
      <w:r w:rsidRPr="00FF211F">
        <w:rPr>
          <w:rFonts w:eastAsiaTheme="minorEastAsia" w:cstheme="minorHAnsi"/>
        </w:rPr>
        <w:t xml:space="preserve">the UK Secretary of State. </w:t>
      </w:r>
      <w:r w:rsidR="005B59FC">
        <w:rPr>
          <w:rFonts w:cstheme="minorHAnsi"/>
        </w:rPr>
        <w:t>I</w:t>
      </w:r>
      <w:r w:rsidRPr="00FF211F">
        <w:rPr>
          <w:rFonts w:cstheme="minorHAnsi"/>
        </w:rPr>
        <w:t xml:space="preserve">n </w:t>
      </w:r>
      <w:r w:rsidRPr="00FF211F">
        <w:rPr>
          <w:rFonts w:cstheme="minorHAnsi"/>
          <w:i/>
        </w:rPr>
        <w:t>Re McCord</w:t>
      </w:r>
      <w:r w:rsidRPr="00FF211F">
        <w:rPr>
          <w:rFonts w:cstheme="minorHAnsi"/>
        </w:rPr>
        <w:t>, the High Court of Justice in Northern Ireland discussed and clarified the aforementioned Northern Ireland Act provisions.</w:t>
      </w:r>
      <w:r w:rsidRPr="00FF211F">
        <w:rPr>
          <w:rStyle w:val="FootnoteReference"/>
          <w:rFonts w:cstheme="minorHAnsi"/>
        </w:rPr>
        <w:footnoteReference w:id="75"/>
      </w:r>
      <w:r w:rsidRPr="00FF211F">
        <w:rPr>
          <w:rFonts w:cstheme="minorHAnsi"/>
        </w:rPr>
        <w:t xml:space="preserve"> It held that the Secretary of State has:</w:t>
      </w:r>
    </w:p>
    <w:p w14:paraId="0468930C" w14:textId="2854B653" w:rsidR="00FF211F" w:rsidRPr="00FF211F" w:rsidRDefault="00FF211F" w:rsidP="00E44EAF">
      <w:pPr>
        <w:spacing w:line="480" w:lineRule="auto"/>
        <w:ind w:left="720" w:right="720"/>
        <w:jc w:val="both"/>
        <w:rPr>
          <w:rFonts w:eastAsiaTheme="minorEastAsia" w:cstheme="minorHAnsi"/>
        </w:rPr>
      </w:pPr>
      <w:r w:rsidRPr="00FF211F">
        <w:rPr>
          <w:rFonts w:eastAsiaTheme="minorEastAsia" w:cstheme="minorHAnsi"/>
        </w:rPr>
        <w:t>a discretionary power to order a border poll under Schedule 1 paragraph 1 even where she is not of the view that it is likely that the majority of voters would vote for Northern Ireland to cease to be part of the United Kingdom and to become part of a united Ireland.</w:t>
      </w:r>
      <w:r w:rsidRPr="00FF211F">
        <w:rPr>
          <w:rStyle w:val="FootnoteReference"/>
          <w:rFonts w:eastAsiaTheme="minorEastAsia" w:cstheme="minorHAnsi"/>
        </w:rPr>
        <w:footnoteReference w:id="76"/>
      </w:r>
    </w:p>
    <w:p w14:paraId="1389CD6A" w14:textId="4BEC06BA" w:rsidR="00FF211F" w:rsidRPr="00FF211F" w:rsidRDefault="00FF211F" w:rsidP="00E44EAF">
      <w:pPr>
        <w:spacing w:line="480" w:lineRule="auto"/>
        <w:jc w:val="both"/>
        <w:rPr>
          <w:rFonts w:eastAsiaTheme="minorEastAsia" w:cstheme="minorHAnsi"/>
        </w:rPr>
      </w:pPr>
      <w:r w:rsidRPr="00FF211F">
        <w:rPr>
          <w:rFonts w:cstheme="minorHAnsi"/>
        </w:rPr>
        <w:lastRenderedPageBreak/>
        <w:t xml:space="preserve">However, </w:t>
      </w:r>
      <w:r w:rsidRPr="00FF211F">
        <w:rPr>
          <w:rFonts w:eastAsiaTheme="minorEastAsia" w:cstheme="minorHAnsi"/>
        </w:rPr>
        <w:t xml:space="preserve">if it appears to her that a majority would be likely to vote for a united Ireland, then, </w:t>
      </w:r>
      <w:r w:rsidRPr="00FF211F">
        <w:rPr>
          <w:rFonts w:cstheme="minorHAnsi"/>
        </w:rPr>
        <w:t xml:space="preserve">she </w:t>
      </w:r>
      <w:r w:rsidRPr="00FF211F">
        <w:rPr>
          <w:rFonts w:eastAsiaTheme="minorEastAsia" w:cstheme="minorHAnsi"/>
        </w:rPr>
        <w:t>is under a duty to call a</w:t>
      </w:r>
      <w:r w:rsidRPr="00FF211F">
        <w:rPr>
          <w:rFonts w:cstheme="minorHAnsi"/>
        </w:rPr>
        <w:t xml:space="preserve"> </w:t>
      </w:r>
      <w:r w:rsidRPr="00FF211F">
        <w:rPr>
          <w:rFonts w:eastAsiaTheme="minorEastAsia" w:cstheme="minorHAnsi"/>
        </w:rPr>
        <w:t>poll.</w:t>
      </w:r>
      <w:r w:rsidRPr="00FF211F">
        <w:rPr>
          <w:rStyle w:val="FootnoteReference"/>
          <w:rFonts w:eastAsiaTheme="minorEastAsia" w:cstheme="minorHAnsi"/>
        </w:rPr>
        <w:footnoteReference w:id="77"/>
      </w:r>
      <w:r w:rsidRPr="00FF211F">
        <w:rPr>
          <w:rFonts w:eastAsiaTheme="minorEastAsia" w:cstheme="minorHAnsi"/>
        </w:rPr>
        <w:t xml:space="preserve"> </w:t>
      </w:r>
    </w:p>
    <w:p w14:paraId="26E6DE1D" w14:textId="4F54FF70" w:rsidR="00075E9F" w:rsidRPr="00075E9F" w:rsidRDefault="00075E9F" w:rsidP="00E44EAF">
      <w:pPr>
        <w:pStyle w:val="BodyTextFormat"/>
        <w:spacing w:line="480" w:lineRule="auto"/>
        <w:ind w:firstLine="720"/>
        <w:rPr>
          <w:rFonts w:asciiTheme="minorHAnsi" w:hAnsiTheme="minorHAnsi" w:cstheme="minorHAnsi"/>
          <w:sz w:val="24"/>
          <w:szCs w:val="24"/>
        </w:rPr>
      </w:pPr>
      <w:r w:rsidRPr="00075E9F">
        <w:rPr>
          <w:rFonts w:asciiTheme="minorHAnsi" w:eastAsiaTheme="minorEastAsia" w:hAnsiTheme="minorHAnsi" w:cstheme="minorHAnsi"/>
          <w:sz w:val="24"/>
          <w:szCs w:val="24"/>
        </w:rPr>
        <w:t xml:space="preserve">From an EU law point of view, a </w:t>
      </w:r>
      <w:r>
        <w:rPr>
          <w:rFonts w:asciiTheme="minorHAnsi" w:eastAsiaTheme="minorEastAsia" w:hAnsiTheme="minorHAnsi" w:cstheme="minorHAnsi"/>
          <w:sz w:val="24"/>
          <w:szCs w:val="24"/>
        </w:rPr>
        <w:t xml:space="preserve">national constitutional change that would entail a </w:t>
      </w:r>
      <w:r w:rsidRPr="00075E9F">
        <w:rPr>
          <w:rFonts w:asciiTheme="minorHAnsi" w:eastAsiaTheme="minorEastAsia" w:hAnsiTheme="minorHAnsi" w:cstheme="minorHAnsi"/>
          <w:sz w:val="24"/>
          <w:szCs w:val="24"/>
        </w:rPr>
        <w:t>reunification such as in the case of Ireland could follow the precedent of the German reunification</w:t>
      </w:r>
      <w:r>
        <w:rPr>
          <w:rFonts w:asciiTheme="minorHAnsi" w:eastAsiaTheme="minorEastAsia" w:hAnsiTheme="minorHAnsi" w:cstheme="minorHAnsi"/>
          <w:sz w:val="24"/>
          <w:szCs w:val="24"/>
        </w:rPr>
        <w:t>.</w:t>
      </w:r>
      <w:r w:rsidRPr="00075E9F">
        <w:rPr>
          <w:rFonts w:asciiTheme="minorHAnsi" w:hAnsiTheme="minorHAnsi" w:cstheme="minorHAnsi"/>
          <w:sz w:val="24"/>
          <w:szCs w:val="24"/>
        </w:rPr>
        <w:t xml:space="preserve"> </w:t>
      </w:r>
      <w:r>
        <w:rPr>
          <w:rFonts w:asciiTheme="minorHAnsi" w:eastAsiaTheme="minorEastAsia" w:hAnsiTheme="minorHAnsi" w:cstheme="minorHAnsi"/>
          <w:sz w:val="24"/>
          <w:szCs w:val="24"/>
        </w:rPr>
        <w:t>I</w:t>
      </w:r>
      <w:r w:rsidRPr="00075E9F">
        <w:rPr>
          <w:rFonts w:asciiTheme="minorHAnsi" w:eastAsiaTheme="minorEastAsia" w:hAnsiTheme="minorHAnsi" w:cstheme="minorHAnsi"/>
          <w:sz w:val="24"/>
          <w:szCs w:val="24"/>
        </w:rPr>
        <w:t xml:space="preserve">n </w:t>
      </w:r>
      <w:r>
        <w:rPr>
          <w:rFonts w:asciiTheme="minorHAnsi" w:eastAsiaTheme="minorEastAsia" w:hAnsiTheme="minorHAnsi" w:cstheme="minorHAnsi"/>
          <w:sz w:val="24"/>
          <w:szCs w:val="24"/>
        </w:rPr>
        <w:t>this,</w:t>
      </w:r>
      <w:r w:rsidRPr="00075E9F">
        <w:rPr>
          <w:rFonts w:asciiTheme="minorHAnsi" w:eastAsiaTheme="minorEastAsia" w:hAnsiTheme="minorHAnsi" w:cstheme="minorHAnsi"/>
          <w:sz w:val="24"/>
          <w:szCs w:val="24"/>
        </w:rPr>
        <w:t xml:space="preserve"> the application of the Union </w:t>
      </w:r>
      <w:r w:rsidRPr="00075E9F">
        <w:rPr>
          <w:rFonts w:asciiTheme="minorHAnsi" w:eastAsiaTheme="minorEastAsia" w:hAnsiTheme="minorHAnsi" w:cstheme="minorHAnsi"/>
          <w:i/>
          <w:sz w:val="24"/>
          <w:szCs w:val="24"/>
        </w:rPr>
        <w:t>acquis</w:t>
      </w:r>
      <w:r w:rsidRPr="00075E9F">
        <w:rPr>
          <w:rFonts w:asciiTheme="minorHAnsi" w:eastAsiaTheme="minorEastAsia" w:hAnsiTheme="minorHAnsi" w:cstheme="minorHAnsi"/>
          <w:sz w:val="24"/>
          <w:szCs w:val="24"/>
        </w:rPr>
        <w:t xml:space="preserve"> was extended to East Germany without any amendment to the primary legislation, as agreed upon in a special meeting of the European Council in Dublin in April 1990. </w:t>
      </w:r>
      <w:r>
        <w:rPr>
          <w:rFonts w:asciiTheme="minorHAnsi" w:eastAsiaTheme="minorEastAsia" w:hAnsiTheme="minorHAnsi" w:cstheme="minorHAnsi"/>
          <w:sz w:val="24"/>
          <w:szCs w:val="24"/>
        </w:rPr>
        <w:t>‘</w:t>
      </w:r>
      <w:r w:rsidRPr="00075E9F">
        <w:rPr>
          <w:rFonts w:asciiTheme="minorHAnsi" w:hAnsiTheme="minorHAnsi" w:cstheme="minorHAnsi"/>
          <w:sz w:val="24"/>
          <w:szCs w:val="24"/>
        </w:rPr>
        <w:t>The necessary acts of secondary law were adopted on the basis of delegation of powers to the Commission, in order to avoid that the EU legislative process was overtaken by the speed of historical events.</w:t>
      </w:r>
      <w:r>
        <w:rPr>
          <w:rFonts w:asciiTheme="minorHAnsi" w:hAnsiTheme="minorHAnsi" w:cstheme="minorHAnsi"/>
          <w:sz w:val="24"/>
          <w:szCs w:val="24"/>
        </w:rPr>
        <w:t>’</w:t>
      </w:r>
      <w:r w:rsidRPr="00075E9F">
        <w:rPr>
          <w:rStyle w:val="FootnoteReference"/>
          <w:rFonts w:asciiTheme="minorHAnsi" w:hAnsiTheme="minorHAnsi" w:cstheme="minorHAnsi"/>
          <w:sz w:val="24"/>
          <w:szCs w:val="24"/>
        </w:rPr>
        <w:footnoteReference w:id="78"/>
      </w:r>
      <w:r w:rsidR="00112471">
        <w:rPr>
          <w:rFonts w:asciiTheme="minorHAnsi" w:hAnsiTheme="minorHAnsi" w:cstheme="minorHAnsi"/>
          <w:sz w:val="24"/>
          <w:szCs w:val="24"/>
        </w:rPr>
        <w:t xml:space="preserve"> </w:t>
      </w:r>
      <w:r w:rsidRPr="00075E9F">
        <w:rPr>
          <w:rFonts w:asciiTheme="minorHAnsi" w:eastAsiaTheme="minorEastAsia" w:hAnsiTheme="minorHAnsi" w:cstheme="minorHAnsi"/>
          <w:sz w:val="24"/>
          <w:szCs w:val="24"/>
        </w:rPr>
        <w:t xml:space="preserve">The difference is that, in Germany’s case, the </w:t>
      </w:r>
      <w:r w:rsidRPr="00075E9F">
        <w:rPr>
          <w:rFonts w:asciiTheme="minorHAnsi" w:eastAsiaTheme="minorEastAsia" w:hAnsiTheme="minorHAnsi" w:cstheme="minorHAnsi"/>
          <w:i/>
          <w:sz w:val="24"/>
          <w:szCs w:val="24"/>
        </w:rPr>
        <w:t xml:space="preserve">acquis </w:t>
      </w:r>
      <w:r w:rsidRPr="00075E9F">
        <w:rPr>
          <w:rFonts w:asciiTheme="minorHAnsi" w:eastAsiaTheme="minorEastAsia" w:hAnsiTheme="minorHAnsi" w:cstheme="minorHAnsi"/>
          <w:sz w:val="24"/>
          <w:szCs w:val="24"/>
        </w:rPr>
        <w:t>did not apply at all in the East before reunification.</w:t>
      </w:r>
      <w:r w:rsidRPr="00075E9F">
        <w:rPr>
          <w:rStyle w:val="FootnoteReference"/>
          <w:rFonts w:asciiTheme="minorHAnsi" w:hAnsiTheme="minorHAnsi" w:cstheme="minorHAnsi"/>
          <w:sz w:val="24"/>
          <w:szCs w:val="24"/>
        </w:rPr>
        <w:footnoteReference w:id="79"/>
      </w:r>
      <w:r w:rsidRPr="00075E9F">
        <w:rPr>
          <w:rStyle w:val="FootnoteReference"/>
          <w:rFonts w:asciiTheme="minorHAnsi" w:hAnsiTheme="minorHAnsi" w:cstheme="minorHAnsi"/>
          <w:sz w:val="24"/>
          <w:szCs w:val="24"/>
        </w:rPr>
        <w:t xml:space="preserve"> </w:t>
      </w:r>
      <w:r w:rsidRPr="00075E9F">
        <w:rPr>
          <w:rFonts w:asciiTheme="minorHAnsi" w:eastAsiaTheme="minorEastAsia" w:hAnsiTheme="minorHAnsi" w:cstheme="minorHAnsi"/>
          <w:sz w:val="24"/>
          <w:szCs w:val="24"/>
        </w:rPr>
        <w:t>In Northern Ireland, even after the United Kingdom’s withdrawal from the EU, a substantial part of EU law continues to enjoy extraterritorial application due to the Protocol on Ireland/Northern Ireland attached to the United Kingdom’s Withdrawal Agreement.</w:t>
      </w:r>
    </w:p>
    <w:p w14:paraId="01E3B397" w14:textId="30A1439A" w:rsidR="00075E9F" w:rsidRDefault="00075E9F" w:rsidP="00E44EAF">
      <w:pPr>
        <w:pStyle w:val="BodyTextFormat"/>
        <w:spacing w:line="480" w:lineRule="auto"/>
        <w:ind w:firstLine="720"/>
        <w:rPr>
          <w:rFonts w:asciiTheme="minorHAnsi" w:hAnsiTheme="minorHAnsi" w:cstheme="minorHAnsi"/>
          <w:color w:val="000000"/>
          <w:sz w:val="24"/>
          <w:szCs w:val="24"/>
        </w:rPr>
      </w:pPr>
      <w:r w:rsidRPr="00075E9F">
        <w:rPr>
          <w:rFonts w:asciiTheme="minorHAnsi" w:hAnsiTheme="minorHAnsi" w:cstheme="minorHAnsi"/>
          <w:sz w:val="24"/>
          <w:szCs w:val="24"/>
        </w:rPr>
        <w:t xml:space="preserve">Former </w:t>
      </w:r>
      <w:r w:rsidRPr="00075E9F">
        <w:rPr>
          <w:rFonts w:asciiTheme="minorHAnsi" w:hAnsiTheme="minorHAnsi" w:cstheme="minorHAnsi"/>
          <w:bCs/>
          <w:sz w:val="24"/>
          <w:szCs w:val="24"/>
        </w:rPr>
        <w:t xml:space="preserve">Taoiseach Enda Kenny asked for </w:t>
      </w:r>
      <w:r w:rsidRPr="00075E9F">
        <w:rPr>
          <w:rFonts w:asciiTheme="minorHAnsi" w:hAnsiTheme="minorHAnsi" w:cstheme="minorHAnsi"/>
          <w:sz w:val="24"/>
          <w:szCs w:val="24"/>
          <w:shd w:val="clear" w:color="auto" w:fill="FFFFFF"/>
        </w:rPr>
        <w:t>a special provision in any Brexit deal to allow Northern Ireland</w:t>
      </w:r>
      <w:r w:rsidRPr="00075E9F">
        <w:rPr>
          <w:rFonts w:asciiTheme="minorHAnsi" w:hAnsiTheme="minorHAnsi" w:cstheme="minorHAnsi"/>
          <w:sz w:val="24"/>
          <w:szCs w:val="24"/>
        </w:rPr>
        <w:t xml:space="preserve"> </w:t>
      </w:r>
      <w:r w:rsidRPr="00075E9F">
        <w:rPr>
          <w:rFonts w:asciiTheme="minorHAnsi" w:hAnsiTheme="minorHAnsi" w:cstheme="minorHAnsi"/>
          <w:sz w:val="24"/>
          <w:szCs w:val="24"/>
          <w:shd w:val="clear" w:color="auto" w:fill="FFFFFF"/>
        </w:rPr>
        <w:t>to re-join the EU should it be united with the Republic.</w:t>
      </w:r>
      <w:r w:rsidRPr="00075E9F">
        <w:rPr>
          <w:rStyle w:val="FootnoteReference"/>
          <w:rFonts w:asciiTheme="minorHAnsi" w:hAnsiTheme="minorHAnsi" w:cstheme="minorHAnsi"/>
          <w:sz w:val="24"/>
          <w:szCs w:val="24"/>
        </w:rPr>
        <w:footnoteReference w:id="80"/>
      </w:r>
      <w:r w:rsidRPr="00075E9F">
        <w:rPr>
          <w:rStyle w:val="FootnoteReference"/>
          <w:rFonts w:asciiTheme="minorHAnsi" w:hAnsiTheme="minorHAnsi" w:cstheme="minorHAnsi"/>
          <w:sz w:val="24"/>
          <w:szCs w:val="24"/>
        </w:rPr>
        <w:t xml:space="preserve"> </w:t>
      </w:r>
      <w:r w:rsidRPr="00075E9F">
        <w:rPr>
          <w:rFonts w:asciiTheme="minorHAnsi" w:hAnsiTheme="minorHAnsi" w:cstheme="minorHAnsi"/>
          <w:sz w:val="24"/>
          <w:szCs w:val="24"/>
          <w:shd w:val="clear" w:color="auto" w:fill="FFFFFF"/>
        </w:rPr>
        <w:t>At the time of that request, the question was focused on what such a provision would look like.</w:t>
      </w:r>
      <w:r w:rsidRPr="00075E9F">
        <w:rPr>
          <w:rFonts w:asciiTheme="minorHAnsi" w:eastAsiaTheme="minorEastAsia" w:hAnsiTheme="minorHAnsi" w:cstheme="minorHAnsi"/>
          <w:sz w:val="24"/>
          <w:szCs w:val="24"/>
        </w:rPr>
        <w:t xml:space="preserve"> </w:t>
      </w:r>
      <w:r w:rsidRPr="00075E9F">
        <w:rPr>
          <w:rFonts w:asciiTheme="minorHAnsi" w:hAnsiTheme="minorHAnsi" w:cstheme="minorHAnsi"/>
          <w:sz w:val="24"/>
          <w:szCs w:val="24"/>
          <w:shd w:val="clear" w:color="auto" w:fill="FFFFFF"/>
        </w:rPr>
        <w:t xml:space="preserve">There is only one </w:t>
      </w:r>
      <w:r w:rsidRPr="00075E9F">
        <w:rPr>
          <w:rFonts w:asciiTheme="minorHAnsi" w:hAnsiTheme="minorHAnsi" w:cstheme="minorHAnsi"/>
          <w:sz w:val="24"/>
          <w:szCs w:val="24"/>
          <w:shd w:val="clear" w:color="auto" w:fill="FFFFFF"/>
        </w:rPr>
        <w:lastRenderedPageBreak/>
        <w:t xml:space="preserve">EU law provision that explicitly regulates the (re)unification of a (member-) state: </w:t>
      </w:r>
      <w:r>
        <w:rPr>
          <w:rFonts w:asciiTheme="minorHAnsi" w:hAnsiTheme="minorHAnsi" w:cstheme="minorHAnsi"/>
          <w:sz w:val="24"/>
          <w:szCs w:val="24"/>
          <w:shd w:val="clear" w:color="auto" w:fill="FFFFFF"/>
        </w:rPr>
        <w:t xml:space="preserve">the aforementioned </w:t>
      </w:r>
      <w:r w:rsidRPr="00075E9F">
        <w:rPr>
          <w:rFonts w:asciiTheme="minorHAnsi" w:hAnsiTheme="minorHAnsi" w:cstheme="minorHAnsi"/>
          <w:sz w:val="24"/>
          <w:szCs w:val="24"/>
          <w:shd w:val="clear" w:color="auto" w:fill="FFFFFF"/>
        </w:rPr>
        <w:t xml:space="preserve">Article 4 of Protocol No 10 </w:t>
      </w:r>
      <w:r w:rsidRPr="00075E9F">
        <w:rPr>
          <w:rFonts w:asciiTheme="minorHAnsi" w:hAnsiTheme="minorHAnsi" w:cstheme="minorHAnsi"/>
          <w:color w:val="000000"/>
          <w:sz w:val="24"/>
          <w:szCs w:val="24"/>
        </w:rPr>
        <w:t xml:space="preserve">on Cyprus of the Act of Accession 2003. </w:t>
      </w:r>
      <w:r>
        <w:rPr>
          <w:rFonts w:asciiTheme="minorHAnsi" w:hAnsiTheme="minorHAnsi" w:cstheme="minorHAnsi"/>
          <w:color w:val="000000"/>
          <w:sz w:val="24"/>
          <w:szCs w:val="24"/>
        </w:rPr>
        <w:t xml:space="preserve">However, </w:t>
      </w:r>
      <w:r w:rsidR="00112471">
        <w:rPr>
          <w:rFonts w:asciiTheme="minorHAnsi" w:hAnsiTheme="minorHAnsi" w:cstheme="minorHAnsi"/>
          <w:color w:val="000000"/>
          <w:sz w:val="24"/>
          <w:szCs w:val="24"/>
        </w:rPr>
        <w:t>a similar</w:t>
      </w:r>
      <w:r>
        <w:rPr>
          <w:rFonts w:asciiTheme="minorHAnsi" w:hAnsiTheme="minorHAnsi" w:cstheme="minorHAnsi"/>
          <w:color w:val="000000"/>
          <w:sz w:val="24"/>
          <w:szCs w:val="24"/>
        </w:rPr>
        <w:t xml:space="preserve"> provision was not included.</w:t>
      </w:r>
      <w:r w:rsidR="00473993">
        <w:rPr>
          <w:rFonts w:asciiTheme="minorHAnsi" w:hAnsiTheme="minorHAnsi" w:cstheme="minorHAnsi"/>
          <w:color w:val="000000"/>
          <w:sz w:val="24"/>
          <w:szCs w:val="24"/>
        </w:rPr>
        <w:t xml:space="preserve"> Instead, the European Council acknowledged:</w:t>
      </w:r>
    </w:p>
    <w:p w14:paraId="04E556EE" w14:textId="1510BDD3" w:rsidR="00473993" w:rsidRPr="00473993" w:rsidRDefault="00473993" w:rsidP="00E44EAF">
      <w:pPr>
        <w:pStyle w:val="BodyTextFormat"/>
        <w:spacing w:line="480" w:lineRule="auto"/>
        <w:ind w:left="720" w:right="720" w:firstLine="0"/>
        <w:rPr>
          <w:rFonts w:asciiTheme="minorHAnsi" w:eastAsiaTheme="minorEastAsia" w:hAnsiTheme="minorHAnsi" w:cstheme="minorHAnsi"/>
          <w:sz w:val="24"/>
          <w:szCs w:val="24"/>
        </w:rPr>
      </w:pPr>
      <w:r w:rsidRPr="00473993">
        <w:rPr>
          <w:rFonts w:asciiTheme="minorHAnsi" w:eastAsiaTheme="minorEastAsia" w:hAnsiTheme="minorHAnsi" w:cstheme="minorHAnsi"/>
          <w:sz w:val="24"/>
          <w:szCs w:val="24"/>
        </w:rPr>
        <w:t>‘</w:t>
      </w:r>
      <w:proofErr w:type="gramStart"/>
      <w:r w:rsidRPr="00473993">
        <w:rPr>
          <w:rFonts w:asciiTheme="minorHAnsi" w:hAnsiTheme="minorHAnsi" w:cstheme="minorHAnsi"/>
          <w:sz w:val="24"/>
          <w:szCs w:val="24"/>
        </w:rPr>
        <w:t>that</w:t>
      </w:r>
      <w:proofErr w:type="gramEnd"/>
      <w:r w:rsidRPr="00473993">
        <w:rPr>
          <w:rFonts w:asciiTheme="minorHAnsi" w:hAnsiTheme="minorHAnsi" w:cstheme="minorHAnsi"/>
          <w:sz w:val="24"/>
          <w:szCs w:val="24"/>
        </w:rPr>
        <w:t xml:space="preserve"> the Good Friday Agreement expressly provides for an agreed mechanism whereby a united Ireland may be brought about through peaceful and democratic means; and, in this regard, the European Council acknowledges that, in accordance with international law, the entire territory of such a united Ireland would thus be part of the European Union.’</w:t>
      </w:r>
      <w:r>
        <w:rPr>
          <w:rStyle w:val="FootnoteReference"/>
          <w:rFonts w:asciiTheme="minorHAnsi" w:hAnsiTheme="minorHAnsi" w:cstheme="minorHAnsi"/>
          <w:sz w:val="24"/>
          <w:szCs w:val="24"/>
        </w:rPr>
        <w:footnoteReference w:id="81"/>
      </w:r>
    </w:p>
    <w:p w14:paraId="176D4C0C" w14:textId="162CAB86" w:rsidR="00075E9F" w:rsidRPr="00075E9F" w:rsidRDefault="00075E9F" w:rsidP="00E44EAF">
      <w:pPr>
        <w:pStyle w:val="BodyTextFormat"/>
        <w:spacing w:line="480" w:lineRule="auto"/>
        <w:ind w:firstLine="720"/>
        <w:rPr>
          <w:rFonts w:asciiTheme="minorHAnsi" w:hAnsiTheme="minorHAnsi" w:cstheme="minorHAnsi"/>
          <w:sz w:val="24"/>
          <w:szCs w:val="24"/>
        </w:rPr>
      </w:pPr>
      <w:r w:rsidRPr="00075E9F">
        <w:rPr>
          <w:rFonts w:asciiTheme="minorHAnsi" w:hAnsiTheme="minorHAnsi" w:cstheme="minorHAnsi"/>
          <w:sz w:val="24"/>
          <w:szCs w:val="24"/>
        </w:rPr>
        <w:t xml:space="preserve">The examples of both Germany and Cyprus show that the EU legal order is flexible enough to accommodate </w:t>
      </w:r>
      <w:r>
        <w:rPr>
          <w:rFonts w:asciiTheme="minorHAnsi" w:hAnsiTheme="minorHAnsi" w:cstheme="minorHAnsi"/>
          <w:sz w:val="24"/>
          <w:szCs w:val="24"/>
        </w:rPr>
        <w:t xml:space="preserve">a national constitutional change that </w:t>
      </w:r>
      <w:r w:rsidR="00112471">
        <w:rPr>
          <w:rFonts w:asciiTheme="minorHAnsi" w:hAnsiTheme="minorHAnsi" w:cstheme="minorHAnsi"/>
          <w:sz w:val="24"/>
          <w:szCs w:val="24"/>
        </w:rPr>
        <w:t>the</w:t>
      </w:r>
      <w:r>
        <w:rPr>
          <w:rFonts w:asciiTheme="minorHAnsi" w:hAnsiTheme="minorHAnsi" w:cstheme="minorHAnsi"/>
          <w:sz w:val="24"/>
          <w:szCs w:val="24"/>
        </w:rPr>
        <w:t xml:space="preserve"> </w:t>
      </w:r>
      <w:r w:rsidRPr="00075E9F">
        <w:rPr>
          <w:rFonts w:asciiTheme="minorHAnsi" w:hAnsiTheme="minorHAnsi" w:cstheme="minorHAnsi"/>
          <w:sz w:val="24"/>
          <w:szCs w:val="24"/>
        </w:rPr>
        <w:t>reunification</w:t>
      </w:r>
      <w:r w:rsidR="00112471">
        <w:rPr>
          <w:rFonts w:asciiTheme="minorHAnsi" w:hAnsiTheme="minorHAnsi" w:cstheme="minorHAnsi"/>
          <w:sz w:val="24"/>
          <w:szCs w:val="24"/>
        </w:rPr>
        <w:t xml:space="preserve"> of Ireland would entail</w:t>
      </w:r>
      <w:r w:rsidRPr="00075E9F">
        <w:rPr>
          <w:rFonts w:asciiTheme="minorHAnsi" w:hAnsiTheme="minorHAnsi" w:cstheme="minorHAnsi"/>
          <w:sz w:val="24"/>
          <w:szCs w:val="24"/>
        </w:rPr>
        <w:t>. In Germany, the relevant adaptations took place through secondary legislation. In the case of Cyprus, they will be enshrined as amendments to primary legislation. In the absence of a specific provision either in the United Kingdom’s Withdrawal Agreement or in the Trade and Cooperation Agreement, the re</w:t>
      </w:r>
      <w:r w:rsidR="00112471">
        <w:rPr>
          <w:rFonts w:asciiTheme="minorHAnsi" w:hAnsiTheme="minorHAnsi" w:cstheme="minorHAnsi"/>
          <w:sz w:val="24"/>
          <w:szCs w:val="24"/>
        </w:rPr>
        <w:t>-</w:t>
      </w:r>
      <w:r w:rsidRPr="00075E9F">
        <w:rPr>
          <w:rFonts w:asciiTheme="minorHAnsi" w:hAnsiTheme="minorHAnsi" w:cstheme="minorHAnsi"/>
          <w:sz w:val="24"/>
          <w:szCs w:val="24"/>
        </w:rPr>
        <w:t>accession of Northern Ireland to the EU would probably follow the precedent of German reunification.</w:t>
      </w:r>
      <w:r w:rsidRPr="00075E9F">
        <w:rPr>
          <w:rStyle w:val="FootnoteReference"/>
          <w:rFonts w:asciiTheme="minorHAnsi" w:hAnsiTheme="minorHAnsi" w:cstheme="minorHAnsi"/>
          <w:sz w:val="24"/>
          <w:szCs w:val="24"/>
        </w:rPr>
        <w:t xml:space="preserve"> </w:t>
      </w:r>
    </w:p>
    <w:p w14:paraId="71530739" w14:textId="77777777" w:rsidR="004472BF" w:rsidRPr="00075E9F" w:rsidRDefault="004472BF" w:rsidP="00E44EAF">
      <w:pPr>
        <w:spacing w:line="480" w:lineRule="auto"/>
        <w:rPr>
          <w:rFonts w:cstheme="minorHAnsi"/>
        </w:rPr>
      </w:pPr>
    </w:p>
    <w:p w14:paraId="19490A86" w14:textId="77777777" w:rsidR="004472BF" w:rsidRPr="004472BF" w:rsidRDefault="004472BF" w:rsidP="00E44EAF">
      <w:pPr>
        <w:spacing w:line="480" w:lineRule="auto"/>
        <w:jc w:val="center"/>
        <w:rPr>
          <w:rFonts w:cs="Calibri (Body)"/>
        </w:rPr>
      </w:pPr>
      <w:r>
        <w:rPr>
          <w:rFonts w:cs="Calibri (Body)"/>
        </w:rPr>
        <w:t>CONCLUSION</w:t>
      </w:r>
    </w:p>
    <w:p w14:paraId="24568BE4" w14:textId="285BC852" w:rsidR="00034172" w:rsidRPr="00F25961" w:rsidRDefault="00E44EAF" w:rsidP="00E44EAF">
      <w:pPr>
        <w:spacing w:line="480" w:lineRule="auto"/>
        <w:jc w:val="both"/>
        <w:rPr>
          <w:rFonts w:cstheme="minorHAnsi"/>
          <w:bdr w:val="none" w:sz="0" w:space="0" w:color="auto" w:frame="1"/>
        </w:rPr>
      </w:pPr>
      <w:r w:rsidRPr="00E44EAF">
        <w:rPr>
          <w:rFonts w:cstheme="minorHAnsi"/>
          <w:bdr w:val="none" w:sz="0" w:space="0" w:color="auto" w:frame="1"/>
        </w:rPr>
        <w:t xml:space="preserve">For a multi-level constitutional order of states whose very </w:t>
      </w:r>
      <w:r w:rsidRPr="00E44EAF">
        <w:rPr>
          <w:rFonts w:cstheme="minorHAnsi"/>
          <w:color w:val="000000" w:themeColor="text1"/>
          <w:bdr w:val="none" w:sz="0" w:space="0" w:color="auto" w:frame="1"/>
        </w:rPr>
        <w:t>raison d’</w:t>
      </w:r>
      <w:r w:rsidRPr="00E44EAF">
        <w:rPr>
          <w:rFonts w:cstheme="minorHAnsi"/>
          <w:color w:val="000000" w:themeColor="text1"/>
        </w:rPr>
        <w:t>être</w:t>
      </w:r>
      <w:r w:rsidRPr="00E44EAF">
        <w:rPr>
          <w:rFonts w:cstheme="minorHAnsi"/>
          <w:color w:val="000000" w:themeColor="text1"/>
          <w:bdr w:val="none" w:sz="0" w:space="0" w:color="auto" w:frame="1"/>
        </w:rPr>
        <w:t xml:space="preserve"> </w:t>
      </w:r>
      <w:r w:rsidRPr="00E44EAF">
        <w:rPr>
          <w:rFonts w:cstheme="minorHAnsi"/>
          <w:bdr w:val="none" w:sz="0" w:space="0" w:color="auto" w:frame="1"/>
        </w:rPr>
        <w:t>has been the promotion of peace between its members,</w:t>
      </w:r>
      <w:r>
        <w:rPr>
          <w:rFonts w:cstheme="minorHAnsi"/>
          <w:bdr w:val="none" w:sz="0" w:space="0" w:color="auto" w:frame="1"/>
        </w:rPr>
        <w:t xml:space="preserve"> the ability to accommodate territorial contestation is of critical importance. </w:t>
      </w:r>
      <w:r w:rsidR="00034172">
        <w:rPr>
          <w:rFonts w:cstheme="minorHAnsi"/>
          <w:bdr w:val="none" w:sz="0" w:space="0" w:color="auto" w:frame="1"/>
        </w:rPr>
        <w:t xml:space="preserve">In the cases of Cyprus and Ireland, the Union managed to accommodate those border disputes by mainly extending the application of EU law in areas </w:t>
      </w:r>
      <w:r w:rsidR="00F25961">
        <w:rPr>
          <w:rFonts w:cstheme="minorHAnsi"/>
          <w:bdr w:val="none" w:sz="0" w:space="0" w:color="auto" w:frame="1"/>
        </w:rPr>
        <w:t>beyond its territorial scope</w:t>
      </w:r>
      <w:r w:rsidR="00034172">
        <w:rPr>
          <w:rFonts w:cstheme="minorHAnsi"/>
          <w:bdr w:val="none" w:sz="0" w:space="0" w:color="auto" w:frame="1"/>
        </w:rPr>
        <w:t>. Protocol No 10 of the Act of Accession</w:t>
      </w:r>
      <w:r w:rsidR="00F25961">
        <w:rPr>
          <w:rFonts w:cstheme="minorHAnsi"/>
          <w:bdr w:val="none" w:sz="0" w:space="0" w:color="auto" w:frame="1"/>
        </w:rPr>
        <w:t xml:space="preserve"> 2003</w:t>
      </w:r>
      <w:r w:rsidR="00034172">
        <w:rPr>
          <w:rFonts w:cstheme="minorHAnsi"/>
          <w:bdr w:val="none" w:sz="0" w:space="0" w:color="auto" w:frame="1"/>
        </w:rPr>
        <w:t xml:space="preserve"> allow</w:t>
      </w:r>
      <w:r w:rsidR="00F25961">
        <w:rPr>
          <w:rFonts w:cstheme="minorHAnsi"/>
          <w:bdr w:val="none" w:sz="0" w:space="0" w:color="auto" w:frame="1"/>
        </w:rPr>
        <w:t>s</w:t>
      </w:r>
      <w:r w:rsidR="00034172">
        <w:rPr>
          <w:rFonts w:cstheme="minorHAnsi"/>
          <w:bdr w:val="none" w:sz="0" w:space="0" w:color="auto" w:frame="1"/>
        </w:rPr>
        <w:t xml:space="preserve"> the partial </w:t>
      </w:r>
      <w:r w:rsidR="00034172">
        <w:rPr>
          <w:rFonts w:cstheme="minorHAnsi"/>
          <w:bdr w:val="none" w:sz="0" w:space="0" w:color="auto" w:frame="1"/>
        </w:rPr>
        <w:lastRenderedPageBreak/>
        <w:t xml:space="preserve">application of EU law </w:t>
      </w:r>
      <w:r w:rsidR="00F25961">
        <w:rPr>
          <w:rFonts w:cstheme="minorHAnsi"/>
          <w:bdr w:val="none" w:sz="0" w:space="0" w:color="auto" w:frame="1"/>
        </w:rPr>
        <w:t xml:space="preserve">in </w:t>
      </w:r>
      <w:proofErr w:type="gramStart"/>
      <w:r w:rsidR="00F25961">
        <w:rPr>
          <w:rFonts w:cstheme="minorHAnsi"/>
          <w:bdr w:val="none" w:sz="0" w:space="0" w:color="auto" w:frame="1"/>
        </w:rPr>
        <w:t>northern Cyprus</w:t>
      </w:r>
      <w:proofErr w:type="gramEnd"/>
      <w:r w:rsidR="00F25961">
        <w:rPr>
          <w:rFonts w:cstheme="minorHAnsi"/>
          <w:bdr w:val="none" w:sz="0" w:space="0" w:color="auto" w:frame="1"/>
        </w:rPr>
        <w:t xml:space="preserve"> without recognising the breakaway entity. Similarly, the Protocol on Ireland/Northern Ireland as amended by the Windsor Framework ensures the </w:t>
      </w:r>
      <w:r w:rsidR="00DF036E">
        <w:rPr>
          <w:rFonts w:cstheme="minorHAnsi"/>
          <w:bdr w:val="none" w:sz="0" w:space="0" w:color="auto" w:frame="1"/>
        </w:rPr>
        <w:t>frictionless nature</w:t>
      </w:r>
      <w:r w:rsidR="00F25961">
        <w:rPr>
          <w:rFonts w:cstheme="minorHAnsi"/>
          <w:bdr w:val="none" w:sz="0" w:space="0" w:color="auto" w:frame="1"/>
        </w:rPr>
        <w:t xml:space="preserve"> of the territorial border in Ireland by extending </w:t>
      </w:r>
      <w:r w:rsidR="00F25961">
        <w:rPr>
          <w:rFonts w:cstheme="minorHAnsi"/>
          <w:i/>
          <w:iCs/>
          <w:bdr w:val="none" w:sz="0" w:space="0" w:color="auto" w:frame="1"/>
        </w:rPr>
        <w:t>inter alia</w:t>
      </w:r>
      <w:r w:rsidR="00F25961">
        <w:rPr>
          <w:rFonts w:cstheme="minorHAnsi"/>
          <w:bdr w:val="none" w:sz="0" w:space="0" w:color="auto" w:frame="1"/>
        </w:rPr>
        <w:t xml:space="preserve"> the application of EU customs law. In none of those cases, those legal arrangements managed to comprehensively resolve the underlying disputes. </w:t>
      </w:r>
      <w:r w:rsidR="00BD1E91">
        <w:rPr>
          <w:rFonts w:cstheme="minorHAnsi"/>
          <w:bdr w:val="none" w:sz="0" w:space="0" w:color="auto" w:frame="1"/>
        </w:rPr>
        <w:t xml:space="preserve">But they did ease the frictions on the borders create </w:t>
      </w:r>
      <w:r w:rsidR="00BD1E91">
        <w:rPr>
          <w:rFonts w:cstheme="minorHAnsi"/>
          <w:bdr w:val="none" w:sz="0" w:space="0" w:color="auto" w:frame="1"/>
        </w:rPr>
        <w:t>by the territorial division</w:t>
      </w:r>
      <w:r w:rsidR="00BD1E91">
        <w:rPr>
          <w:rFonts w:cstheme="minorHAnsi"/>
          <w:bdr w:val="none" w:sz="0" w:space="0" w:color="auto" w:frame="1"/>
        </w:rPr>
        <w:t>.</w:t>
      </w:r>
    </w:p>
    <w:p w14:paraId="2225710D" w14:textId="73B0EAB5" w:rsidR="00782EAC" w:rsidRDefault="00E44EAF" w:rsidP="00F25961">
      <w:pPr>
        <w:spacing w:line="480" w:lineRule="auto"/>
        <w:ind w:firstLine="720"/>
        <w:jc w:val="both"/>
        <w:rPr>
          <w:rFonts w:cstheme="minorHAnsi"/>
          <w:bdr w:val="none" w:sz="0" w:space="0" w:color="auto" w:frame="1"/>
        </w:rPr>
      </w:pPr>
      <w:r>
        <w:rPr>
          <w:rFonts w:cstheme="minorHAnsi"/>
          <w:bdr w:val="none" w:sz="0" w:space="0" w:color="auto" w:frame="1"/>
        </w:rPr>
        <w:t xml:space="preserve">The flexibility of the EU legal order </w:t>
      </w:r>
      <w:r w:rsidR="00BD1E91">
        <w:rPr>
          <w:rFonts w:cstheme="minorHAnsi"/>
          <w:bdr w:val="none" w:sz="0" w:space="0" w:color="auto" w:frame="1"/>
        </w:rPr>
        <w:t xml:space="preserve">is such that it </w:t>
      </w:r>
      <w:r w:rsidR="003926A8">
        <w:rPr>
          <w:rFonts w:cstheme="minorHAnsi"/>
          <w:bdr w:val="none" w:sz="0" w:space="0" w:color="auto" w:frame="1"/>
        </w:rPr>
        <w:t>may even allow it</w:t>
      </w:r>
      <w:r>
        <w:rPr>
          <w:rFonts w:cstheme="minorHAnsi"/>
          <w:bdr w:val="none" w:sz="0" w:space="0" w:color="auto" w:frame="1"/>
        </w:rPr>
        <w:t xml:space="preserve"> to</w:t>
      </w:r>
      <w:r w:rsidR="003926A8">
        <w:rPr>
          <w:rFonts w:cstheme="minorHAnsi"/>
          <w:bdr w:val="none" w:sz="0" w:space="0" w:color="auto" w:frame="1"/>
        </w:rPr>
        <w:t xml:space="preserve"> </w:t>
      </w:r>
      <w:r>
        <w:rPr>
          <w:rFonts w:cstheme="minorHAnsi"/>
          <w:bdr w:val="none" w:sz="0" w:space="0" w:color="auto" w:frame="1"/>
        </w:rPr>
        <w:t>accommodate the</w:t>
      </w:r>
      <w:r w:rsidR="00BD1E91">
        <w:rPr>
          <w:rFonts w:cstheme="minorHAnsi"/>
          <w:bdr w:val="none" w:sz="0" w:space="0" w:color="auto" w:frame="1"/>
        </w:rPr>
        <w:t xml:space="preserve"> potential</w:t>
      </w:r>
      <w:r>
        <w:rPr>
          <w:rFonts w:cstheme="minorHAnsi"/>
          <w:bdr w:val="none" w:sz="0" w:space="0" w:color="auto" w:frame="1"/>
        </w:rPr>
        <w:t xml:space="preserve"> reunification of those islands in the future. </w:t>
      </w:r>
      <w:r w:rsidR="00BD1E91">
        <w:rPr>
          <w:rFonts w:cstheme="minorHAnsi"/>
          <w:bdr w:val="none" w:sz="0" w:space="0" w:color="auto" w:frame="1"/>
        </w:rPr>
        <w:t xml:space="preserve">In the case of Cyprus, there is a bespoke primary law provision that </w:t>
      </w:r>
      <w:r w:rsidR="003926A8">
        <w:rPr>
          <w:rFonts w:cstheme="minorHAnsi"/>
          <w:bdr w:val="none" w:sz="0" w:space="0" w:color="auto" w:frame="1"/>
        </w:rPr>
        <w:t xml:space="preserve">will regulate this transition. In the case of Northern Ireland, the paradigm of the German reunification offers a clear pathway to address the potential challenges. None of those legal mechanisms will resolve the underlying disputes over the constitutional future of those regions. But their existence will ease the tensions and fissures that the </w:t>
      </w:r>
      <w:r w:rsidR="00DF036E">
        <w:rPr>
          <w:rFonts w:cstheme="minorHAnsi"/>
          <w:bdr w:val="none" w:sz="0" w:space="0" w:color="auto" w:frame="1"/>
        </w:rPr>
        <w:t xml:space="preserve">potential </w:t>
      </w:r>
      <w:r w:rsidR="003926A8">
        <w:rPr>
          <w:rFonts w:cstheme="minorHAnsi"/>
          <w:bdr w:val="none" w:sz="0" w:space="0" w:color="auto" w:frame="1"/>
        </w:rPr>
        <w:t xml:space="preserve">reunifications might raise. </w:t>
      </w:r>
      <w:r>
        <w:rPr>
          <w:rFonts w:cstheme="minorHAnsi"/>
          <w:bdr w:val="none" w:sz="0" w:space="0" w:color="auto" w:frame="1"/>
        </w:rPr>
        <w:t xml:space="preserve">It is up to the communities living in those parts of Europe to decide their </w:t>
      </w:r>
      <w:r w:rsidR="00DF036E">
        <w:rPr>
          <w:rFonts w:cstheme="minorHAnsi"/>
          <w:bdr w:val="none" w:sz="0" w:space="0" w:color="auto" w:frame="1"/>
        </w:rPr>
        <w:t xml:space="preserve">constitutional and </w:t>
      </w:r>
      <w:r>
        <w:rPr>
          <w:rFonts w:cstheme="minorHAnsi"/>
          <w:bdr w:val="none" w:sz="0" w:space="0" w:color="auto" w:frame="1"/>
        </w:rPr>
        <w:t>European futures</w:t>
      </w:r>
      <w:r w:rsidR="003926A8">
        <w:rPr>
          <w:rFonts w:cstheme="minorHAnsi"/>
          <w:bdr w:val="none" w:sz="0" w:space="0" w:color="auto" w:frame="1"/>
        </w:rPr>
        <w:t xml:space="preserve"> and the EU has the toolbox to accommodate those decisions</w:t>
      </w:r>
      <w:r>
        <w:rPr>
          <w:rFonts w:cstheme="minorHAnsi"/>
          <w:bdr w:val="none" w:sz="0" w:space="0" w:color="auto" w:frame="1"/>
        </w:rPr>
        <w:t>.</w:t>
      </w:r>
    </w:p>
    <w:p w14:paraId="1303DA43" w14:textId="77777777" w:rsidR="00E44EAF" w:rsidRDefault="00E44EAF" w:rsidP="00E44EAF">
      <w:pPr>
        <w:jc w:val="both"/>
        <w:rPr>
          <w:rFonts w:cstheme="minorHAnsi"/>
          <w:bdr w:val="none" w:sz="0" w:space="0" w:color="auto" w:frame="1"/>
        </w:rPr>
      </w:pPr>
    </w:p>
    <w:p w14:paraId="42630955" w14:textId="77777777" w:rsidR="00E44EAF" w:rsidRPr="00E44EAF" w:rsidRDefault="00E44EAF" w:rsidP="00E44EAF">
      <w:pPr>
        <w:jc w:val="both"/>
        <w:rPr>
          <w:rFonts w:cstheme="minorHAnsi"/>
        </w:rPr>
      </w:pPr>
    </w:p>
    <w:sectPr w:rsidR="00E44EAF" w:rsidRPr="00E44EAF">
      <w:footerReference w:type="even"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A4B84" w14:textId="77777777" w:rsidR="00B91E8B" w:rsidRDefault="00B91E8B" w:rsidP="003434C6">
      <w:r>
        <w:separator/>
      </w:r>
    </w:p>
  </w:endnote>
  <w:endnote w:type="continuationSeparator" w:id="0">
    <w:p w14:paraId="506F210A" w14:textId="77777777" w:rsidR="00B91E8B" w:rsidRDefault="00B91E8B" w:rsidP="00343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0000500000000020000"/>
    <w:charset w:val="00"/>
    <w:family w:val="auto"/>
    <w:pitch w:val="variable"/>
    <w:sig w:usb0="E00002FF" w:usb1="5000205A" w:usb2="00000000" w:usb3="00000000" w:csb0="0000019F" w:csb1="00000000"/>
  </w:font>
  <w:font w:name="Calibri (Body)">
    <w:altName w:val="Calibri"/>
    <w:panose1 w:val="020B0604020202020204"/>
    <w:charset w:val="00"/>
    <w:family w:val="roman"/>
    <w:notTrueType/>
    <w:pitch w:val="default"/>
  </w:font>
  <w:font w:name="Symbol">
    <w:panose1 w:val="05050102010706020507"/>
    <w:charset w:val="02"/>
    <w:family w:val="decorative"/>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7393922"/>
      <w:docPartObj>
        <w:docPartGallery w:val="Page Numbers (Bottom of Page)"/>
        <w:docPartUnique/>
      </w:docPartObj>
    </w:sdtPr>
    <w:sdtContent>
      <w:p w14:paraId="0CC29459" w14:textId="6A600017" w:rsidR="003F68CB" w:rsidRDefault="003F68CB" w:rsidP="00E90CE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E264219" w14:textId="77777777" w:rsidR="003F68CB" w:rsidRDefault="003F68CB" w:rsidP="003F68C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05093422"/>
      <w:docPartObj>
        <w:docPartGallery w:val="Page Numbers (Bottom of Page)"/>
        <w:docPartUnique/>
      </w:docPartObj>
    </w:sdtPr>
    <w:sdtContent>
      <w:p w14:paraId="6AD03452" w14:textId="115B4C65" w:rsidR="003F68CB" w:rsidRDefault="003F68CB" w:rsidP="00E90CE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59B887E" w14:textId="77777777" w:rsidR="003F68CB" w:rsidRDefault="003F68CB" w:rsidP="003F68C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27BEF" w14:textId="77777777" w:rsidR="00B91E8B" w:rsidRDefault="00B91E8B" w:rsidP="003434C6">
      <w:r>
        <w:separator/>
      </w:r>
    </w:p>
  </w:footnote>
  <w:footnote w:type="continuationSeparator" w:id="0">
    <w:p w14:paraId="0F91792D" w14:textId="77777777" w:rsidR="00B91E8B" w:rsidRDefault="00B91E8B" w:rsidP="003434C6">
      <w:r>
        <w:continuationSeparator/>
      </w:r>
    </w:p>
  </w:footnote>
  <w:footnote w:id="1">
    <w:p w14:paraId="0B80497A" w14:textId="77777777" w:rsidR="003434C6" w:rsidRDefault="003434C6">
      <w:pPr>
        <w:pStyle w:val="FootnoteText"/>
      </w:pPr>
      <w:r w:rsidRPr="003434C6">
        <w:rPr>
          <w:rStyle w:val="FootnoteReference"/>
        </w:rPr>
        <w:sym w:font="Symbol" w:char="F02A"/>
      </w:r>
      <w:r>
        <w:t xml:space="preserve"> Professor of European Constitutional Law, University of East Anglia, UK. Thanks to the editors and reviewers for comments on earlier drafts. The usual disclaimer applies.</w:t>
      </w:r>
    </w:p>
  </w:footnote>
  <w:footnote w:id="2">
    <w:p w14:paraId="0C8B7FF9" w14:textId="2F3AB399" w:rsidR="008817B7" w:rsidRPr="000D303C" w:rsidRDefault="008817B7" w:rsidP="008817B7">
      <w:pPr>
        <w:pStyle w:val="FootnoteText"/>
        <w:rPr>
          <w:rFonts w:cstheme="minorHAnsi"/>
        </w:rPr>
      </w:pPr>
      <w:r w:rsidRPr="000D303C">
        <w:rPr>
          <w:rStyle w:val="FootnoteReference"/>
          <w:rFonts w:cstheme="minorHAnsi"/>
        </w:rPr>
        <w:footnoteRef/>
      </w:r>
      <w:r w:rsidR="003D3DAF">
        <w:rPr>
          <w:rFonts w:cstheme="minorHAnsi"/>
        </w:rPr>
        <w:t xml:space="preserve"> </w:t>
      </w:r>
      <w:r w:rsidRPr="000D303C">
        <w:rPr>
          <w:rFonts w:cstheme="minorHAnsi"/>
        </w:rPr>
        <w:t xml:space="preserve">See generally </w:t>
      </w:r>
      <w:proofErr w:type="spellStart"/>
      <w:r w:rsidRPr="003D3DAF">
        <w:rPr>
          <w:rFonts w:cstheme="minorHAnsi"/>
          <w:iCs/>
        </w:rPr>
        <w:t>Emel</w:t>
      </w:r>
      <w:proofErr w:type="spellEnd"/>
      <w:r w:rsidRPr="003D3DAF">
        <w:rPr>
          <w:rFonts w:cstheme="minorHAnsi"/>
          <w:iCs/>
        </w:rPr>
        <w:t xml:space="preserve"> </w:t>
      </w:r>
      <w:proofErr w:type="spellStart"/>
      <w:r w:rsidRPr="003D3DAF">
        <w:rPr>
          <w:rFonts w:cstheme="minorHAnsi"/>
          <w:iCs/>
        </w:rPr>
        <w:t>Akçali</w:t>
      </w:r>
      <w:proofErr w:type="spellEnd"/>
      <w:r w:rsidRPr="000D303C">
        <w:rPr>
          <w:rFonts w:cstheme="minorHAnsi"/>
          <w:i/>
        </w:rPr>
        <w:t>,</w:t>
      </w:r>
      <w:r w:rsidRPr="000D303C">
        <w:rPr>
          <w:rFonts w:cstheme="minorHAnsi"/>
        </w:rPr>
        <w:t xml:space="preserve"> </w:t>
      </w:r>
      <w:r w:rsidR="003D3DAF">
        <w:rPr>
          <w:rFonts w:cstheme="minorHAnsi"/>
        </w:rPr>
        <w:t>‘</w:t>
      </w:r>
      <w:r w:rsidRPr="000D303C">
        <w:rPr>
          <w:rFonts w:cstheme="minorHAnsi"/>
        </w:rPr>
        <w:t>The European Union’s Competency in Conflict Resolution: The Cases of Bosnia, Macedonia and Cyprus</w:t>
      </w:r>
      <w:r w:rsidR="003D3DAF">
        <w:rPr>
          <w:rFonts w:cstheme="minorHAnsi"/>
        </w:rPr>
        <w:t>’</w:t>
      </w:r>
      <w:r w:rsidRPr="000D303C">
        <w:rPr>
          <w:rFonts w:cstheme="minorHAnsi"/>
        </w:rPr>
        <w:t>, in Thomas Diez</w:t>
      </w:r>
      <w:r w:rsidR="003D3DAF">
        <w:rPr>
          <w:rFonts w:cstheme="minorHAnsi"/>
        </w:rPr>
        <w:t xml:space="preserve"> and </w:t>
      </w:r>
      <w:r w:rsidRPr="000D303C">
        <w:rPr>
          <w:rFonts w:cstheme="minorHAnsi"/>
        </w:rPr>
        <w:t xml:space="preserve">Nathalie </w:t>
      </w:r>
      <w:proofErr w:type="spellStart"/>
      <w:r w:rsidRPr="000D303C">
        <w:rPr>
          <w:rFonts w:cstheme="minorHAnsi"/>
        </w:rPr>
        <w:t>Tocci</w:t>
      </w:r>
      <w:proofErr w:type="spellEnd"/>
      <w:r w:rsidRPr="000D303C">
        <w:rPr>
          <w:rFonts w:cstheme="minorHAnsi"/>
        </w:rPr>
        <w:t xml:space="preserve"> (eds.), </w:t>
      </w:r>
      <w:r w:rsidRPr="003D3DAF">
        <w:rPr>
          <w:rFonts w:cstheme="minorHAnsi"/>
          <w:i/>
          <w:iCs/>
        </w:rPr>
        <w:t xml:space="preserve">Cyprus: A Conflict at the Crossroads </w:t>
      </w:r>
      <w:r w:rsidRPr="000D303C">
        <w:rPr>
          <w:rFonts w:cstheme="minorHAnsi"/>
        </w:rPr>
        <w:t>(</w:t>
      </w:r>
      <w:r w:rsidR="003D3DAF">
        <w:rPr>
          <w:rFonts w:cstheme="minorHAnsi"/>
        </w:rPr>
        <w:t xml:space="preserve">Manchester, </w:t>
      </w:r>
      <w:r w:rsidRPr="000D303C">
        <w:rPr>
          <w:rFonts w:cstheme="minorHAnsi"/>
        </w:rPr>
        <w:t>2009), 180</w:t>
      </w:r>
      <w:r w:rsidR="00B178F7" w:rsidRPr="00FE0B0C">
        <w:rPr>
          <w:rFonts w:cstheme="minorHAnsi"/>
          <w:color w:val="000000" w:themeColor="text1"/>
        </w:rPr>
        <w:t>–</w:t>
      </w:r>
      <w:r w:rsidR="003D3DAF">
        <w:rPr>
          <w:rFonts w:cstheme="minorHAnsi"/>
        </w:rPr>
        <w:t>197</w:t>
      </w:r>
      <w:r w:rsidRPr="000D303C">
        <w:rPr>
          <w:rFonts w:cstheme="minorHAnsi"/>
        </w:rPr>
        <w:t xml:space="preserve">; </w:t>
      </w:r>
      <w:r w:rsidRPr="003D3DAF">
        <w:rPr>
          <w:rFonts w:cstheme="minorHAnsi"/>
          <w:iCs/>
        </w:rPr>
        <w:t xml:space="preserve">Elise </w:t>
      </w:r>
      <w:proofErr w:type="spellStart"/>
      <w:r w:rsidRPr="003D3DAF">
        <w:rPr>
          <w:rFonts w:cstheme="minorHAnsi"/>
          <w:iCs/>
        </w:rPr>
        <w:t>Féron</w:t>
      </w:r>
      <w:proofErr w:type="spellEnd"/>
      <w:r w:rsidR="003D3DAF">
        <w:rPr>
          <w:rFonts w:cstheme="minorHAnsi"/>
          <w:iCs/>
        </w:rPr>
        <w:t xml:space="preserve"> and </w:t>
      </w:r>
      <w:r w:rsidRPr="003D3DAF">
        <w:rPr>
          <w:rFonts w:cstheme="minorHAnsi"/>
          <w:iCs/>
        </w:rPr>
        <w:t>Fatma</w:t>
      </w:r>
      <w:r w:rsidRPr="003D3DAF">
        <w:rPr>
          <w:rStyle w:val="Emphasis"/>
          <w:rFonts w:cstheme="minorHAnsi"/>
          <w:iCs/>
        </w:rPr>
        <w:t xml:space="preserve"> </w:t>
      </w:r>
      <w:proofErr w:type="spellStart"/>
      <w:r w:rsidRPr="003D3DAF">
        <w:rPr>
          <w:rFonts w:cstheme="minorHAnsi"/>
          <w:iCs/>
        </w:rPr>
        <w:t>Güven</w:t>
      </w:r>
      <w:proofErr w:type="spellEnd"/>
      <w:r w:rsidRPr="003D3DAF">
        <w:rPr>
          <w:rFonts w:cstheme="minorHAnsi"/>
          <w:iCs/>
        </w:rPr>
        <w:t xml:space="preserve"> </w:t>
      </w:r>
      <w:proofErr w:type="spellStart"/>
      <w:r w:rsidRPr="003D3DAF">
        <w:rPr>
          <w:rFonts w:cstheme="minorHAnsi"/>
          <w:iCs/>
        </w:rPr>
        <w:t>Lisaliner</w:t>
      </w:r>
      <w:proofErr w:type="spellEnd"/>
      <w:r w:rsidRPr="000D303C">
        <w:rPr>
          <w:rFonts w:cstheme="minorHAnsi"/>
          <w:i/>
        </w:rPr>
        <w:t xml:space="preserve">, </w:t>
      </w:r>
      <w:r w:rsidR="003D3DAF" w:rsidRPr="003D3DAF">
        <w:rPr>
          <w:rFonts w:cstheme="minorHAnsi"/>
          <w:iCs/>
        </w:rPr>
        <w:t>‘</w:t>
      </w:r>
      <w:r w:rsidRPr="000D303C">
        <w:rPr>
          <w:rFonts w:cstheme="minorHAnsi"/>
        </w:rPr>
        <w:t>The Cyprus Conflict in a Comparative Perspective: Assessing the Impact of European Integration</w:t>
      </w:r>
      <w:r w:rsidR="003D3DAF">
        <w:rPr>
          <w:rFonts w:cstheme="minorHAnsi"/>
        </w:rPr>
        <w:t>’</w:t>
      </w:r>
      <w:r w:rsidRPr="000D303C">
        <w:rPr>
          <w:rFonts w:cstheme="minorHAnsi"/>
        </w:rPr>
        <w:t>, in</w:t>
      </w:r>
      <w:r w:rsidR="003D3DAF" w:rsidRPr="003D3DAF">
        <w:rPr>
          <w:rFonts w:cstheme="minorHAnsi"/>
        </w:rPr>
        <w:t xml:space="preserve"> </w:t>
      </w:r>
      <w:r w:rsidR="003D3DAF" w:rsidRPr="000D303C">
        <w:rPr>
          <w:rFonts w:cstheme="minorHAnsi"/>
        </w:rPr>
        <w:t>Thomas Diez</w:t>
      </w:r>
      <w:r w:rsidR="003D3DAF">
        <w:rPr>
          <w:rFonts w:cstheme="minorHAnsi"/>
        </w:rPr>
        <w:t xml:space="preserve"> and </w:t>
      </w:r>
      <w:r w:rsidR="003D3DAF" w:rsidRPr="000D303C">
        <w:rPr>
          <w:rFonts w:cstheme="minorHAnsi"/>
        </w:rPr>
        <w:t xml:space="preserve">Nathalie </w:t>
      </w:r>
      <w:proofErr w:type="spellStart"/>
      <w:r w:rsidR="003D3DAF" w:rsidRPr="000D303C">
        <w:rPr>
          <w:rFonts w:cstheme="minorHAnsi"/>
        </w:rPr>
        <w:t>Tocci</w:t>
      </w:r>
      <w:proofErr w:type="spellEnd"/>
      <w:r w:rsidR="003D3DAF" w:rsidRPr="000D303C">
        <w:rPr>
          <w:rFonts w:cstheme="minorHAnsi"/>
        </w:rPr>
        <w:t xml:space="preserve"> (eds.), </w:t>
      </w:r>
      <w:r w:rsidR="003D3DAF" w:rsidRPr="003D3DAF">
        <w:rPr>
          <w:rFonts w:cstheme="minorHAnsi"/>
          <w:i/>
          <w:iCs/>
        </w:rPr>
        <w:t xml:space="preserve">Cyprus: A Conflict at the Crossroads </w:t>
      </w:r>
      <w:r w:rsidR="003D3DAF" w:rsidRPr="000D303C">
        <w:rPr>
          <w:rFonts w:cstheme="minorHAnsi"/>
        </w:rPr>
        <w:t>(</w:t>
      </w:r>
      <w:r w:rsidR="003D3DAF">
        <w:rPr>
          <w:rFonts w:cstheme="minorHAnsi"/>
        </w:rPr>
        <w:t xml:space="preserve">Manchester, </w:t>
      </w:r>
      <w:r w:rsidR="003D3DAF" w:rsidRPr="000D303C">
        <w:rPr>
          <w:rFonts w:cstheme="minorHAnsi"/>
        </w:rPr>
        <w:t>2009)</w:t>
      </w:r>
      <w:r w:rsidRPr="000D303C">
        <w:rPr>
          <w:rFonts w:cstheme="minorHAnsi"/>
          <w:i/>
        </w:rPr>
        <w:t>,</w:t>
      </w:r>
      <w:r w:rsidRPr="000D303C">
        <w:rPr>
          <w:rFonts w:cstheme="minorHAnsi"/>
        </w:rPr>
        <w:t xml:space="preserve"> 198</w:t>
      </w:r>
      <w:r w:rsidR="00B178F7" w:rsidRPr="00FE0B0C">
        <w:rPr>
          <w:rFonts w:cstheme="minorHAnsi"/>
          <w:color w:val="000000" w:themeColor="text1"/>
        </w:rPr>
        <w:t>–</w:t>
      </w:r>
      <w:r w:rsidR="003D3DAF">
        <w:rPr>
          <w:rFonts w:cstheme="minorHAnsi"/>
        </w:rPr>
        <w:t>216</w:t>
      </w:r>
      <w:r w:rsidRPr="000D303C">
        <w:rPr>
          <w:rFonts w:cstheme="minorHAnsi"/>
        </w:rPr>
        <w:t>.</w:t>
      </w:r>
    </w:p>
  </w:footnote>
  <w:footnote w:id="3">
    <w:p w14:paraId="43E6922C" w14:textId="77777777" w:rsidR="008817B7" w:rsidRPr="000D303C" w:rsidRDefault="008817B7" w:rsidP="008817B7">
      <w:pPr>
        <w:pStyle w:val="FootnoteText"/>
        <w:rPr>
          <w:rFonts w:cstheme="minorHAnsi"/>
        </w:rPr>
      </w:pPr>
      <w:r w:rsidRPr="000D303C">
        <w:rPr>
          <w:rStyle w:val="FootnoteReference"/>
          <w:rFonts w:cstheme="minorHAnsi"/>
        </w:rPr>
        <w:footnoteRef/>
      </w:r>
      <w:r w:rsidRPr="000D303C">
        <w:rPr>
          <w:rFonts w:cstheme="minorHAnsi"/>
        </w:rPr>
        <w:t xml:space="preserve"> Art 3(5) TEU.</w:t>
      </w:r>
    </w:p>
  </w:footnote>
  <w:footnote w:id="4">
    <w:p w14:paraId="46F34BD9" w14:textId="77777777" w:rsidR="008817B7" w:rsidRPr="000D303C" w:rsidRDefault="008817B7" w:rsidP="008817B7">
      <w:pPr>
        <w:pStyle w:val="FootnoteText"/>
        <w:rPr>
          <w:rFonts w:cstheme="minorHAnsi"/>
        </w:rPr>
      </w:pPr>
      <w:r w:rsidRPr="000D303C">
        <w:rPr>
          <w:rStyle w:val="FootnoteReference"/>
          <w:rFonts w:cstheme="minorHAnsi"/>
        </w:rPr>
        <w:footnoteRef/>
      </w:r>
      <w:r w:rsidRPr="000D303C">
        <w:rPr>
          <w:rFonts w:cstheme="minorHAnsi"/>
        </w:rPr>
        <w:t xml:space="preserve"> See for instance European Commission,</w:t>
      </w:r>
      <w:r w:rsidRPr="000D303C">
        <w:rPr>
          <w:rFonts w:cstheme="minorHAnsi"/>
          <w:i/>
        </w:rPr>
        <w:t xml:space="preserve"> </w:t>
      </w:r>
      <w:r w:rsidRPr="000D303C">
        <w:rPr>
          <w:rFonts w:cstheme="minorHAnsi"/>
        </w:rPr>
        <w:t xml:space="preserve">European Neighbourhood Policy Strategy Paper, </w:t>
      </w:r>
      <w:proofErr w:type="gramStart"/>
      <w:r w:rsidRPr="000D303C">
        <w:rPr>
          <w:rFonts w:cstheme="minorHAnsi"/>
        </w:rPr>
        <w:t>COM(</w:t>
      </w:r>
      <w:proofErr w:type="gramEnd"/>
      <w:r w:rsidRPr="000D303C">
        <w:rPr>
          <w:rFonts w:cstheme="minorHAnsi"/>
        </w:rPr>
        <w:t>2004)373 final, 12 May 2004, 3.</w:t>
      </w:r>
    </w:p>
  </w:footnote>
  <w:footnote w:id="5">
    <w:p w14:paraId="6328A2F4" w14:textId="3EDB1E1F" w:rsidR="000D303C" w:rsidRPr="000D303C" w:rsidRDefault="000D303C" w:rsidP="000D303C">
      <w:pPr>
        <w:pStyle w:val="FootnoteText"/>
        <w:rPr>
          <w:rFonts w:cstheme="minorHAnsi"/>
        </w:rPr>
      </w:pPr>
      <w:r w:rsidRPr="000D303C">
        <w:rPr>
          <w:rStyle w:val="FootnoteReference"/>
          <w:rFonts w:cstheme="minorHAnsi"/>
        </w:rPr>
        <w:footnoteRef/>
      </w:r>
      <w:r w:rsidRPr="000D303C">
        <w:rPr>
          <w:rFonts w:cstheme="minorHAnsi"/>
        </w:rPr>
        <w:t xml:space="preserve"> </w:t>
      </w:r>
      <w:r w:rsidRPr="003D3DAF">
        <w:rPr>
          <w:rFonts w:cstheme="minorHAnsi"/>
          <w:iCs/>
        </w:rPr>
        <w:t xml:space="preserve">Nathalie </w:t>
      </w:r>
      <w:proofErr w:type="spellStart"/>
      <w:r w:rsidRPr="003D3DAF">
        <w:rPr>
          <w:rFonts w:cstheme="minorHAnsi"/>
          <w:iCs/>
        </w:rPr>
        <w:t>Tocci</w:t>
      </w:r>
      <w:proofErr w:type="spellEnd"/>
      <w:r w:rsidRPr="000D303C">
        <w:rPr>
          <w:rFonts w:cstheme="minorHAnsi"/>
          <w:i/>
        </w:rPr>
        <w:t>,</w:t>
      </w:r>
      <w:r w:rsidRPr="000D303C">
        <w:rPr>
          <w:rFonts w:cstheme="minorHAnsi"/>
        </w:rPr>
        <w:t xml:space="preserve"> </w:t>
      </w:r>
      <w:r w:rsidRPr="003D3DAF">
        <w:rPr>
          <w:rFonts w:cstheme="minorHAnsi"/>
          <w:i/>
        </w:rPr>
        <w:t>EU Accession Dynamics and Conflict Resolution</w:t>
      </w:r>
      <w:r w:rsidRPr="000D303C">
        <w:rPr>
          <w:rFonts w:cstheme="minorHAnsi"/>
        </w:rPr>
        <w:t xml:space="preserve"> (</w:t>
      </w:r>
      <w:r w:rsidR="003D3DAF">
        <w:rPr>
          <w:rFonts w:cstheme="minorHAnsi"/>
        </w:rPr>
        <w:t xml:space="preserve">Farnham, </w:t>
      </w:r>
      <w:r w:rsidRPr="000D303C">
        <w:rPr>
          <w:rFonts w:cstheme="minorHAnsi"/>
        </w:rPr>
        <w:t>2004</w:t>
      </w:r>
      <w:r w:rsidR="00C9518A">
        <w:rPr>
          <w:rFonts w:cstheme="minorHAnsi"/>
        </w:rPr>
        <w:t>)</w:t>
      </w:r>
      <w:r w:rsidR="003D3DAF">
        <w:rPr>
          <w:rFonts w:cstheme="minorHAnsi"/>
        </w:rPr>
        <w:t>:</w:t>
      </w:r>
      <w:r w:rsidRPr="000D303C">
        <w:rPr>
          <w:rFonts w:cstheme="minorHAnsi"/>
        </w:rPr>
        <w:t xml:space="preserve"> 173; see also </w:t>
      </w:r>
      <w:r w:rsidR="003D3DAF" w:rsidRPr="003D3DAF">
        <w:rPr>
          <w:rFonts w:cstheme="minorHAnsi"/>
          <w:iCs/>
        </w:rPr>
        <w:t xml:space="preserve">Nathalie </w:t>
      </w:r>
      <w:proofErr w:type="spellStart"/>
      <w:r w:rsidR="003D3DAF" w:rsidRPr="003D3DAF">
        <w:rPr>
          <w:rFonts w:cstheme="minorHAnsi"/>
          <w:iCs/>
        </w:rPr>
        <w:t>Tocci</w:t>
      </w:r>
      <w:proofErr w:type="spellEnd"/>
      <w:r w:rsidRPr="000D303C">
        <w:rPr>
          <w:rFonts w:cstheme="minorHAnsi"/>
          <w:i/>
        </w:rPr>
        <w:t>,</w:t>
      </w:r>
      <w:r w:rsidRPr="000D303C">
        <w:rPr>
          <w:rFonts w:cstheme="minorHAnsi"/>
        </w:rPr>
        <w:t xml:space="preserve"> </w:t>
      </w:r>
      <w:r w:rsidR="003D3DAF">
        <w:rPr>
          <w:rFonts w:cstheme="minorHAnsi"/>
        </w:rPr>
        <w:t>‘</w:t>
      </w:r>
      <w:r w:rsidRPr="000D303C">
        <w:rPr>
          <w:rFonts w:cstheme="minorHAnsi"/>
        </w:rPr>
        <w:t>Comparing the EU’s Role in Neighbourhood Conflicts</w:t>
      </w:r>
      <w:r w:rsidR="003D3DAF">
        <w:rPr>
          <w:rFonts w:cstheme="minorHAnsi"/>
        </w:rPr>
        <w:t>’</w:t>
      </w:r>
      <w:r w:rsidRPr="000D303C">
        <w:rPr>
          <w:rFonts w:cstheme="minorHAnsi"/>
        </w:rPr>
        <w:t xml:space="preserve">, in </w:t>
      </w:r>
      <w:proofErr w:type="spellStart"/>
      <w:r w:rsidRPr="000D303C">
        <w:rPr>
          <w:rFonts w:cstheme="minorHAnsi"/>
        </w:rPr>
        <w:t>Marise</w:t>
      </w:r>
      <w:proofErr w:type="spellEnd"/>
      <w:r w:rsidRPr="000D303C">
        <w:rPr>
          <w:rFonts w:cstheme="minorHAnsi"/>
        </w:rPr>
        <w:t xml:space="preserve"> Cremona (ed.), </w:t>
      </w:r>
      <w:r w:rsidRPr="003D3DAF">
        <w:rPr>
          <w:rFonts w:cstheme="minorHAnsi"/>
          <w:i/>
          <w:iCs/>
        </w:rPr>
        <w:t>Developments in EU External Relations Law</w:t>
      </w:r>
      <w:r w:rsidRPr="000D303C">
        <w:rPr>
          <w:rFonts w:cstheme="minorHAnsi"/>
          <w:i/>
        </w:rPr>
        <w:t xml:space="preserve"> </w:t>
      </w:r>
      <w:r w:rsidRPr="000D303C">
        <w:rPr>
          <w:rFonts w:cstheme="minorHAnsi"/>
        </w:rPr>
        <w:t>(</w:t>
      </w:r>
      <w:r w:rsidR="003D3DAF">
        <w:rPr>
          <w:rFonts w:cstheme="minorHAnsi"/>
        </w:rPr>
        <w:t xml:space="preserve">Oxford, </w:t>
      </w:r>
      <w:r w:rsidRPr="000D303C">
        <w:rPr>
          <w:rFonts w:cstheme="minorHAnsi"/>
        </w:rPr>
        <w:t>2008), 216</w:t>
      </w:r>
      <w:r w:rsidR="00B178F7" w:rsidRPr="00FE0B0C">
        <w:rPr>
          <w:rFonts w:cstheme="minorHAnsi"/>
          <w:color w:val="000000" w:themeColor="text1"/>
        </w:rPr>
        <w:t>–</w:t>
      </w:r>
      <w:r w:rsidR="005E14A8">
        <w:rPr>
          <w:rFonts w:cstheme="minorHAnsi"/>
        </w:rPr>
        <w:t>243</w:t>
      </w:r>
      <w:r w:rsidRPr="000D303C">
        <w:rPr>
          <w:rFonts w:cstheme="minorHAnsi"/>
        </w:rPr>
        <w:t>.</w:t>
      </w:r>
    </w:p>
  </w:footnote>
  <w:footnote w:id="6">
    <w:p w14:paraId="28C826C5" w14:textId="49932948" w:rsidR="000D303C" w:rsidRPr="000D303C" w:rsidRDefault="000D303C" w:rsidP="000D303C">
      <w:pPr>
        <w:pStyle w:val="FootnoteText"/>
        <w:rPr>
          <w:rFonts w:cstheme="minorHAnsi"/>
          <w:lang w:val="en-US"/>
        </w:rPr>
      </w:pPr>
      <w:r w:rsidRPr="000D303C">
        <w:rPr>
          <w:rStyle w:val="FootnoteReference"/>
          <w:rFonts w:cstheme="minorHAnsi"/>
        </w:rPr>
        <w:footnoteRef/>
      </w:r>
      <w:r w:rsidRPr="000D303C">
        <w:rPr>
          <w:rFonts w:cstheme="minorHAnsi"/>
        </w:rPr>
        <w:t xml:space="preserve"> Bruno </w:t>
      </w:r>
      <w:proofErr w:type="spellStart"/>
      <w:r w:rsidRPr="000D303C">
        <w:rPr>
          <w:rFonts w:cstheme="minorHAnsi"/>
        </w:rPr>
        <w:t>Coppieters</w:t>
      </w:r>
      <w:proofErr w:type="spellEnd"/>
      <w:r w:rsidRPr="000D303C">
        <w:rPr>
          <w:rFonts w:cstheme="minorHAnsi"/>
        </w:rPr>
        <w:t xml:space="preserve"> </w:t>
      </w:r>
      <w:r w:rsidRPr="000D303C">
        <w:rPr>
          <w:rFonts w:cstheme="minorHAnsi"/>
          <w:i/>
        </w:rPr>
        <w:t>et al.</w:t>
      </w:r>
      <w:r w:rsidRPr="000D303C">
        <w:rPr>
          <w:rFonts w:cstheme="minorHAnsi"/>
        </w:rPr>
        <w:t xml:space="preserve"> (eds.), </w:t>
      </w:r>
      <w:r w:rsidRPr="005E14A8">
        <w:rPr>
          <w:rFonts w:cstheme="minorHAnsi"/>
          <w:i/>
          <w:iCs/>
        </w:rPr>
        <w:t>Europeanization and Conflict Resolution: Case Studies from the European Periphery</w:t>
      </w:r>
      <w:r w:rsidRPr="000D303C">
        <w:rPr>
          <w:rFonts w:cstheme="minorHAnsi"/>
        </w:rPr>
        <w:t xml:space="preserve"> (</w:t>
      </w:r>
      <w:r w:rsidR="005E14A8">
        <w:rPr>
          <w:rFonts w:cstheme="minorHAnsi"/>
        </w:rPr>
        <w:t xml:space="preserve">Brussels, </w:t>
      </w:r>
      <w:r w:rsidRPr="000D303C">
        <w:rPr>
          <w:rFonts w:cstheme="minorHAnsi"/>
        </w:rPr>
        <w:t>2004)</w:t>
      </w:r>
      <w:r w:rsidR="005E14A8">
        <w:rPr>
          <w:rFonts w:cstheme="minorHAnsi"/>
        </w:rPr>
        <w:t>:</w:t>
      </w:r>
      <w:r w:rsidRPr="000D303C">
        <w:rPr>
          <w:rFonts w:cstheme="minorHAnsi"/>
        </w:rPr>
        <w:t xml:space="preserve"> 2.</w:t>
      </w:r>
    </w:p>
  </w:footnote>
  <w:footnote w:id="7">
    <w:p w14:paraId="44BECFDF" w14:textId="6E18E1C8" w:rsidR="000D303C" w:rsidRPr="000D303C" w:rsidRDefault="000D303C" w:rsidP="000D303C">
      <w:pPr>
        <w:pStyle w:val="NormalWeb"/>
        <w:spacing w:before="0" w:beforeAutospacing="0" w:after="0" w:afterAutospacing="0"/>
        <w:rPr>
          <w:rFonts w:asciiTheme="minorHAnsi" w:hAnsiTheme="minorHAnsi" w:cstheme="minorHAnsi"/>
          <w:lang w:val="en-US"/>
        </w:rPr>
      </w:pPr>
      <w:r w:rsidRPr="000D303C">
        <w:rPr>
          <w:rStyle w:val="FootnoteReference"/>
          <w:rFonts w:asciiTheme="minorHAnsi" w:hAnsiTheme="minorHAnsi" w:cstheme="minorHAnsi"/>
        </w:rPr>
        <w:footnoteRef/>
      </w:r>
      <w:r w:rsidRPr="000D303C">
        <w:rPr>
          <w:rFonts w:asciiTheme="minorHAnsi" w:hAnsiTheme="minorHAnsi" w:cstheme="minorHAnsi"/>
          <w:lang w:val="en-US"/>
        </w:rPr>
        <w:t xml:space="preserve"> </w:t>
      </w:r>
      <w:r w:rsidRPr="005E14A8">
        <w:rPr>
          <w:rFonts w:asciiTheme="minorHAnsi" w:hAnsiTheme="minorHAnsi" w:cstheme="minorHAnsi"/>
          <w:iCs/>
          <w:lang w:val="en-US"/>
        </w:rPr>
        <w:t>James Ker-Lindsa</w:t>
      </w:r>
      <w:r w:rsidRPr="000D303C">
        <w:rPr>
          <w:rFonts w:asciiTheme="minorHAnsi" w:hAnsiTheme="minorHAnsi" w:cstheme="minorHAnsi"/>
          <w:i/>
          <w:lang w:val="en-US"/>
        </w:rPr>
        <w:t>y,</w:t>
      </w:r>
      <w:r w:rsidRPr="000D303C">
        <w:rPr>
          <w:rFonts w:asciiTheme="minorHAnsi" w:hAnsiTheme="minorHAnsi" w:cstheme="minorHAnsi"/>
          <w:lang w:val="en-US"/>
        </w:rPr>
        <w:t xml:space="preserve"> </w:t>
      </w:r>
      <w:r w:rsidR="005E14A8">
        <w:rPr>
          <w:rFonts w:asciiTheme="minorHAnsi" w:hAnsiTheme="minorHAnsi" w:cstheme="minorHAnsi"/>
          <w:lang w:val="en-US"/>
        </w:rPr>
        <w:t>‘</w:t>
      </w:r>
      <w:r w:rsidRPr="000D303C">
        <w:rPr>
          <w:rFonts w:asciiTheme="minorHAnsi" w:hAnsiTheme="minorHAnsi" w:cstheme="minorHAnsi"/>
          <w:bCs/>
          <w:lang w:val="en-US"/>
        </w:rPr>
        <w:t>The European U</w:t>
      </w:r>
      <w:proofErr w:type="spellStart"/>
      <w:r w:rsidRPr="000D303C">
        <w:rPr>
          <w:rFonts w:asciiTheme="minorHAnsi" w:hAnsiTheme="minorHAnsi" w:cstheme="minorHAnsi"/>
          <w:bCs/>
        </w:rPr>
        <w:t>nion</w:t>
      </w:r>
      <w:proofErr w:type="spellEnd"/>
      <w:r w:rsidRPr="000D303C">
        <w:rPr>
          <w:rFonts w:asciiTheme="minorHAnsi" w:hAnsiTheme="minorHAnsi" w:cstheme="minorHAnsi"/>
          <w:bCs/>
        </w:rPr>
        <w:t xml:space="preserve"> as a Catalyst for Conflict Resolution: Lessons from Cyprus on the Limits of Conditionality</w:t>
      </w:r>
      <w:r w:rsidR="005E14A8">
        <w:rPr>
          <w:rFonts w:asciiTheme="minorHAnsi" w:hAnsiTheme="minorHAnsi" w:cstheme="minorHAnsi"/>
          <w:bCs/>
        </w:rPr>
        <w:t>’</w:t>
      </w:r>
      <w:r w:rsidRPr="000D303C">
        <w:rPr>
          <w:rFonts w:asciiTheme="minorHAnsi" w:hAnsiTheme="minorHAnsi" w:cstheme="minorHAnsi"/>
          <w:bCs/>
        </w:rPr>
        <w:t>, Working Paper Series No. 1, Helen Bamber Centre for the Study of Rights and Conflict, Kingston University London, April 2007,</w:t>
      </w:r>
      <w:r w:rsidRPr="000D303C">
        <w:rPr>
          <w:rFonts w:asciiTheme="minorHAnsi" w:hAnsiTheme="minorHAnsi" w:cstheme="minorHAnsi"/>
        </w:rPr>
        <w:t xml:space="preserve"> available at: http://eprints.kingston.ac.uk/5596/1/Ker-Lindsay-J-5596.pdf (</w:t>
      </w:r>
      <w:r w:rsidR="005E14A8">
        <w:rPr>
          <w:rFonts w:asciiTheme="minorHAnsi" w:hAnsiTheme="minorHAnsi" w:cstheme="minorHAnsi"/>
        </w:rPr>
        <w:t>30</w:t>
      </w:r>
      <w:r w:rsidRPr="000D303C">
        <w:rPr>
          <w:rFonts w:asciiTheme="minorHAnsi" w:hAnsiTheme="minorHAnsi" w:cstheme="minorHAnsi"/>
        </w:rPr>
        <w:t xml:space="preserve"> September 20</w:t>
      </w:r>
      <w:r w:rsidR="005E14A8">
        <w:rPr>
          <w:rFonts w:asciiTheme="minorHAnsi" w:hAnsiTheme="minorHAnsi" w:cstheme="minorHAnsi"/>
        </w:rPr>
        <w:t>24</w:t>
      </w:r>
      <w:r w:rsidRPr="000D303C">
        <w:rPr>
          <w:rFonts w:asciiTheme="minorHAnsi" w:hAnsiTheme="minorHAnsi" w:cstheme="minorHAnsi"/>
        </w:rPr>
        <w:t>).</w:t>
      </w:r>
    </w:p>
  </w:footnote>
  <w:footnote w:id="8">
    <w:p w14:paraId="62D4E32D" w14:textId="4C685085" w:rsidR="00F36F76" w:rsidRDefault="00F36F76">
      <w:pPr>
        <w:pStyle w:val="FootnoteText"/>
      </w:pPr>
      <w:r>
        <w:rPr>
          <w:rStyle w:val="FootnoteReference"/>
        </w:rPr>
        <w:footnoteRef/>
      </w:r>
      <w:r>
        <w:t xml:space="preserve"> Ibid.</w:t>
      </w:r>
    </w:p>
  </w:footnote>
  <w:footnote w:id="9">
    <w:p w14:paraId="59E027CD" w14:textId="6F3BE12B" w:rsidR="000B7EE3" w:rsidRPr="000B7EE3" w:rsidRDefault="000B7EE3" w:rsidP="000B7EE3">
      <w:pPr>
        <w:tabs>
          <w:tab w:val="left" w:pos="20"/>
          <w:tab w:val="left" w:pos="340"/>
        </w:tabs>
        <w:autoSpaceDE w:val="0"/>
        <w:autoSpaceDN w:val="0"/>
        <w:adjustRightInd w:val="0"/>
        <w:jc w:val="both"/>
        <w:rPr>
          <w:rFonts w:ascii="Calibri" w:hAnsi="Calibri" w:cs="Calibri"/>
          <w:color w:val="000000"/>
          <w:sz w:val="20"/>
          <w:szCs w:val="20"/>
        </w:rPr>
      </w:pPr>
      <w:r w:rsidRPr="000B7EE3">
        <w:rPr>
          <w:rStyle w:val="FootnoteReference"/>
          <w:sz w:val="20"/>
          <w:szCs w:val="20"/>
        </w:rPr>
        <w:footnoteRef/>
      </w:r>
      <w:r w:rsidRPr="000B7EE3">
        <w:rPr>
          <w:sz w:val="20"/>
          <w:szCs w:val="20"/>
        </w:rPr>
        <w:t xml:space="preserve"> </w:t>
      </w:r>
      <w:r w:rsidR="005E14A8">
        <w:rPr>
          <w:sz w:val="20"/>
          <w:szCs w:val="20"/>
        </w:rPr>
        <w:t xml:space="preserve">Nikos Skoutaris </w:t>
      </w:r>
      <w:r w:rsidRPr="000B7EE3">
        <w:rPr>
          <w:rFonts w:ascii="Calibri" w:hAnsi="Calibri" w:cs="Calibri"/>
          <w:color w:val="000000"/>
          <w:sz w:val="20"/>
          <w:szCs w:val="20"/>
        </w:rPr>
        <w:t xml:space="preserve">‘The Paradox of the Europeanisation of Intra-State Conflicts’, </w:t>
      </w:r>
      <w:r w:rsidR="005E14A8" w:rsidRPr="000B7EE3">
        <w:rPr>
          <w:rFonts w:ascii="Calibri" w:hAnsi="Calibri" w:cs="Calibri"/>
          <w:i/>
          <w:iCs/>
          <w:color w:val="000000"/>
          <w:sz w:val="20"/>
          <w:szCs w:val="20"/>
        </w:rPr>
        <w:t xml:space="preserve">German Yearbook of International law </w:t>
      </w:r>
      <w:r w:rsidR="005E14A8" w:rsidRPr="000B7EE3">
        <w:rPr>
          <w:rFonts w:ascii="Calibri" w:hAnsi="Calibri" w:cs="Calibri"/>
          <w:color w:val="000000"/>
          <w:sz w:val="20"/>
          <w:szCs w:val="20"/>
        </w:rPr>
        <w:t xml:space="preserve">59 </w:t>
      </w:r>
      <w:r w:rsidRPr="000B7EE3">
        <w:rPr>
          <w:rFonts w:ascii="Calibri" w:hAnsi="Calibri" w:cs="Calibri"/>
          <w:color w:val="000000"/>
          <w:sz w:val="20"/>
          <w:szCs w:val="20"/>
        </w:rPr>
        <w:t>(2016) 223</w:t>
      </w:r>
      <w:r w:rsidR="00B178F7" w:rsidRPr="00FE0B0C">
        <w:rPr>
          <w:rFonts w:cstheme="minorHAnsi"/>
          <w:color w:val="000000" w:themeColor="text1"/>
          <w:sz w:val="20"/>
          <w:szCs w:val="20"/>
        </w:rPr>
        <w:t>–</w:t>
      </w:r>
      <w:r w:rsidRPr="000B7EE3">
        <w:rPr>
          <w:rFonts w:ascii="Calibri" w:hAnsi="Calibri" w:cs="Calibri"/>
          <w:color w:val="000000"/>
          <w:sz w:val="20"/>
          <w:szCs w:val="20"/>
        </w:rPr>
        <w:t>253.</w:t>
      </w:r>
    </w:p>
  </w:footnote>
  <w:footnote w:id="10">
    <w:p w14:paraId="29258305" w14:textId="2E109FE7" w:rsidR="000B7EE3" w:rsidRDefault="000B7EE3">
      <w:pPr>
        <w:pStyle w:val="FootnoteText"/>
      </w:pPr>
      <w:r>
        <w:rPr>
          <w:rStyle w:val="FootnoteReference"/>
        </w:rPr>
        <w:footnoteRef/>
      </w:r>
      <w:r>
        <w:t xml:space="preserve"> </w:t>
      </w:r>
      <w:r w:rsidR="005E14A8">
        <w:t xml:space="preserve">Skoutaris </w:t>
      </w:r>
      <w:r w:rsidR="005E14A8" w:rsidRPr="000B7EE3">
        <w:rPr>
          <w:rFonts w:ascii="Calibri" w:hAnsi="Calibri" w:cs="Calibri"/>
          <w:color w:val="000000"/>
        </w:rPr>
        <w:t>‘The Paradox of the Europeanisation of Intra-State Conflicts’</w:t>
      </w:r>
      <w:r>
        <w:t>.</w:t>
      </w:r>
    </w:p>
  </w:footnote>
  <w:footnote w:id="11">
    <w:p w14:paraId="460F2ED0" w14:textId="446EEC12" w:rsidR="000B7EE3" w:rsidRPr="00196E83" w:rsidRDefault="000B7EE3" w:rsidP="00196E83">
      <w:pPr>
        <w:tabs>
          <w:tab w:val="left" w:pos="20"/>
          <w:tab w:val="left" w:pos="340"/>
        </w:tabs>
        <w:autoSpaceDE w:val="0"/>
        <w:autoSpaceDN w:val="0"/>
        <w:adjustRightInd w:val="0"/>
        <w:rPr>
          <w:rFonts w:ascii="Calibri" w:hAnsi="Calibri" w:cs="Calibri"/>
          <w:color w:val="000000"/>
          <w:sz w:val="20"/>
          <w:szCs w:val="20"/>
        </w:rPr>
      </w:pPr>
      <w:r w:rsidRPr="00196E83">
        <w:rPr>
          <w:rStyle w:val="FootnoteReference"/>
          <w:sz w:val="20"/>
          <w:szCs w:val="20"/>
        </w:rPr>
        <w:footnoteRef/>
      </w:r>
      <w:r w:rsidRPr="00196E83">
        <w:rPr>
          <w:sz w:val="20"/>
          <w:szCs w:val="20"/>
        </w:rPr>
        <w:t xml:space="preserve"> </w:t>
      </w:r>
      <w:r w:rsidR="00196E83" w:rsidRPr="00196E83">
        <w:rPr>
          <w:sz w:val="20"/>
          <w:szCs w:val="20"/>
        </w:rPr>
        <w:t>For an analysis see</w:t>
      </w:r>
      <w:r w:rsidR="005E14A8">
        <w:rPr>
          <w:sz w:val="20"/>
          <w:szCs w:val="20"/>
        </w:rPr>
        <w:t xml:space="preserve"> Nikos Skoutaris,</w:t>
      </w:r>
      <w:r w:rsidR="00196E83" w:rsidRPr="00196E83">
        <w:rPr>
          <w:sz w:val="20"/>
          <w:szCs w:val="20"/>
        </w:rPr>
        <w:t xml:space="preserve"> </w:t>
      </w:r>
      <w:r w:rsidR="00196E83" w:rsidRPr="00196E83">
        <w:rPr>
          <w:rFonts w:ascii="Calibri" w:hAnsi="Calibri" w:cs="Calibri"/>
          <w:i/>
          <w:iCs/>
          <w:color w:val="000000"/>
          <w:sz w:val="20"/>
          <w:szCs w:val="20"/>
        </w:rPr>
        <w:t>‘</w:t>
      </w:r>
      <w:r w:rsidR="00196E83" w:rsidRPr="00196E83">
        <w:rPr>
          <w:rFonts w:ascii="Calibri" w:hAnsi="Calibri" w:cs="Calibri"/>
          <w:color w:val="000000"/>
          <w:sz w:val="20"/>
          <w:szCs w:val="20"/>
        </w:rPr>
        <w:t>Border Conflicts and Territorial Differentiation after Brexit: The cases of Northern Ireland, Gibraltar and the UK Sovereign Base Areas in Cyprus’ in B</w:t>
      </w:r>
      <w:r w:rsidR="005E14A8">
        <w:rPr>
          <w:rFonts w:ascii="Calibri" w:hAnsi="Calibri" w:cs="Calibri"/>
          <w:color w:val="000000"/>
          <w:sz w:val="20"/>
          <w:szCs w:val="20"/>
        </w:rPr>
        <w:t>enjamin</w:t>
      </w:r>
      <w:r w:rsidR="00196E83" w:rsidRPr="00196E83">
        <w:rPr>
          <w:rFonts w:ascii="Calibri" w:hAnsi="Calibri" w:cs="Calibri"/>
          <w:color w:val="000000"/>
          <w:sz w:val="20"/>
          <w:szCs w:val="20"/>
        </w:rPr>
        <w:t xml:space="preserve"> </w:t>
      </w:r>
      <w:proofErr w:type="spellStart"/>
      <w:r w:rsidR="00196E83" w:rsidRPr="00196E83">
        <w:rPr>
          <w:rFonts w:ascii="Calibri" w:hAnsi="Calibri" w:cs="Calibri"/>
          <w:color w:val="000000"/>
          <w:sz w:val="20"/>
          <w:szCs w:val="20"/>
        </w:rPr>
        <w:t>Leruth</w:t>
      </w:r>
      <w:proofErr w:type="spellEnd"/>
      <w:r w:rsidR="00196E83" w:rsidRPr="00196E83">
        <w:rPr>
          <w:rFonts w:ascii="Calibri" w:hAnsi="Calibri" w:cs="Calibri"/>
          <w:color w:val="000000"/>
          <w:sz w:val="20"/>
          <w:szCs w:val="20"/>
        </w:rPr>
        <w:t>, S</w:t>
      </w:r>
      <w:r w:rsidR="005E14A8">
        <w:rPr>
          <w:rFonts w:ascii="Calibri" w:hAnsi="Calibri" w:cs="Calibri"/>
          <w:color w:val="000000"/>
          <w:sz w:val="20"/>
          <w:szCs w:val="20"/>
        </w:rPr>
        <w:t>tefan</w:t>
      </w:r>
      <w:r w:rsidR="00196E83" w:rsidRPr="00196E83">
        <w:rPr>
          <w:rFonts w:ascii="Calibri" w:hAnsi="Calibri" w:cs="Calibri"/>
          <w:color w:val="000000"/>
          <w:sz w:val="20"/>
          <w:szCs w:val="20"/>
        </w:rPr>
        <w:t xml:space="preserve"> </w:t>
      </w:r>
      <w:proofErr w:type="spellStart"/>
      <w:r w:rsidR="00196E83" w:rsidRPr="00196E83">
        <w:rPr>
          <w:rFonts w:ascii="Calibri" w:hAnsi="Calibri" w:cs="Calibri"/>
          <w:color w:val="000000"/>
          <w:sz w:val="20"/>
          <w:szCs w:val="20"/>
        </w:rPr>
        <w:t>Gänzle</w:t>
      </w:r>
      <w:proofErr w:type="spellEnd"/>
      <w:r w:rsidR="00196E83" w:rsidRPr="00196E83">
        <w:rPr>
          <w:rFonts w:ascii="Calibri" w:hAnsi="Calibri" w:cs="Calibri"/>
          <w:color w:val="000000"/>
          <w:sz w:val="20"/>
          <w:szCs w:val="20"/>
        </w:rPr>
        <w:t xml:space="preserve"> and </w:t>
      </w:r>
      <w:proofErr w:type="spellStart"/>
      <w:r w:rsidR="00196E83" w:rsidRPr="00196E83">
        <w:rPr>
          <w:rFonts w:ascii="Calibri" w:hAnsi="Calibri" w:cs="Calibri"/>
          <w:color w:val="000000"/>
          <w:sz w:val="20"/>
          <w:szCs w:val="20"/>
        </w:rPr>
        <w:t>J</w:t>
      </w:r>
      <w:r w:rsidR="005E14A8">
        <w:rPr>
          <w:rFonts w:ascii="Calibri" w:hAnsi="Calibri" w:cs="Calibri"/>
          <w:color w:val="000000"/>
          <w:sz w:val="20"/>
          <w:szCs w:val="20"/>
        </w:rPr>
        <w:t>arle</w:t>
      </w:r>
      <w:proofErr w:type="spellEnd"/>
      <w:r w:rsidR="00196E83" w:rsidRPr="00196E83">
        <w:rPr>
          <w:rFonts w:ascii="Calibri" w:hAnsi="Calibri" w:cs="Calibri"/>
          <w:color w:val="000000"/>
          <w:sz w:val="20"/>
          <w:szCs w:val="20"/>
        </w:rPr>
        <w:t xml:space="preserve"> </w:t>
      </w:r>
      <w:proofErr w:type="spellStart"/>
      <w:r w:rsidR="00196E83" w:rsidRPr="00196E83">
        <w:rPr>
          <w:rFonts w:ascii="Calibri" w:hAnsi="Calibri" w:cs="Calibri"/>
          <w:color w:val="000000"/>
          <w:sz w:val="20"/>
          <w:szCs w:val="20"/>
        </w:rPr>
        <w:t>Trondal</w:t>
      </w:r>
      <w:proofErr w:type="spellEnd"/>
      <w:r w:rsidR="00196E83" w:rsidRPr="00196E83">
        <w:rPr>
          <w:rFonts w:ascii="Calibri" w:hAnsi="Calibri" w:cs="Calibri"/>
          <w:color w:val="000000"/>
          <w:sz w:val="20"/>
          <w:szCs w:val="20"/>
        </w:rPr>
        <w:t xml:space="preserve"> (eds</w:t>
      </w:r>
      <w:r w:rsidR="005E14A8">
        <w:rPr>
          <w:rFonts w:ascii="Calibri" w:hAnsi="Calibri" w:cs="Calibri"/>
          <w:color w:val="000000"/>
          <w:sz w:val="20"/>
          <w:szCs w:val="20"/>
        </w:rPr>
        <w:t>.</w:t>
      </w:r>
      <w:r w:rsidR="00196E83" w:rsidRPr="00196E83">
        <w:rPr>
          <w:rFonts w:ascii="Calibri" w:hAnsi="Calibri" w:cs="Calibri"/>
          <w:color w:val="000000"/>
          <w:sz w:val="20"/>
          <w:szCs w:val="20"/>
        </w:rPr>
        <w:t xml:space="preserve">), </w:t>
      </w:r>
      <w:r w:rsidR="00196E83" w:rsidRPr="00196E83">
        <w:rPr>
          <w:rFonts w:ascii="Calibri" w:hAnsi="Calibri" w:cs="Calibri"/>
          <w:i/>
          <w:iCs/>
          <w:color w:val="000000"/>
          <w:sz w:val="20"/>
          <w:szCs w:val="20"/>
        </w:rPr>
        <w:t xml:space="preserve">The Routledge Handbook of Differentiation in the European Union </w:t>
      </w:r>
      <w:r w:rsidR="00196E83" w:rsidRPr="00196E83">
        <w:rPr>
          <w:rFonts w:ascii="Calibri" w:hAnsi="Calibri" w:cs="Calibri"/>
          <w:color w:val="000000"/>
          <w:sz w:val="20"/>
          <w:szCs w:val="20"/>
        </w:rPr>
        <w:t>(</w:t>
      </w:r>
      <w:r w:rsidR="005E14A8">
        <w:rPr>
          <w:rFonts w:ascii="Calibri" w:hAnsi="Calibri" w:cs="Calibri"/>
          <w:color w:val="000000"/>
          <w:sz w:val="20"/>
          <w:szCs w:val="20"/>
        </w:rPr>
        <w:t>London</w:t>
      </w:r>
      <w:r w:rsidR="00196E83" w:rsidRPr="00196E83">
        <w:rPr>
          <w:rFonts w:ascii="Calibri" w:hAnsi="Calibri" w:cs="Calibri"/>
          <w:color w:val="000000"/>
          <w:sz w:val="20"/>
          <w:szCs w:val="20"/>
        </w:rPr>
        <w:t>, 2022) 680</w:t>
      </w:r>
      <w:r w:rsidR="00B178F7" w:rsidRPr="00FE0B0C">
        <w:rPr>
          <w:rFonts w:cstheme="minorHAnsi"/>
          <w:color w:val="000000" w:themeColor="text1"/>
          <w:sz w:val="20"/>
          <w:szCs w:val="20"/>
        </w:rPr>
        <w:t>–</w:t>
      </w:r>
      <w:r w:rsidR="00196E83" w:rsidRPr="00196E83">
        <w:rPr>
          <w:rFonts w:ascii="Calibri" w:hAnsi="Calibri" w:cs="Calibri"/>
          <w:color w:val="000000"/>
          <w:sz w:val="20"/>
          <w:szCs w:val="20"/>
        </w:rPr>
        <w:t>695.</w:t>
      </w:r>
    </w:p>
  </w:footnote>
  <w:footnote w:id="12">
    <w:p w14:paraId="6D82DB3C" w14:textId="5AE7BFDA" w:rsidR="00FF03AF" w:rsidRPr="00FF03AF" w:rsidRDefault="00FF03AF" w:rsidP="00FF03AF">
      <w:pPr>
        <w:pStyle w:val="TextFlushLeft"/>
        <w:spacing w:line="240" w:lineRule="auto"/>
        <w:jc w:val="both"/>
        <w:rPr>
          <w:rFonts w:asciiTheme="minorHAnsi" w:hAnsiTheme="minorHAnsi" w:cstheme="minorHAnsi"/>
          <w:sz w:val="20"/>
          <w:szCs w:val="20"/>
          <w:lang w:val="en-GB"/>
        </w:rPr>
      </w:pPr>
      <w:r w:rsidRPr="00FF03AF">
        <w:rPr>
          <w:rStyle w:val="FootnoteReference"/>
          <w:rFonts w:asciiTheme="minorHAnsi" w:hAnsiTheme="minorHAnsi" w:cstheme="minorHAnsi"/>
          <w:sz w:val="20"/>
          <w:szCs w:val="20"/>
        </w:rPr>
        <w:footnoteRef/>
      </w:r>
      <w:r w:rsidRPr="00FF03AF">
        <w:rPr>
          <w:rFonts w:asciiTheme="minorHAnsi" w:hAnsiTheme="minorHAnsi" w:cstheme="minorHAnsi"/>
          <w:sz w:val="20"/>
          <w:szCs w:val="20"/>
        </w:rPr>
        <w:t xml:space="preserve"> </w:t>
      </w:r>
      <w:r w:rsidRPr="00FF03AF">
        <w:rPr>
          <w:rFonts w:asciiTheme="minorHAnsi" w:hAnsiTheme="minorHAnsi" w:cstheme="minorHAnsi"/>
          <w:sz w:val="20"/>
          <w:szCs w:val="20"/>
          <w:lang w:val="en-GB"/>
        </w:rPr>
        <w:t>For the purposes of the article, a discursive definition of conflict following the work of Diez et al. is used. According to them,</w:t>
      </w:r>
      <w:r>
        <w:rPr>
          <w:rFonts w:asciiTheme="minorHAnsi" w:hAnsiTheme="minorHAnsi" w:cstheme="minorHAnsi"/>
          <w:sz w:val="20"/>
          <w:szCs w:val="20"/>
          <w:lang w:val="en-GB"/>
        </w:rPr>
        <w:t xml:space="preserve"> ‘</w:t>
      </w:r>
      <w:r w:rsidRPr="00FF03AF">
        <w:rPr>
          <w:rFonts w:asciiTheme="minorHAnsi" w:hAnsiTheme="minorHAnsi" w:cstheme="minorHAnsi"/>
          <w:sz w:val="20"/>
          <w:szCs w:val="20"/>
          <w:lang w:val="en-GB"/>
        </w:rPr>
        <w:t>we observe the existence of a conflict when an actor constructs his or her identity or interests in such a way that these cannot be made compatible with the identity or interests of another actor. Conflict is therefore discursively constructed. This means that […] we do not consider violence as a necessary element of conflict</w:t>
      </w:r>
      <w:r>
        <w:rPr>
          <w:rFonts w:asciiTheme="minorHAnsi" w:hAnsiTheme="minorHAnsi" w:cstheme="minorHAnsi"/>
          <w:sz w:val="20"/>
          <w:szCs w:val="20"/>
          <w:lang w:val="en-GB"/>
        </w:rPr>
        <w:t xml:space="preserve">.’ </w:t>
      </w:r>
      <w:r w:rsidRPr="00196E83">
        <w:rPr>
          <w:rFonts w:asciiTheme="minorHAnsi" w:hAnsiTheme="minorHAnsi" w:cstheme="minorHAnsi"/>
          <w:color w:val="000000" w:themeColor="text1"/>
          <w:sz w:val="20"/>
          <w:szCs w:val="20"/>
        </w:rPr>
        <w:t xml:space="preserve">Thomas </w:t>
      </w:r>
      <w:r w:rsidRPr="00196E83">
        <w:rPr>
          <w:rFonts w:asciiTheme="minorHAnsi" w:hAnsiTheme="minorHAnsi" w:cstheme="minorHAnsi"/>
          <w:color w:val="000000" w:themeColor="text1"/>
          <w:sz w:val="20"/>
          <w:szCs w:val="20"/>
          <w:lang w:val="en-GB"/>
        </w:rPr>
        <w:t>Diez</w:t>
      </w:r>
      <w:bookmarkStart w:id="0" w:name="CBML_BIB_ch41_0006"/>
      <w:r w:rsidRPr="00196E83">
        <w:rPr>
          <w:rFonts w:asciiTheme="minorHAnsi" w:hAnsiTheme="minorHAnsi" w:cstheme="minorHAnsi"/>
          <w:color w:val="000000" w:themeColor="text1"/>
          <w:sz w:val="20"/>
          <w:szCs w:val="20"/>
          <w:lang w:val="en-GB"/>
        </w:rPr>
        <w:t>,</w:t>
      </w:r>
      <w:r>
        <w:rPr>
          <w:rFonts w:asciiTheme="minorHAnsi" w:hAnsiTheme="minorHAnsi" w:cstheme="minorHAnsi"/>
          <w:color w:val="000000" w:themeColor="text1"/>
          <w:sz w:val="20"/>
          <w:szCs w:val="20"/>
          <w:lang w:val="en-GB"/>
        </w:rPr>
        <w:t xml:space="preserve"> Stephan</w:t>
      </w:r>
      <w:r w:rsidRPr="00FE0B0C">
        <w:rPr>
          <w:rFonts w:asciiTheme="minorHAnsi" w:hAnsiTheme="minorHAnsi" w:cstheme="minorHAnsi"/>
          <w:color w:val="000000" w:themeColor="text1"/>
          <w:sz w:val="20"/>
          <w:szCs w:val="20"/>
          <w:lang w:val="en-GB"/>
        </w:rPr>
        <w:t xml:space="preserve"> Stetter and M</w:t>
      </w:r>
      <w:r>
        <w:rPr>
          <w:rStyle w:val="refauGivenName"/>
          <w:rFonts w:asciiTheme="minorHAnsi" w:hAnsiTheme="minorHAnsi" w:cstheme="minorHAnsi"/>
          <w:color w:val="000000" w:themeColor="text1"/>
          <w:sz w:val="20"/>
          <w:szCs w:val="20"/>
          <w:lang w:val="en-GB"/>
        </w:rPr>
        <w:t>athias Albert</w:t>
      </w:r>
      <w:r>
        <w:rPr>
          <w:rFonts w:asciiTheme="minorHAnsi" w:hAnsiTheme="minorHAnsi" w:cstheme="minorHAnsi"/>
          <w:color w:val="000000" w:themeColor="text1"/>
          <w:sz w:val="20"/>
          <w:szCs w:val="20"/>
          <w:lang w:val="en-GB"/>
        </w:rPr>
        <w:t>,</w:t>
      </w:r>
      <w:r w:rsidRPr="00FE0B0C">
        <w:rPr>
          <w:rFonts w:asciiTheme="minorHAnsi" w:hAnsiTheme="minorHAnsi" w:cstheme="minorHAnsi"/>
          <w:color w:val="000000" w:themeColor="text1"/>
          <w:sz w:val="20"/>
          <w:szCs w:val="20"/>
          <w:lang w:val="en-GB"/>
        </w:rPr>
        <w:t xml:space="preserve"> </w:t>
      </w:r>
      <w:r>
        <w:rPr>
          <w:rFonts w:asciiTheme="minorHAnsi" w:hAnsiTheme="minorHAnsi" w:cstheme="minorHAnsi"/>
          <w:color w:val="000000" w:themeColor="text1"/>
          <w:sz w:val="20"/>
          <w:szCs w:val="20"/>
          <w:lang w:val="en-GB"/>
        </w:rPr>
        <w:t>‘</w:t>
      </w:r>
      <w:r w:rsidRPr="00FE0B0C">
        <w:rPr>
          <w:rFonts w:asciiTheme="minorHAnsi" w:hAnsiTheme="minorHAnsi" w:cstheme="minorHAnsi"/>
          <w:color w:val="000000" w:themeColor="text1"/>
          <w:sz w:val="20"/>
          <w:szCs w:val="20"/>
          <w:lang w:val="en-GB"/>
        </w:rPr>
        <w:t>The European Union and Border Conflicts: The Transformative Power of Integration</w:t>
      </w:r>
      <w:r>
        <w:rPr>
          <w:rFonts w:asciiTheme="minorHAnsi" w:hAnsiTheme="minorHAnsi" w:cstheme="minorHAnsi"/>
          <w:color w:val="000000" w:themeColor="text1"/>
          <w:sz w:val="20"/>
          <w:szCs w:val="20"/>
          <w:lang w:val="en-GB"/>
        </w:rPr>
        <w:t>’,</w:t>
      </w:r>
      <w:r w:rsidRPr="00FE0B0C">
        <w:rPr>
          <w:rFonts w:asciiTheme="minorHAnsi" w:hAnsiTheme="minorHAnsi" w:cstheme="minorHAnsi"/>
          <w:color w:val="000000" w:themeColor="text1"/>
          <w:sz w:val="20"/>
          <w:szCs w:val="20"/>
          <w:lang w:val="en-GB"/>
        </w:rPr>
        <w:t xml:space="preserve"> </w:t>
      </w:r>
      <w:r w:rsidRPr="00FE0B0C">
        <w:rPr>
          <w:rFonts w:asciiTheme="minorHAnsi" w:hAnsiTheme="minorHAnsi" w:cstheme="minorHAnsi"/>
          <w:i/>
          <w:iCs/>
          <w:color w:val="000000" w:themeColor="text1"/>
          <w:sz w:val="20"/>
          <w:szCs w:val="20"/>
          <w:lang w:val="en-GB"/>
        </w:rPr>
        <w:t>International Organization</w:t>
      </w:r>
      <w:r w:rsidRPr="00FE0B0C">
        <w:rPr>
          <w:rFonts w:asciiTheme="minorHAnsi" w:hAnsiTheme="minorHAnsi" w:cstheme="minorHAnsi"/>
          <w:color w:val="000000" w:themeColor="text1"/>
          <w:sz w:val="20"/>
          <w:szCs w:val="20"/>
          <w:lang w:val="en-GB"/>
        </w:rPr>
        <w:t>,</w:t>
      </w:r>
      <w:r w:rsidRPr="00FE0B0C">
        <w:rPr>
          <w:rFonts w:asciiTheme="minorHAnsi" w:hAnsiTheme="minorHAnsi" w:cstheme="minorHAnsi"/>
          <w:i/>
          <w:iCs/>
          <w:color w:val="000000" w:themeColor="text1"/>
          <w:sz w:val="20"/>
          <w:szCs w:val="20"/>
          <w:lang w:val="en-GB"/>
        </w:rPr>
        <w:t xml:space="preserve"> </w:t>
      </w:r>
      <w:r w:rsidRPr="00FE0B0C">
        <w:rPr>
          <w:rFonts w:asciiTheme="minorHAnsi" w:hAnsiTheme="minorHAnsi" w:cstheme="minorHAnsi"/>
          <w:color w:val="000000" w:themeColor="text1"/>
          <w:sz w:val="20"/>
          <w:szCs w:val="20"/>
          <w:lang w:val="en-GB"/>
        </w:rPr>
        <w:t>60(3)</w:t>
      </w:r>
      <w:r w:rsidRPr="0025636D">
        <w:rPr>
          <w:rFonts w:asciiTheme="minorHAnsi" w:hAnsiTheme="minorHAnsi" w:cstheme="minorHAnsi"/>
          <w:color w:val="000000" w:themeColor="text1"/>
          <w:sz w:val="20"/>
          <w:szCs w:val="20"/>
          <w:lang w:val="en-GB"/>
        </w:rPr>
        <w:t xml:space="preserve"> </w:t>
      </w:r>
      <w:r w:rsidRPr="00FE0B0C">
        <w:rPr>
          <w:rFonts w:asciiTheme="minorHAnsi" w:hAnsiTheme="minorHAnsi" w:cstheme="minorHAnsi"/>
          <w:color w:val="000000" w:themeColor="text1"/>
          <w:sz w:val="20"/>
          <w:szCs w:val="20"/>
          <w:lang w:val="en-GB"/>
        </w:rPr>
        <w:t>(2006), 563–593:</w:t>
      </w:r>
      <w:r>
        <w:rPr>
          <w:rStyle w:val="refidDOI"/>
          <w:rFonts w:asciiTheme="minorHAnsi" w:hAnsiTheme="minorHAnsi" w:cstheme="minorHAnsi"/>
          <w:color w:val="000000" w:themeColor="text1"/>
          <w:sz w:val="20"/>
          <w:szCs w:val="20"/>
          <w:lang w:val="en-GB"/>
        </w:rPr>
        <w:t xml:space="preserve"> 565.</w:t>
      </w:r>
      <w:bookmarkEnd w:id="0"/>
    </w:p>
  </w:footnote>
  <w:footnote w:id="13">
    <w:p w14:paraId="54C450E7" w14:textId="18470A2A" w:rsidR="00F341AC" w:rsidRPr="004115B6" w:rsidRDefault="00F341AC" w:rsidP="00F341AC">
      <w:pPr>
        <w:pStyle w:val="Note"/>
        <w:spacing w:line="240" w:lineRule="auto"/>
      </w:pPr>
      <w:r w:rsidRPr="00F341AC">
        <w:rPr>
          <w:rFonts w:asciiTheme="minorHAnsi" w:hAnsiTheme="minorHAnsi" w:cstheme="minorHAnsi"/>
          <w:sz w:val="20"/>
          <w:szCs w:val="20"/>
          <w:vertAlign w:val="superscript"/>
        </w:rPr>
        <w:footnoteRef/>
      </w:r>
      <w:r w:rsidRPr="00F341AC">
        <w:rPr>
          <w:rFonts w:asciiTheme="minorHAnsi" w:hAnsiTheme="minorHAnsi" w:cstheme="minorHAnsi"/>
          <w:sz w:val="20"/>
          <w:szCs w:val="20"/>
        </w:rPr>
        <w:t xml:space="preserve"> See generall</w:t>
      </w:r>
      <w:r w:rsidR="00AC5FA2">
        <w:rPr>
          <w:rFonts w:asciiTheme="minorHAnsi" w:hAnsiTheme="minorHAnsi" w:cstheme="minorHAnsi"/>
          <w:sz w:val="20"/>
          <w:szCs w:val="20"/>
        </w:rPr>
        <w:t xml:space="preserve">y </w:t>
      </w:r>
      <w:r w:rsidR="00AC5FA2" w:rsidRPr="00F341AC">
        <w:rPr>
          <w:rStyle w:val="URL"/>
          <w:rFonts w:asciiTheme="minorHAnsi" w:hAnsiTheme="minorHAnsi" w:cstheme="minorHAnsi"/>
          <w:sz w:val="20"/>
          <w:szCs w:val="20"/>
        </w:rPr>
        <w:t>www.kypros.org/Constitution/English/</w:t>
      </w:r>
      <w:r w:rsidR="00AC5FA2">
        <w:rPr>
          <w:rStyle w:val="URL"/>
          <w:rFonts w:asciiTheme="minorHAnsi" w:hAnsiTheme="minorHAnsi" w:cstheme="minorHAnsi"/>
          <w:sz w:val="20"/>
          <w:szCs w:val="20"/>
        </w:rPr>
        <w:t>.</w:t>
      </w:r>
    </w:p>
  </w:footnote>
  <w:footnote w:id="14">
    <w:p w14:paraId="0FD81409" w14:textId="3CF56D27" w:rsidR="007B0422" w:rsidRPr="007B0422" w:rsidRDefault="007B0422" w:rsidP="007B0422">
      <w:pPr>
        <w:pStyle w:val="Reference"/>
        <w:spacing w:line="240" w:lineRule="auto"/>
        <w:ind w:left="0" w:firstLine="0"/>
        <w:rPr>
          <w:rFonts w:asciiTheme="minorHAnsi" w:hAnsiTheme="minorHAnsi" w:cstheme="minorHAnsi"/>
          <w:color w:val="000000" w:themeColor="text1"/>
          <w:sz w:val="20"/>
          <w:szCs w:val="20"/>
          <w:lang w:val="en-GB"/>
        </w:rPr>
      </w:pPr>
      <w:r w:rsidRPr="007B0422">
        <w:rPr>
          <w:rStyle w:val="FootnoteReference"/>
          <w:rFonts w:asciiTheme="minorHAnsi" w:hAnsiTheme="minorHAnsi" w:cstheme="minorHAnsi"/>
          <w:color w:val="000000" w:themeColor="text1"/>
          <w:sz w:val="20"/>
          <w:szCs w:val="20"/>
        </w:rPr>
        <w:footnoteRef/>
      </w:r>
      <w:r w:rsidRPr="007B0422">
        <w:rPr>
          <w:rFonts w:asciiTheme="minorHAnsi" w:hAnsiTheme="minorHAnsi" w:cstheme="minorHAnsi"/>
          <w:color w:val="000000" w:themeColor="text1"/>
          <w:sz w:val="20"/>
          <w:szCs w:val="20"/>
        </w:rPr>
        <w:t xml:space="preserve"> </w:t>
      </w:r>
      <w:r w:rsidR="005E14A8">
        <w:rPr>
          <w:rFonts w:asciiTheme="minorHAnsi" w:hAnsiTheme="minorHAnsi" w:cstheme="minorHAnsi"/>
          <w:color w:val="000000" w:themeColor="text1"/>
          <w:sz w:val="20"/>
          <w:szCs w:val="20"/>
        </w:rPr>
        <w:t xml:space="preserve">Nikos </w:t>
      </w:r>
      <w:r w:rsidRPr="007B0422">
        <w:rPr>
          <w:rFonts w:asciiTheme="minorHAnsi" w:hAnsiTheme="minorHAnsi" w:cstheme="minorHAnsi"/>
          <w:color w:val="000000" w:themeColor="text1"/>
          <w:sz w:val="20"/>
          <w:szCs w:val="20"/>
          <w:lang w:val="en-GB"/>
        </w:rPr>
        <w:t>Skoutaris</w:t>
      </w:r>
      <w:bookmarkStart w:id="1" w:name="CBML_BIB_ch41_0031"/>
      <w:r w:rsidRPr="007B0422">
        <w:rPr>
          <w:rFonts w:asciiTheme="minorHAnsi" w:hAnsiTheme="minorHAnsi" w:cstheme="minorHAnsi"/>
          <w:color w:val="000000" w:themeColor="text1"/>
          <w:sz w:val="20"/>
          <w:szCs w:val="20"/>
          <w:lang w:val="en-GB"/>
        </w:rPr>
        <w:t xml:space="preserve">, </w:t>
      </w:r>
      <w:r w:rsidRPr="007B0422">
        <w:rPr>
          <w:rFonts w:asciiTheme="minorHAnsi" w:hAnsiTheme="minorHAnsi" w:cstheme="minorHAnsi"/>
          <w:i/>
          <w:color w:val="000000" w:themeColor="text1"/>
          <w:sz w:val="20"/>
          <w:szCs w:val="20"/>
          <w:lang w:val="en-GB"/>
        </w:rPr>
        <w:t xml:space="preserve">The Cyprus Issue: The Four Freedoms in a (Member-) State under Siege. </w:t>
      </w:r>
      <w:r w:rsidR="005E14A8" w:rsidRPr="005E14A8">
        <w:rPr>
          <w:rFonts w:asciiTheme="minorHAnsi" w:hAnsiTheme="minorHAnsi" w:cstheme="minorHAnsi"/>
          <w:iCs/>
          <w:color w:val="000000" w:themeColor="text1"/>
          <w:sz w:val="20"/>
          <w:szCs w:val="20"/>
          <w:lang w:val="en-GB"/>
        </w:rPr>
        <w:t>(</w:t>
      </w:r>
      <w:r w:rsidRPr="007B0422">
        <w:rPr>
          <w:rFonts w:asciiTheme="minorHAnsi" w:hAnsiTheme="minorHAnsi" w:cstheme="minorHAnsi"/>
          <w:iCs/>
          <w:color w:val="000000" w:themeColor="text1"/>
          <w:sz w:val="20"/>
          <w:szCs w:val="20"/>
          <w:lang w:val="en-GB"/>
        </w:rPr>
        <w:t>Oxford</w:t>
      </w:r>
      <w:r w:rsidR="005E14A8">
        <w:rPr>
          <w:rFonts w:asciiTheme="minorHAnsi" w:hAnsiTheme="minorHAnsi" w:cstheme="minorHAnsi"/>
          <w:color w:val="000000" w:themeColor="text1"/>
          <w:sz w:val="20"/>
          <w:szCs w:val="20"/>
          <w:lang w:val="en-GB"/>
        </w:rPr>
        <w:t xml:space="preserve">, </w:t>
      </w:r>
      <w:r w:rsidR="005E14A8" w:rsidRPr="007B0422">
        <w:rPr>
          <w:rFonts w:asciiTheme="minorHAnsi" w:hAnsiTheme="minorHAnsi" w:cstheme="minorHAnsi"/>
          <w:color w:val="000000" w:themeColor="text1"/>
          <w:sz w:val="20"/>
          <w:szCs w:val="20"/>
          <w:lang w:val="en-GB"/>
        </w:rPr>
        <w:t>2011)</w:t>
      </w:r>
      <w:r w:rsidR="005E14A8">
        <w:rPr>
          <w:rFonts w:asciiTheme="minorHAnsi" w:hAnsiTheme="minorHAnsi" w:cstheme="minorHAnsi"/>
          <w:color w:val="000000" w:themeColor="text1"/>
          <w:sz w:val="20"/>
          <w:szCs w:val="20"/>
          <w:lang w:val="en-GB"/>
        </w:rPr>
        <w:t>:</w:t>
      </w:r>
      <w:r w:rsidRPr="007B0422">
        <w:rPr>
          <w:rFonts w:asciiTheme="minorHAnsi" w:hAnsiTheme="minorHAnsi" w:cstheme="minorHAnsi"/>
          <w:iCs/>
          <w:color w:val="000000" w:themeColor="text1"/>
          <w:sz w:val="20"/>
          <w:szCs w:val="20"/>
          <w:lang w:val="en-GB"/>
        </w:rPr>
        <w:t xml:space="preserve"> </w:t>
      </w:r>
      <w:r>
        <w:rPr>
          <w:rStyle w:val="refpublisherName"/>
          <w:rFonts w:asciiTheme="minorHAnsi" w:hAnsiTheme="minorHAnsi" w:cstheme="minorHAnsi"/>
          <w:color w:val="000000" w:themeColor="text1"/>
          <w:sz w:val="20"/>
          <w:szCs w:val="20"/>
          <w:lang w:val="en-GB"/>
        </w:rPr>
        <w:t>15</w:t>
      </w:r>
      <w:r w:rsidR="00B178F7" w:rsidRPr="00FE0B0C">
        <w:rPr>
          <w:rFonts w:asciiTheme="minorHAnsi" w:hAnsiTheme="minorHAnsi" w:cstheme="minorHAnsi"/>
          <w:color w:val="000000" w:themeColor="text1"/>
          <w:sz w:val="20"/>
          <w:szCs w:val="20"/>
          <w:lang w:val="en-GB"/>
        </w:rPr>
        <w:t>–</w:t>
      </w:r>
      <w:r>
        <w:rPr>
          <w:rStyle w:val="refpublisherName"/>
          <w:rFonts w:asciiTheme="minorHAnsi" w:hAnsiTheme="minorHAnsi" w:cstheme="minorHAnsi"/>
          <w:color w:val="000000" w:themeColor="text1"/>
          <w:sz w:val="20"/>
          <w:szCs w:val="20"/>
          <w:lang w:val="en-GB"/>
        </w:rPr>
        <w:t>2</w:t>
      </w:r>
      <w:r w:rsidR="0056218D">
        <w:rPr>
          <w:rStyle w:val="refpublisherName"/>
          <w:rFonts w:asciiTheme="minorHAnsi" w:hAnsiTheme="minorHAnsi" w:cstheme="minorHAnsi"/>
          <w:color w:val="000000" w:themeColor="text1"/>
          <w:sz w:val="20"/>
          <w:szCs w:val="20"/>
          <w:lang w:val="en-GB"/>
        </w:rPr>
        <w:t>2</w:t>
      </w:r>
      <w:r w:rsidRPr="007B0422">
        <w:rPr>
          <w:rFonts w:asciiTheme="minorHAnsi" w:hAnsiTheme="minorHAnsi" w:cstheme="minorHAnsi"/>
          <w:color w:val="000000" w:themeColor="text1"/>
          <w:sz w:val="20"/>
          <w:szCs w:val="20"/>
          <w:lang w:val="en-GB"/>
        </w:rPr>
        <w:t>.</w:t>
      </w:r>
      <w:bookmarkEnd w:id="1"/>
    </w:p>
  </w:footnote>
  <w:footnote w:id="15">
    <w:p w14:paraId="37B88C3C" w14:textId="155BC0D6" w:rsidR="0056218D" w:rsidRDefault="0056218D">
      <w:pPr>
        <w:pStyle w:val="FootnoteText"/>
      </w:pPr>
      <w:r>
        <w:rPr>
          <w:rStyle w:val="FootnoteReference"/>
        </w:rPr>
        <w:footnoteRef/>
      </w:r>
      <w:r>
        <w:t xml:space="preserve"> </w:t>
      </w:r>
      <w:r w:rsidR="005E14A8" w:rsidRPr="007B0422">
        <w:rPr>
          <w:rFonts w:cstheme="minorHAnsi"/>
          <w:color w:val="000000" w:themeColor="text1"/>
        </w:rPr>
        <w:t xml:space="preserve">Skoutaris, </w:t>
      </w:r>
      <w:r w:rsidR="005E14A8" w:rsidRPr="007B0422">
        <w:rPr>
          <w:rFonts w:cstheme="minorHAnsi"/>
          <w:i/>
          <w:color w:val="000000" w:themeColor="text1"/>
        </w:rPr>
        <w:t>The Cyprus Issue</w:t>
      </w:r>
      <w:r w:rsidR="005E14A8">
        <w:rPr>
          <w:rFonts w:cstheme="minorHAnsi"/>
          <w:iCs/>
          <w:color w:val="000000" w:themeColor="text1"/>
        </w:rPr>
        <w:t>,</w:t>
      </w:r>
      <w:r>
        <w:t xml:space="preserve"> 22</w:t>
      </w:r>
      <w:r w:rsidR="00B178F7" w:rsidRPr="00FE0B0C">
        <w:rPr>
          <w:rFonts w:cstheme="minorHAnsi"/>
          <w:color w:val="000000" w:themeColor="text1"/>
        </w:rPr>
        <w:t>–</w:t>
      </w:r>
      <w:r>
        <w:t>26</w:t>
      </w:r>
      <w:r w:rsidR="005E14A8">
        <w:t>.</w:t>
      </w:r>
    </w:p>
  </w:footnote>
  <w:footnote w:id="16">
    <w:p w14:paraId="4CC3DCEE" w14:textId="1C976111" w:rsidR="0056218D" w:rsidRPr="00085C44" w:rsidRDefault="0056218D">
      <w:pPr>
        <w:pStyle w:val="FootnoteText"/>
        <w:rPr>
          <w:rFonts w:cstheme="minorHAnsi"/>
        </w:rPr>
      </w:pPr>
      <w:r w:rsidRPr="00085C44">
        <w:rPr>
          <w:rStyle w:val="FootnoteReference"/>
          <w:rFonts w:cstheme="minorHAnsi"/>
        </w:rPr>
        <w:footnoteRef/>
      </w:r>
      <w:r w:rsidRPr="00085C44">
        <w:rPr>
          <w:rFonts w:cstheme="minorHAnsi"/>
        </w:rPr>
        <w:t xml:space="preserve"> </w:t>
      </w:r>
      <w:r w:rsidR="00085C44" w:rsidRPr="00085C44">
        <w:rPr>
          <w:rFonts w:cstheme="minorHAnsi"/>
        </w:rPr>
        <w:t>See UN Security Council Resolution 186 (1964).</w:t>
      </w:r>
    </w:p>
  </w:footnote>
  <w:footnote w:id="17">
    <w:p w14:paraId="34DB14D1" w14:textId="2010F961" w:rsidR="006B65CF" w:rsidRDefault="006B65CF">
      <w:pPr>
        <w:pStyle w:val="FootnoteText"/>
      </w:pPr>
      <w:r>
        <w:rPr>
          <w:rStyle w:val="FootnoteReference"/>
        </w:rPr>
        <w:footnoteRef/>
      </w:r>
      <w:r>
        <w:t xml:space="preserve"> </w:t>
      </w:r>
      <w:r w:rsidRPr="006B65CF">
        <w:rPr>
          <w:rFonts w:cstheme="minorHAnsi"/>
        </w:rPr>
        <w:t>UN Security Council Resolution 541 (1983).</w:t>
      </w:r>
      <w:r>
        <w:rPr>
          <w:rFonts w:cstheme="minorHAnsi"/>
        </w:rPr>
        <w:t xml:space="preserve"> This was reiterated in </w:t>
      </w:r>
      <w:r w:rsidRPr="006B65CF">
        <w:rPr>
          <w:rFonts w:cstheme="minorHAnsi"/>
        </w:rPr>
        <w:t>UN Security Council Resolution 5</w:t>
      </w:r>
      <w:r>
        <w:rPr>
          <w:rFonts w:cstheme="minorHAnsi"/>
        </w:rPr>
        <w:t>50</w:t>
      </w:r>
      <w:r w:rsidRPr="006B65CF">
        <w:rPr>
          <w:rFonts w:cstheme="minorHAnsi"/>
        </w:rPr>
        <w:t xml:space="preserve"> (198</w:t>
      </w:r>
      <w:r>
        <w:rPr>
          <w:rFonts w:cstheme="minorHAnsi"/>
        </w:rPr>
        <w:t>4</w:t>
      </w:r>
      <w:r w:rsidRPr="006B65CF">
        <w:rPr>
          <w:rFonts w:cstheme="minorHAnsi"/>
        </w:rPr>
        <w:t>)</w:t>
      </w:r>
      <w:r>
        <w:rPr>
          <w:rFonts w:cstheme="minorHAnsi"/>
        </w:rPr>
        <w:t>.</w:t>
      </w:r>
    </w:p>
  </w:footnote>
  <w:footnote w:id="18">
    <w:p w14:paraId="53750509" w14:textId="6F4F183D" w:rsidR="006B65CF" w:rsidRPr="00542F61" w:rsidRDefault="006B65CF" w:rsidP="006B65CF">
      <w:pPr>
        <w:pStyle w:val="FootnoteText"/>
        <w:rPr>
          <w:rFonts w:cstheme="minorHAnsi"/>
        </w:rPr>
      </w:pPr>
      <w:r w:rsidRPr="00542F61">
        <w:rPr>
          <w:rStyle w:val="FootnoteReference"/>
          <w:rFonts w:cstheme="minorHAnsi"/>
        </w:rPr>
        <w:footnoteRef/>
      </w:r>
      <w:r w:rsidRPr="00542F61">
        <w:rPr>
          <w:rFonts w:cstheme="minorHAnsi"/>
        </w:rPr>
        <w:t xml:space="preserve"> Bulletin of the European Communities, Supplement 5/93, </w:t>
      </w:r>
      <w:r w:rsidR="005E14A8">
        <w:rPr>
          <w:rFonts w:cstheme="minorHAnsi"/>
        </w:rPr>
        <w:t>‘</w:t>
      </w:r>
      <w:r w:rsidRPr="00542F61">
        <w:rPr>
          <w:rFonts w:cstheme="minorHAnsi"/>
        </w:rPr>
        <w:t>The Challenge of Enlargement</w:t>
      </w:r>
      <w:r w:rsidR="005E14A8">
        <w:rPr>
          <w:rFonts w:cstheme="minorHAnsi"/>
        </w:rPr>
        <w:t>’</w:t>
      </w:r>
      <w:r w:rsidRPr="00542F61">
        <w:rPr>
          <w:rFonts w:cstheme="minorHAnsi"/>
        </w:rPr>
        <w:t xml:space="preserve">, Commission Opinion on the Application by the Republic of Cyprus for Membership, on the Basis of </w:t>
      </w:r>
      <w:proofErr w:type="gramStart"/>
      <w:r w:rsidRPr="00542F61">
        <w:rPr>
          <w:rFonts w:cstheme="minorHAnsi"/>
        </w:rPr>
        <w:t>COM(</w:t>
      </w:r>
      <w:proofErr w:type="gramEnd"/>
      <w:r w:rsidRPr="00542F61">
        <w:rPr>
          <w:rFonts w:cstheme="minorHAnsi"/>
        </w:rPr>
        <w:t>93)313 final, 30 June 1993.</w:t>
      </w:r>
    </w:p>
  </w:footnote>
  <w:footnote w:id="19">
    <w:p w14:paraId="4B4F1232" w14:textId="1B8BEA56" w:rsidR="006B65CF" w:rsidRPr="00542F61" w:rsidRDefault="006B65CF" w:rsidP="006B65CF">
      <w:pPr>
        <w:pStyle w:val="FootnoteText"/>
        <w:rPr>
          <w:rFonts w:cstheme="minorHAnsi"/>
        </w:rPr>
      </w:pPr>
      <w:r w:rsidRPr="00542F61">
        <w:rPr>
          <w:rStyle w:val="FootnoteReference"/>
          <w:rFonts w:cstheme="minorHAnsi"/>
        </w:rPr>
        <w:footnoteRef/>
      </w:r>
      <w:r w:rsidRPr="00542F61">
        <w:rPr>
          <w:rFonts w:cstheme="minorHAnsi"/>
        </w:rPr>
        <w:t xml:space="preserve"> </w:t>
      </w:r>
      <w:r w:rsidR="005E14A8">
        <w:rPr>
          <w:rFonts w:cstheme="minorHAnsi"/>
        </w:rPr>
        <w:t>Commission, ‘</w:t>
      </w:r>
      <w:r w:rsidR="005E14A8" w:rsidRPr="00542F61">
        <w:rPr>
          <w:rFonts w:cstheme="minorHAnsi"/>
        </w:rPr>
        <w:t>The Challenge of Enlargement</w:t>
      </w:r>
      <w:r w:rsidR="005E14A8">
        <w:rPr>
          <w:rFonts w:cstheme="minorHAnsi"/>
        </w:rPr>
        <w:t>’</w:t>
      </w:r>
      <w:r w:rsidR="005E14A8" w:rsidRPr="00542F61">
        <w:rPr>
          <w:rFonts w:cstheme="minorHAnsi"/>
        </w:rPr>
        <w:t xml:space="preserve">, </w:t>
      </w:r>
      <w:r w:rsidRPr="00542F61">
        <w:rPr>
          <w:rFonts w:cstheme="minorHAnsi"/>
        </w:rPr>
        <w:t>para. 48.</w:t>
      </w:r>
    </w:p>
  </w:footnote>
  <w:footnote w:id="20">
    <w:p w14:paraId="3379DF88" w14:textId="7971A2D4" w:rsidR="006B65CF" w:rsidRPr="00542F61" w:rsidRDefault="006B65CF" w:rsidP="006B65CF">
      <w:pPr>
        <w:pStyle w:val="FootnoteText"/>
        <w:rPr>
          <w:rFonts w:cstheme="minorHAnsi"/>
        </w:rPr>
      </w:pPr>
      <w:r w:rsidRPr="00542F61">
        <w:rPr>
          <w:rStyle w:val="FootnoteReference"/>
          <w:rFonts w:cstheme="minorHAnsi"/>
        </w:rPr>
        <w:footnoteRef/>
      </w:r>
      <w:r w:rsidRPr="00542F61">
        <w:rPr>
          <w:rFonts w:cstheme="minorHAnsi"/>
        </w:rPr>
        <w:t xml:space="preserve"> </w:t>
      </w:r>
      <w:r w:rsidR="00875B99">
        <w:rPr>
          <w:rFonts w:cstheme="minorHAnsi"/>
          <w:i/>
          <w:iCs/>
        </w:rPr>
        <w:t>Ibid.</w:t>
      </w:r>
      <w:r w:rsidRPr="00542F61">
        <w:rPr>
          <w:rFonts w:cstheme="minorHAnsi"/>
          <w:i/>
        </w:rPr>
        <w:t>,</w:t>
      </w:r>
      <w:r w:rsidRPr="00542F61">
        <w:rPr>
          <w:rFonts w:cstheme="minorHAnsi"/>
        </w:rPr>
        <w:t xml:space="preserve"> para. 10.</w:t>
      </w:r>
    </w:p>
  </w:footnote>
  <w:footnote w:id="21">
    <w:p w14:paraId="6581364D" w14:textId="58D0F63A" w:rsidR="006B65CF" w:rsidRPr="00542F61" w:rsidRDefault="006B65CF" w:rsidP="006B65CF">
      <w:pPr>
        <w:pStyle w:val="FootnoteText"/>
        <w:rPr>
          <w:rFonts w:cstheme="minorHAnsi"/>
        </w:rPr>
      </w:pPr>
      <w:r w:rsidRPr="00542F61">
        <w:rPr>
          <w:rStyle w:val="FootnoteReference"/>
          <w:rFonts w:cstheme="minorHAnsi"/>
        </w:rPr>
        <w:footnoteRef/>
      </w:r>
      <w:r w:rsidRPr="00542F61">
        <w:rPr>
          <w:rFonts w:cstheme="minorHAnsi"/>
        </w:rPr>
        <w:t xml:space="preserve"> </w:t>
      </w:r>
      <w:r w:rsidR="00875B99">
        <w:rPr>
          <w:rFonts w:cstheme="minorHAnsi"/>
          <w:i/>
          <w:iCs/>
        </w:rPr>
        <w:t>Ibid.</w:t>
      </w:r>
      <w:r w:rsidR="005E14A8" w:rsidRPr="00542F61">
        <w:rPr>
          <w:rFonts w:cstheme="minorHAnsi"/>
        </w:rPr>
        <w:t>,</w:t>
      </w:r>
      <w:r w:rsidRPr="00542F61">
        <w:rPr>
          <w:rFonts w:cstheme="minorHAnsi"/>
          <w:i/>
        </w:rPr>
        <w:t xml:space="preserve"> </w:t>
      </w:r>
      <w:r w:rsidRPr="00542F61">
        <w:rPr>
          <w:rFonts w:cstheme="minorHAnsi"/>
        </w:rPr>
        <w:t>para. 47.</w:t>
      </w:r>
    </w:p>
  </w:footnote>
  <w:footnote w:id="22">
    <w:p w14:paraId="290D1645" w14:textId="34AEC776" w:rsidR="006B65CF" w:rsidRPr="00542F61" w:rsidRDefault="006B65CF" w:rsidP="006B65CF">
      <w:pPr>
        <w:pStyle w:val="FootnoteText"/>
        <w:rPr>
          <w:rFonts w:cstheme="minorHAnsi"/>
        </w:rPr>
      </w:pPr>
      <w:r w:rsidRPr="00542F61">
        <w:rPr>
          <w:rStyle w:val="FootnoteReference"/>
          <w:rFonts w:cstheme="minorHAnsi"/>
        </w:rPr>
        <w:footnoteRef/>
      </w:r>
      <w:r w:rsidRPr="00542F61">
        <w:rPr>
          <w:rFonts w:cstheme="minorHAnsi"/>
        </w:rPr>
        <w:t xml:space="preserve"> </w:t>
      </w:r>
      <w:r w:rsidR="00875B99">
        <w:rPr>
          <w:rFonts w:cstheme="minorHAnsi"/>
          <w:i/>
          <w:iCs/>
        </w:rPr>
        <w:t>Ibid.</w:t>
      </w:r>
      <w:r w:rsidRPr="00542F61">
        <w:rPr>
          <w:rFonts w:cstheme="minorHAnsi"/>
          <w:i/>
        </w:rPr>
        <w:t>,</w:t>
      </w:r>
      <w:r w:rsidRPr="00542F61">
        <w:rPr>
          <w:rFonts w:cstheme="minorHAnsi"/>
        </w:rPr>
        <w:t xml:space="preserve"> para. 51.</w:t>
      </w:r>
    </w:p>
  </w:footnote>
  <w:footnote w:id="23">
    <w:p w14:paraId="2EA87557" w14:textId="64756D0A" w:rsidR="006B65CF" w:rsidRPr="00542F61" w:rsidRDefault="006B65CF" w:rsidP="006B65CF">
      <w:pPr>
        <w:pStyle w:val="FootnoteText"/>
        <w:rPr>
          <w:rFonts w:cstheme="minorHAnsi"/>
        </w:rPr>
      </w:pPr>
      <w:r w:rsidRPr="00542F61">
        <w:rPr>
          <w:rStyle w:val="FootnoteReference"/>
          <w:rFonts w:cstheme="minorHAnsi"/>
        </w:rPr>
        <w:footnoteRef/>
      </w:r>
      <w:r w:rsidRPr="00542F61">
        <w:rPr>
          <w:rFonts w:cstheme="minorHAnsi"/>
        </w:rPr>
        <w:t xml:space="preserve"> Helsinki European Council, Presidency Conclusions, Helsinki, 10-11 December 1999, available at: http://www.europarl.europa.eu/summits/hel1_en.htm (30 </w:t>
      </w:r>
      <w:r w:rsidR="005E14A8">
        <w:rPr>
          <w:rFonts w:cstheme="minorHAnsi"/>
        </w:rPr>
        <w:t>Septem</w:t>
      </w:r>
      <w:r w:rsidRPr="00542F61">
        <w:rPr>
          <w:rFonts w:cstheme="minorHAnsi"/>
        </w:rPr>
        <w:t>ber 20</w:t>
      </w:r>
      <w:r w:rsidR="005E14A8">
        <w:rPr>
          <w:rFonts w:cstheme="minorHAnsi"/>
        </w:rPr>
        <w:t>24</w:t>
      </w:r>
      <w:r w:rsidRPr="00542F61">
        <w:rPr>
          <w:rFonts w:cstheme="minorHAnsi"/>
        </w:rPr>
        <w:t>).</w:t>
      </w:r>
    </w:p>
  </w:footnote>
  <w:footnote w:id="24">
    <w:p w14:paraId="0FAA4C05" w14:textId="403DCF76" w:rsidR="006B65CF" w:rsidRPr="00542F61" w:rsidRDefault="006B65CF" w:rsidP="006B65CF">
      <w:pPr>
        <w:pStyle w:val="FootnoteText"/>
        <w:rPr>
          <w:rFonts w:cstheme="minorHAnsi"/>
        </w:rPr>
      </w:pPr>
      <w:r w:rsidRPr="00542F61">
        <w:rPr>
          <w:rStyle w:val="FootnoteReference"/>
          <w:rFonts w:cstheme="minorHAnsi"/>
        </w:rPr>
        <w:footnoteRef/>
      </w:r>
      <w:r w:rsidRPr="00542F61">
        <w:rPr>
          <w:rFonts w:cstheme="minorHAnsi"/>
        </w:rPr>
        <w:t xml:space="preserve"> </w:t>
      </w:r>
      <w:r w:rsidR="00B2299F" w:rsidRPr="00542F61">
        <w:rPr>
          <w:rFonts w:cstheme="minorHAnsi"/>
        </w:rPr>
        <w:t>European Council, Presidency Conclusions</w:t>
      </w:r>
      <w:r w:rsidRPr="00542F61">
        <w:rPr>
          <w:rFonts w:cstheme="minorHAnsi"/>
          <w:i/>
        </w:rPr>
        <w:t>,</w:t>
      </w:r>
      <w:r w:rsidRPr="00542F61">
        <w:rPr>
          <w:rFonts w:cstheme="minorHAnsi"/>
        </w:rPr>
        <w:t xml:space="preserve"> para. 9.</w:t>
      </w:r>
    </w:p>
  </w:footnote>
  <w:footnote w:id="25">
    <w:p w14:paraId="50CC46C1" w14:textId="1E37BC50" w:rsidR="00943126" w:rsidRDefault="00943126">
      <w:pPr>
        <w:pStyle w:val="FootnoteText"/>
      </w:pPr>
      <w:r>
        <w:rPr>
          <w:rStyle w:val="FootnoteReference"/>
        </w:rPr>
        <w:footnoteRef/>
      </w:r>
      <w:r>
        <w:t xml:space="preserve"> See </w:t>
      </w:r>
      <w:r w:rsidRPr="008D1CF4">
        <w:t>The Comprehensive Settlement of the Cyprus Problem</w:t>
      </w:r>
      <w:r>
        <w:t xml:space="preserve">, </w:t>
      </w:r>
      <w:r w:rsidRPr="008D1CF4">
        <w:t>31</w:t>
      </w:r>
      <w:r>
        <w:t xml:space="preserve"> March</w:t>
      </w:r>
      <w:r w:rsidRPr="008D1CF4">
        <w:t xml:space="preserve"> 2004,</w:t>
      </w:r>
      <w:r>
        <w:t xml:space="preserve"> available at:</w:t>
      </w:r>
      <w:r w:rsidRPr="008D1CF4">
        <w:t xml:space="preserve"> https://peacemaker.un.org/sites/peacemaker.un.org/files/Annan_Plan_MARCH_30_2004.pdf</w:t>
      </w:r>
      <w:r>
        <w:t xml:space="preserve"> (30 March 2024).</w:t>
      </w:r>
    </w:p>
  </w:footnote>
  <w:footnote w:id="26">
    <w:p w14:paraId="13332540" w14:textId="77777777" w:rsidR="006B65CF" w:rsidRPr="00542F61" w:rsidRDefault="006B65CF" w:rsidP="006B65CF">
      <w:pPr>
        <w:pStyle w:val="FootnoteText"/>
        <w:rPr>
          <w:rFonts w:cstheme="minorHAnsi"/>
        </w:rPr>
      </w:pPr>
      <w:r w:rsidRPr="00542F61">
        <w:rPr>
          <w:rStyle w:val="FootnoteReference"/>
          <w:rFonts w:cstheme="minorHAnsi"/>
        </w:rPr>
        <w:footnoteRef/>
      </w:r>
      <w:r w:rsidRPr="00542F61">
        <w:rPr>
          <w:rFonts w:cstheme="minorHAnsi"/>
        </w:rPr>
        <w:t xml:space="preserve"> Press and Information Office of the Republic of Cyprus, Declaration by the President of the Republic Mr </w:t>
      </w:r>
      <w:proofErr w:type="spellStart"/>
      <w:r w:rsidRPr="00542F61">
        <w:rPr>
          <w:rFonts w:cstheme="minorHAnsi"/>
        </w:rPr>
        <w:t>Tassos</w:t>
      </w:r>
      <w:proofErr w:type="spellEnd"/>
      <w:r w:rsidRPr="00542F61">
        <w:rPr>
          <w:rFonts w:cstheme="minorHAnsi"/>
        </w:rPr>
        <w:t xml:space="preserve"> Papadopoulos regarding the referendum of 24th April 2004, Press Release, 7 April 2004.</w:t>
      </w:r>
    </w:p>
  </w:footnote>
  <w:footnote w:id="27">
    <w:p w14:paraId="2C28BC07" w14:textId="77777777" w:rsidR="006B65CF" w:rsidRPr="00542F61" w:rsidRDefault="006B65CF" w:rsidP="006B65CF">
      <w:pPr>
        <w:pStyle w:val="FootnoteText"/>
        <w:rPr>
          <w:rFonts w:cstheme="minorHAnsi"/>
        </w:rPr>
      </w:pPr>
      <w:r w:rsidRPr="00542F61">
        <w:rPr>
          <w:rStyle w:val="FootnoteReference"/>
          <w:rFonts w:cstheme="minorHAnsi"/>
        </w:rPr>
        <w:footnoteRef/>
      </w:r>
      <w:r w:rsidRPr="00542F61">
        <w:rPr>
          <w:rFonts w:cstheme="minorHAnsi"/>
        </w:rPr>
        <w:t xml:space="preserve"> </w:t>
      </w:r>
      <w:r w:rsidRPr="00542F61">
        <w:rPr>
          <w:rFonts w:cstheme="minorHAnsi"/>
          <w:i/>
        </w:rPr>
        <w:t>Ibid</w:t>
      </w:r>
      <w:r w:rsidRPr="00542F61">
        <w:rPr>
          <w:rFonts w:cstheme="minorHAnsi"/>
        </w:rPr>
        <w:t>.</w:t>
      </w:r>
    </w:p>
  </w:footnote>
  <w:footnote w:id="28">
    <w:p w14:paraId="7A29ACBA" w14:textId="5BE5EFE0" w:rsidR="00981442" w:rsidRPr="00981442" w:rsidRDefault="00981442">
      <w:pPr>
        <w:pStyle w:val="FootnoteText"/>
        <w:rPr>
          <w:rFonts w:cstheme="minorHAnsi"/>
        </w:rPr>
      </w:pPr>
      <w:r w:rsidRPr="00751DA6">
        <w:rPr>
          <w:rStyle w:val="FootnoteReference"/>
          <w:rFonts w:cstheme="minorHAnsi"/>
        </w:rPr>
        <w:footnoteRef/>
      </w:r>
      <w:r w:rsidRPr="00751DA6">
        <w:rPr>
          <w:rFonts w:cstheme="minorHAnsi"/>
        </w:rPr>
        <w:t xml:space="preserve"> </w:t>
      </w:r>
      <w:r w:rsidR="00751DA6" w:rsidRPr="00751DA6">
        <w:rPr>
          <w:rFonts w:cstheme="minorHAnsi"/>
        </w:rPr>
        <w:t xml:space="preserve">Peter Leyland, </w:t>
      </w:r>
      <w:r w:rsidR="00751DA6" w:rsidRPr="00751DA6">
        <w:rPr>
          <w:rFonts w:cstheme="minorHAnsi"/>
          <w:i/>
        </w:rPr>
        <w:t>The Constitution of the United Kingdom: A Contextual Analysis</w:t>
      </w:r>
      <w:r w:rsidR="00751DA6" w:rsidRPr="00751DA6">
        <w:rPr>
          <w:rFonts w:cstheme="minorHAnsi"/>
        </w:rPr>
        <w:t xml:space="preserve"> (2nd </w:t>
      </w:r>
      <w:proofErr w:type="spellStart"/>
      <w:r w:rsidR="00751DA6" w:rsidRPr="00751DA6">
        <w:rPr>
          <w:rFonts w:cstheme="minorHAnsi"/>
        </w:rPr>
        <w:t>edn</w:t>
      </w:r>
      <w:proofErr w:type="spellEnd"/>
      <w:r w:rsidR="00751DA6" w:rsidRPr="00751DA6">
        <w:rPr>
          <w:rFonts w:cstheme="minorHAnsi"/>
        </w:rPr>
        <w:t>) (Oxford, 2012):</w:t>
      </w:r>
      <w:r w:rsidRPr="00751DA6">
        <w:rPr>
          <w:rFonts w:cstheme="minorHAnsi"/>
        </w:rPr>
        <w:t xml:space="preserve"> 21;</w:t>
      </w:r>
      <w:r w:rsidRPr="00FE2768">
        <w:rPr>
          <w:rFonts w:cstheme="minorHAnsi"/>
        </w:rPr>
        <w:t xml:space="preserve"> for a brief historic account of how the partition on the island of Ireland was established, see </w:t>
      </w:r>
      <w:proofErr w:type="spellStart"/>
      <w:r w:rsidRPr="00FE2768">
        <w:rPr>
          <w:rFonts w:cstheme="minorHAnsi"/>
        </w:rPr>
        <w:t>Diarmaid</w:t>
      </w:r>
      <w:proofErr w:type="spellEnd"/>
      <w:r w:rsidRPr="00FE2768">
        <w:rPr>
          <w:rFonts w:cstheme="minorHAnsi"/>
        </w:rPr>
        <w:t xml:space="preserve"> </w:t>
      </w:r>
      <w:proofErr w:type="spellStart"/>
      <w:r w:rsidRPr="00FE2768">
        <w:rPr>
          <w:rFonts w:cstheme="minorHAnsi"/>
        </w:rPr>
        <w:t>Ferriter</w:t>
      </w:r>
      <w:proofErr w:type="spellEnd"/>
      <w:r w:rsidRPr="00FE2768">
        <w:rPr>
          <w:rFonts w:cstheme="minorHAnsi"/>
        </w:rPr>
        <w:t xml:space="preserve">, </w:t>
      </w:r>
      <w:r w:rsidRPr="00FE2768">
        <w:rPr>
          <w:rFonts w:cstheme="minorHAnsi"/>
          <w:i/>
        </w:rPr>
        <w:t xml:space="preserve">The Border: The Legacy of a Century of Anglo-Irish Politics </w:t>
      </w:r>
      <w:r w:rsidRPr="00FE2768">
        <w:rPr>
          <w:rFonts w:cstheme="minorHAnsi"/>
        </w:rPr>
        <w:t>(</w:t>
      </w:r>
      <w:r w:rsidR="00751DA6">
        <w:rPr>
          <w:rFonts w:cstheme="minorHAnsi"/>
        </w:rPr>
        <w:t>London,</w:t>
      </w:r>
      <w:r w:rsidRPr="00FE2768">
        <w:rPr>
          <w:rFonts w:cstheme="minorHAnsi"/>
        </w:rPr>
        <w:t xml:space="preserve"> 2019).</w:t>
      </w:r>
    </w:p>
  </w:footnote>
  <w:footnote w:id="29">
    <w:p w14:paraId="5205A777" w14:textId="32FDF6C9" w:rsidR="009C0059" w:rsidRPr="009C0059" w:rsidRDefault="009C0059" w:rsidP="009C0059">
      <w:pPr>
        <w:pStyle w:val="Heading3"/>
        <w:spacing w:before="0" w:beforeAutospacing="0" w:after="0" w:afterAutospacing="0"/>
        <w:rPr>
          <w:rFonts w:asciiTheme="minorHAnsi" w:hAnsiTheme="minorHAnsi" w:cstheme="minorHAnsi"/>
          <w:b w:val="0"/>
          <w:bCs w:val="0"/>
          <w:color w:val="000000" w:themeColor="text1"/>
          <w:sz w:val="20"/>
          <w:szCs w:val="20"/>
        </w:rPr>
      </w:pPr>
      <w:r w:rsidRPr="009C0059">
        <w:rPr>
          <w:rStyle w:val="FootnoteReference"/>
          <w:rFonts w:asciiTheme="minorHAnsi" w:hAnsiTheme="minorHAnsi" w:cstheme="minorHAnsi"/>
          <w:b w:val="0"/>
          <w:bCs w:val="0"/>
          <w:color w:val="000000" w:themeColor="text1"/>
          <w:sz w:val="20"/>
          <w:szCs w:val="20"/>
        </w:rPr>
        <w:footnoteRef/>
      </w:r>
      <w:r w:rsidRPr="009C0059">
        <w:rPr>
          <w:rFonts w:asciiTheme="minorHAnsi" w:hAnsiTheme="minorHAnsi" w:cstheme="minorHAnsi"/>
          <w:b w:val="0"/>
          <w:bCs w:val="0"/>
          <w:color w:val="000000" w:themeColor="text1"/>
          <w:sz w:val="20"/>
          <w:szCs w:val="20"/>
        </w:rPr>
        <w:t xml:space="preserve"> See Articles of Agreement for a Treaty between Great Britain and Ireland (Anglo-Irish Treaty</w:t>
      </w:r>
      <w:r>
        <w:rPr>
          <w:rFonts w:asciiTheme="minorHAnsi" w:hAnsiTheme="minorHAnsi" w:cstheme="minorHAnsi"/>
          <w:b w:val="0"/>
          <w:bCs w:val="0"/>
          <w:color w:val="000000" w:themeColor="text1"/>
          <w:sz w:val="20"/>
          <w:szCs w:val="20"/>
        </w:rPr>
        <w:t xml:space="preserve">), 6 December 1921, available at: </w:t>
      </w:r>
      <w:r w:rsidRPr="009C0059">
        <w:rPr>
          <w:rFonts w:asciiTheme="minorHAnsi" w:hAnsiTheme="minorHAnsi" w:cstheme="minorHAnsi"/>
          <w:b w:val="0"/>
          <w:bCs w:val="0"/>
          <w:color w:val="000000" w:themeColor="text1"/>
          <w:sz w:val="20"/>
          <w:szCs w:val="20"/>
        </w:rPr>
        <w:t>https://www.quillproject.net/resources/resource_item/290/16630</w:t>
      </w:r>
      <w:r>
        <w:rPr>
          <w:rFonts w:asciiTheme="minorHAnsi" w:hAnsiTheme="minorHAnsi" w:cstheme="minorHAnsi"/>
          <w:b w:val="0"/>
          <w:bCs w:val="0"/>
          <w:color w:val="000000" w:themeColor="text1"/>
          <w:sz w:val="20"/>
          <w:szCs w:val="20"/>
        </w:rPr>
        <w:t>.</w:t>
      </w:r>
    </w:p>
  </w:footnote>
  <w:footnote w:id="30">
    <w:p w14:paraId="3C4C1D53" w14:textId="0ECBDAAF" w:rsidR="009C0059" w:rsidRDefault="009C0059">
      <w:pPr>
        <w:pStyle w:val="FootnoteText"/>
      </w:pPr>
      <w:r>
        <w:rPr>
          <w:rStyle w:val="FootnoteReference"/>
        </w:rPr>
        <w:footnoteRef/>
      </w:r>
      <w:r>
        <w:t xml:space="preserve"> Anglo-Irish Treaty, Arts 11-12.</w:t>
      </w:r>
    </w:p>
  </w:footnote>
  <w:footnote w:id="31">
    <w:p w14:paraId="4F1C1915" w14:textId="13CA8B1C" w:rsidR="007B0422" w:rsidRPr="00C602EE" w:rsidRDefault="007B0422" w:rsidP="00C602EE">
      <w:pPr>
        <w:pStyle w:val="Note"/>
        <w:spacing w:line="240" w:lineRule="auto"/>
        <w:ind w:left="0" w:firstLine="0"/>
        <w:rPr>
          <w:rFonts w:asciiTheme="minorHAnsi" w:hAnsiTheme="minorHAnsi" w:cstheme="minorHAnsi"/>
          <w:sz w:val="20"/>
          <w:szCs w:val="20"/>
        </w:rPr>
      </w:pPr>
      <w:r w:rsidRPr="00C602EE">
        <w:rPr>
          <w:rFonts w:asciiTheme="minorHAnsi" w:hAnsiTheme="minorHAnsi" w:cstheme="minorHAnsi"/>
          <w:sz w:val="20"/>
          <w:szCs w:val="20"/>
          <w:vertAlign w:val="superscript"/>
        </w:rPr>
        <w:footnoteRef/>
      </w:r>
      <w:r w:rsidRPr="00C602EE">
        <w:rPr>
          <w:rFonts w:asciiTheme="minorHAnsi" w:hAnsiTheme="minorHAnsi" w:cstheme="minorHAnsi"/>
          <w:sz w:val="20"/>
          <w:szCs w:val="20"/>
        </w:rPr>
        <w:t xml:space="preserve"> </w:t>
      </w:r>
      <w:r w:rsidR="00C602EE" w:rsidRPr="00C602EE">
        <w:rPr>
          <w:rFonts w:asciiTheme="minorHAnsi" w:hAnsiTheme="minorHAnsi" w:cstheme="minorHAnsi"/>
          <w:sz w:val="20"/>
          <w:szCs w:val="20"/>
        </w:rPr>
        <w:t>The Belfast Agreement: An Agreement Reached at the Multi-Party Talks on Northern Ireland, N. Ir.-U.K., Apr. 10, 1998, Cm 3883</w:t>
      </w:r>
      <w:r w:rsidR="00C602EE">
        <w:rPr>
          <w:rFonts w:asciiTheme="minorHAnsi" w:hAnsiTheme="minorHAnsi" w:cstheme="minorHAnsi"/>
          <w:sz w:val="20"/>
          <w:szCs w:val="20"/>
        </w:rPr>
        <w:t xml:space="preserve">, </w:t>
      </w:r>
      <w:r w:rsidR="00C602EE" w:rsidRPr="00C602EE">
        <w:rPr>
          <w:rFonts w:asciiTheme="minorHAnsi" w:hAnsiTheme="minorHAnsi" w:cstheme="minorHAnsi"/>
          <w:sz w:val="20"/>
          <w:szCs w:val="20"/>
        </w:rPr>
        <w:t>art 1</w:t>
      </w:r>
      <w:r w:rsidR="00C602EE">
        <w:rPr>
          <w:rFonts w:asciiTheme="minorHAnsi" w:hAnsiTheme="minorHAnsi" w:cstheme="minorHAnsi"/>
          <w:sz w:val="20"/>
          <w:szCs w:val="20"/>
        </w:rPr>
        <w:t>;</w:t>
      </w:r>
      <w:r w:rsidR="00C602EE" w:rsidRPr="00C602EE">
        <w:rPr>
          <w:rFonts w:asciiTheme="minorHAnsi" w:hAnsiTheme="minorHAnsi" w:cstheme="minorHAnsi"/>
          <w:sz w:val="20"/>
          <w:szCs w:val="20"/>
        </w:rPr>
        <w:t xml:space="preserve"> </w:t>
      </w:r>
      <w:r w:rsidRPr="00C602EE">
        <w:rPr>
          <w:rFonts w:asciiTheme="minorHAnsi" w:hAnsiTheme="minorHAnsi" w:cstheme="minorHAnsi"/>
          <w:sz w:val="20"/>
          <w:szCs w:val="20"/>
        </w:rPr>
        <w:t>Northern Ireland Act 1998, s 1.</w:t>
      </w:r>
    </w:p>
  </w:footnote>
  <w:footnote w:id="32">
    <w:p w14:paraId="7946DBE1" w14:textId="66F58D1D" w:rsidR="00355DBA" w:rsidRPr="00D55C5E" w:rsidRDefault="00355DBA">
      <w:pPr>
        <w:pStyle w:val="FootnoteText"/>
        <w:rPr>
          <w:color w:val="000000" w:themeColor="text1"/>
        </w:rPr>
      </w:pPr>
      <w:r w:rsidRPr="00355DBA">
        <w:rPr>
          <w:rStyle w:val="FootnoteReference"/>
          <w:color w:val="000000" w:themeColor="text1"/>
        </w:rPr>
        <w:footnoteRef/>
      </w:r>
      <w:r w:rsidRPr="00355DBA">
        <w:rPr>
          <w:color w:val="000000" w:themeColor="text1"/>
        </w:rPr>
        <w:t xml:space="preserve"> </w:t>
      </w:r>
      <w:r w:rsidR="00B2299F">
        <w:rPr>
          <w:color w:val="000000" w:themeColor="text1"/>
        </w:rPr>
        <w:t xml:space="preserve">Katy </w:t>
      </w:r>
      <w:r w:rsidRPr="00355DBA">
        <w:rPr>
          <w:color w:val="000000" w:themeColor="text1"/>
        </w:rPr>
        <w:t>Hayward</w:t>
      </w:r>
      <w:r w:rsidR="00B2299F">
        <w:rPr>
          <w:color w:val="000000" w:themeColor="text1"/>
        </w:rPr>
        <w:t>,</w:t>
      </w:r>
      <w:r w:rsidRPr="00355DBA">
        <w:rPr>
          <w:color w:val="000000" w:themeColor="text1"/>
        </w:rPr>
        <w:t xml:space="preserve"> (2017) ‘Specific Solutions’ &amp; ‘Distinct Arrangements’: More of the Same for Post-Brexit NI?</w:t>
      </w:r>
      <w:r w:rsidR="00751DA6">
        <w:rPr>
          <w:color w:val="000000" w:themeColor="text1"/>
        </w:rPr>
        <w:t>’, Slugger O’Toole, 11 December 2017,</w:t>
      </w:r>
      <w:r w:rsidRPr="00355DBA">
        <w:rPr>
          <w:color w:val="000000" w:themeColor="text1"/>
        </w:rPr>
        <w:t xml:space="preserve"> </w:t>
      </w:r>
      <w:r w:rsidR="00751DA6">
        <w:rPr>
          <w:color w:val="000000" w:themeColor="text1"/>
        </w:rPr>
        <w:t>a</w:t>
      </w:r>
      <w:r w:rsidRPr="00355DBA">
        <w:rPr>
          <w:color w:val="000000" w:themeColor="text1"/>
        </w:rPr>
        <w:t xml:space="preserve">vailable at: </w:t>
      </w:r>
      <w:r w:rsidR="00751DA6" w:rsidRPr="00751DA6">
        <w:rPr>
          <w:rStyle w:val="FootnoteReference"/>
          <w:color w:val="000000" w:themeColor="text1"/>
          <w:vertAlign w:val="baseline"/>
        </w:rPr>
        <w:t>https://sluggerotoole.com/2017/12/11/specific-solutions-distinct-arrangements-more-of-the-same-for-post-brexit-ni/</w:t>
      </w:r>
      <w:r w:rsidR="00751DA6">
        <w:rPr>
          <w:color w:val="000000" w:themeColor="text1"/>
        </w:rPr>
        <w:t xml:space="preserve"> (30 September 2024).</w:t>
      </w:r>
    </w:p>
  </w:footnote>
  <w:footnote w:id="33">
    <w:p w14:paraId="305088DA" w14:textId="77777777" w:rsidR="00F64B30" w:rsidRDefault="00F64B30" w:rsidP="00F64B30">
      <w:pPr>
        <w:pStyle w:val="Note"/>
        <w:spacing w:line="240" w:lineRule="auto"/>
        <w:ind w:left="0" w:firstLine="0"/>
        <w:rPr>
          <w:rFonts w:ascii="Calibri" w:hAnsi="Calibri" w:cs="Calibri"/>
          <w:sz w:val="20"/>
          <w:szCs w:val="20"/>
        </w:rPr>
      </w:pPr>
      <w:r w:rsidRPr="00F64B30">
        <w:rPr>
          <w:rFonts w:ascii="Calibri" w:hAnsi="Calibri" w:cs="Calibri"/>
          <w:sz w:val="20"/>
          <w:szCs w:val="20"/>
          <w:vertAlign w:val="superscript"/>
        </w:rPr>
        <w:footnoteRef/>
      </w:r>
      <w:r w:rsidRPr="00F64B30">
        <w:rPr>
          <w:rFonts w:ascii="Calibri" w:hAnsi="Calibri" w:cs="Calibri"/>
          <w:sz w:val="20"/>
          <w:szCs w:val="20"/>
        </w:rPr>
        <w:t xml:space="preserve"> The text of the GFA has three sets of references to the EU. The first aims to ensure ‘effective coordination</w:t>
      </w:r>
    </w:p>
    <w:p w14:paraId="06E82240" w14:textId="5FFE325A" w:rsidR="00F64B30" w:rsidRDefault="00F64B30" w:rsidP="00F64B30">
      <w:pPr>
        <w:pStyle w:val="Note"/>
        <w:spacing w:line="240" w:lineRule="auto"/>
        <w:ind w:left="0" w:firstLine="0"/>
        <w:rPr>
          <w:rFonts w:ascii="Calibri" w:hAnsi="Calibri" w:cs="Calibri"/>
          <w:sz w:val="20"/>
          <w:szCs w:val="20"/>
        </w:rPr>
      </w:pPr>
      <w:r w:rsidRPr="00F64B30">
        <w:rPr>
          <w:rFonts w:ascii="Calibri" w:hAnsi="Calibri" w:cs="Calibri"/>
          <w:sz w:val="20"/>
          <w:szCs w:val="20"/>
        </w:rPr>
        <w:t>and input by Ministers [from the Northern Ireland Executive] to national [the United Kingdom] policy-making,</w:t>
      </w:r>
      <w:r>
        <w:rPr>
          <w:rFonts w:ascii="Calibri" w:hAnsi="Calibri" w:cs="Calibri"/>
          <w:sz w:val="20"/>
          <w:szCs w:val="20"/>
        </w:rPr>
        <w:t xml:space="preserve"> </w:t>
      </w:r>
      <w:r w:rsidRPr="00F64B30">
        <w:rPr>
          <w:rFonts w:ascii="Calibri" w:hAnsi="Calibri" w:cs="Calibri"/>
          <w:sz w:val="20"/>
          <w:szCs w:val="20"/>
        </w:rPr>
        <w:t>including on EU issues’ (Strand One, para 32). A second set relates to the work of the North South</w:t>
      </w:r>
      <w:r>
        <w:rPr>
          <w:rFonts w:ascii="Calibri" w:hAnsi="Calibri" w:cs="Calibri"/>
          <w:sz w:val="20"/>
          <w:szCs w:val="20"/>
        </w:rPr>
        <w:t xml:space="preserve"> </w:t>
      </w:r>
      <w:r w:rsidRPr="00F64B30">
        <w:rPr>
          <w:rFonts w:ascii="Calibri" w:hAnsi="Calibri" w:cs="Calibri"/>
          <w:sz w:val="20"/>
          <w:szCs w:val="20"/>
        </w:rPr>
        <w:t>Ministerial</w:t>
      </w:r>
      <w:r>
        <w:rPr>
          <w:rFonts w:ascii="Calibri" w:hAnsi="Calibri" w:cs="Calibri"/>
          <w:sz w:val="20"/>
          <w:szCs w:val="20"/>
        </w:rPr>
        <w:t xml:space="preserve"> </w:t>
      </w:r>
    </w:p>
    <w:p w14:paraId="6B0AB737" w14:textId="77777777" w:rsidR="00F64B30" w:rsidRDefault="00F64B30" w:rsidP="00F64B30">
      <w:pPr>
        <w:pStyle w:val="Note"/>
        <w:spacing w:line="240" w:lineRule="auto"/>
        <w:ind w:left="0" w:firstLine="0"/>
        <w:rPr>
          <w:rFonts w:ascii="Calibri" w:hAnsi="Calibri" w:cs="Calibri"/>
          <w:sz w:val="20"/>
          <w:szCs w:val="20"/>
        </w:rPr>
      </w:pPr>
      <w:r w:rsidRPr="00F64B30">
        <w:rPr>
          <w:rFonts w:ascii="Calibri" w:hAnsi="Calibri" w:cs="Calibri"/>
          <w:sz w:val="20"/>
          <w:szCs w:val="20"/>
        </w:rPr>
        <w:t xml:space="preserve">Council (Strand Two, para 17; Strand Three, paras 5 and 31). The third set underlines the need for the Irish and </w:t>
      </w:r>
    </w:p>
    <w:p w14:paraId="160E370D" w14:textId="77777777" w:rsidR="00F64B30" w:rsidRDefault="00F64B30" w:rsidP="00F64B30">
      <w:pPr>
        <w:pStyle w:val="Note"/>
        <w:spacing w:line="240" w:lineRule="auto"/>
        <w:ind w:left="0" w:firstLine="0"/>
        <w:rPr>
          <w:rFonts w:ascii="Calibri" w:hAnsi="Calibri" w:cs="Calibri"/>
          <w:sz w:val="20"/>
          <w:szCs w:val="20"/>
        </w:rPr>
      </w:pPr>
      <w:r w:rsidRPr="00F64B30">
        <w:rPr>
          <w:rFonts w:ascii="Calibri" w:hAnsi="Calibri" w:cs="Calibri"/>
          <w:sz w:val="20"/>
          <w:szCs w:val="20"/>
        </w:rPr>
        <w:t xml:space="preserve">UK governments ‘to develop still further the unique relationship between their peoples and the close </w:t>
      </w:r>
    </w:p>
    <w:p w14:paraId="7710B934" w14:textId="77777777" w:rsidR="00F64B30" w:rsidRDefault="00F64B30" w:rsidP="00F64B30">
      <w:pPr>
        <w:pStyle w:val="Note"/>
        <w:spacing w:line="240" w:lineRule="auto"/>
        <w:ind w:left="0" w:firstLine="0"/>
        <w:rPr>
          <w:rFonts w:ascii="Calibri" w:hAnsi="Calibri" w:cs="Calibri"/>
          <w:sz w:val="20"/>
          <w:szCs w:val="20"/>
        </w:rPr>
      </w:pPr>
      <w:r w:rsidRPr="00F64B30">
        <w:rPr>
          <w:rFonts w:ascii="Calibri" w:hAnsi="Calibri" w:cs="Calibri"/>
          <w:sz w:val="20"/>
          <w:szCs w:val="20"/>
        </w:rPr>
        <w:t xml:space="preserve">cooperation between their countries as friendly </w:t>
      </w:r>
      <w:proofErr w:type="spellStart"/>
      <w:r w:rsidRPr="00F64B30">
        <w:rPr>
          <w:rFonts w:ascii="Calibri" w:hAnsi="Calibri" w:cs="Calibri"/>
          <w:sz w:val="20"/>
          <w:szCs w:val="20"/>
        </w:rPr>
        <w:t>neighbours</w:t>
      </w:r>
      <w:proofErr w:type="spellEnd"/>
      <w:r w:rsidRPr="00F64B30">
        <w:rPr>
          <w:rFonts w:ascii="Calibri" w:hAnsi="Calibri" w:cs="Calibri"/>
          <w:sz w:val="20"/>
          <w:szCs w:val="20"/>
        </w:rPr>
        <w:t xml:space="preserve"> and as partners in the European Union’ (British–</w:t>
      </w:r>
    </w:p>
    <w:p w14:paraId="36D171CB" w14:textId="3A62B042" w:rsidR="00F64B30" w:rsidRPr="00F64B30" w:rsidRDefault="00F64B30" w:rsidP="00F64B30">
      <w:pPr>
        <w:pStyle w:val="Note"/>
        <w:spacing w:line="240" w:lineRule="auto"/>
        <w:ind w:left="0" w:firstLine="0"/>
        <w:rPr>
          <w:rFonts w:ascii="Calibri" w:hAnsi="Calibri" w:cs="Calibri"/>
          <w:sz w:val="20"/>
          <w:szCs w:val="20"/>
        </w:rPr>
      </w:pPr>
      <w:r w:rsidRPr="00F64B30">
        <w:rPr>
          <w:rFonts w:ascii="Calibri" w:hAnsi="Calibri" w:cs="Calibri"/>
          <w:sz w:val="20"/>
          <w:szCs w:val="20"/>
        </w:rPr>
        <w:t>Irish Agreement, Preamble).</w:t>
      </w:r>
    </w:p>
  </w:footnote>
  <w:footnote w:id="34">
    <w:p w14:paraId="23FA9C2F" w14:textId="0E858EB4" w:rsidR="008A5BAC" w:rsidRPr="00D55C5E" w:rsidRDefault="008A5BAC">
      <w:pPr>
        <w:pStyle w:val="FootnoteText"/>
        <w:rPr>
          <w:rFonts w:cstheme="minorHAnsi"/>
          <w:color w:val="000000" w:themeColor="text1"/>
        </w:rPr>
      </w:pPr>
      <w:r w:rsidRPr="00D55C5E">
        <w:rPr>
          <w:rStyle w:val="FootnoteReference"/>
          <w:rFonts w:cstheme="minorHAnsi"/>
          <w:color w:val="000000" w:themeColor="text1"/>
        </w:rPr>
        <w:footnoteRef/>
      </w:r>
      <w:r w:rsidRPr="00D55C5E">
        <w:rPr>
          <w:rFonts w:cstheme="minorHAnsi"/>
          <w:color w:val="000000" w:themeColor="text1"/>
        </w:rPr>
        <w:t xml:space="preserve"> </w:t>
      </w:r>
      <w:r w:rsidR="00751DA6">
        <w:rPr>
          <w:rFonts w:cstheme="minorHAnsi"/>
          <w:color w:val="000000" w:themeColor="text1"/>
        </w:rPr>
        <w:t xml:space="preserve">Elizabeth </w:t>
      </w:r>
      <w:r w:rsidRPr="00D55C5E">
        <w:rPr>
          <w:rFonts w:cstheme="minorHAnsi"/>
          <w:color w:val="000000" w:themeColor="text1"/>
        </w:rPr>
        <w:t>Meehan</w:t>
      </w:r>
      <w:r w:rsidRPr="00D55C5E">
        <w:rPr>
          <w:rFonts w:cstheme="minorHAnsi"/>
          <w:i/>
          <w:color w:val="000000" w:themeColor="text1"/>
        </w:rPr>
        <w:t>,</w:t>
      </w:r>
      <w:r w:rsidRPr="00D55C5E">
        <w:rPr>
          <w:rFonts w:cstheme="minorHAnsi"/>
          <w:color w:val="000000" w:themeColor="text1"/>
        </w:rPr>
        <w:t xml:space="preserve"> </w:t>
      </w:r>
      <w:r w:rsidRPr="00D55C5E">
        <w:rPr>
          <w:rStyle w:val="FootnotesChar"/>
          <w:rFonts w:asciiTheme="minorHAnsi" w:eastAsiaTheme="minorHAnsi" w:hAnsiTheme="minorHAnsi" w:cstheme="minorHAnsi"/>
          <w:sz w:val="20"/>
          <w:szCs w:val="20"/>
        </w:rPr>
        <w:t>Britain’s Irish Question: Britain’s European Question? British-Irish Relations in the Context of European Union and the Belfast Agreement</w:t>
      </w:r>
      <w:r w:rsidRPr="00D55C5E">
        <w:rPr>
          <w:rFonts w:cstheme="minorHAnsi"/>
          <w:color w:val="000000" w:themeColor="text1"/>
        </w:rPr>
        <w:t xml:space="preserve">, </w:t>
      </w:r>
      <w:r w:rsidRPr="00D55C5E">
        <w:rPr>
          <w:rStyle w:val="refpublisherLocation"/>
          <w:rFonts w:cstheme="minorHAnsi"/>
          <w:i/>
          <w:color w:val="000000" w:themeColor="text1"/>
        </w:rPr>
        <w:t>Review of International Studies</w:t>
      </w:r>
      <w:r w:rsidRPr="00D55C5E">
        <w:rPr>
          <w:rFonts w:cstheme="minorHAnsi"/>
          <w:color w:val="000000" w:themeColor="text1"/>
        </w:rPr>
        <w:t>,</w:t>
      </w:r>
      <w:r w:rsidR="00751DA6">
        <w:rPr>
          <w:rFonts w:cstheme="minorHAnsi"/>
          <w:color w:val="000000" w:themeColor="text1"/>
        </w:rPr>
        <w:t xml:space="preserve"> 26(1) </w:t>
      </w:r>
      <w:r w:rsidR="00751DA6" w:rsidRPr="00D55C5E">
        <w:rPr>
          <w:rFonts w:cstheme="minorHAnsi"/>
          <w:iCs/>
          <w:color w:val="000000" w:themeColor="text1"/>
        </w:rPr>
        <w:t>(</w:t>
      </w:r>
      <w:r w:rsidR="00751DA6" w:rsidRPr="00D55C5E">
        <w:rPr>
          <w:rStyle w:val="HeaderChar"/>
          <w:rFonts w:cstheme="minorHAnsi"/>
          <w:iCs/>
          <w:color w:val="000000" w:themeColor="text1"/>
        </w:rPr>
        <w:t>2000</w:t>
      </w:r>
      <w:r w:rsidR="00751DA6">
        <w:rPr>
          <w:rStyle w:val="HeaderChar"/>
          <w:rFonts w:cstheme="minorHAnsi"/>
          <w:iCs/>
          <w:color w:val="000000" w:themeColor="text1"/>
        </w:rPr>
        <w:t>)</w:t>
      </w:r>
      <w:r w:rsidRPr="00D55C5E">
        <w:rPr>
          <w:rFonts w:cstheme="minorHAnsi"/>
          <w:color w:val="000000" w:themeColor="text1"/>
        </w:rPr>
        <w:t xml:space="preserve">, </w:t>
      </w:r>
      <w:r w:rsidRPr="00751DA6">
        <w:rPr>
          <w:rStyle w:val="Emphasis"/>
          <w:rFonts w:cstheme="minorHAnsi"/>
          <w:i w:val="0"/>
          <w:iCs/>
          <w:color w:val="000000" w:themeColor="text1"/>
        </w:rPr>
        <w:t>83</w:t>
      </w:r>
      <w:r w:rsidRPr="00751DA6">
        <w:rPr>
          <w:rFonts w:cstheme="minorHAnsi"/>
          <w:color w:val="000000" w:themeColor="text1"/>
        </w:rPr>
        <w:t>–97</w:t>
      </w:r>
      <w:r w:rsidRPr="00D55C5E">
        <w:rPr>
          <w:rFonts w:cstheme="minorHAnsi"/>
          <w:color w:val="000000" w:themeColor="text1"/>
        </w:rPr>
        <w:t>.</w:t>
      </w:r>
    </w:p>
  </w:footnote>
  <w:footnote w:id="35">
    <w:p w14:paraId="72539C5B" w14:textId="403B0D48" w:rsidR="008A5BAC" w:rsidRPr="00981442" w:rsidRDefault="008A5BAC">
      <w:pPr>
        <w:pStyle w:val="FootnoteText"/>
        <w:rPr>
          <w:color w:val="000000" w:themeColor="text1"/>
        </w:rPr>
      </w:pPr>
      <w:r w:rsidRPr="00D55C5E">
        <w:rPr>
          <w:rStyle w:val="FootnoteReference"/>
          <w:rFonts w:cstheme="minorHAnsi"/>
          <w:color w:val="000000" w:themeColor="text1"/>
        </w:rPr>
        <w:footnoteRef/>
      </w:r>
      <w:r w:rsidRPr="00981442">
        <w:rPr>
          <w:color w:val="000000" w:themeColor="text1"/>
        </w:rPr>
        <w:t xml:space="preserve"> </w:t>
      </w:r>
      <w:proofErr w:type="spellStart"/>
      <w:r w:rsidR="00894F49">
        <w:rPr>
          <w:color w:val="000000" w:themeColor="text1"/>
        </w:rPr>
        <w:t>Sionaidh</w:t>
      </w:r>
      <w:proofErr w:type="spellEnd"/>
      <w:r w:rsidR="00C733EF">
        <w:rPr>
          <w:color w:val="000000" w:themeColor="text1"/>
        </w:rPr>
        <w:t xml:space="preserve"> </w:t>
      </w:r>
      <w:r w:rsidRPr="00981442">
        <w:rPr>
          <w:color w:val="000000" w:themeColor="text1"/>
        </w:rPr>
        <w:t xml:space="preserve">Douglas-Scott, </w:t>
      </w:r>
      <w:r w:rsidR="006D0165">
        <w:rPr>
          <w:color w:val="000000" w:themeColor="text1"/>
        </w:rPr>
        <w:t>‘</w:t>
      </w:r>
      <w:r w:rsidRPr="00981442">
        <w:rPr>
          <w:rStyle w:val="CommentReference"/>
          <w:color w:val="000000" w:themeColor="text1"/>
          <w:sz w:val="20"/>
          <w:szCs w:val="20"/>
        </w:rPr>
        <w:t xml:space="preserve">A UK Exit from the EU: The End of the </w:t>
      </w:r>
      <w:r w:rsidRPr="00981442">
        <w:rPr>
          <w:rStyle w:val="CommentReference"/>
          <w:i/>
          <w:color w:val="000000" w:themeColor="text1"/>
          <w:sz w:val="20"/>
          <w:szCs w:val="20"/>
        </w:rPr>
        <w:t>United</w:t>
      </w:r>
      <w:r w:rsidRPr="00981442">
        <w:rPr>
          <w:rStyle w:val="CommentReference"/>
          <w:color w:val="000000" w:themeColor="text1"/>
          <w:sz w:val="20"/>
          <w:szCs w:val="20"/>
        </w:rPr>
        <w:t xml:space="preserve"> Kingdom or a New Constitutional </w:t>
      </w:r>
      <w:proofErr w:type="gramStart"/>
      <w:r w:rsidRPr="00981442">
        <w:rPr>
          <w:rStyle w:val="CommentReference"/>
          <w:color w:val="000000" w:themeColor="text1"/>
          <w:sz w:val="20"/>
          <w:szCs w:val="20"/>
        </w:rPr>
        <w:t>Dawn?</w:t>
      </w:r>
      <w:r w:rsidRPr="00981442">
        <w:rPr>
          <w:color w:val="000000" w:themeColor="text1"/>
        </w:rPr>
        <w:t>,</w:t>
      </w:r>
      <w:proofErr w:type="gramEnd"/>
      <w:r w:rsidRPr="00981442">
        <w:rPr>
          <w:rStyle w:val="Strong"/>
          <w:bCs w:val="0"/>
          <w:color w:val="000000" w:themeColor="text1"/>
        </w:rPr>
        <w:t xml:space="preserve"> </w:t>
      </w:r>
      <w:r w:rsidRPr="00981442">
        <w:rPr>
          <w:color w:val="000000" w:themeColor="text1"/>
        </w:rPr>
        <w:t>Oxford Legal Studies Research Paper No. 25/2015</w:t>
      </w:r>
      <w:r w:rsidR="006D0165">
        <w:rPr>
          <w:color w:val="000000" w:themeColor="text1"/>
        </w:rPr>
        <w:t>,</w:t>
      </w:r>
      <w:r w:rsidRPr="00981442">
        <w:rPr>
          <w:color w:val="000000" w:themeColor="text1"/>
        </w:rPr>
        <w:t xml:space="preserve"> </w:t>
      </w:r>
      <w:r w:rsidR="006D0165">
        <w:rPr>
          <w:color w:val="000000" w:themeColor="text1"/>
        </w:rPr>
        <w:t>a</w:t>
      </w:r>
      <w:r w:rsidRPr="00981442">
        <w:rPr>
          <w:color w:val="000000" w:themeColor="text1"/>
        </w:rPr>
        <w:t xml:space="preserve">vailable at: </w:t>
      </w:r>
      <w:r w:rsidR="006D0165" w:rsidRPr="006D0165">
        <w:rPr>
          <w:color w:val="000000" w:themeColor="text1"/>
        </w:rPr>
        <w:t>https://papers.ssrn.com/sol3/papers.cfm?abstract_id=2574405</w:t>
      </w:r>
      <w:r w:rsidR="006D0165">
        <w:rPr>
          <w:color w:val="000000" w:themeColor="text1"/>
        </w:rPr>
        <w:t>: 9 (30 September 2024).</w:t>
      </w:r>
    </w:p>
  </w:footnote>
  <w:footnote w:id="36">
    <w:p w14:paraId="7942D138" w14:textId="57CEFF4E" w:rsidR="00447B8F" w:rsidRPr="00447B8F" w:rsidRDefault="00447B8F">
      <w:pPr>
        <w:pStyle w:val="FootnoteText"/>
      </w:pPr>
      <w:r w:rsidRPr="00447B8F">
        <w:rPr>
          <w:rStyle w:val="FootnoteReference"/>
        </w:rPr>
        <w:footnoteRef/>
      </w:r>
      <w:r w:rsidRPr="00447B8F">
        <w:t xml:space="preserve"> </w:t>
      </w:r>
      <w:r w:rsidR="006D0165">
        <w:t xml:space="preserve">David </w:t>
      </w:r>
      <w:proofErr w:type="spellStart"/>
      <w:r w:rsidRPr="00447B8F">
        <w:t>Phinnemore</w:t>
      </w:r>
      <w:proofErr w:type="spellEnd"/>
      <w:r w:rsidRPr="00447B8F">
        <w:t>, and</w:t>
      </w:r>
      <w:r w:rsidR="006D0165">
        <w:t xml:space="preserve"> Katy</w:t>
      </w:r>
      <w:r w:rsidRPr="00447B8F">
        <w:t xml:space="preserve"> Hayward, </w:t>
      </w:r>
      <w:r w:rsidR="006D0165">
        <w:t>‘</w:t>
      </w:r>
      <w:r w:rsidRPr="00447B8F">
        <w:t>UK Withdrawal (“Brexit”) and the Good Friday Agreement</w:t>
      </w:r>
      <w:r w:rsidR="006D0165">
        <w:t>’, Study for the Policy Department for Citizens’ Rights and Constitutional Affairs, November 2017,</w:t>
      </w:r>
      <w:r w:rsidRPr="00447B8F">
        <w:t xml:space="preserve"> </w:t>
      </w:r>
      <w:r w:rsidR="006D0165">
        <w:t>a</w:t>
      </w:r>
      <w:r w:rsidRPr="00447B8F">
        <w:t xml:space="preserve">vailable at: </w:t>
      </w:r>
      <w:r w:rsidR="006D0165" w:rsidRPr="006D0165">
        <w:t>https://www.europarl.europa.eu/RegData/etudes/STUD/2017/596826/IPOL_STU(2017)596826_EN.pdf</w:t>
      </w:r>
      <w:r w:rsidR="006D0165">
        <w:t xml:space="preserve">: 7 </w:t>
      </w:r>
      <w:r w:rsidR="006D0165">
        <w:rPr>
          <w:color w:val="000000" w:themeColor="text1"/>
        </w:rPr>
        <w:t>(30 September 2024).</w:t>
      </w:r>
    </w:p>
  </w:footnote>
  <w:footnote w:id="37">
    <w:p w14:paraId="1C074361" w14:textId="0A2B4D37" w:rsidR="00F64B30" w:rsidRPr="00F64B30" w:rsidRDefault="00F64B30" w:rsidP="00F64B30">
      <w:pPr>
        <w:pStyle w:val="Note"/>
        <w:spacing w:line="240" w:lineRule="auto"/>
        <w:ind w:left="0" w:firstLine="0"/>
        <w:rPr>
          <w:rFonts w:ascii="Calibri" w:hAnsi="Calibri" w:cs="Calibri"/>
          <w:sz w:val="20"/>
          <w:szCs w:val="20"/>
        </w:rPr>
      </w:pPr>
      <w:r w:rsidRPr="00F64B30">
        <w:rPr>
          <w:rFonts w:ascii="Calibri" w:hAnsi="Calibri" w:cs="Calibri"/>
          <w:sz w:val="20"/>
          <w:szCs w:val="20"/>
          <w:vertAlign w:val="superscript"/>
        </w:rPr>
        <w:footnoteRef/>
      </w:r>
      <w:r w:rsidRPr="00F64B30">
        <w:rPr>
          <w:rFonts w:ascii="Calibri" w:hAnsi="Calibri" w:cs="Calibri"/>
          <w:sz w:val="20"/>
          <w:szCs w:val="20"/>
        </w:rPr>
        <w:t xml:space="preserve"> The Joint Report recognizes that ‘the United Kingdom’s withdrawal from the European Union presents a significant and unique challenge in relation to the island of Ireland’. Joint Report from the negotiators of the EU and the UK Government on progress during phase 1 of negotiations under Article 50 TEU on the United Kingdom’s orderly withdrawal from the EU (Joint Report),</w:t>
      </w:r>
      <w:r w:rsidR="006D0165">
        <w:rPr>
          <w:rFonts w:ascii="Calibri" w:hAnsi="Calibri" w:cs="Calibri"/>
          <w:sz w:val="20"/>
          <w:szCs w:val="20"/>
        </w:rPr>
        <w:t xml:space="preserve"> 8 December 2017, available at: </w:t>
      </w:r>
      <w:r w:rsidR="006D0165" w:rsidRPr="00C9518A">
        <w:rPr>
          <w:rFonts w:ascii="Calibri" w:hAnsi="Calibri" w:cs="Calibri"/>
          <w:sz w:val="20"/>
          <w:szCs w:val="20"/>
        </w:rPr>
        <w:t>https://commission.europa.eu/publications/joint-report-negotiators-european-union-and-united-kingdom-government-progress-during-phase-1_en</w:t>
      </w:r>
      <w:r w:rsidR="006D0165">
        <w:rPr>
          <w:rFonts w:ascii="Calibri" w:hAnsi="Calibri" w:cs="Calibri"/>
          <w:sz w:val="20"/>
          <w:szCs w:val="20"/>
        </w:rPr>
        <w:t xml:space="preserve">: para. 42 </w:t>
      </w:r>
      <w:r w:rsidRPr="00F64B30">
        <w:rPr>
          <w:rFonts w:ascii="Calibri" w:hAnsi="Calibri" w:cs="Calibri"/>
          <w:color w:val="000000"/>
          <w:sz w:val="20"/>
          <w:szCs w:val="20"/>
        </w:rPr>
        <w:t>(</w:t>
      </w:r>
      <w:r w:rsidR="006D0165">
        <w:rPr>
          <w:rFonts w:ascii="Calibri" w:hAnsi="Calibri" w:cs="Calibri"/>
          <w:color w:val="000000"/>
          <w:sz w:val="20"/>
          <w:szCs w:val="20"/>
        </w:rPr>
        <w:t>30 September 2024</w:t>
      </w:r>
      <w:r w:rsidRPr="00F64B30">
        <w:rPr>
          <w:rFonts w:ascii="Calibri" w:hAnsi="Calibri" w:cs="Calibri"/>
          <w:sz w:val="20"/>
          <w:szCs w:val="20"/>
        </w:rPr>
        <w:t>).</w:t>
      </w:r>
    </w:p>
  </w:footnote>
  <w:footnote w:id="38">
    <w:p w14:paraId="51294552" w14:textId="1CC42E91" w:rsidR="00A6593C" w:rsidRPr="00436FBB" w:rsidRDefault="00A6593C" w:rsidP="00436FBB">
      <w:pPr>
        <w:pStyle w:val="Reference"/>
        <w:spacing w:line="240" w:lineRule="auto"/>
        <w:ind w:left="0" w:firstLine="0"/>
        <w:rPr>
          <w:rFonts w:asciiTheme="minorHAnsi" w:hAnsiTheme="minorHAnsi" w:cstheme="minorHAnsi"/>
          <w:color w:val="000000" w:themeColor="text1"/>
          <w:sz w:val="20"/>
          <w:szCs w:val="20"/>
          <w:lang w:val="en-GB"/>
        </w:rPr>
      </w:pPr>
      <w:r w:rsidRPr="00A6593C">
        <w:rPr>
          <w:rStyle w:val="FootnoteReference"/>
          <w:rFonts w:asciiTheme="minorHAnsi" w:hAnsiTheme="minorHAnsi" w:cstheme="minorHAnsi"/>
          <w:color w:val="000000" w:themeColor="text1"/>
          <w:sz w:val="20"/>
          <w:szCs w:val="20"/>
        </w:rPr>
        <w:footnoteRef/>
      </w:r>
      <w:r w:rsidRPr="00A6593C">
        <w:rPr>
          <w:rFonts w:asciiTheme="minorHAnsi" w:hAnsiTheme="minorHAnsi" w:cstheme="minorHAnsi"/>
          <w:color w:val="000000" w:themeColor="text1"/>
          <w:sz w:val="20"/>
          <w:szCs w:val="20"/>
        </w:rPr>
        <w:t xml:space="preserve"> </w:t>
      </w:r>
      <w:r w:rsidR="001A4B26">
        <w:rPr>
          <w:rFonts w:asciiTheme="minorHAnsi" w:hAnsiTheme="minorHAnsi" w:cstheme="minorHAnsi"/>
          <w:color w:val="000000" w:themeColor="text1"/>
          <w:sz w:val="20"/>
          <w:szCs w:val="20"/>
        </w:rPr>
        <w:t xml:space="preserve">Stephen </w:t>
      </w:r>
      <w:proofErr w:type="spellStart"/>
      <w:r w:rsidRPr="00A6593C">
        <w:rPr>
          <w:rFonts w:asciiTheme="minorHAnsi" w:hAnsiTheme="minorHAnsi" w:cstheme="minorHAnsi"/>
          <w:color w:val="000000" w:themeColor="text1"/>
          <w:sz w:val="20"/>
          <w:szCs w:val="20"/>
          <w:lang w:val="en-GB"/>
        </w:rPr>
        <w:t>Farry</w:t>
      </w:r>
      <w:bookmarkStart w:id="2" w:name="CBML_BIB_ch41_0010"/>
      <w:proofErr w:type="spellEnd"/>
      <w:r w:rsidRPr="00A6593C">
        <w:rPr>
          <w:rFonts w:asciiTheme="minorHAnsi" w:hAnsiTheme="minorHAnsi" w:cstheme="minorHAnsi"/>
          <w:color w:val="000000" w:themeColor="text1"/>
          <w:sz w:val="20"/>
          <w:szCs w:val="20"/>
          <w:lang w:val="en-GB"/>
        </w:rPr>
        <w:t xml:space="preserve">, and </w:t>
      </w:r>
      <w:r w:rsidR="001A4B26">
        <w:rPr>
          <w:rFonts w:asciiTheme="minorHAnsi" w:hAnsiTheme="minorHAnsi" w:cstheme="minorHAnsi"/>
          <w:color w:val="000000" w:themeColor="text1"/>
          <w:sz w:val="20"/>
          <w:szCs w:val="20"/>
          <w:lang w:val="en-GB"/>
        </w:rPr>
        <w:t xml:space="preserve">Sorcha </w:t>
      </w:r>
      <w:r w:rsidRPr="00A6593C">
        <w:rPr>
          <w:rFonts w:asciiTheme="minorHAnsi" w:hAnsiTheme="minorHAnsi" w:cstheme="minorHAnsi"/>
          <w:color w:val="000000" w:themeColor="text1"/>
          <w:sz w:val="20"/>
          <w:szCs w:val="20"/>
          <w:lang w:val="en-GB"/>
        </w:rPr>
        <w:t xml:space="preserve">Eastwood, </w:t>
      </w:r>
      <w:proofErr w:type="gramStart"/>
      <w:r w:rsidR="001A4B26">
        <w:rPr>
          <w:rFonts w:asciiTheme="minorHAnsi" w:hAnsiTheme="minorHAnsi" w:cstheme="minorHAnsi"/>
          <w:color w:val="000000" w:themeColor="text1"/>
          <w:sz w:val="20"/>
          <w:szCs w:val="20"/>
          <w:lang w:val="en-GB"/>
        </w:rPr>
        <w:t>‘</w:t>
      </w:r>
      <w:r w:rsidRPr="00A6593C">
        <w:rPr>
          <w:rFonts w:asciiTheme="minorHAnsi" w:hAnsiTheme="minorHAnsi" w:cstheme="minorHAnsi"/>
          <w:color w:val="000000" w:themeColor="text1"/>
          <w:sz w:val="20"/>
          <w:szCs w:val="20"/>
          <w:lang w:val="en-GB"/>
        </w:rPr>
        <w:t xml:space="preserve"> How</w:t>
      </w:r>
      <w:proofErr w:type="gramEnd"/>
      <w:r w:rsidRPr="00A6593C">
        <w:rPr>
          <w:rFonts w:asciiTheme="minorHAnsi" w:hAnsiTheme="minorHAnsi" w:cstheme="minorHAnsi"/>
          <w:color w:val="000000" w:themeColor="text1"/>
          <w:sz w:val="20"/>
          <w:szCs w:val="20"/>
          <w:lang w:val="en-GB"/>
        </w:rPr>
        <w:t xml:space="preserve"> to Underpin a Special Deal for Northern Ireland</w:t>
      </w:r>
      <w:r w:rsidR="001A4B26">
        <w:rPr>
          <w:rFonts w:asciiTheme="minorHAnsi" w:hAnsiTheme="minorHAnsi" w:cstheme="minorHAnsi"/>
          <w:color w:val="000000" w:themeColor="text1"/>
          <w:sz w:val="20"/>
          <w:szCs w:val="20"/>
          <w:lang w:val="en-GB"/>
        </w:rPr>
        <w:t>’</w:t>
      </w:r>
      <w:r w:rsidRPr="00A6593C">
        <w:rPr>
          <w:rFonts w:asciiTheme="minorHAnsi" w:hAnsiTheme="minorHAnsi" w:cstheme="minorHAnsi"/>
          <w:color w:val="000000" w:themeColor="text1"/>
          <w:sz w:val="20"/>
          <w:szCs w:val="20"/>
          <w:lang w:val="en-GB"/>
        </w:rPr>
        <w:t>, UK in a Changing Europe</w:t>
      </w:r>
      <w:r w:rsidR="001A4B26">
        <w:rPr>
          <w:rFonts w:asciiTheme="minorHAnsi" w:hAnsiTheme="minorHAnsi" w:cstheme="minorHAnsi"/>
          <w:color w:val="000000" w:themeColor="text1"/>
          <w:sz w:val="20"/>
          <w:szCs w:val="20"/>
          <w:lang w:val="en-GB"/>
        </w:rPr>
        <w:t>, 31 October 2017,</w:t>
      </w:r>
      <w:r w:rsidRPr="00A6593C">
        <w:rPr>
          <w:rFonts w:asciiTheme="minorHAnsi" w:hAnsiTheme="minorHAnsi" w:cstheme="minorHAnsi"/>
          <w:color w:val="000000" w:themeColor="text1"/>
          <w:sz w:val="20"/>
          <w:szCs w:val="20"/>
          <w:lang w:val="en-GB"/>
        </w:rPr>
        <w:t xml:space="preserve"> </w:t>
      </w:r>
      <w:r w:rsidR="001A4B26">
        <w:rPr>
          <w:rFonts w:asciiTheme="minorHAnsi" w:hAnsiTheme="minorHAnsi" w:cstheme="minorHAnsi"/>
          <w:color w:val="000000" w:themeColor="text1"/>
          <w:sz w:val="20"/>
          <w:szCs w:val="20"/>
          <w:lang w:val="en-GB"/>
        </w:rPr>
        <w:t>a</w:t>
      </w:r>
      <w:r w:rsidRPr="00A6593C">
        <w:rPr>
          <w:rFonts w:asciiTheme="minorHAnsi" w:hAnsiTheme="minorHAnsi" w:cstheme="minorHAnsi"/>
          <w:color w:val="000000" w:themeColor="text1"/>
          <w:sz w:val="20"/>
          <w:szCs w:val="20"/>
          <w:lang w:val="en-GB"/>
        </w:rPr>
        <w:t>vailable at:</w:t>
      </w:r>
      <w:r w:rsidRPr="00A6593C">
        <w:rPr>
          <w:rStyle w:val="refauCollab"/>
          <w:rFonts w:asciiTheme="minorHAnsi" w:hAnsiTheme="minorHAnsi" w:cstheme="minorHAnsi"/>
          <w:color w:val="000000" w:themeColor="text1"/>
          <w:sz w:val="20"/>
          <w:szCs w:val="20"/>
          <w:lang w:val="en-GB"/>
        </w:rPr>
        <w:t xml:space="preserve"> </w:t>
      </w:r>
      <w:r w:rsidRPr="00A6593C">
        <w:rPr>
          <w:rFonts w:asciiTheme="minorHAnsi" w:hAnsiTheme="minorHAnsi" w:cstheme="minorHAnsi"/>
          <w:color w:val="000000" w:themeColor="text1"/>
          <w:sz w:val="20"/>
          <w:szCs w:val="20"/>
          <w:lang w:val="en-GB"/>
        </w:rPr>
        <w:t>http://ukandeu.ac.uk/how-to-underpin-a-special-deal-for-northern-ireland (</w:t>
      </w:r>
      <w:r w:rsidR="001A4B26">
        <w:rPr>
          <w:rFonts w:asciiTheme="minorHAnsi" w:hAnsiTheme="minorHAnsi" w:cstheme="minorHAnsi"/>
          <w:color w:val="000000" w:themeColor="text1"/>
          <w:sz w:val="20"/>
          <w:szCs w:val="20"/>
          <w:lang w:val="en-GB"/>
        </w:rPr>
        <w:t>30 September 2024</w:t>
      </w:r>
      <w:r w:rsidRPr="00A6593C">
        <w:rPr>
          <w:rFonts w:asciiTheme="minorHAnsi" w:hAnsiTheme="minorHAnsi" w:cstheme="minorHAnsi"/>
          <w:color w:val="000000" w:themeColor="text1"/>
          <w:sz w:val="20"/>
          <w:szCs w:val="20"/>
          <w:lang w:val="en-GB"/>
        </w:rPr>
        <w:t>).</w:t>
      </w:r>
      <w:bookmarkEnd w:id="2"/>
    </w:p>
  </w:footnote>
  <w:footnote w:id="39">
    <w:p w14:paraId="04604805" w14:textId="6BACB8B5" w:rsidR="00AE00A8" w:rsidRPr="00E72351" w:rsidRDefault="00AE00A8" w:rsidP="00AE00A8">
      <w:pPr>
        <w:autoSpaceDE w:val="0"/>
        <w:autoSpaceDN w:val="0"/>
        <w:adjustRightInd w:val="0"/>
        <w:rPr>
          <w:rFonts w:cstheme="minorHAnsi"/>
          <w:sz w:val="20"/>
          <w:szCs w:val="20"/>
        </w:rPr>
      </w:pPr>
      <w:r w:rsidRPr="00AE00A8">
        <w:rPr>
          <w:rStyle w:val="FootnoteReference"/>
          <w:rFonts w:cstheme="minorHAnsi"/>
          <w:sz w:val="20"/>
          <w:szCs w:val="20"/>
        </w:rPr>
        <w:footnoteRef/>
      </w:r>
      <w:r w:rsidRPr="00AE00A8">
        <w:rPr>
          <w:rFonts w:cstheme="minorHAnsi"/>
          <w:sz w:val="20"/>
          <w:szCs w:val="20"/>
        </w:rPr>
        <w:t xml:space="preserve"> On funds see Trevor Salmon, </w:t>
      </w:r>
      <w:r w:rsidRPr="00AE00A8">
        <w:rPr>
          <w:rFonts w:cstheme="minorHAnsi"/>
          <w:sz w:val="20"/>
          <w:szCs w:val="20"/>
        </w:rPr>
        <w:t>The EU’s Role in Conflict Resolution:</w:t>
      </w:r>
      <w:r w:rsidRPr="00AE00A8">
        <w:rPr>
          <w:rFonts w:cstheme="minorHAnsi"/>
          <w:sz w:val="20"/>
          <w:szCs w:val="20"/>
        </w:rPr>
        <w:t xml:space="preserve"> </w:t>
      </w:r>
      <w:r w:rsidRPr="00AE00A8">
        <w:rPr>
          <w:rFonts w:cstheme="minorHAnsi"/>
          <w:sz w:val="20"/>
          <w:szCs w:val="20"/>
        </w:rPr>
        <w:t>Lessons from Northern Ireland</w:t>
      </w:r>
      <w:r w:rsidRPr="00AE00A8">
        <w:rPr>
          <w:rFonts w:cstheme="minorHAnsi"/>
          <w:sz w:val="20"/>
          <w:szCs w:val="20"/>
        </w:rPr>
        <w:t xml:space="preserve">, </w:t>
      </w:r>
      <w:r w:rsidRPr="00AE00A8">
        <w:rPr>
          <w:rFonts w:cstheme="minorHAnsi"/>
          <w:i/>
          <w:iCs/>
          <w:sz w:val="20"/>
          <w:szCs w:val="20"/>
        </w:rPr>
        <w:t>European Foreign Affairs Review</w:t>
      </w:r>
      <w:r w:rsidRPr="00AE00A8">
        <w:rPr>
          <w:rFonts w:cstheme="minorHAnsi"/>
          <w:sz w:val="20"/>
          <w:szCs w:val="20"/>
        </w:rPr>
        <w:t xml:space="preserve">, 7, </w:t>
      </w:r>
      <w:r>
        <w:rPr>
          <w:rFonts w:cstheme="minorHAnsi"/>
          <w:sz w:val="20"/>
          <w:szCs w:val="20"/>
        </w:rPr>
        <w:t>(2002), 337-358</w:t>
      </w:r>
      <w:r w:rsidR="00290F85">
        <w:rPr>
          <w:rFonts w:cstheme="minorHAnsi"/>
          <w:sz w:val="20"/>
          <w:szCs w:val="20"/>
        </w:rPr>
        <w:t>:</w:t>
      </w:r>
      <w:r>
        <w:rPr>
          <w:rFonts w:cstheme="minorHAnsi"/>
          <w:sz w:val="20"/>
          <w:szCs w:val="20"/>
        </w:rPr>
        <w:t xml:space="preserve"> 353-357.</w:t>
      </w:r>
    </w:p>
  </w:footnote>
  <w:footnote w:id="40">
    <w:p w14:paraId="00B473AE" w14:textId="74EDD573" w:rsidR="00A6593C" w:rsidRPr="001A4B26" w:rsidRDefault="00A6593C" w:rsidP="001A4B26">
      <w:pPr>
        <w:pStyle w:val="Reference"/>
        <w:spacing w:line="240" w:lineRule="auto"/>
        <w:ind w:left="0" w:firstLine="0"/>
        <w:rPr>
          <w:rFonts w:asciiTheme="minorHAnsi" w:hAnsiTheme="minorHAnsi" w:cstheme="minorHAnsi"/>
          <w:color w:val="000000" w:themeColor="text1"/>
          <w:sz w:val="20"/>
          <w:szCs w:val="20"/>
          <w:lang w:val="en-GB"/>
        </w:rPr>
      </w:pPr>
      <w:r w:rsidRPr="001A4B26">
        <w:rPr>
          <w:rStyle w:val="FootnoteReference"/>
          <w:rFonts w:asciiTheme="minorHAnsi" w:hAnsiTheme="minorHAnsi" w:cstheme="minorHAnsi"/>
          <w:color w:val="000000" w:themeColor="text1"/>
          <w:sz w:val="20"/>
          <w:szCs w:val="20"/>
        </w:rPr>
        <w:footnoteRef/>
      </w:r>
      <w:r w:rsidR="001A4B26" w:rsidRPr="001A4B26">
        <w:rPr>
          <w:rFonts w:asciiTheme="minorHAnsi" w:hAnsiTheme="minorHAnsi" w:cstheme="minorHAnsi"/>
          <w:color w:val="000000" w:themeColor="text1"/>
          <w:sz w:val="20"/>
          <w:szCs w:val="20"/>
        </w:rPr>
        <w:t xml:space="preserve"> Dagmar</w:t>
      </w:r>
      <w:r w:rsidRPr="001A4B26">
        <w:rPr>
          <w:rFonts w:asciiTheme="minorHAnsi" w:hAnsiTheme="minorHAnsi" w:cstheme="minorHAnsi"/>
          <w:color w:val="000000" w:themeColor="text1"/>
          <w:sz w:val="20"/>
          <w:szCs w:val="20"/>
        </w:rPr>
        <w:t xml:space="preserve"> </w:t>
      </w:r>
      <w:proofErr w:type="spellStart"/>
      <w:r w:rsidRPr="001A4B26">
        <w:rPr>
          <w:rFonts w:asciiTheme="minorHAnsi" w:hAnsiTheme="minorHAnsi" w:cstheme="minorHAnsi"/>
          <w:color w:val="000000" w:themeColor="text1"/>
          <w:sz w:val="20"/>
          <w:szCs w:val="20"/>
          <w:lang w:val="en-GB"/>
        </w:rPr>
        <w:t>Schiek</w:t>
      </w:r>
      <w:proofErr w:type="spellEnd"/>
      <w:r w:rsidRPr="001A4B26">
        <w:rPr>
          <w:rFonts w:asciiTheme="minorHAnsi" w:hAnsiTheme="minorHAnsi" w:cstheme="minorHAnsi"/>
          <w:color w:val="000000" w:themeColor="text1"/>
          <w:sz w:val="20"/>
          <w:szCs w:val="20"/>
          <w:lang w:val="en-GB"/>
        </w:rPr>
        <w:t xml:space="preserve">, </w:t>
      </w:r>
      <w:r w:rsidR="001A4B26" w:rsidRPr="001A4B26">
        <w:rPr>
          <w:rFonts w:asciiTheme="minorHAnsi" w:hAnsiTheme="minorHAnsi" w:cstheme="minorHAnsi"/>
          <w:color w:val="000000" w:themeColor="text1"/>
          <w:sz w:val="20"/>
          <w:szCs w:val="20"/>
        </w:rPr>
        <w:t>‘</w:t>
      </w:r>
      <w:r w:rsidRPr="001A4B26">
        <w:rPr>
          <w:rFonts w:asciiTheme="minorHAnsi" w:hAnsiTheme="minorHAnsi" w:cstheme="minorHAnsi"/>
          <w:color w:val="000000" w:themeColor="text1"/>
          <w:sz w:val="20"/>
          <w:szCs w:val="20"/>
          <w:lang w:val="en-GB"/>
        </w:rPr>
        <w:t>The Island of Ireland and “Brexit” – A Legal-Political Critique of the Draft Withdrawal Agreement</w:t>
      </w:r>
      <w:r w:rsidR="001A4B26" w:rsidRPr="001A4B26">
        <w:rPr>
          <w:rFonts w:asciiTheme="minorHAnsi" w:hAnsiTheme="minorHAnsi" w:cstheme="minorHAnsi"/>
          <w:color w:val="000000" w:themeColor="text1"/>
          <w:sz w:val="20"/>
          <w:szCs w:val="20"/>
        </w:rPr>
        <w:t>’</w:t>
      </w:r>
      <w:r w:rsidRPr="001A4B26">
        <w:rPr>
          <w:rFonts w:asciiTheme="minorHAnsi" w:hAnsiTheme="minorHAnsi" w:cstheme="minorHAnsi"/>
          <w:color w:val="000000" w:themeColor="text1"/>
          <w:sz w:val="20"/>
          <w:szCs w:val="20"/>
          <w:lang w:val="en-GB"/>
        </w:rPr>
        <w:t xml:space="preserve">. </w:t>
      </w:r>
      <w:proofErr w:type="spellStart"/>
      <w:r w:rsidR="001A4B26" w:rsidRPr="001A4B26">
        <w:rPr>
          <w:rFonts w:asciiTheme="minorHAnsi" w:hAnsiTheme="minorHAnsi" w:cstheme="minorHAnsi"/>
          <w:color w:val="000000" w:themeColor="text1"/>
          <w:sz w:val="20"/>
          <w:szCs w:val="20"/>
        </w:rPr>
        <w:t>QPol</w:t>
      </w:r>
      <w:proofErr w:type="spellEnd"/>
      <w:r w:rsidR="001A4B26" w:rsidRPr="001A4B26">
        <w:rPr>
          <w:rFonts w:asciiTheme="minorHAnsi" w:hAnsiTheme="minorHAnsi" w:cstheme="minorHAnsi"/>
          <w:color w:val="000000" w:themeColor="text1"/>
          <w:sz w:val="20"/>
          <w:szCs w:val="20"/>
        </w:rPr>
        <w:t>, 22 March 2018, a</w:t>
      </w:r>
      <w:proofErr w:type="spellStart"/>
      <w:r w:rsidRPr="001A4B26">
        <w:rPr>
          <w:rFonts w:asciiTheme="minorHAnsi" w:hAnsiTheme="minorHAnsi" w:cstheme="minorHAnsi"/>
          <w:color w:val="000000" w:themeColor="text1"/>
          <w:sz w:val="20"/>
          <w:szCs w:val="20"/>
          <w:lang w:val="en-GB"/>
        </w:rPr>
        <w:t>vailable</w:t>
      </w:r>
      <w:proofErr w:type="spellEnd"/>
      <w:r w:rsidRPr="001A4B26">
        <w:rPr>
          <w:rFonts w:asciiTheme="minorHAnsi" w:hAnsiTheme="minorHAnsi" w:cstheme="minorHAnsi"/>
          <w:color w:val="000000" w:themeColor="text1"/>
          <w:sz w:val="20"/>
          <w:szCs w:val="20"/>
          <w:lang w:val="en-GB"/>
        </w:rPr>
        <w:t xml:space="preserve"> at:</w:t>
      </w:r>
      <w:r w:rsidR="001A4B26" w:rsidRPr="001A4B26">
        <w:rPr>
          <w:rFonts w:asciiTheme="minorHAnsi" w:hAnsiTheme="minorHAnsi" w:cstheme="minorHAnsi"/>
          <w:color w:val="000000" w:themeColor="text1"/>
          <w:sz w:val="20"/>
          <w:szCs w:val="20"/>
        </w:rPr>
        <w:t xml:space="preserve"> </w:t>
      </w:r>
      <w:r w:rsidR="001A4B26" w:rsidRPr="00C9518A">
        <w:rPr>
          <w:rFonts w:asciiTheme="minorHAnsi" w:hAnsiTheme="minorHAnsi" w:cstheme="minorHAnsi"/>
          <w:color w:val="000000" w:themeColor="text1"/>
          <w:sz w:val="20"/>
          <w:szCs w:val="20"/>
        </w:rPr>
        <w:t>https://qpol.qub.ac.uk/island-of-ireland-brexit-draft-withdrawal-agreement/</w:t>
      </w:r>
      <w:r w:rsidR="001A4B26" w:rsidRPr="001A4B26">
        <w:rPr>
          <w:rFonts w:asciiTheme="minorHAnsi" w:hAnsiTheme="minorHAnsi" w:cstheme="minorHAnsi"/>
          <w:color w:val="000000" w:themeColor="text1"/>
          <w:sz w:val="20"/>
          <w:szCs w:val="20"/>
        </w:rPr>
        <w:t xml:space="preserve">: 6, </w:t>
      </w:r>
      <w:r w:rsidR="001A4B26" w:rsidRPr="001A4B26">
        <w:rPr>
          <w:rFonts w:asciiTheme="minorHAnsi" w:hAnsiTheme="minorHAnsi" w:cstheme="minorHAnsi"/>
          <w:color w:val="000000" w:themeColor="text1"/>
          <w:sz w:val="20"/>
          <w:szCs w:val="20"/>
          <w:lang w:val="en-GB"/>
        </w:rPr>
        <w:t>(30 September 2024).</w:t>
      </w:r>
    </w:p>
  </w:footnote>
  <w:footnote w:id="41">
    <w:p w14:paraId="2F84499D" w14:textId="169F7F05" w:rsidR="00CE36A7" w:rsidRPr="00A6593C" w:rsidRDefault="00CE36A7" w:rsidP="00A6593C">
      <w:pPr>
        <w:pStyle w:val="TextFlushLeft"/>
        <w:spacing w:line="240" w:lineRule="auto"/>
        <w:rPr>
          <w:rFonts w:asciiTheme="minorHAnsi" w:hAnsiTheme="minorHAnsi" w:cstheme="minorHAnsi"/>
          <w:color w:val="000000" w:themeColor="text1"/>
          <w:sz w:val="20"/>
          <w:szCs w:val="20"/>
          <w:lang w:val="en-GB"/>
        </w:rPr>
      </w:pPr>
      <w:r w:rsidRPr="00A6593C">
        <w:rPr>
          <w:rStyle w:val="FootnoteReference"/>
          <w:rFonts w:asciiTheme="minorHAnsi" w:hAnsiTheme="minorHAnsi" w:cstheme="minorHAnsi"/>
          <w:sz w:val="20"/>
          <w:szCs w:val="20"/>
        </w:rPr>
        <w:footnoteRef/>
      </w:r>
      <w:r w:rsidRPr="00A6593C">
        <w:rPr>
          <w:rFonts w:asciiTheme="minorHAnsi" w:hAnsiTheme="minorHAnsi" w:cstheme="minorHAnsi"/>
          <w:sz w:val="20"/>
          <w:szCs w:val="20"/>
        </w:rPr>
        <w:t xml:space="preserve"> </w:t>
      </w:r>
      <w:r w:rsidR="00A6593C" w:rsidRPr="00A6593C">
        <w:rPr>
          <w:rFonts w:asciiTheme="minorHAnsi" w:hAnsiTheme="minorHAnsi" w:cstheme="minorHAnsi"/>
          <w:color w:val="000000" w:themeColor="text1"/>
          <w:sz w:val="20"/>
          <w:szCs w:val="20"/>
          <w:lang w:val="en-GB"/>
        </w:rPr>
        <w:t xml:space="preserve">In her letter to President of the European Council Donald Tusk with which she triggered Article 50 TEU, former UK Prime Minister Theresa May (2016–2019) </w:t>
      </w:r>
      <w:r w:rsidR="00A6593C" w:rsidRPr="00A6593C">
        <w:rPr>
          <w:rFonts w:asciiTheme="minorHAnsi" w:hAnsiTheme="minorHAnsi" w:cstheme="minorHAnsi"/>
          <w:color w:val="000000" w:themeColor="text1"/>
          <w:sz w:val="20"/>
          <w:szCs w:val="20"/>
          <w:shd w:val="clear" w:color="auto" w:fill="FFFFFF"/>
          <w:lang w:val="en-GB"/>
        </w:rPr>
        <w:t>expressed her intention ‘to avoid a return to a hard border’</w:t>
      </w:r>
      <w:r w:rsidR="00A6593C" w:rsidRPr="00A6593C">
        <w:rPr>
          <w:rFonts w:asciiTheme="minorHAnsi" w:hAnsiTheme="minorHAnsi" w:cstheme="minorHAnsi"/>
          <w:sz w:val="20"/>
          <w:szCs w:val="20"/>
          <w:lang w:val="en-GB"/>
        </w:rPr>
        <w:t xml:space="preserve"> </w:t>
      </w:r>
      <w:r w:rsidR="001A4B26">
        <w:rPr>
          <w:rFonts w:asciiTheme="minorHAnsi" w:hAnsiTheme="minorHAnsi" w:cstheme="minorHAnsi"/>
          <w:sz w:val="20"/>
          <w:szCs w:val="20"/>
          <w:lang w:val="en-GB"/>
        </w:rPr>
        <w:t>‘</w:t>
      </w:r>
      <w:r w:rsidR="00A6593C" w:rsidRPr="00A6593C">
        <w:rPr>
          <w:rFonts w:asciiTheme="minorHAnsi" w:hAnsiTheme="minorHAnsi" w:cstheme="minorHAnsi"/>
          <w:sz w:val="20"/>
          <w:szCs w:val="20"/>
          <w:lang w:val="en-GB"/>
        </w:rPr>
        <w:t>Prime Minister’s letter to Donald Tusk triggering Article 50</w:t>
      </w:r>
      <w:r w:rsidR="001A4B26">
        <w:rPr>
          <w:rFonts w:asciiTheme="minorHAnsi" w:hAnsiTheme="minorHAnsi" w:cstheme="minorHAnsi"/>
          <w:sz w:val="20"/>
          <w:szCs w:val="20"/>
          <w:lang w:val="en-GB"/>
        </w:rPr>
        <w:t>’, 29 March 2017,</w:t>
      </w:r>
      <w:r w:rsidR="00A6593C" w:rsidRPr="00A6593C">
        <w:rPr>
          <w:rFonts w:asciiTheme="minorHAnsi" w:hAnsiTheme="minorHAnsi" w:cstheme="minorHAnsi"/>
          <w:sz w:val="20"/>
          <w:szCs w:val="20"/>
          <w:lang w:val="en-GB"/>
        </w:rPr>
        <w:t xml:space="preserve"> </w:t>
      </w:r>
      <w:r w:rsidR="001A4B26">
        <w:rPr>
          <w:rFonts w:asciiTheme="minorHAnsi" w:hAnsiTheme="minorHAnsi" w:cstheme="minorHAnsi"/>
          <w:sz w:val="20"/>
          <w:szCs w:val="20"/>
          <w:lang w:val="en-GB"/>
        </w:rPr>
        <w:t>a</w:t>
      </w:r>
      <w:r w:rsidR="00A6593C" w:rsidRPr="00A6593C">
        <w:rPr>
          <w:rFonts w:asciiTheme="minorHAnsi" w:hAnsiTheme="minorHAnsi" w:cstheme="minorHAnsi"/>
          <w:sz w:val="20"/>
          <w:szCs w:val="20"/>
          <w:lang w:val="en-GB"/>
        </w:rPr>
        <w:t xml:space="preserve">vailable at: </w:t>
      </w:r>
      <w:r w:rsidR="001A4B26" w:rsidRPr="001A4B26">
        <w:rPr>
          <w:rStyle w:val="FootnoteReference"/>
          <w:rFonts w:asciiTheme="minorHAnsi" w:hAnsiTheme="minorHAnsi" w:cstheme="minorHAnsi"/>
          <w:sz w:val="20"/>
          <w:szCs w:val="20"/>
          <w:vertAlign w:val="baseline"/>
          <w:lang w:val="en-GB"/>
        </w:rPr>
        <w:t>www.gov.uk/government/publications/prime-ministers-letter-to-donald-tusk-triggering-article-50</w:t>
      </w:r>
      <w:r w:rsidR="001A4B26">
        <w:rPr>
          <w:rFonts w:asciiTheme="minorHAnsi" w:hAnsiTheme="minorHAnsi" w:cstheme="minorHAnsi"/>
          <w:color w:val="000000" w:themeColor="text1"/>
          <w:sz w:val="20"/>
          <w:szCs w:val="20"/>
          <w:shd w:val="clear" w:color="auto" w:fill="FFFFFF"/>
          <w:lang w:val="en-GB"/>
        </w:rPr>
        <w:t xml:space="preserve">. </w:t>
      </w:r>
      <w:r w:rsidR="00A6593C" w:rsidRPr="00A6593C">
        <w:rPr>
          <w:rFonts w:asciiTheme="minorHAnsi" w:hAnsiTheme="minorHAnsi" w:cstheme="minorHAnsi"/>
          <w:color w:val="000000" w:themeColor="text1"/>
          <w:sz w:val="20"/>
          <w:szCs w:val="20"/>
          <w:lang w:val="en-GB"/>
        </w:rPr>
        <w:t>This position was broadly in line with the post-referendum letter she received from the First Minister and the then Deputy First Minister of Northern Ireland</w:t>
      </w:r>
      <w:r w:rsidR="001A4B26">
        <w:rPr>
          <w:rFonts w:asciiTheme="minorHAnsi" w:hAnsiTheme="minorHAnsi" w:cstheme="minorHAnsi"/>
          <w:color w:val="000000" w:themeColor="text1"/>
          <w:sz w:val="20"/>
          <w:szCs w:val="20"/>
          <w:lang w:val="en-GB"/>
        </w:rPr>
        <w:t xml:space="preserve">, Arlene </w:t>
      </w:r>
      <w:r w:rsidR="00A6593C" w:rsidRPr="00A6593C">
        <w:rPr>
          <w:rFonts w:asciiTheme="minorHAnsi" w:hAnsiTheme="minorHAnsi" w:cstheme="minorHAnsi"/>
          <w:sz w:val="20"/>
          <w:szCs w:val="20"/>
          <w:lang w:val="en-GB"/>
        </w:rPr>
        <w:t>Foster, and</w:t>
      </w:r>
      <w:r w:rsidR="001A4B26">
        <w:rPr>
          <w:rFonts w:asciiTheme="minorHAnsi" w:hAnsiTheme="minorHAnsi" w:cstheme="minorHAnsi"/>
          <w:sz w:val="20"/>
          <w:szCs w:val="20"/>
          <w:lang w:val="en-GB"/>
        </w:rPr>
        <w:t xml:space="preserve"> Martin</w:t>
      </w:r>
      <w:r w:rsidR="00A6593C" w:rsidRPr="00A6593C">
        <w:rPr>
          <w:rFonts w:asciiTheme="minorHAnsi" w:hAnsiTheme="minorHAnsi" w:cstheme="minorHAnsi"/>
          <w:sz w:val="20"/>
          <w:szCs w:val="20"/>
          <w:lang w:val="en-GB"/>
        </w:rPr>
        <w:t xml:space="preserve"> McGuiness </w:t>
      </w:r>
      <w:r w:rsidR="001A4B26">
        <w:rPr>
          <w:rFonts w:asciiTheme="minorHAnsi" w:hAnsiTheme="minorHAnsi" w:cstheme="minorHAnsi"/>
          <w:sz w:val="20"/>
          <w:szCs w:val="20"/>
          <w:lang w:val="en-GB"/>
        </w:rPr>
        <w:t>‘</w:t>
      </w:r>
      <w:r w:rsidR="00A6593C" w:rsidRPr="00A6593C">
        <w:rPr>
          <w:rFonts w:asciiTheme="minorHAnsi" w:hAnsiTheme="minorHAnsi" w:cstheme="minorHAnsi"/>
          <w:sz w:val="20"/>
          <w:szCs w:val="20"/>
          <w:lang w:val="en-GB"/>
        </w:rPr>
        <w:t>Letter to PM</w:t>
      </w:r>
      <w:r w:rsidR="001A4B26">
        <w:rPr>
          <w:rFonts w:asciiTheme="minorHAnsi" w:hAnsiTheme="minorHAnsi" w:cstheme="minorHAnsi"/>
          <w:sz w:val="20"/>
          <w:szCs w:val="20"/>
          <w:lang w:val="en-GB"/>
        </w:rPr>
        <w:t>’, 10 August 2016,</w:t>
      </w:r>
      <w:r w:rsidR="00A6593C" w:rsidRPr="00A6593C">
        <w:rPr>
          <w:rFonts w:asciiTheme="minorHAnsi" w:hAnsiTheme="minorHAnsi" w:cstheme="minorHAnsi"/>
          <w:sz w:val="20"/>
          <w:szCs w:val="20"/>
          <w:lang w:val="en-GB"/>
        </w:rPr>
        <w:t xml:space="preserve"> </w:t>
      </w:r>
      <w:r w:rsidR="001A4B26">
        <w:rPr>
          <w:rFonts w:asciiTheme="minorHAnsi" w:hAnsiTheme="minorHAnsi" w:cstheme="minorHAnsi"/>
          <w:sz w:val="20"/>
          <w:szCs w:val="20"/>
          <w:lang w:val="en-GB"/>
        </w:rPr>
        <w:t>a</w:t>
      </w:r>
      <w:r w:rsidR="00A6593C" w:rsidRPr="00A6593C">
        <w:rPr>
          <w:rFonts w:asciiTheme="minorHAnsi" w:hAnsiTheme="minorHAnsi" w:cstheme="minorHAnsi"/>
          <w:sz w:val="20"/>
          <w:szCs w:val="20"/>
          <w:lang w:val="en-GB"/>
        </w:rPr>
        <w:t xml:space="preserve">vailable at: </w:t>
      </w:r>
      <w:r w:rsidR="00A6593C" w:rsidRPr="00075E9F">
        <w:rPr>
          <w:rStyle w:val="FootnoteReference"/>
          <w:rFonts w:asciiTheme="minorHAnsi" w:hAnsiTheme="minorHAnsi" w:cstheme="minorHAnsi"/>
          <w:sz w:val="20"/>
          <w:szCs w:val="20"/>
          <w:vertAlign w:val="baseline"/>
          <w:lang w:val="en-GB"/>
        </w:rPr>
        <w:t>www.executiveoffice-ni.gov.uk/sites/default/files/publications/execoffice/Letter%20to%20PM%20from%20FM%20%26%20dFM.pd</w:t>
      </w:r>
      <w:r w:rsidR="001A4B26">
        <w:rPr>
          <w:rStyle w:val="FootnoteReference"/>
          <w:rFonts w:asciiTheme="minorHAnsi" w:hAnsiTheme="minorHAnsi" w:cstheme="minorHAnsi"/>
          <w:sz w:val="20"/>
          <w:szCs w:val="20"/>
          <w:vertAlign w:val="baseline"/>
          <w:lang w:val="en-GB"/>
        </w:rPr>
        <w:t>f</w:t>
      </w:r>
      <w:r w:rsidR="00A6593C" w:rsidRPr="00A6593C">
        <w:rPr>
          <w:rFonts w:asciiTheme="minorHAnsi" w:hAnsiTheme="minorHAnsi" w:cstheme="minorHAnsi"/>
          <w:color w:val="000000" w:themeColor="text1"/>
          <w:sz w:val="20"/>
          <w:szCs w:val="20"/>
          <w:lang w:val="en-GB"/>
        </w:rPr>
        <w:t xml:space="preserve">. </w:t>
      </w:r>
      <w:r w:rsidRPr="00A6593C">
        <w:rPr>
          <w:rFonts w:asciiTheme="minorHAnsi" w:hAnsiTheme="minorHAnsi" w:cstheme="minorHAnsi"/>
          <w:color w:val="000000" w:themeColor="text1"/>
          <w:sz w:val="20"/>
          <w:szCs w:val="20"/>
          <w:shd w:val="clear" w:color="auto" w:fill="FFFFFF"/>
          <w:lang w:val="en-GB"/>
        </w:rPr>
        <w:t>Enda Kenny, former Taoiseach (2011–2017), described Brexit as ‘arguably the greatest economic challenge for this island in 50 years’</w:t>
      </w:r>
      <w:r w:rsidR="001A4B26">
        <w:rPr>
          <w:rFonts w:asciiTheme="minorHAnsi" w:hAnsiTheme="minorHAnsi" w:cstheme="minorHAnsi"/>
          <w:color w:val="000000" w:themeColor="text1"/>
          <w:sz w:val="20"/>
          <w:szCs w:val="20"/>
          <w:shd w:val="clear" w:color="auto" w:fill="FFFFFF"/>
          <w:lang w:val="en-GB"/>
        </w:rPr>
        <w:t>,</w:t>
      </w:r>
      <w:r w:rsidR="00A6593C" w:rsidRPr="00A6593C">
        <w:rPr>
          <w:rFonts w:asciiTheme="minorHAnsi" w:hAnsiTheme="minorHAnsi" w:cstheme="minorHAnsi"/>
          <w:sz w:val="20"/>
          <w:szCs w:val="20"/>
          <w:lang w:val="en-GB"/>
        </w:rPr>
        <w:t xml:space="preserve"> </w:t>
      </w:r>
      <w:r w:rsidR="001A4B26">
        <w:rPr>
          <w:rFonts w:asciiTheme="minorHAnsi" w:hAnsiTheme="minorHAnsi" w:cstheme="minorHAnsi"/>
          <w:sz w:val="20"/>
          <w:szCs w:val="20"/>
          <w:lang w:val="en-GB"/>
        </w:rPr>
        <w:t>‘</w:t>
      </w:r>
      <w:r w:rsidR="00A6593C" w:rsidRPr="00A6593C">
        <w:rPr>
          <w:rFonts w:asciiTheme="minorHAnsi" w:hAnsiTheme="minorHAnsi" w:cstheme="minorHAnsi"/>
          <w:sz w:val="20"/>
          <w:szCs w:val="20"/>
          <w:lang w:val="en-GB"/>
        </w:rPr>
        <w:t>Irish Times Brexit Summit Keynote Address</w:t>
      </w:r>
      <w:r w:rsidR="001A4B26">
        <w:rPr>
          <w:rFonts w:asciiTheme="minorHAnsi" w:hAnsiTheme="minorHAnsi" w:cstheme="minorHAnsi"/>
          <w:sz w:val="20"/>
          <w:szCs w:val="20"/>
          <w:lang w:val="en-GB"/>
        </w:rPr>
        <w:t>’, 7 November 2016, a</w:t>
      </w:r>
      <w:r w:rsidR="00A6593C" w:rsidRPr="00A6593C">
        <w:rPr>
          <w:rFonts w:asciiTheme="minorHAnsi" w:hAnsiTheme="minorHAnsi" w:cstheme="minorHAnsi"/>
          <w:sz w:val="20"/>
          <w:szCs w:val="20"/>
          <w:lang w:val="en-GB"/>
        </w:rPr>
        <w:t>vailable at</w:t>
      </w:r>
      <w:r w:rsidR="001A4B26">
        <w:rPr>
          <w:rFonts w:asciiTheme="minorHAnsi" w:hAnsiTheme="minorHAnsi" w:cstheme="minorHAnsi"/>
          <w:sz w:val="20"/>
          <w:szCs w:val="20"/>
          <w:lang w:val="en-GB"/>
        </w:rPr>
        <w:t xml:space="preserve"> a</w:t>
      </w:r>
      <w:r w:rsidR="001A4B26" w:rsidRPr="001A4B26">
        <w:t xml:space="preserve"> </w:t>
      </w:r>
      <w:r w:rsidR="001A4B26" w:rsidRPr="001A4B26">
        <w:rPr>
          <w:rFonts w:asciiTheme="minorHAnsi" w:hAnsiTheme="minorHAnsi" w:cstheme="minorHAnsi"/>
          <w:sz w:val="20"/>
          <w:szCs w:val="20"/>
          <w:lang w:val="en-GB"/>
        </w:rPr>
        <w:t>https://merrionstreet.ie/merrionstreet/en/news-room/speeches/irish_times_brexit_summit_-_keynote_address_by_the_taoiseach.html</w:t>
      </w:r>
      <w:r w:rsidR="001A4B26">
        <w:rPr>
          <w:rFonts w:asciiTheme="minorHAnsi" w:hAnsiTheme="minorHAnsi" w:cstheme="minorHAnsi"/>
          <w:sz w:val="20"/>
          <w:szCs w:val="20"/>
          <w:lang w:val="en-GB"/>
        </w:rPr>
        <w:t xml:space="preserve">; </w:t>
      </w:r>
      <w:r w:rsidR="00A6593C" w:rsidRPr="00A6593C">
        <w:rPr>
          <w:rFonts w:asciiTheme="minorHAnsi" w:hAnsiTheme="minorHAnsi" w:cstheme="minorHAnsi"/>
          <w:color w:val="000000" w:themeColor="text1"/>
          <w:sz w:val="20"/>
          <w:szCs w:val="20"/>
          <w:shd w:val="clear" w:color="auto" w:fill="FFFFFF"/>
          <w:lang w:val="en-GB"/>
        </w:rPr>
        <w:t xml:space="preserve"> while </w:t>
      </w:r>
      <w:r w:rsidRPr="00A6593C">
        <w:rPr>
          <w:rFonts w:asciiTheme="minorHAnsi" w:hAnsiTheme="minorHAnsi" w:cstheme="minorHAnsi"/>
          <w:color w:val="000000" w:themeColor="text1"/>
          <w:sz w:val="20"/>
          <w:szCs w:val="20"/>
          <w:shd w:val="clear" w:color="auto" w:fill="FFFFFF"/>
          <w:lang w:val="en-GB"/>
        </w:rPr>
        <w:t>Leo Varadkar, former Taoiseach (2017–2020) noted that ‘every single aspect of life in Northern Ireland could be affected by Brexit’</w:t>
      </w:r>
      <w:r w:rsidR="001A4B26">
        <w:rPr>
          <w:rFonts w:asciiTheme="minorHAnsi" w:hAnsiTheme="minorHAnsi" w:cstheme="minorHAnsi"/>
          <w:color w:val="000000" w:themeColor="text1"/>
          <w:sz w:val="20"/>
          <w:szCs w:val="20"/>
          <w:shd w:val="clear" w:color="auto" w:fill="FFFFFF"/>
          <w:lang w:val="en-GB"/>
        </w:rPr>
        <w:t>,</w:t>
      </w:r>
      <w:r w:rsidRPr="00A6593C">
        <w:rPr>
          <w:rFonts w:asciiTheme="minorHAnsi" w:hAnsiTheme="minorHAnsi" w:cstheme="minorHAnsi"/>
          <w:color w:val="000000" w:themeColor="text1"/>
          <w:sz w:val="20"/>
          <w:szCs w:val="20"/>
          <w:shd w:val="clear" w:color="auto" w:fill="FFFFFF"/>
          <w:lang w:val="en-GB"/>
        </w:rPr>
        <w:t xml:space="preserve"> </w:t>
      </w:r>
      <w:r w:rsidR="001A4B26">
        <w:rPr>
          <w:rFonts w:asciiTheme="minorHAnsi" w:hAnsiTheme="minorHAnsi" w:cstheme="minorHAnsi"/>
          <w:color w:val="000000" w:themeColor="text1"/>
          <w:sz w:val="20"/>
          <w:szCs w:val="20"/>
          <w:shd w:val="clear" w:color="auto" w:fill="FFFFFF"/>
          <w:lang w:val="en-GB"/>
        </w:rPr>
        <w:t>‘</w:t>
      </w:r>
      <w:r w:rsidR="00A6593C" w:rsidRPr="00A6593C">
        <w:rPr>
          <w:rFonts w:asciiTheme="minorHAnsi" w:hAnsiTheme="minorHAnsi" w:cstheme="minorHAnsi"/>
          <w:sz w:val="20"/>
          <w:szCs w:val="20"/>
          <w:lang w:val="en-GB"/>
        </w:rPr>
        <w:t>Clock Is Ticking on Brexit Talks</w:t>
      </w:r>
      <w:r w:rsidR="001A4B26">
        <w:rPr>
          <w:rFonts w:asciiTheme="minorHAnsi" w:hAnsiTheme="minorHAnsi" w:cstheme="minorHAnsi"/>
          <w:sz w:val="20"/>
          <w:szCs w:val="20"/>
          <w:lang w:val="en-GB"/>
        </w:rPr>
        <w:t>’, 4 August 2017, a</w:t>
      </w:r>
      <w:r w:rsidR="00A6593C" w:rsidRPr="00A6593C">
        <w:rPr>
          <w:rFonts w:asciiTheme="minorHAnsi" w:hAnsiTheme="minorHAnsi" w:cstheme="minorHAnsi"/>
          <w:sz w:val="20"/>
          <w:szCs w:val="20"/>
          <w:lang w:val="en-GB"/>
        </w:rPr>
        <w:t xml:space="preserve">vailable at: </w:t>
      </w:r>
      <w:r w:rsidR="00A6593C" w:rsidRPr="00075E9F">
        <w:rPr>
          <w:rStyle w:val="FootnoteReference"/>
          <w:rFonts w:asciiTheme="minorHAnsi" w:hAnsiTheme="minorHAnsi" w:cstheme="minorHAnsi"/>
          <w:sz w:val="20"/>
          <w:szCs w:val="20"/>
          <w:vertAlign w:val="baseline"/>
          <w:lang w:val="en-GB"/>
        </w:rPr>
        <w:t>www.bbc.co.uk/news/uk-northern-ireland-40819687</w:t>
      </w:r>
      <w:r w:rsidRPr="00A6593C">
        <w:rPr>
          <w:rFonts w:asciiTheme="minorHAnsi" w:hAnsiTheme="minorHAnsi" w:cstheme="minorHAnsi"/>
          <w:color w:val="000000" w:themeColor="text1"/>
          <w:sz w:val="20"/>
          <w:szCs w:val="20"/>
          <w:shd w:val="clear" w:color="auto" w:fill="FFFFFF"/>
          <w:lang w:val="en-GB"/>
        </w:rPr>
        <w:t xml:space="preserve">. </w:t>
      </w:r>
      <w:r w:rsidRPr="00A6593C">
        <w:rPr>
          <w:rFonts w:asciiTheme="minorHAnsi" w:hAnsiTheme="minorHAnsi" w:cstheme="minorHAnsi"/>
          <w:color w:val="000000" w:themeColor="text1"/>
          <w:sz w:val="20"/>
          <w:szCs w:val="20"/>
          <w:lang w:val="en-GB"/>
        </w:rPr>
        <w:t>The EU also recogni</w:t>
      </w:r>
      <w:r w:rsidR="00A6593C">
        <w:rPr>
          <w:rFonts w:asciiTheme="minorHAnsi" w:hAnsiTheme="minorHAnsi" w:cstheme="minorHAnsi"/>
          <w:color w:val="000000" w:themeColor="text1"/>
          <w:sz w:val="20"/>
          <w:szCs w:val="20"/>
          <w:lang w:val="en-GB"/>
        </w:rPr>
        <w:t>s</w:t>
      </w:r>
      <w:r w:rsidRPr="00A6593C">
        <w:rPr>
          <w:rFonts w:asciiTheme="minorHAnsi" w:hAnsiTheme="minorHAnsi" w:cstheme="minorHAnsi"/>
          <w:color w:val="000000" w:themeColor="text1"/>
          <w:sz w:val="20"/>
          <w:szCs w:val="20"/>
          <w:lang w:val="en-GB"/>
        </w:rPr>
        <w:t>ed that ‘the unique circumstances and challenges on the island of Ireland will require flexible and imaginative solutions’</w:t>
      </w:r>
      <w:r w:rsidR="001A4B26">
        <w:rPr>
          <w:rFonts w:asciiTheme="minorHAnsi" w:hAnsiTheme="minorHAnsi" w:cstheme="minorHAnsi"/>
          <w:color w:val="000000" w:themeColor="text1"/>
          <w:sz w:val="20"/>
          <w:szCs w:val="20"/>
          <w:lang w:val="en-GB"/>
        </w:rPr>
        <w:t>,</w:t>
      </w:r>
      <w:r w:rsidRPr="00A6593C">
        <w:rPr>
          <w:rFonts w:asciiTheme="minorHAnsi" w:hAnsiTheme="minorHAnsi" w:cstheme="minorHAnsi"/>
          <w:color w:val="000000" w:themeColor="text1"/>
          <w:sz w:val="20"/>
          <w:szCs w:val="20"/>
          <w:lang w:val="en-GB"/>
        </w:rPr>
        <w:t xml:space="preserve"> see </w:t>
      </w:r>
      <w:r w:rsidR="001A4B26">
        <w:rPr>
          <w:rFonts w:asciiTheme="minorHAnsi" w:hAnsiTheme="minorHAnsi" w:cstheme="minorHAnsi"/>
          <w:color w:val="000000" w:themeColor="text1"/>
          <w:sz w:val="20"/>
          <w:szCs w:val="20"/>
          <w:lang w:val="en-GB"/>
        </w:rPr>
        <w:t>‘</w:t>
      </w:r>
      <w:r w:rsidR="00A6593C" w:rsidRPr="00A6593C">
        <w:rPr>
          <w:rFonts w:asciiTheme="minorHAnsi" w:hAnsiTheme="minorHAnsi" w:cstheme="minorHAnsi"/>
          <w:sz w:val="20"/>
          <w:szCs w:val="20"/>
          <w:lang w:val="en-GB"/>
        </w:rPr>
        <w:t>EU Negotiating Directives</w:t>
      </w:r>
      <w:r w:rsidR="001A4B26">
        <w:rPr>
          <w:rFonts w:asciiTheme="minorHAnsi" w:hAnsiTheme="minorHAnsi" w:cstheme="minorHAnsi"/>
          <w:sz w:val="20"/>
          <w:szCs w:val="20"/>
          <w:lang w:val="en-GB"/>
        </w:rPr>
        <w:t>’</w:t>
      </w:r>
      <w:r w:rsidR="00A6593C" w:rsidRPr="00A6593C">
        <w:rPr>
          <w:rFonts w:asciiTheme="minorHAnsi" w:hAnsiTheme="minorHAnsi" w:cstheme="minorHAnsi"/>
          <w:sz w:val="20"/>
          <w:szCs w:val="20"/>
          <w:lang w:val="en-GB"/>
        </w:rPr>
        <w:t>, 22 May 2017</w:t>
      </w:r>
      <w:r w:rsidR="001A4B26">
        <w:rPr>
          <w:rFonts w:asciiTheme="minorHAnsi" w:hAnsiTheme="minorHAnsi" w:cstheme="minorHAnsi"/>
          <w:sz w:val="20"/>
          <w:szCs w:val="20"/>
          <w:lang w:val="en-GB"/>
        </w:rPr>
        <w:t xml:space="preserve">, available at: </w:t>
      </w:r>
      <w:r w:rsidR="001A4B26" w:rsidRPr="001A4B26">
        <w:rPr>
          <w:rFonts w:asciiTheme="minorHAnsi" w:hAnsiTheme="minorHAnsi" w:cstheme="minorHAnsi"/>
          <w:sz w:val="20"/>
          <w:szCs w:val="20"/>
          <w:lang w:val="en-GB"/>
        </w:rPr>
        <w:t>https://www.consilium.europa.eu/en/press/press-releases/2017/05/22/brexit-negotiating-directives/</w:t>
      </w:r>
      <w:r w:rsidR="001A4B26">
        <w:rPr>
          <w:rFonts w:asciiTheme="minorHAnsi" w:hAnsiTheme="minorHAnsi" w:cstheme="minorHAnsi"/>
          <w:sz w:val="20"/>
          <w:szCs w:val="20"/>
          <w:lang w:val="en-GB"/>
        </w:rPr>
        <w:t xml:space="preserve"> (30 September 2024)</w:t>
      </w:r>
      <w:r w:rsidRPr="00A6593C">
        <w:rPr>
          <w:rFonts w:asciiTheme="minorHAnsi" w:hAnsiTheme="minorHAnsi" w:cstheme="minorHAnsi"/>
          <w:color w:val="000000" w:themeColor="text1"/>
          <w:sz w:val="20"/>
          <w:szCs w:val="20"/>
          <w:lang w:val="en-GB"/>
        </w:rPr>
        <w:t>.</w:t>
      </w:r>
    </w:p>
  </w:footnote>
  <w:footnote w:id="42">
    <w:p w14:paraId="710E765E" w14:textId="75AB8F39" w:rsidR="00AC5FA2" w:rsidRPr="00AC5FA2" w:rsidRDefault="00AC5FA2" w:rsidP="00AC5FA2">
      <w:pPr>
        <w:pStyle w:val="Footnotes"/>
        <w:ind w:firstLine="0"/>
        <w:rPr>
          <w:rFonts w:asciiTheme="minorHAnsi" w:hAnsiTheme="minorHAnsi" w:cstheme="minorHAnsi"/>
          <w:sz w:val="20"/>
          <w:szCs w:val="20"/>
        </w:rPr>
      </w:pPr>
      <w:r w:rsidRPr="00AC5FA2">
        <w:rPr>
          <w:rStyle w:val="FootnoteReference"/>
          <w:rFonts w:asciiTheme="minorHAnsi" w:hAnsiTheme="minorHAnsi" w:cstheme="minorHAnsi"/>
        </w:rPr>
        <w:footnoteRef/>
      </w:r>
      <w:r w:rsidRPr="00AC5FA2">
        <w:rPr>
          <w:rFonts w:asciiTheme="minorHAnsi" w:hAnsiTheme="minorHAnsi" w:cstheme="minorHAnsi"/>
        </w:rPr>
        <w:t xml:space="preserve"> </w:t>
      </w:r>
      <w:r w:rsidRPr="00AC5FA2">
        <w:rPr>
          <w:rFonts w:asciiTheme="minorHAnsi" w:hAnsiTheme="minorHAnsi" w:cstheme="minorHAnsi"/>
          <w:sz w:val="20"/>
          <w:szCs w:val="20"/>
        </w:rPr>
        <w:t>Act Concerning the Conditions of Accession of the Czech Republic, the Republic of Estonia, the Republic of</w:t>
      </w:r>
      <w:r w:rsidRPr="00C64146">
        <w:rPr>
          <w:rFonts w:asciiTheme="minorHAnsi" w:hAnsiTheme="minorHAnsi" w:cstheme="minorHAnsi"/>
          <w:sz w:val="20"/>
          <w:szCs w:val="20"/>
        </w:rPr>
        <w:t xml:space="preserve"> Cyprus, the Republic of Latvia, the Republic of Lithuania, the Republic of Hungary, the Republic of Malta, the Republic of Poland, the Republic of Slovenia and the Slovak Republic and the Adjustments to the Treaties on Which the European Union is founded—Protocol No 10 on Cyprus, 2003</w:t>
      </w:r>
      <w:r w:rsidRPr="00C64146" w:rsidDel="00DD699C">
        <w:rPr>
          <w:rFonts w:asciiTheme="minorHAnsi" w:hAnsiTheme="minorHAnsi" w:cstheme="minorHAnsi"/>
          <w:sz w:val="20"/>
          <w:szCs w:val="20"/>
        </w:rPr>
        <w:t xml:space="preserve"> </w:t>
      </w:r>
      <w:r w:rsidRPr="00C64146">
        <w:rPr>
          <w:rFonts w:asciiTheme="minorHAnsi" w:hAnsiTheme="minorHAnsi" w:cstheme="minorHAnsi"/>
          <w:sz w:val="20"/>
          <w:szCs w:val="20"/>
        </w:rPr>
        <w:t>OJ L 236</w:t>
      </w:r>
      <w:r>
        <w:rPr>
          <w:rFonts w:asciiTheme="minorHAnsi" w:hAnsiTheme="minorHAnsi" w:cstheme="minorHAnsi"/>
          <w:sz w:val="20"/>
          <w:szCs w:val="20"/>
        </w:rPr>
        <w:t>,</w:t>
      </w:r>
      <w:r w:rsidRPr="00C64146">
        <w:rPr>
          <w:rFonts w:asciiTheme="minorHAnsi" w:hAnsiTheme="minorHAnsi" w:cstheme="minorHAnsi"/>
          <w:sz w:val="20"/>
          <w:szCs w:val="20"/>
        </w:rPr>
        <w:t xml:space="preserve"> 46 </w:t>
      </w:r>
      <w:r>
        <w:rPr>
          <w:rFonts w:asciiTheme="minorHAnsi" w:hAnsiTheme="minorHAnsi" w:cstheme="minorHAnsi"/>
          <w:sz w:val="20"/>
          <w:szCs w:val="20"/>
        </w:rPr>
        <w:t>(</w:t>
      </w:r>
      <w:r w:rsidRPr="00C64146">
        <w:rPr>
          <w:rFonts w:asciiTheme="minorHAnsi" w:hAnsiTheme="minorHAnsi" w:cstheme="minorHAnsi"/>
          <w:sz w:val="20"/>
          <w:szCs w:val="20"/>
        </w:rPr>
        <w:t>Protocol No 10 on Cyprus</w:t>
      </w:r>
      <w:r>
        <w:rPr>
          <w:rFonts w:asciiTheme="minorHAnsi" w:hAnsiTheme="minorHAnsi" w:cstheme="minorHAnsi"/>
          <w:sz w:val="20"/>
          <w:szCs w:val="20"/>
        </w:rPr>
        <w:t>)</w:t>
      </w:r>
      <w:r w:rsidRPr="00C64146">
        <w:rPr>
          <w:rFonts w:asciiTheme="minorHAnsi" w:hAnsiTheme="minorHAnsi" w:cstheme="minorHAnsi"/>
          <w:sz w:val="20"/>
          <w:szCs w:val="20"/>
        </w:rPr>
        <w:t>.</w:t>
      </w:r>
    </w:p>
  </w:footnote>
  <w:footnote w:id="43">
    <w:p w14:paraId="09DABC30" w14:textId="06969425" w:rsidR="00C90FAB" w:rsidRDefault="00C90FAB">
      <w:pPr>
        <w:pStyle w:val="FootnoteText"/>
      </w:pPr>
      <w:r>
        <w:rPr>
          <w:rStyle w:val="FootnoteReference"/>
        </w:rPr>
        <w:footnoteRef/>
      </w:r>
      <w:r>
        <w:t xml:space="preserve"> </w:t>
      </w:r>
      <w:r w:rsidRPr="00075E9F">
        <w:rPr>
          <w:rFonts w:cstheme="minorHAnsi"/>
        </w:rPr>
        <w:t>Agreement on the Withdrawal of the United Kingdom of Great Britain and Northern Ireland from the European Union and the European Atomic Energy Community, Protocol on Ireland/Northern Ireland, 2020 O</w:t>
      </w:r>
      <w:r>
        <w:rPr>
          <w:rFonts w:cstheme="minorHAnsi"/>
        </w:rPr>
        <w:t>J</w:t>
      </w:r>
      <w:r w:rsidRPr="00075E9F">
        <w:rPr>
          <w:rFonts w:cstheme="minorHAnsi"/>
        </w:rPr>
        <w:t xml:space="preserve"> L 29</w:t>
      </w:r>
      <w:r>
        <w:rPr>
          <w:rFonts w:cstheme="minorHAnsi"/>
        </w:rPr>
        <w:t>,</w:t>
      </w:r>
      <w:r w:rsidRPr="00075E9F">
        <w:rPr>
          <w:rFonts w:cstheme="minorHAnsi"/>
        </w:rPr>
        <w:t xml:space="preserve"> 102</w:t>
      </w:r>
      <w:r>
        <w:rPr>
          <w:rFonts w:cstheme="minorHAnsi"/>
        </w:rPr>
        <w:t>.</w:t>
      </w:r>
    </w:p>
  </w:footnote>
  <w:footnote w:id="44">
    <w:p w14:paraId="4ED932A0" w14:textId="63CD6B14" w:rsidR="00542F61" w:rsidRPr="00542F61" w:rsidRDefault="00542F61" w:rsidP="00542F61">
      <w:pPr>
        <w:pStyle w:val="FootnoteText"/>
        <w:rPr>
          <w:rFonts w:cstheme="minorHAnsi"/>
        </w:rPr>
      </w:pPr>
      <w:r w:rsidRPr="00542F61">
        <w:rPr>
          <w:rStyle w:val="FootnoteReference"/>
          <w:rFonts w:cstheme="minorHAnsi"/>
        </w:rPr>
        <w:footnoteRef/>
      </w:r>
      <w:r w:rsidRPr="00542F61">
        <w:rPr>
          <w:rFonts w:cstheme="minorHAnsi"/>
        </w:rPr>
        <w:t xml:space="preserve"> European Court of Justice,</w:t>
      </w:r>
      <w:r w:rsidR="00683FB5">
        <w:rPr>
          <w:rFonts w:cstheme="minorHAnsi"/>
        </w:rPr>
        <w:t xml:space="preserve"> </w:t>
      </w:r>
      <w:r w:rsidR="00683FB5" w:rsidRPr="00542F61">
        <w:rPr>
          <w:rFonts w:cstheme="minorHAnsi"/>
        </w:rPr>
        <w:t>Case C-420/07,</w:t>
      </w:r>
      <w:r w:rsidRPr="00542F61">
        <w:rPr>
          <w:rFonts w:cstheme="minorHAnsi"/>
        </w:rPr>
        <w:t xml:space="preserve"> </w:t>
      </w:r>
      <w:proofErr w:type="spellStart"/>
      <w:r w:rsidRPr="00542F61">
        <w:rPr>
          <w:rFonts w:cstheme="minorHAnsi"/>
          <w:i/>
        </w:rPr>
        <w:t>Meletis</w:t>
      </w:r>
      <w:proofErr w:type="spellEnd"/>
      <w:r w:rsidRPr="00542F61">
        <w:rPr>
          <w:rFonts w:cstheme="minorHAnsi"/>
          <w:i/>
        </w:rPr>
        <w:t xml:space="preserve"> </w:t>
      </w:r>
      <w:proofErr w:type="spellStart"/>
      <w:r w:rsidRPr="00542F61">
        <w:rPr>
          <w:rFonts w:cstheme="minorHAnsi"/>
          <w:i/>
        </w:rPr>
        <w:t>Apostolides</w:t>
      </w:r>
      <w:proofErr w:type="spellEnd"/>
      <w:r w:rsidRPr="00542F61">
        <w:rPr>
          <w:rFonts w:cstheme="minorHAnsi"/>
          <w:i/>
        </w:rPr>
        <w:t xml:space="preserve"> v. David Charles </w:t>
      </w:r>
      <w:proofErr w:type="spellStart"/>
      <w:r w:rsidRPr="00542F61">
        <w:rPr>
          <w:rFonts w:cstheme="minorHAnsi"/>
          <w:i/>
        </w:rPr>
        <w:t>Orams</w:t>
      </w:r>
      <w:proofErr w:type="spellEnd"/>
      <w:r w:rsidRPr="00542F61">
        <w:rPr>
          <w:rFonts w:cstheme="minorHAnsi"/>
          <w:i/>
        </w:rPr>
        <w:t xml:space="preserve"> and Linda Elizabeth </w:t>
      </w:r>
      <w:proofErr w:type="spellStart"/>
      <w:r w:rsidRPr="00542F61">
        <w:rPr>
          <w:rFonts w:cstheme="minorHAnsi"/>
          <w:i/>
        </w:rPr>
        <w:t>Orams</w:t>
      </w:r>
      <w:proofErr w:type="spellEnd"/>
      <w:r w:rsidRPr="00542F61">
        <w:rPr>
          <w:rFonts w:cstheme="minorHAnsi"/>
          <w:i/>
        </w:rPr>
        <w:t xml:space="preserve">, </w:t>
      </w:r>
      <w:r w:rsidRPr="00542F61">
        <w:rPr>
          <w:rFonts w:cstheme="minorHAnsi"/>
        </w:rPr>
        <w:t xml:space="preserve">Opinion of </w:t>
      </w:r>
      <w:r w:rsidRPr="00F26072">
        <w:rPr>
          <w:rFonts w:cstheme="minorHAnsi"/>
        </w:rPr>
        <w:t xml:space="preserve">AG </w:t>
      </w:r>
      <w:proofErr w:type="spellStart"/>
      <w:r w:rsidRPr="00F26072">
        <w:rPr>
          <w:rFonts w:cstheme="minorHAnsi"/>
        </w:rPr>
        <w:t>Kokott</w:t>
      </w:r>
      <w:proofErr w:type="spellEnd"/>
      <w:r w:rsidRPr="00542F61">
        <w:rPr>
          <w:rFonts w:cstheme="minorHAnsi"/>
          <w:i/>
        </w:rPr>
        <w:t>,</w:t>
      </w:r>
      <w:r w:rsidRPr="00542F61">
        <w:rPr>
          <w:rFonts w:cstheme="minorHAnsi"/>
        </w:rPr>
        <w:t xml:space="preserve"> 2009 ECR I-3571</w:t>
      </w:r>
      <w:r w:rsidR="00683FB5">
        <w:rPr>
          <w:rFonts w:cstheme="minorHAnsi"/>
        </w:rPr>
        <w:t xml:space="preserve">: </w:t>
      </w:r>
      <w:r w:rsidRPr="00542F61">
        <w:rPr>
          <w:rFonts w:cstheme="minorHAnsi"/>
        </w:rPr>
        <w:t>paras. 40</w:t>
      </w:r>
      <w:r w:rsidR="00B178F7" w:rsidRPr="00FE0B0C">
        <w:rPr>
          <w:rFonts w:cstheme="minorHAnsi"/>
          <w:color w:val="000000" w:themeColor="text1"/>
        </w:rPr>
        <w:t>–</w:t>
      </w:r>
      <w:r w:rsidRPr="00542F61">
        <w:rPr>
          <w:rFonts w:cstheme="minorHAnsi"/>
        </w:rPr>
        <w:t>41.</w:t>
      </w:r>
    </w:p>
  </w:footnote>
  <w:footnote w:id="45">
    <w:p w14:paraId="7D78054E" w14:textId="1740516E" w:rsidR="00542F61" w:rsidRPr="00542F61" w:rsidRDefault="00542F61" w:rsidP="00542F61">
      <w:pPr>
        <w:pStyle w:val="FootnoteText"/>
        <w:rPr>
          <w:rFonts w:cstheme="minorHAnsi"/>
        </w:rPr>
      </w:pPr>
      <w:r w:rsidRPr="00542F61">
        <w:rPr>
          <w:rStyle w:val="FootnoteReference"/>
          <w:rFonts w:cstheme="minorHAnsi"/>
        </w:rPr>
        <w:footnoteRef/>
      </w:r>
      <w:r w:rsidRPr="00542F61">
        <w:rPr>
          <w:rFonts w:cstheme="minorHAnsi"/>
        </w:rPr>
        <w:t xml:space="preserve"> European Court of Human Rights, </w:t>
      </w:r>
      <w:r w:rsidRPr="00542F61">
        <w:rPr>
          <w:rFonts w:cstheme="minorHAnsi"/>
          <w:i/>
        </w:rPr>
        <w:t>Cyprus v. Turkey,</w:t>
      </w:r>
      <w:r w:rsidRPr="00542F61">
        <w:rPr>
          <w:rFonts w:cstheme="minorHAnsi"/>
        </w:rPr>
        <w:t xml:space="preserve"> Judgment of 10 May 2001, RJD 2001-IV</w:t>
      </w:r>
      <w:r w:rsidR="00683FB5">
        <w:rPr>
          <w:rFonts w:cstheme="minorHAnsi"/>
        </w:rPr>
        <w:t>:</w:t>
      </w:r>
      <w:r w:rsidRPr="00542F61">
        <w:rPr>
          <w:rFonts w:cstheme="minorHAnsi"/>
        </w:rPr>
        <w:t xml:space="preserve"> para. 77.</w:t>
      </w:r>
    </w:p>
  </w:footnote>
  <w:footnote w:id="46">
    <w:p w14:paraId="007071BC" w14:textId="27D4417E" w:rsidR="00542F61" w:rsidRPr="005A1561" w:rsidRDefault="00542F61" w:rsidP="00542F61">
      <w:pPr>
        <w:pStyle w:val="FootnoteText"/>
        <w:rPr>
          <w:rFonts w:cstheme="minorHAnsi"/>
        </w:rPr>
      </w:pPr>
      <w:r w:rsidRPr="005A1561">
        <w:rPr>
          <w:rStyle w:val="FootnoteReference"/>
          <w:rFonts w:cstheme="minorHAnsi"/>
        </w:rPr>
        <w:footnoteRef/>
      </w:r>
      <w:r w:rsidRPr="005A1561">
        <w:rPr>
          <w:rFonts w:cstheme="minorHAnsi"/>
        </w:rPr>
        <w:t xml:space="preserve"> </w:t>
      </w:r>
      <w:r w:rsidRPr="00683FB5">
        <w:rPr>
          <w:rFonts w:cstheme="minorHAnsi"/>
          <w:iCs/>
        </w:rPr>
        <w:t xml:space="preserve">Max </w:t>
      </w:r>
      <w:proofErr w:type="spellStart"/>
      <w:r w:rsidRPr="00683FB5">
        <w:rPr>
          <w:rFonts w:cstheme="minorHAnsi"/>
          <w:iCs/>
        </w:rPr>
        <w:t>Uebe</w:t>
      </w:r>
      <w:proofErr w:type="spellEnd"/>
      <w:r w:rsidRPr="005A1561">
        <w:rPr>
          <w:rFonts w:cstheme="minorHAnsi"/>
          <w:i/>
        </w:rPr>
        <w:t>,</w:t>
      </w:r>
      <w:r w:rsidRPr="005A1561">
        <w:rPr>
          <w:rFonts w:cstheme="minorHAnsi"/>
        </w:rPr>
        <w:t xml:space="preserve"> </w:t>
      </w:r>
      <w:r w:rsidR="00683FB5">
        <w:rPr>
          <w:rFonts w:cstheme="minorHAnsi"/>
        </w:rPr>
        <w:t>‘</w:t>
      </w:r>
      <w:r w:rsidRPr="005A1561">
        <w:rPr>
          <w:rFonts w:cstheme="minorHAnsi"/>
        </w:rPr>
        <w:t>Cyprus in the European Union</w:t>
      </w:r>
      <w:r w:rsidR="00683FB5">
        <w:rPr>
          <w:rFonts w:cstheme="minorHAnsi"/>
        </w:rPr>
        <w:t>’</w:t>
      </w:r>
      <w:r w:rsidRPr="005A1561">
        <w:rPr>
          <w:rFonts w:cstheme="minorHAnsi"/>
        </w:rPr>
        <w:t xml:space="preserve">, </w:t>
      </w:r>
      <w:r w:rsidRPr="00683FB5">
        <w:rPr>
          <w:rFonts w:cstheme="minorHAnsi"/>
          <w:i/>
        </w:rPr>
        <w:t>G</w:t>
      </w:r>
      <w:r w:rsidR="00683FB5" w:rsidRPr="00683FB5">
        <w:rPr>
          <w:rFonts w:cstheme="minorHAnsi"/>
          <w:i/>
        </w:rPr>
        <w:t xml:space="preserve">erman </w:t>
      </w:r>
      <w:r w:rsidRPr="00683FB5">
        <w:rPr>
          <w:rFonts w:cstheme="minorHAnsi"/>
          <w:i/>
        </w:rPr>
        <w:t>Y</w:t>
      </w:r>
      <w:r w:rsidR="00683FB5" w:rsidRPr="00683FB5">
        <w:rPr>
          <w:rFonts w:cstheme="minorHAnsi"/>
          <w:i/>
        </w:rPr>
        <w:t xml:space="preserve">earbook of </w:t>
      </w:r>
      <w:r w:rsidRPr="00683FB5">
        <w:rPr>
          <w:rFonts w:cstheme="minorHAnsi"/>
          <w:i/>
        </w:rPr>
        <w:t>I</w:t>
      </w:r>
      <w:r w:rsidR="00683FB5" w:rsidRPr="00683FB5">
        <w:rPr>
          <w:rFonts w:cstheme="minorHAnsi"/>
          <w:i/>
        </w:rPr>
        <w:t xml:space="preserve">nternational </w:t>
      </w:r>
      <w:r w:rsidRPr="00683FB5">
        <w:rPr>
          <w:rFonts w:cstheme="minorHAnsi"/>
          <w:i/>
        </w:rPr>
        <w:t>L</w:t>
      </w:r>
      <w:r w:rsidR="00683FB5" w:rsidRPr="00683FB5">
        <w:rPr>
          <w:rFonts w:cstheme="minorHAnsi"/>
          <w:i/>
        </w:rPr>
        <w:t>aw</w:t>
      </w:r>
      <w:r w:rsidRPr="005A1561">
        <w:rPr>
          <w:rFonts w:cstheme="minorHAnsi"/>
          <w:iCs/>
        </w:rPr>
        <w:t xml:space="preserve"> </w:t>
      </w:r>
      <w:r w:rsidRPr="005A1561">
        <w:rPr>
          <w:rFonts w:cstheme="minorHAnsi"/>
        </w:rPr>
        <w:t>46 (2004), 375</w:t>
      </w:r>
      <w:r w:rsidR="00B178F7" w:rsidRPr="00FE0B0C">
        <w:rPr>
          <w:rFonts w:cstheme="minorHAnsi"/>
          <w:color w:val="000000" w:themeColor="text1"/>
        </w:rPr>
        <w:t>–</w:t>
      </w:r>
      <w:r w:rsidR="00F26072">
        <w:rPr>
          <w:rFonts w:cstheme="minorHAnsi"/>
        </w:rPr>
        <w:t xml:space="preserve">400: </w:t>
      </w:r>
      <w:r w:rsidRPr="005A1561">
        <w:rPr>
          <w:rFonts w:cstheme="minorHAnsi"/>
        </w:rPr>
        <w:t>384.</w:t>
      </w:r>
    </w:p>
  </w:footnote>
  <w:footnote w:id="47">
    <w:p w14:paraId="78974A3A" w14:textId="7D8A03A5" w:rsidR="00861B1D" w:rsidRPr="005A1561" w:rsidRDefault="00861B1D">
      <w:pPr>
        <w:pStyle w:val="FootnoteText"/>
        <w:rPr>
          <w:rFonts w:cstheme="minorHAnsi"/>
        </w:rPr>
      </w:pPr>
      <w:r w:rsidRPr="005A1561">
        <w:rPr>
          <w:rStyle w:val="FootnoteReference"/>
          <w:rFonts w:cstheme="minorHAnsi"/>
        </w:rPr>
        <w:footnoteRef/>
      </w:r>
      <w:r w:rsidRPr="005A1561">
        <w:rPr>
          <w:rFonts w:cstheme="minorHAnsi"/>
        </w:rPr>
        <w:t xml:space="preserve"> </w:t>
      </w:r>
      <w:r w:rsidR="00683FB5" w:rsidRPr="00C64146">
        <w:rPr>
          <w:rFonts w:cstheme="minorHAnsi"/>
        </w:rPr>
        <w:t>Protocol No 10 on Cyprus</w:t>
      </w:r>
      <w:r w:rsidR="00683FB5">
        <w:rPr>
          <w:rFonts w:cstheme="minorHAnsi"/>
        </w:rPr>
        <w:t xml:space="preserve">, </w:t>
      </w:r>
      <w:r w:rsidRPr="005A1561">
        <w:rPr>
          <w:rFonts w:cstheme="minorHAnsi"/>
        </w:rPr>
        <w:t>Art 1(2)</w:t>
      </w:r>
      <w:r w:rsidR="00683FB5">
        <w:rPr>
          <w:rFonts w:cstheme="minorHAnsi"/>
        </w:rPr>
        <w:t>.</w:t>
      </w:r>
    </w:p>
  </w:footnote>
  <w:footnote w:id="48">
    <w:p w14:paraId="31B9DD4C" w14:textId="77777777" w:rsidR="00542F61" w:rsidRPr="005A1561" w:rsidRDefault="00542F61" w:rsidP="00542F61">
      <w:pPr>
        <w:pStyle w:val="FootnoteText"/>
        <w:rPr>
          <w:rFonts w:cstheme="minorHAnsi"/>
        </w:rPr>
      </w:pPr>
      <w:r w:rsidRPr="005A1561">
        <w:rPr>
          <w:rStyle w:val="FootnoteReference"/>
          <w:rFonts w:cstheme="minorHAnsi"/>
        </w:rPr>
        <w:footnoteRef/>
      </w:r>
      <w:r w:rsidRPr="005A1561">
        <w:rPr>
          <w:rFonts w:cstheme="minorHAnsi"/>
        </w:rPr>
        <w:t xml:space="preserve"> EC Regulation 866/2004 of 29 April 2004, OJ 2004 L 161, 128 (Green Line Regulation).</w:t>
      </w:r>
    </w:p>
  </w:footnote>
  <w:footnote w:id="49">
    <w:p w14:paraId="2C3C99E1" w14:textId="4CC79D05" w:rsidR="00290F85" w:rsidRDefault="00290F85">
      <w:pPr>
        <w:pStyle w:val="FootnoteText"/>
      </w:pPr>
      <w:r>
        <w:rPr>
          <w:rStyle w:val="FootnoteReference"/>
        </w:rPr>
        <w:footnoteRef/>
      </w:r>
      <w:r>
        <w:t xml:space="preserve"> Nikos Skoutaris, ‘Accommodating Secession Within the EU Constitutional Order of States’</w:t>
      </w:r>
      <w:r w:rsidRPr="005A1561">
        <w:rPr>
          <w:rFonts w:cstheme="minorHAnsi"/>
        </w:rPr>
        <w:t xml:space="preserve">, </w:t>
      </w:r>
      <w:r>
        <w:rPr>
          <w:rFonts w:cstheme="minorHAnsi"/>
          <w:i/>
        </w:rPr>
        <w:t>Virginia Journal</w:t>
      </w:r>
      <w:r w:rsidRPr="00683FB5">
        <w:rPr>
          <w:rFonts w:cstheme="minorHAnsi"/>
          <w:i/>
        </w:rPr>
        <w:t xml:space="preserve"> of International Law</w:t>
      </w:r>
      <w:r w:rsidRPr="005A1561">
        <w:rPr>
          <w:rFonts w:cstheme="minorHAnsi"/>
          <w:iCs/>
        </w:rPr>
        <w:t xml:space="preserve"> </w:t>
      </w:r>
      <w:r w:rsidRPr="005A1561">
        <w:rPr>
          <w:rFonts w:cstheme="minorHAnsi"/>
        </w:rPr>
        <w:t>6</w:t>
      </w:r>
      <w:r>
        <w:rPr>
          <w:rFonts w:cstheme="minorHAnsi"/>
        </w:rPr>
        <w:t>4</w:t>
      </w:r>
      <w:r w:rsidRPr="005A1561">
        <w:rPr>
          <w:rFonts w:cstheme="minorHAnsi"/>
        </w:rPr>
        <w:t xml:space="preserve"> (20</w:t>
      </w:r>
      <w:r>
        <w:rPr>
          <w:rFonts w:cstheme="minorHAnsi"/>
        </w:rPr>
        <w:t>2</w:t>
      </w:r>
      <w:r w:rsidRPr="005A1561">
        <w:rPr>
          <w:rFonts w:cstheme="minorHAnsi"/>
        </w:rPr>
        <w:t xml:space="preserve">4), </w:t>
      </w:r>
      <w:r>
        <w:rPr>
          <w:rFonts w:cstheme="minorHAnsi"/>
        </w:rPr>
        <w:t>293</w:t>
      </w:r>
      <w:r w:rsidRPr="00FE0B0C">
        <w:rPr>
          <w:rFonts w:cstheme="minorHAnsi"/>
          <w:color w:val="000000" w:themeColor="text1"/>
        </w:rPr>
        <w:t>–</w:t>
      </w:r>
      <w:r>
        <w:rPr>
          <w:rFonts w:cstheme="minorHAnsi"/>
        </w:rPr>
        <w:t>348</w:t>
      </w:r>
      <w:r>
        <w:rPr>
          <w:rFonts w:cstheme="minorHAnsi"/>
        </w:rPr>
        <w:t xml:space="preserve">: </w:t>
      </w:r>
      <w:r w:rsidRPr="005A1561">
        <w:rPr>
          <w:rFonts w:cstheme="minorHAnsi"/>
        </w:rPr>
        <w:t>3</w:t>
      </w:r>
      <w:r>
        <w:rPr>
          <w:rFonts w:cstheme="minorHAnsi"/>
        </w:rPr>
        <w:t>18—321</w:t>
      </w:r>
      <w:r w:rsidRPr="005A1561">
        <w:rPr>
          <w:rFonts w:cstheme="minorHAnsi"/>
        </w:rPr>
        <w:t>.</w:t>
      </w:r>
    </w:p>
  </w:footnote>
  <w:footnote w:id="50">
    <w:p w14:paraId="31B5BF97" w14:textId="0CF92048" w:rsidR="00542F61" w:rsidRPr="005A1561" w:rsidRDefault="00542F61" w:rsidP="00542F61">
      <w:pPr>
        <w:pStyle w:val="FootnoteText"/>
        <w:rPr>
          <w:rFonts w:cstheme="minorHAnsi"/>
        </w:rPr>
      </w:pPr>
      <w:r w:rsidRPr="005A1561">
        <w:rPr>
          <w:rStyle w:val="FootnoteReference"/>
          <w:rFonts w:cstheme="minorHAnsi"/>
        </w:rPr>
        <w:footnoteRef/>
      </w:r>
      <w:r w:rsidRPr="005A1561">
        <w:rPr>
          <w:rFonts w:cstheme="minorHAnsi"/>
        </w:rPr>
        <w:t xml:space="preserve"> </w:t>
      </w:r>
      <w:r w:rsidR="00683FB5" w:rsidRPr="005A1561">
        <w:rPr>
          <w:rFonts w:cstheme="minorHAnsi"/>
        </w:rPr>
        <w:t>Green Line Regulation</w:t>
      </w:r>
      <w:r w:rsidR="00683FB5">
        <w:rPr>
          <w:rFonts w:cstheme="minorHAnsi"/>
        </w:rPr>
        <w:t>,</w:t>
      </w:r>
      <w:r w:rsidR="00683FB5" w:rsidRPr="005A1561">
        <w:rPr>
          <w:rFonts w:cstheme="minorHAnsi"/>
        </w:rPr>
        <w:t xml:space="preserve"> </w:t>
      </w:r>
      <w:r w:rsidRPr="005A1561">
        <w:rPr>
          <w:rFonts w:cstheme="minorHAnsi"/>
        </w:rPr>
        <w:t>Art 2(2).</w:t>
      </w:r>
    </w:p>
  </w:footnote>
  <w:footnote w:id="51">
    <w:p w14:paraId="2483C7AB" w14:textId="44B2BF3B" w:rsidR="00542F61" w:rsidRPr="005A1561" w:rsidRDefault="00542F61" w:rsidP="00542F61">
      <w:pPr>
        <w:pStyle w:val="FootnoteText"/>
        <w:rPr>
          <w:rFonts w:cstheme="minorHAnsi"/>
        </w:rPr>
      </w:pPr>
      <w:r w:rsidRPr="005A1561">
        <w:rPr>
          <w:rStyle w:val="FootnoteReference"/>
          <w:rFonts w:cstheme="minorHAnsi"/>
        </w:rPr>
        <w:footnoteRef/>
      </w:r>
      <w:r w:rsidRPr="005A1561">
        <w:rPr>
          <w:rFonts w:cstheme="minorHAnsi"/>
        </w:rPr>
        <w:t xml:space="preserve"> </w:t>
      </w:r>
      <w:r w:rsidR="00683FB5" w:rsidRPr="005A1561">
        <w:rPr>
          <w:rFonts w:cstheme="minorHAnsi"/>
        </w:rPr>
        <w:t>Green Line Regulation</w:t>
      </w:r>
      <w:r w:rsidR="00683FB5">
        <w:rPr>
          <w:rFonts w:cstheme="minorHAnsi"/>
        </w:rPr>
        <w:t xml:space="preserve">, </w:t>
      </w:r>
      <w:r w:rsidRPr="005A1561">
        <w:rPr>
          <w:rFonts w:cstheme="minorHAnsi"/>
        </w:rPr>
        <w:t>Art 4(5) Green Line Regulation.</w:t>
      </w:r>
    </w:p>
  </w:footnote>
  <w:footnote w:id="52">
    <w:p w14:paraId="6E8FAD5B" w14:textId="0673A1B0" w:rsidR="00542F61" w:rsidRPr="005A1561" w:rsidRDefault="00542F61" w:rsidP="00542F61">
      <w:pPr>
        <w:pStyle w:val="FootnoteText"/>
        <w:rPr>
          <w:rFonts w:cstheme="minorHAnsi"/>
        </w:rPr>
      </w:pPr>
      <w:r w:rsidRPr="005A1561">
        <w:rPr>
          <w:rStyle w:val="FootnoteReference"/>
          <w:rFonts w:cstheme="minorHAnsi"/>
        </w:rPr>
        <w:footnoteRef/>
      </w:r>
      <w:r w:rsidRPr="005A1561">
        <w:rPr>
          <w:rFonts w:cstheme="minorHAnsi"/>
        </w:rPr>
        <w:t xml:space="preserve"> See </w:t>
      </w:r>
      <w:proofErr w:type="spellStart"/>
      <w:r w:rsidRPr="005A1561">
        <w:rPr>
          <w:rFonts w:cstheme="minorHAnsi"/>
          <w:i/>
        </w:rPr>
        <w:t>Meletis</w:t>
      </w:r>
      <w:proofErr w:type="spellEnd"/>
      <w:r w:rsidRPr="005A1561">
        <w:rPr>
          <w:rFonts w:cstheme="minorHAnsi"/>
          <w:i/>
        </w:rPr>
        <w:t xml:space="preserve"> </w:t>
      </w:r>
      <w:proofErr w:type="spellStart"/>
      <w:r w:rsidRPr="005A1561">
        <w:rPr>
          <w:rFonts w:cstheme="minorHAnsi"/>
          <w:i/>
        </w:rPr>
        <w:t>Apostolides</w:t>
      </w:r>
      <w:proofErr w:type="spellEnd"/>
      <w:r w:rsidR="00F26072">
        <w:rPr>
          <w:rFonts w:cstheme="minorHAnsi"/>
          <w:iCs/>
        </w:rPr>
        <w:t xml:space="preserve">, AG </w:t>
      </w:r>
      <w:proofErr w:type="spellStart"/>
      <w:r w:rsidR="00F26072">
        <w:rPr>
          <w:rFonts w:cstheme="minorHAnsi"/>
          <w:iCs/>
        </w:rPr>
        <w:t>Kokott</w:t>
      </w:r>
      <w:proofErr w:type="spellEnd"/>
      <w:r w:rsidR="00F26072">
        <w:rPr>
          <w:rFonts w:cstheme="minorHAnsi"/>
          <w:iCs/>
        </w:rPr>
        <w:t>:</w:t>
      </w:r>
      <w:r w:rsidRPr="005A1561">
        <w:rPr>
          <w:rFonts w:cstheme="minorHAnsi"/>
        </w:rPr>
        <w:t xml:space="preserve"> para. 40.</w:t>
      </w:r>
    </w:p>
  </w:footnote>
  <w:footnote w:id="53">
    <w:p w14:paraId="18FA6BC8" w14:textId="77777777" w:rsidR="00542F61" w:rsidRPr="005A1561" w:rsidRDefault="00542F61" w:rsidP="00542F61">
      <w:pPr>
        <w:widowControl w:val="0"/>
        <w:autoSpaceDE w:val="0"/>
        <w:autoSpaceDN w:val="0"/>
        <w:adjustRightInd w:val="0"/>
        <w:rPr>
          <w:rFonts w:cstheme="minorHAnsi"/>
          <w:sz w:val="20"/>
          <w:szCs w:val="20"/>
        </w:rPr>
      </w:pPr>
      <w:r w:rsidRPr="005A1561">
        <w:rPr>
          <w:rStyle w:val="FootnoteReference"/>
          <w:rFonts w:cstheme="minorHAnsi"/>
          <w:sz w:val="20"/>
          <w:szCs w:val="20"/>
        </w:rPr>
        <w:footnoteRef/>
      </w:r>
      <w:r w:rsidRPr="005A1561">
        <w:rPr>
          <w:rFonts w:cstheme="minorHAnsi"/>
          <w:sz w:val="20"/>
          <w:szCs w:val="20"/>
        </w:rPr>
        <w:t xml:space="preserve"> EC Council Regulation 389/2006 of 27 February 2006, OJ 2006 L 65, 5.</w:t>
      </w:r>
    </w:p>
  </w:footnote>
  <w:footnote w:id="54">
    <w:p w14:paraId="76AF9C1D" w14:textId="1D0EA073" w:rsidR="005A1561" w:rsidRPr="005A1561" w:rsidRDefault="005A1561">
      <w:pPr>
        <w:pStyle w:val="FootnoteText"/>
        <w:rPr>
          <w:rFonts w:cstheme="minorHAnsi"/>
        </w:rPr>
      </w:pPr>
      <w:r w:rsidRPr="005A1561">
        <w:rPr>
          <w:rStyle w:val="FootnoteReference"/>
          <w:rFonts w:cstheme="minorHAnsi"/>
        </w:rPr>
        <w:footnoteRef/>
      </w:r>
      <w:r w:rsidRPr="005A1561">
        <w:rPr>
          <w:rFonts w:cstheme="minorHAnsi"/>
        </w:rPr>
        <w:t xml:space="preserve"> Art 4(3) TEU</w:t>
      </w:r>
      <w:r w:rsidR="00F26072">
        <w:rPr>
          <w:rFonts w:cstheme="minorHAnsi"/>
        </w:rPr>
        <w:t>.</w:t>
      </w:r>
    </w:p>
  </w:footnote>
  <w:footnote w:id="55">
    <w:p w14:paraId="3E995555" w14:textId="668F1FD2" w:rsidR="00574C2B" w:rsidRPr="005A1561" w:rsidRDefault="00574C2B" w:rsidP="005A1561">
      <w:pPr>
        <w:pStyle w:val="Footnotes"/>
        <w:ind w:firstLine="0"/>
        <w:jc w:val="both"/>
        <w:rPr>
          <w:rFonts w:asciiTheme="minorHAnsi" w:hAnsiTheme="minorHAnsi" w:cstheme="minorHAnsi"/>
          <w:sz w:val="20"/>
          <w:szCs w:val="20"/>
        </w:rPr>
      </w:pPr>
      <w:r w:rsidRPr="005A1561">
        <w:rPr>
          <w:rStyle w:val="FootnoteReference"/>
          <w:rFonts w:asciiTheme="minorHAnsi" w:hAnsiTheme="minorHAnsi" w:cstheme="minorHAnsi"/>
          <w:sz w:val="20"/>
          <w:szCs w:val="20"/>
        </w:rPr>
        <w:footnoteRef/>
      </w:r>
      <w:r w:rsidR="00F26072">
        <w:rPr>
          <w:rFonts w:asciiTheme="minorHAnsi" w:hAnsiTheme="minorHAnsi" w:cstheme="minorHAnsi"/>
          <w:sz w:val="20"/>
          <w:szCs w:val="20"/>
        </w:rPr>
        <w:t xml:space="preserve"> </w:t>
      </w:r>
      <w:r w:rsidRPr="00F26072">
        <w:rPr>
          <w:rFonts w:asciiTheme="minorHAnsi" w:hAnsiTheme="minorHAnsi" w:cstheme="minorHAnsi"/>
          <w:sz w:val="20"/>
          <w:szCs w:val="20"/>
        </w:rPr>
        <w:t>Commission Proposal for a Council Regulation on Special Conditions for Trade with Those Areas of the Republic of Cyprus in Which the Government of the Republic of Cyprus Does not Exercise Effective Control</w:t>
      </w:r>
      <w:r w:rsidRPr="005A1561">
        <w:rPr>
          <w:rFonts w:asciiTheme="minorHAnsi" w:hAnsiTheme="minorHAnsi" w:cstheme="minorHAnsi"/>
          <w:sz w:val="20"/>
          <w:szCs w:val="20"/>
        </w:rPr>
        <w:t xml:space="preserve">, COM (2004) 466 final (July 7, 2004). </w:t>
      </w:r>
    </w:p>
  </w:footnote>
  <w:footnote w:id="56">
    <w:p w14:paraId="1B6B800A" w14:textId="28CD49A6" w:rsidR="00574C2B" w:rsidRPr="005A1561" w:rsidRDefault="00574C2B" w:rsidP="005A1561">
      <w:pPr>
        <w:pStyle w:val="Footnotes"/>
        <w:ind w:firstLine="0"/>
        <w:jc w:val="both"/>
        <w:rPr>
          <w:rFonts w:asciiTheme="minorHAnsi" w:hAnsiTheme="minorHAnsi" w:cstheme="minorHAnsi"/>
          <w:sz w:val="20"/>
          <w:szCs w:val="20"/>
        </w:rPr>
      </w:pPr>
      <w:r w:rsidRPr="005A1561">
        <w:rPr>
          <w:rStyle w:val="FootnoteReference"/>
          <w:rFonts w:asciiTheme="minorHAnsi" w:hAnsiTheme="minorHAnsi" w:cstheme="minorHAnsi"/>
          <w:sz w:val="20"/>
          <w:szCs w:val="20"/>
        </w:rPr>
        <w:footnoteRef/>
      </w:r>
      <w:r w:rsidRPr="005A1561">
        <w:rPr>
          <w:rFonts w:asciiTheme="minorHAnsi" w:hAnsiTheme="minorHAnsi" w:cstheme="minorHAnsi"/>
          <w:sz w:val="20"/>
          <w:szCs w:val="20"/>
        </w:rPr>
        <w:t xml:space="preserve"> </w:t>
      </w:r>
      <w:r w:rsidR="00F26072" w:rsidRPr="007B0422">
        <w:rPr>
          <w:rFonts w:asciiTheme="minorHAnsi" w:hAnsiTheme="minorHAnsi" w:cstheme="minorHAnsi"/>
          <w:sz w:val="20"/>
          <w:szCs w:val="20"/>
        </w:rPr>
        <w:t xml:space="preserve">Skoutaris, </w:t>
      </w:r>
      <w:r w:rsidR="00F26072" w:rsidRPr="007B0422">
        <w:rPr>
          <w:rFonts w:asciiTheme="minorHAnsi" w:hAnsiTheme="minorHAnsi" w:cstheme="minorHAnsi"/>
          <w:i/>
          <w:sz w:val="20"/>
          <w:szCs w:val="20"/>
        </w:rPr>
        <w:t>The Cyprus Issue</w:t>
      </w:r>
      <w:r w:rsidR="00F26072" w:rsidRPr="005A1561">
        <w:rPr>
          <w:rFonts w:asciiTheme="minorHAnsi" w:hAnsiTheme="minorHAnsi" w:cstheme="minorHAnsi"/>
          <w:sz w:val="20"/>
          <w:szCs w:val="20"/>
        </w:rPr>
        <w:t xml:space="preserve"> </w:t>
      </w:r>
      <w:r w:rsidRPr="005A1561">
        <w:rPr>
          <w:rFonts w:asciiTheme="minorHAnsi" w:hAnsiTheme="minorHAnsi" w:cstheme="minorHAnsi"/>
          <w:sz w:val="20"/>
          <w:szCs w:val="20"/>
        </w:rPr>
        <w:t>151–53.</w:t>
      </w:r>
    </w:p>
  </w:footnote>
  <w:footnote w:id="57">
    <w:p w14:paraId="6BCAD43F" w14:textId="56928D2A" w:rsidR="00BB4476" w:rsidRPr="005A1561" w:rsidRDefault="00BB4476" w:rsidP="003F68CB">
      <w:pPr>
        <w:pStyle w:val="Reference"/>
        <w:spacing w:line="240" w:lineRule="auto"/>
        <w:ind w:left="0" w:firstLine="0"/>
        <w:rPr>
          <w:rFonts w:asciiTheme="minorHAnsi" w:hAnsiTheme="minorHAnsi" w:cstheme="minorHAnsi"/>
          <w:sz w:val="20"/>
          <w:szCs w:val="20"/>
          <w:lang w:val="en-GB"/>
        </w:rPr>
      </w:pPr>
      <w:r w:rsidRPr="005A1561">
        <w:rPr>
          <w:rStyle w:val="FootnoteReference"/>
          <w:rFonts w:asciiTheme="minorHAnsi" w:hAnsiTheme="minorHAnsi" w:cstheme="minorHAnsi"/>
          <w:sz w:val="20"/>
          <w:szCs w:val="20"/>
        </w:rPr>
        <w:footnoteRef/>
      </w:r>
      <w:r w:rsidRPr="005A1561">
        <w:rPr>
          <w:rFonts w:asciiTheme="minorHAnsi" w:hAnsiTheme="minorHAnsi" w:cstheme="minorHAnsi"/>
          <w:sz w:val="20"/>
          <w:szCs w:val="20"/>
        </w:rPr>
        <w:t xml:space="preserve"> </w:t>
      </w:r>
      <w:r w:rsidR="00F26072">
        <w:rPr>
          <w:rFonts w:asciiTheme="minorHAnsi" w:hAnsiTheme="minorHAnsi" w:cstheme="minorHAnsi"/>
          <w:sz w:val="20"/>
          <w:szCs w:val="20"/>
        </w:rPr>
        <w:t xml:space="preserve">Theresa </w:t>
      </w:r>
      <w:r w:rsidRPr="005A1561">
        <w:rPr>
          <w:rFonts w:asciiTheme="minorHAnsi" w:hAnsiTheme="minorHAnsi" w:cstheme="minorHAnsi"/>
          <w:sz w:val="20"/>
          <w:szCs w:val="20"/>
          <w:lang w:val="en-GB"/>
        </w:rPr>
        <w:t>May</w:t>
      </w:r>
      <w:bookmarkStart w:id="4" w:name="CBML_BIB_ch41_0022"/>
      <w:r w:rsidRPr="005A1561">
        <w:rPr>
          <w:rFonts w:asciiTheme="minorHAnsi" w:hAnsiTheme="minorHAnsi" w:cstheme="minorHAnsi"/>
          <w:sz w:val="20"/>
          <w:szCs w:val="20"/>
          <w:lang w:val="en-GB"/>
        </w:rPr>
        <w:t xml:space="preserve">, </w:t>
      </w:r>
      <w:r w:rsidR="00F26072">
        <w:rPr>
          <w:rFonts w:asciiTheme="minorHAnsi" w:hAnsiTheme="minorHAnsi" w:cstheme="minorHAnsi"/>
          <w:sz w:val="20"/>
          <w:szCs w:val="20"/>
          <w:lang w:val="en-GB"/>
        </w:rPr>
        <w:t>‘</w:t>
      </w:r>
      <w:r w:rsidRPr="005A1561">
        <w:rPr>
          <w:rFonts w:asciiTheme="minorHAnsi" w:hAnsiTheme="minorHAnsi" w:cstheme="minorHAnsi"/>
          <w:sz w:val="20"/>
          <w:szCs w:val="20"/>
          <w:lang w:val="en-GB"/>
        </w:rPr>
        <w:t>The Government’s Negotiating Objectives for Exiting the EU: PM Speech</w:t>
      </w:r>
      <w:r w:rsidR="00F26072">
        <w:rPr>
          <w:rFonts w:asciiTheme="minorHAnsi" w:hAnsiTheme="minorHAnsi" w:cstheme="minorHAnsi"/>
          <w:sz w:val="20"/>
          <w:szCs w:val="20"/>
          <w:lang w:val="en-GB"/>
        </w:rPr>
        <w:t>’, 17 January 2017,</w:t>
      </w:r>
      <w:r w:rsidRPr="005A1561">
        <w:rPr>
          <w:rFonts w:asciiTheme="minorHAnsi" w:hAnsiTheme="minorHAnsi" w:cstheme="minorHAnsi"/>
          <w:sz w:val="20"/>
          <w:szCs w:val="20"/>
          <w:lang w:val="en-GB"/>
        </w:rPr>
        <w:t xml:space="preserve"> </w:t>
      </w:r>
      <w:r w:rsidR="00F26072">
        <w:rPr>
          <w:rFonts w:asciiTheme="minorHAnsi" w:hAnsiTheme="minorHAnsi" w:cstheme="minorHAnsi"/>
          <w:sz w:val="20"/>
          <w:szCs w:val="20"/>
          <w:lang w:val="en-GB"/>
        </w:rPr>
        <w:t>a</w:t>
      </w:r>
      <w:r w:rsidRPr="005A1561">
        <w:rPr>
          <w:rFonts w:asciiTheme="minorHAnsi" w:hAnsiTheme="minorHAnsi" w:cstheme="minorHAnsi"/>
          <w:sz w:val="20"/>
          <w:szCs w:val="20"/>
          <w:lang w:val="en-GB"/>
        </w:rPr>
        <w:t xml:space="preserve">vailable at: </w:t>
      </w:r>
      <w:r w:rsidRPr="005A1561">
        <w:rPr>
          <w:rStyle w:val="FootnoteReference"/>
          <w:rFonts w:asciiTheme="minorHAnsi" w:hAnsiTheme="minorHAnsi" w:cstheme="minorHAnsi"/>
          <w:sz w:val="20"/>
          <w:szCs w:val="20"/>
          <w:vertAlign w:val="baseline"/>
          <w:lang w:val="en-GB"/>
        </w:rPr>
        <w:t>www.gov.uk/government/speeches/the-governments-negotiating-objectives-for-exiting-the-eu-pm-speech</w:t>
      </w:r>
      <w:r w:rsidRPr="005A1561">
        <w:rPr>
          <w:rFonts w:asciiTheme="minorHAnsi" w:hAnsiTheme="minorHAnsi" w:cstheme="minorHAnsi"/>
          <w:sz w:val="20"/>
          <w:szCs w:val="20"/>
          <w:lang w:val="en-GB"/>
        </w:rPr>
        <w:t xml:space="preserve"> (</w:t>
      </w:r>
      <w:r w:rsidR="00F26072">
        <w:rPr>
          <w:rFonts w:asciiTheme="minorHAnsi" w:hAnsiTheme="minorHAnsi" w:cstheme="minorHAnsi"/>
          <w:sz w:val="20"/>
          <w:szCs w:val="20"/>
          <w:lang w:val="en-GB"/>
        </w:rPr>
        <w:t>30 September 2024</w:t>
      </w:r>
      <w:r w:rsidRPr="005A1561">
        <w:rPr>
          <w:rFonts w:asciiTheme="minorHAnsi" w:hAnsiTheme="minorHAnsi" w:cstheme="minorHAnsi"/>
          <w:sz w:val="20"/>
          <w:szCs w:val="20"/>
          <w:lang w:val="en-GB"/>
        </w:rPr>
        <w:t>).</w:t>
      </w:r>
      <w:bookmarkEnd w:id="4"/>
    </w:p>
  </w:footnote>
  <w:footnote w:id="58">
    <w:p w14:paraId="4FB6D7CC" w14:textId="46585888" w:rsidR="003F68CB" w:rsidRPr="005A1561" w:rsidRDefault="003F68CB" w:rsidP="003F68CB">
      <w:pPr>
        <w:pStyle w:val="Reference"/>
        <w:spacing w:line="240" w:lineRule="auto"/>
        <w:ind w:left="0" w:firstLine="0"/>
        <w:rPr>
          <w:rFonts w:asciiTheme="minorHAnsi" w:hAnsiTheme="minorHAnsi" w:cstheme="minorHAnsi"/>
          <w:sz w:val="20"/>
          <w:szCs w:val="20"/>
          <w:lang w:val="en-GB"/>
        </w:rPr>
      </w:pPr>
      <w:r w:rsidRPr="005A1561">
        <w:rPr>
          <w:rStyle w:val="FootnoteReference"/>
          <w:rFonts w:asciiTheme="minorHAnsi" w:hAnsiTheme="minorHAnsi" w:cstheme="minorHAnsi"/>
          <w:sz w:val="20"/>
          <w:szCs w:val="20"/>
        </w:rPr>
        <w:footnoteRef/>
      </w:r>
      <w:r w:rsidRPr="005A1561">
        <w:rPr>
          <w:rFonts w:asciiTheme="minorHAnsi" w:hAnsiTheme="minorHAnsi" w:cstheme="minorHAnsi"/>
          <w:sz w:val="20"/>
          <w:szCs w:val="20"/>
        </w:rPr>
        <w:t xml:space="preserve"> </w:t>
      </w:r>
      <w:bookmarkStart w:id="5" w:name="CBML_BIB_ch41_0023"/>
      <w:r w:rsidR="00F26072">
        <w:rPr>
          <w:rFonts w:asciiTheme="minorHAnsi" w:hAnsiTheme="minorHAnsi" w:cstheme="minorHAnsi"/>
          <w:sz w:val="20"/>
          <w:szCs w:val="20"/>
        </w:rPr>
        <w:t xml:space="preserve">Theresa </w:t>
      </w:r>
      <w:r w:rsidR="00F26072" w:rsidRPr="005A1561">
        <w:rPr>
          <w:rFonts w:asciiTheme="minorHAnsi" w:hAnsiTheme="minorHAnsi" w:cstheme="minorHAnsi"/>
          <w:sz w:val="20"/>
          <w:szCs w:val="20"/>
          <w:lang w:val="en-GB"/>
        </w:rPr>
        <w:t xml:space="preserve">May, </w:t>
      </w:r>
      <w:r w:rsidR="00F26072">
        <w:rPr>
          <w:rFonts w:asciiTheme="minorHAnsi" w:hAnsiTheme="minorHAnsi" w:cstheme="minorHAnsi"/>
          <w:sz w:val="20"/>
          <w:szCs w:val="20"/>
          <w:lang w:val="en-GB"/>
        </w:rPr>
        <w:t>‘</w:t>
      </w:r>
      <w:r w:rsidRPr="005A1561">
        <w:rPr>
          <w:rFonts w:asciiTheme="minorHAnsi" w:hAnsiTheme="minorHAnsi" w:cstheme="minorHAnsi"/>
          <w:sz w:val="20"/>
          <w:szCs w:val="20"/>
          <w:lang w:val="en-GB"/>
        </w:rPr>
        <w:t>PM’s Florence Speech: A New Era of Cooperation and Partnership between the UK and the EU</w:t>
      </w:r>
      <w:r w:rsidR="00F26072">
        <w:rPr>
          <w:rFonts w:asciiTheme="minorHAnsi" w:hAnsiTheme="minorHAnsi" w:cstheme="minorHAnsi"/>
          <w:sz w:val="20"/>
          <w:szCs w:val="20"/>
          <w:lang w:val="en-GB"/>
        </w:rPr>
        <w:t>’, 22 September 2017,</w:t>
      </w:r>
      <w:r w:rsidRPr="005A1561">
        <w:rPr>
          <w:rFonts w:asciiTheme="minorHAnsi" w:hAnsiTheme="minorHAnsi" w:cstheme="minorHAnsi"/>
          <w:sz w:val="20"/>
          <w:szCs w:val="20"/>
          <w:lang w:val="en-GB"/>
        </w:rPr>
        <w:t xml:space="preserve"> </w:t>
      </w:r>
      <w:r w:rsidR="00F26072">
        <w:rPr>
          <w:rFonts w:asciiTheme="minorHAnsi" w:hAnsiTheme="minorHAnsi" w:cstheme="minorHAnsi"/>
          <w:sz w:val="20"/>
          <w:szCs w:val="20"/>
          <w:lang w:val="en-GB"/>
        </w:rPr>
        <w:t>a</w:t>
      </w:r>
      <w:r w:rsidRPr="005A1561">
        <w:rPr>
          <w:rFonts w:asciiTheme="minorHAnsi" w:hAnsiTheme="minorHAnsi" w:cstheme="minorHAnsi"/>
          <w:sz w:val="20"/>
          <w:szCs w:val="20"/>
          <w:lang w:val="en-GB"/>
        </w:rPr>
        <w:t xml:space="preserve">vailable at: </w:t>
      </w:r>
      <w:r w:rsidRPr="005A1561">
        <w:rPr>
          <w:rStyle w:val="FootnoteReference"/>
          <w:rFonts w:asciiTheme="minorHAnsi" w:hAnsiTheme="minorHAnsi" w:cstheme="minorHAnsi"/>
          <w:sz w:val="20"/>
          <w:szCs w:val="20"/>
          <w:vertAlign w:val="baseline"/>
          <w:lang w:val="en-GB"/>
        </w:rPr>
        <w:t>www.gov.uk/government/speeches/pms-florence-speech-a-new-era-of-cooperation-and-partnership-between-the-uk-and-the-eu</w:t>
      </w:r>
      <w:r w:rsidRPr="005A1561">
        <w:rPr>
          <w:rFonts w:asciiTheme="minorHAnsi" w:hAnsiTheme="minorHAnsi" w:cstheme="minorHAnsi"/>
          <w:sz w:val="20"/>
          <w:szCs w:val="20"/>
          <w:lang w:val="en-GB"/>
        </w:rPr>
        <w:t xml:space="preserve"> </w:t>
      </w:r>
      <w:bookmarkEnd w:id="5"/>
      <w:r w:rsidR="00F26072" w:rsidRPr="005A1561">
        <w:rPr>
          <w:rFonts w:asciiTheme="minorHAnsi" w:hAnsiTheme="minorHAnsi" w:cstheme="minorHAnsi"/>
          <w:sz w:val="20"/>
          <w:szCs w:val="20"/>
          <w:lang w:val="en-GB"/>
        </w:rPr>
        <w:t>(</w:t>
      </w:r>
      <w:r w:rsidR="00F26072">
        <w:rPr>
          <w:rFonts w:asciiTheme="minorHAnsi" w:hAnsiTheme="minorHAnsi" w:cstheme="minorHAnsi"/>
          <w:sz w:val="20"/>
          <w:szCs w:val="20"/>
          <w:lang w:val="en-GB"/>
        </w:rPr>
        <w:t>30 September 2024</w:t>
      </w:r>
      <w:r w:rsidR="00F26072" w:rsidRPr="005A1561">
        <w:rPr>
          <w:rFonts w:asciiTheme="minorHAnsi" w:hAnsiTheme="minorHAnsi" w:cstheme="minorHAnsi"/>
          <w:sz w:val="20"/>
          <w:szCs w:val="20"/>
          <w:lang w:val="en-GB"/>
        </w:rPr>
        <w:t>).</w:t>
      </w:r>
    </w:p>
  </w:footnote>
  <w:footnote w:id="59">
    <w:p w14:paraId="5646ACEF" w14:textId="4AD33F69" w:rsidR="003F68CB" w:rsidRPr="005A1561" w:rsidRDefault="003F68CB" w:rsidP="005A1561">
      <w:pPr>
        <w:pStyle w:val="Reference"/>
        <w:spacing w:line="240" w:lineRule="auto"/>
        <w:ind w:left="0" w:firstLine="0"/>
        <w:rPr>
          <w:rFonts w:asciiTheme="minorHAnsi" w:hAnsiTheme="minorHAnsi" w:cstheme="minorHAnsi"/>
          <w:sz w:val="20"/>
          <w:szCs w:val="20"/>
          <w:lang w:val="en-GB"/>
        </w:rPr>
      </w:pPr>
      <w:r w:rsidRPr="005A1561">
        <w:rPr>
          <w:rStyle w:val="FootnoteReference"/>
          <w:rFonts w:asciiTheme="minorHAnsi" w:hAnsiTheme="minorHAnsi" w:cstheme="minorHAnsi"/>
          <w:sz w:val="20"/>
          <w:szCs w:val="20"/>
        </w:rPr>
        <w:footnoteRef/>
      </w:r>
      <w:r w:rsidRPr="005A1561">
        <w:rPr>
          <w:rFonts w:asciiTheme="minorHAnsi" w:hAnsiTheme="minorHAnsi" w:cstheme="minorHAnsi"/>
          <w:sz w:val="20"/>
          <w:szCs w:val="20"/>
        </w:rPr>
        <w:t xml:space="preserve"> </w:t>
      </w:r>
      <w:bookmarkStart w:id="6" w:name="CBML_BIB_ch41_0024"/>
      <w:r w:rsidR="00F26072">
        <w:rPr>
          <w:rFonts w:asciiTheme="minorHAnsi" w:hAnsiTheme="minorHAnsi" w:cstheme="minorHAnsi"/>
          <w:sz w:val="20"/>
          <w:szCs w:val="20"/>
        </w:rPr>
        <w:t xml:space="preserve">Theresa </w:t>
      </w:r>
      <w:r w:rsidR="00F26072" w:rsidRPr="005A1561">
        <w:rPr>
          <w:rFonts w:asciiTheme="minorHAnsi" w:hAnsiTheme="minorHAnsi" w:cstheme="minorHAnsi"/>
          <w:sz w:val="20"/>
          <w:szCs w:val="20"/>
          <w:lang w:val="en-GB"/>
        </w:rPr>
        <w:t xml:space="preserve">May, </w:t>
      </w:r>
      <w:r w:rsidR="00F26072">
        <w:rPr>
          <w:rFonts w:asciiTheme="minorHAnsi" w:hAnsiTheme="minorHAnsi" w:cstheme="minorHAnsi"/>
          <w:sz w:val="20"/>
          <w:szCs w:val="20"/>
          <w:lang w:val="en-GB"/>
        </w:rPr>
        <w:t>‘</w:t>
      </w:r>
      <w:r w:rsidRPr="005A1561">
        <w:rPr>
          <w:rFonts w:asciiTheme="minorHAnsi" w:hAnsiTheme="minorHAnsi" w:cstheme="minorHAnsi"/>
          <w:sz w:val="20"/>
          <w:szCs w:val="20"/>
          <w:lang w:val="en-GB"/>
        </w:rPr>
        <w:t>PM Speech on Our Future Economic Partnership with the European Union</w:t>
      </w:r>
      <w:r w:rsidR="00F26072">
        <w:rPr>
          <w:rFonts w:asciiTheme="minorHAnsi" w:hAnsiTheme="minorHAnsi" w:cstheme="minorHAnsi"/>
          <w:sz w:val="20"/>
          <w:szCs w:val="20"/>
          <w:lang w:val="en-GB"/>
        </w:rPr>
        <w:t>’</w:t>
      </w:r>
      <w:r w:rsidRPr="005A1561">
        <w:rPr>
          <w:rFonts w:asciiTheme="minorHAnsi" w:hAnsiTheme="minorHAnsi" w:cstheme="minorHAnsi"/>
          <w:sz w:val="20"/>
          <w:szCs w:val="20"/>
          <w:lang w:val="en-GB"/>
        </w:rPr>
        <w:t>, 2 March</w:t>
      </w:r>
      <w:r w:rsidR="00F26072">
        <w:rPr>
          <w:rFonts w:asciiTheme="minorHAnsi" w:hAnsiTheme="minorHAnsi" w:cstheme="minorHAnsi"/>
          <w:sz w:val="20"/>
          <w:szCs w:val="20"/>
          <w:lang w:val="en-GB"/>
        </w:rPr>
        <w:t xml:space="preserve"> 2018,</w:t>
      </w:r>
      <w:r w:rsidRPr="005A1561">
        <w:rPr>
          <w:rFonts w:asciiTheme="minorHAnsi" w:hAnsiTheme="minorHAnsi" w:cstheme="minorHAnsi"/>
          <w:sz w:val="20"/>
          <w:szCs w:val="20"/>
          <w:lang w:val="en-GB"/>
        </w:rPr>
        <w:t xml:space="preserve"> </w:t>
      </w:r>
      <w:r w:rsidR="00F26072">
        <w:rPr>
          <w:rFonts w:asciiTheme="minorHAnsi" w:hAnsiTheme="minorHAnsi" w:cstheme="minorHAnsi"/>
          <w:sz w:val="20"/>
          <w:szCs w:val="20"/>
          <w:lang w:val="en-GB"/>
        </w:rPr>
        <w:t>a</w:t>
      </w:r>
      <w:r w:rsidRPr="005A1561">
        <w:rPr>
          <w:rFonts w:asciiTheme="minorHAnsi" w:hAnsiTheme="minorHAnsi" w:cstheme="minorHAnsi"/>
          <w:sz w:val="20"/>
          <w:szCs w:val="20"/>
          <w:lang w:val="en-GB"/>
        </w:rPr>
        <w:t xml:space="preserve">vailable at: </w:t>
      </w:r>
      <w:r w:rsidRPr="005A1561">
        <w:rPr>
          <w:rStyle w:val="FootnoteReference"/>
          <w:rFonts w:asciiTheme="minorHAnsi" w:hAnsiTheme="minorHAnsi" w:cstheme="minorHAnsi"/>
          <w:sz w:val="20"/>
          <w:szCs w:val="20"/>
          <w:vertAlign w:val="baseline"/>
          <w:lang w:val="en-GB"/>
        </w:rPr>
        <w:t>www.gov.uk/government/speeches/pm-speech-on-our-future-economic-partnership-with-the-european-union</w:t>
      </w:r>
      <w:r w:rsidRPr="005A1561">
        <w:rPr>
          <w:rFonts w:asciiTheme="minorHAnsi" w:hAnsiTheme="minorHAnsi" w:cstheme="minorHAnsi"/>
          <w:sz w:val="20"/>
          <w:szCs w:val="20"/>
          <w:lang w:val="en-GB"/>
        </w:rPr>
        <w:t xml:space="preserve"> </w:t>
      </w:r>
      <w:bookmarkEnd w:id="6"/>
      <w:r w:rsidR="00F26072" w:rsidRPr="005A1561">
        <w:rPr>
          <w:rFonts w:asciiTheme="minorHAnsi" w:hAnsiTheme="minorHAnsi" w:cstheme="minorHAnsi"/>
          <w:sz w:val="20"/>
          <w:szCs w:val="20"/>
          <w:lang w:val="en-GB"/>
        </w:rPr>
        <w:t>(</w:t>
      </w:r>
      <w:r w:rsidR="00F26072">
        <w:rPr>
          <w:rFonts w:asciiTheme="minorHAnsi" w:hAnsiTheme="minorHAnsi" w:cstheme="minorHAnsi"/>
          <w:sz w:val="20"/>
          <w:szCs w:val="20"/>
          <w:lang w:val="en-GB"/>
        </w:rPr>
        <w:t>30 September 2024</w:t>
      </w:r>
      <w:r w:rsidR="00F26072" w:rsidRPr="005A1561">
        <w:rPr>
          <w:rFonts w:asciiTheme="minorHAnsi" w:hAnsiTheme="minorHAnsi" w:cstheme="minorHAnsi"/>
          <w:sz w:val="20"/>
          <w:szCs w:val="20"/>
          <w:lang w:val="en-GB"/>
        </w:rPr>
        <w:t>).</w:t>
      </w:r>
    </w:p>
  </w:footnote>
  <w:footnote w:id="60">
    <w:p w14:paraId="12CFD1E7" w14:textId="77777777" w:rsidR="00A20E63" w:rsidRPr="00542F61" w:rsidRDefault="00A20E63" w:rsidP="003F68CB">
      <w:pPr>
        <w:pStyle w:val="Note"/>
        <w:spacing w:line="240" w:lineRule="auto"/>
        <w:ind w:left="0" w:firstLine="0"/>
        <w:rPr>
          <w:rFonts w:asciiTheme="minorHAnsi" w:hAnsiTheme="minorHAnsi" w:cstheme="minorHAnsi"/>
          <w:sz w:val="20"/>
          <w:szCs w:val="20"/>
        </w:rPr>
      </w:pPr>
      <w:r w:rsidRPr="005A1561">
        <w:rPr>
          <w:rFonts w:asciiTheme="minorHAnsi" w:hAnsiTheme="minorHAnsi" w:cstheme="minorHAnsi"/>
          <w:sz w:val="20"/>
          <w:szCs w:val="20"/>
          <w:vertAlign w:val="superscript"/>
        </w:rPr>
        <w:footnoteRef/>
      </w:r>
      <w:r w:rsidRPr="005A1561">
        <w:rPr>
          <w:rFonts w:asciiTheme="minorHAnsi" w:hAnsiTheme="minorHAnsi" w:cstheme="minorHAnsi"/>
          <w:sz w:val="20"/>
          <w:szCs w:val="20"/>
        </w:rPr>
        <w:t xml:space="preserve"> Joint Report, para 49.</w:t>
      </w:r>
    </w:p>
  </w:footnote>
  <w:footnote w:id="61">
    <w:p w14:paraId="49B443DD" w14:textId="7CB4F268" w:rsidR="00A20E63" w:rsidRPr="00A20E63" w:rsidRDefault="00A20E63" w:rsidP="00F908D3">
      <w:pPr>
        <w:pStyle w:val="Note"/>
        <w:spacing w:line="240" w:lineRule="auto"/>
        <w:ind w:left="0" w:firstLine="0"/>
        <w:rPr>
          <w:rFonts w:asciiTheme="minorHAnsi" w:hAnsiTheme="minorHAnsi" w:cstheme="minorHAnsi"/>
          <w:sz w:val="20"/>
          <w:szCs w:val="20"/>
        </w:rPr>
      </w:pPr>
      <w:r w:rsidRPr="00F908D3">
        <w:rPr>
          <w:rFonts w:asciiTheme="minorHAnsi" w:hAnsiTheme="minorHAnsi" w:cstheme="minorHAnsi"/>
          <w:color w:val="000000" w:themeColor="text1"/>
          <w:sz w:val="20"/>
          <w:szCs w:val="20"/>
          <w:vertAlign w:val="superscript"/>
        </w:rPr>
        <w:footnoteRef/>
      </w:r>
      <w:r w:rsidR="00C90FAB">
        <w:rPr>
          <w:rFonts w:asciiTheme="minorHAnsi" w:hAnsiTheme="minorHAnsi" w:cstheme="minorHAnsi"/>
          <w:sz w:val="20"/>
          <w:szCs w:val="20"/>
        </w:rPr>
        <w:t xml:space="preserve">Withdrawal Agreement, </w:t>
      </w:r>
      <w:r w:rsidR="00C90FAB" w:rsidRPr="00A20E63">
        <w:rPr>
          <w:rFonts w:asciiTheme="minorHAnsi" w:hAnsiTheme="minorHAnsi" w:cstheme="minorHAnsi"/>
          <w:sz w:val="20"/>
          <w:szCs w:val="20"/>
        </w:rPr>
        <w:t>Protocol on Ireland/Northern Ireland</w:t>
      </w:r>
      <w:r w:rsidR="00F908D3" w:rsidRPr="00A20E63">
        <w:rPr>
          <w:rFonts w:asciiTheme="minorHAnsi" w:hAnsiTheme="minorHAnsi" w:cstheme="minorHAnsi"/>
          <w:sz w:val="20"/>
          <w:szCs w:val="20"/>
        </w:rPr>
        <w:t xml:space="preserve">, </w:t>
      </w:r>
      <w:r w:rsidRPr="00A20E63">
        <w:rPr>
          <w:rFonts w:asciiTheme="minorHAnsi" w:hAnsiTheme="minorHAnsi" w:cstheme="minorHAnsi"/>
          <w:sz w:val="20"/>
          <w:szCs w:val="20"/>
          <w:lang w:val="en-GB"/>
        </w:rPr>
        <w:t>Art</w:t>
      </w:r>
      <w:r w:rsidRPr="00A20E63">
        <w:rPr>
          <w:rFonts w:asciiTheme="minorHAnsi" w:hAnsiTheme="minorHAnsi" w:cstheme="minorHAnsi"/>
          <w:sz w:val="20"/>
          <w:szCs w:val="20"/>
        </w:rPr>
        <w:t xml:space="preserve"> 4.</w:t>
      </w:r>
    </w:p>
  </w:footnote>
  <w:footnote w:id="62">
    <w:p w14:paraId="239C50ED" w14:textId="382C5952" w:rsidR="00A20E63" w:rsidRPr="00A20E63" w:rsidRDefault="00A20E63" w:rsidP="00A20E63">
      <w:pPr>
        <w:pStyle w:val="Note"/>
        <w:spacing w:line="240" w:lineRule="auto"/>
        <w:ind w:left="0" w:firstLine="0"/>
        <w:rPr>
          <w:rFonts w:asciiTheme="minorHAnsi" w:hAnsiTheme="minorHAnsi" w:cstheme="minorHAnsi"/>
          <w:sz w:val="20"/>
          <w:szCs w:val="20"/>
        </w:rPr>
      </w:pPr>
      <w:r w:rsidRPr="00A20E63">
        <w:rPr>
          <w:rFonts w:asciiTheme="minorHAnsi" w:hAnsiTheme="minorHAnsi" w:cstheme="minorHAnsi"/>
          <w:sz w:val="20"/>
          <w:szCs w:val="20"/>
          <w:vertAlign w:val="superscript"/>
        </w:rPr>
        <w:footnoteRef/>
      </w:r>
      <w:r w:rsidR="00F908D3">
        <w:rPr>
          <w:rFonts w:asciiTheme="minorHAnsi" w:hAnsiTheme="minorHAnsi" w:cstheme="minorHAnsi"/>
          <w:sz w:val="20"/>
          <w:szCs w:val="20"/>
        </w:rPr>
        <w:t xml:space="preserve"> </w:t>
      </w:r>
      <w:r w:rsidR="00B7104A">
        <w:rPr>
          <w:rFonts w:asciiTheme="minorHAnsi" w:hAnsiTheme="minorHAnsi" w:cstheme="minorHAnsi"/>
          <w:i/>
          <w:iCs/>
          <w:sz w:val="20"/>
          <w:szCs w:val="20"/>
        </w:rPr>
        <w:t>Ibid</w:t>
      </w:r>
      <w:r w:rsidR="00B7104A">
        <w:rPr>
          <w:rFonts w:asciiTheme="minorHAnsi" w:hAnsiTheme="minorHAnsi" w:cstheme="minorHAnsi"/>
          <w:sz w:val="20"/>
          <w:szCs w:val="20"/>
        </w:rPr>
        <w:t>.</w:t>
      </w:r>
      <w:r w:rsidR="00F908D3" w:rsidRPr="00A20E63">
        <w:rPr>
          <w:rFonts w:asciiTheme="minorHAnsi" w:hAnsiTheme="minorHAnsi" w:cstheme="minorHAnsi"/>
          <w:sz w:val="20"/>
          <w:szCs w:val="20"/>
        </w:rPr>
        <w:t>,</w:t>
      </w:r>
      <w:r w:rsidRPr="00A20E63">
        <w:rPr>
          <w:rFonts w:asciiTheme="minorHAnsi" w:hAnsiTheme="minorHAnsi" w:cstheme="minorHAnsi"/>
          <w:sz w:val="20"/>
          <w:szCs w:val="20"/>
        </w:rPr>
        <w:t xml:space="preserve"> </w:t>
      </w:r>
      <w:r w:rsidRPr="00A20E63">
        <w:rPr>
          <w:rFonts w:asciiTheme="minorHAnsi" w:hAnsiTheme="minorHAnsi" w:cstheme="minorHAnsi"/>
          <w:sz w:val="20"/>
          <w:szCs w:val="20"/>
          <w:lang w:val="en-GB"/>
        </w:rPr>
        <w:t>Art</w:t>
      </w:r>
      <w:r w:rsidRPr="00A20E63">
        <w:rPr>
          <w:rFonts w:asciiTheme="minorHAnsi" w:hAnsiTheme="minorHAnsi" w:cstheme="minorHAnsi"/>
          <w:sz w:val="20"/>
          <w:szCs w:val="20"/>
        </w:rPr>
        <w:t xml:space="preserve"> 5(3</w:t>
      </w:r>
      <w:r w:rsidR="00F908D3">
        <w:rPr>
          <w:rFonts w:asciiTheme="minorHAnsi" w:hAnsiTheme="minorHAnsi" w:cstheme="minorHAnsi"/>
          <w:sz w:val="20"/>
          <w:szCs w:val="20"/>
        </w:rPr>
        <w:t>)</w:t>
      </w:r>
      <w:r w:rsidRPr="00A20E63">
        <w:rPr>
          <w:rFonts w:asciiTheme="minorHAnsi" w:hAnsiTheme="minorHAnsi" w:cstheme="minorHAnsi"/>
          <w:sz w:val="20"/>
          <w:szCs w:val="20"/>
        </w:rPr>
        <w:t>.</w:t>
      </w:r>
    </w:p>
  </w:footnote>
  <w:footnote w:id="63">
    <w:p w14:paraId="3ED94D32" w14:textId="186B6BAB" w:rsidR="00A20E63" w:rsidRPr="00A20E63" w:rsidRDefault="00A20E63" w:rsidP="00A20E63">
      <w:pPr>
        <w:pStyle w:val="Note"/>
        <w:spacing w:line="240" w:lineRule="auto"/>
        <w:ind w:left="0" w:firstLine="0"/>
        <w:rPr>
          <w:rFonts w:asciiTheme="minorHAnsi" w:hAnsiTheme="minorHAnsi" w:cstheme="minorHAnsi"/>
          <w:sz w:val="20"/>
          <w:szCs w:val="20"/>
        </w:rPr>
      </w:pPr>
      <w:r w:rsidRPr="00A20E63">
        <w:rPr>
          <w:rFonts w:asciiTheme="minorHAnsi" w:hAnsiTheme="minorHAnsi" w:cstheme="minorHAnsi"/>
          <w:sz w:val="20"/>
          <w:szCs w:val="20"/>
          <w:vertAlign w:val="superscript"/>
        </w:rPr>
        <w:footnoteRef/>
      </w:r>
      <w:r w:rsidRPr="00A20E63">
        <w:rPr>
          <w:rFonts w:asciiTheme="minorHAnsi" w:hAnsiTheme="minorHAnsi" w:cstheme="minorHAnsi"/>
          <w:sz w:val="20"/>
          <w:szCs w:val="20"/>
        </w:rPr>
        <w:t xml:space="preserve"> </w:t>
      </w:r>
      <w:r w:rsidR="00B7104A">
        <w:rPr>
          <w:rFonts w:asciiTheme="minorHAnsi" w:hAnsiTheme="minorHAnsi" w:cstheme="minorHAnsi"/>
          <w:i/>
          <w:iCs/>
          <w:sz w:val="20"/>
          <w:szCs w:val="20"/>
        </w:rPr>
        <w:t>Ibid</w:t>
      </w:r>
      <w:r w:rsidR="00B7104A">
        <w:rPr>
          <w:rFonts w:asciiTheme="minorHAnsi" w:hAnsiTheme="minorHAnsi" w:cstheme="minorHAnsi"/>
          <w:i/>
          <w:iCs/>
          <w:sz w:val="20"/>
          <w:szCs w:val="20"/>
        </w:rPr>
        <w:t>.</w:t>
      </w:r>
      <w:r w:rsidR="00F908D3" w:rsidRPr="00A20E63">
        <w:rPr>
          <w:rFonts w:asciiTheme="minorHAnsi" w:hAnsiTheme="minorHAnsi" w:cstheme="minorHAnsi"/>
          <w:sz w:val="20"/>
          <w:szCs w:val="20"/>
        </w:rPr>
        <w:t xml:space="preserve">, </w:t>
      </w:r>
      <w:r w:rsidRPr="00A20E63">
        <w:rPr>
          <w:rFonts w:asciiTheme="minorHAnsi" w:hAnsiTheme="minorHAnsi" w:cstheme="minorHAnsi"/>
          <w:sz w:val="20"/>
          <w:szCs w:val="20"/>
          <w:lang w:val="en-GB"/>
        </w:rPr>
        <w:t>Art</w:t>
      </w:r>
      <w:r w:rsidRPr="00A20E63">
        <w:rPr>
          <w:rFonts w:asciiTheme="minorHAnsi" w:hAnsiTheme="minorHAnsi" w:cstheme="minorHAnsi"/>
          <w:sz w:val="20"/>
          <w:szCs w:val="20"/>
        </w:rPr>
        <w:t xml:space="preserve"> 5(5</w:t>
      </w:r>
      <w:r w:rsidR="00F908D3">
        <w:rPr>
          <w:rFonts w:asciiTheme="minorHAnsi" w:hAnsiTheme="minorHAnsi" w:cstheme="minorHAnsi"/>
          <w:sz w:val="20"/>
          <w:szCs w:val="20"/>
        </w:rPr>
        <w:t>)</w:t>
      </w:r>
      <w:r w:rsidRPr="00A20E63">
        <w:rPr>
          <w:rFonts w:asciiTheme="minorHAnsi" w:hAnsiTheme="minorHAnsi" w:cstheme="minorHAnsi"/>
          <w:sz w:val="20"/>
          <w:szCs w:val="20"/>
        </w:rPr>
        <w:t>.</w:t>
      </w:r>
    </w:p>
  </w:footnote>
  <w:footnote w:id="64">
    <w:p w14:paraId="31733A60" w14:textId="4F890661" w:rsidR="00A20E63" w:rsidRPr="00A20E63" w:rsidRDefault="00A20E63" w:rsidP="00A20E63">
      <w:pPr>
        <w:pStyle w:val="Note"/>
        <w:spacing w:line="240" w:lineRule="auto"/>
        <w:ind w:left="0" w:firstLine="0"/>
        <w:rPr>
          <w:rFonts w:asciiTheme="minorHAnsi" w:hAnsiTheme="minorHAnsi" w:cstheme="minorHAnsi"/>
          <w:sz w:val="20"/>
          <w:szCs w:val="20"/>
        </w:rPr>
      </w:pPr>
      <w:r w:rsidRPr="00A20E63">
        <w:rPr>
          <w:rFonts w:asciiTheme="minorHAnsi" w:hAnsiTheme="minorHAnsi" w:cstheme="minorHAnsi"/>
          <w:sz w:val="20"/>
          <w:szCs w:val="20"/>
          <w:vertAlign w:val="superscript"/>
        </w:rPr>
        <w:footnoteRef/>
      </w:r>
      <w:r w:rsidRPr="00A20E63">
        <w:rPr>
          <w:rFonts w:asciiTheme="minorHAnsi" w:hAnsiTheme="minorHAnsi" w:cstheme="minorHAnsi"/>
          <w:sz w:val="20"/>
          <w:szCs w:val="20"/>
        </w:rPr>
        <w:t xml:space="preserve"> </w:t>
      </w:r>
      <w:r w:rsidR="00B7104A">
        <w:rPr>
          <w:rFonts w:asciiTheme="minorHAnsi" w:hAnsiTheme="minorHAnsi" w:cstheme="minorHAnsi"/>
          <w:i/>
          <w:iCs/>
          <w:sz w:val="20"/>
          <w:szCs w:val="20"/>
        </w:rPr>
        <w:t>Ibid.</w:t>
      </w:r>
      <w:r w:rsidR="00F908D3" w:rsidRPr="00A20E63">
        <w:rPr>
          <w:rFonts w:asciiTheme="minorHAnsi" w:hAnsiTheme="minorHAnsi" w:cstheme="minorHAnsi"/>
          <w:sz w:val="20"/>
          <w:szCs w:val="20"/>
        </w:rPr>
        <w:t xml:space="preserve">, </w:t>
      </w:r>
      <w:r w:rsidRPr="00A20E63">
        <w:rPr>
          <w:rFonts w:asciiTheme="minorHAnsi" w:hAnsiTheme="minorHAnsi" w:cstheme="minorHAnsi"/>
          <w:sz w:val="20"/>
          <w:szCs w:val="20"/>
          <w:lang w:val="en-GB"/>
        </w:rPr>
        <w:t>Art</w:t>
      </w:r>
      <w:r w:rsidRPr="00A20E63">
        <w:rPr>
          <w:rFonts w:asciiTheme="minorHAnsi" w:hAnsiTheme="minorHAnsi" w:cstheme="minorHAnsi"/>
          <w:sz w:val="20"/>
          <w:szCs w:val="20"/>
        </w:rPr>
        <w:t xml:space="preserve"> 5(4).</w:t>
      </w:r>
    </w:p>
  </w:footnote>
  <w:footnote w:id="65">
    <w:p w14:paraId="2C934C18" w14:textId="193A2F24" w:rsidR="00A20E63" w:rsidRPr="00A20E63" w:rsidRDefault="00A20E63" w:rsidP="00A20E63">
      <w:pPr>
        <w:pStyle w:val="Note"/>
        <w:spacing w:line="240" w:lineRule="auto"/>
        <w:ind w:left="0" w:firstLine="0"/>
        <w:rPr>
          <w:rFonts w:asciiTheme="minorHAnsi" w:hAnsiTheme="minorHAnsi" w:cstheme="minorHAnsi"/>
          <w:sz w:val="20"/>
          <w:szCs w:val="20"/>
        </w:rPr>
      </w:pPr>
      <w:r w:rsidRPr="00A20E63">
        <w:rPr>
          <w:rFonts w:asciiTheme="minorHAnsi" w:hAnsiTheme="minorHAnsi" w:cstheme="minorHAnsi"/>
          <w:sz w:val="20"/>
          <w:szCs w:val="20"/>
          <w:vertAlign w:val="superscript"/>
        </w:rPr>
        <w:footnoteRef/>
      </w:r>
      <w:r w:rsidRPr="00A20E63">
        <w:rPr>
          <w:rFonts w:asciiTheme="minorHAnsi" w:hAnsiTheme="minorHAnsi" w:cstheme="minorHAnsi"/>
          <w:sz w:val="20"/>
          <w:szCs w:val="20"/>
        </w:rPr>
        <w:t xml:space="preserve"> </w:t>
      </w:r>
      <w:r w:rsidR="00B7104A">
        <w:rPr>
          <w:rFonts w:asciiTheme="minorHAnsi" w:hAnsiTheme="minorHAnsi" w:cstheme="minorHAnsi"/>
          <w:i/>
          <w:iCs/>
          <w:sz w:val="20"/>
          <w:szCs w:val="20"/>
        </w:rPr>
        <w:t>Ibid.</w:t>
      </w:r>
      <w:r w:rsidR="00F908D3" w:rsidRPr="00A20E63">
        <w:rPr>
          <w:rFonts w:asciiTheme="minorHAnsi" w:hAnsiTheme="minorHAnsi" w:cstheme="minorHAnsi"/>
          <w:sz w:val="20"/>
          <w:szCs w:val="20"/>
        </w:rPr>
        <w:t xml:space="preserve">, </w:t>
      </w:r>
      <w:r w:rsidRPr="00A20E63">
        <w:rPr>
          <w:rFonts w:asciiTheme="minorHAnsi" w:hAnsiTheme="minorHAnsi" w:cstheme="minorHAnsi"/>
          <w:sz w:val="20"/>
          <w:szCs w:val="20"/>
          <w:lang w:val="en-GB"/>
        </w:rPr>
        <w:t>Art</w:t>
      </w:r>
      <w:r w:rsidRPr="00A20E63">
        <w:rPr>
          <w:rFonts w:asciiTheme="minorHAnsi" w:hAnsiTheme="minorHAnsi" w:cstheme="minorHAnsi"/>
          <w:sz w:val="20"/>
          <w:szCs w:val="20"/>
        </w:rPr>
        <w:t xml:space="preserve"> 8.</w:t>
      </w:r>
    </w:p>
  </w:footnote>
  <w:footnote w:id="66">
    <w:p w14:paraId="29DAF8AE" w14:textId="763C0605" w:rsidR="00A20E63" w:rsidRPr="004115B6" w:rsidRDefault="00A20E63" w:rsidP="00A20E63">
      <w:pPr>
        <w:pStyle w:val="Note"/>
        <w:spacing w:line="240" w:lineRule="auto"/>
        <w:ind w:left="0" w:firstLine="0"/>
      </w:pPr>
      <w:r w:rsidRPr="00A20E63">
        <w:rPr>
          <w:rFonts w:asciiTheme="minorHAnsi" w:hAnsiTheme="minorHAnsi" w:cstheme="minorHAnsi"/>
          <w:sz w:val="20"/>
          <w:szCs w:val="20"/>
          <w:vertAlign w:val="superscript"/>
        </w:rPr>
        <w:footnoteRef/>
      </w:r>
      <w:r w:rsidRPr="00A20E63">
        <w:rPr>
          <w:rFonts w:asciiTheme="minorHAnsi" w:hAnsiTheme="minorHAnsi" w:cstheme="minorHAnsi"/>
          <w:sz w:val="20"/>
          <w:szCs w:val="20"/>
        </w:rPr>
        <w:t xml:space="preserve"> </w:t>
      </w:r>
      <w:r w:rsidR="00B7104A">
        <w:rPr>
          <w:rFonts w:asciiTheme="minorHAnsi" w:hAnsiTheme="minorHAnsi" w:cstheme="minorHAnsi"/>
          <w:i/>
          <w:iCs/>
          <w:sz w:val="20"/>
          <w:szCs w:val="20"/>
        </w:rPr>
        <w:t>Ibid.</w:t>
      </w:r>
      <w:r w:rsidR="00F908D3" w:rsidRPr="00A20E63">
        <w:rPr>
          <w:rFonts w:asciiTheme="minorHAnsi" w:hAnsiTheme="minorHAnsi" w:cstheme="minorHAnsi"/>
          <w:sz w:val="20"/>
          <w:szCs w:val="20"/>
        </w:rPr>
        <w:t xml:space="preserve">, </w:t>
      </w:r>
      <w:r w:rsidRPr="00A20E63">
        <w:rPr>
          <w:rFonts w:asciiTheme="minorHAnsi" w:hAnsiTheme="minorHAnsi" w:cstheme="minorHAnsi"/>
          <w:sz w:val="20"/>
          <w:szCs w:val="20"/>
          <w:lang w:val="en-GB"/>
        </w:rPr>
        <w:t>Art</w:t>
      </w:r>
      <w:r w:rsidRPr="00A20E63">
        <w:rPr>
          <w:rFonts w:asciiTheme="minorHAnsi" w:hAnsiTheme="minorHAnsi" w:cstheme="minorHAnsi"/>
          <w:sz w:val="20"/>
          <w:szCs w:val="20"/>
        </w:rPr>
        <w:t xml:space="preserve"> 5(4</w:t>
      </w:r>
      <w:r w:rsidR="00F908D3">
        <w:rPr>
          <w:rFonts w:asciiTheme="minorHAnsi" w:hAnsiTheme="minorHAnsi" w:cstheme="minorHAnsi"/>
          <w:sz w:val="20"/>
          <w:szCs w:val="20"/>
        </w:rPr>
        <w:t>)</w:t>
      </w:r>
      <w:r w:rsidRPr="00A20E63">
        <w:rPr>
          <w:rFonts w:asciiTheme="minorHAnsi" w:hAnsiTheme="minorHAnsi" w:cstheme="minorHAnsi"/>
          <w:bCs/>
          <w:color w:val="000000"/>
          <w:sz w:val="20"/>
          <w:szCs w:val="20"/>
        </w:rPr>
        <w:t>.</w:t>
      </w:r>
    </w:p>
  </w:footnote>
  <w:footnote w:id="67">
    <w:p w14:paraId="60890C64" w14:textId="4236F353" w:rsidR="00D96AAE" w:rsidRPr="00D96AAE" w:rsidRDefault="00D96AAE">
      <w:pPr>
        <w:pStyle w:val="FootnoteText"/>
        <w:rPr>
          <w:rFonts w:cstheme="minorHAnsi"/>
        </w:rPr>
      </w:pPr>
      <w:r w:rsidRPr="00D96AAE">
        <w:rPr>
          <w:rStyle w:val="FootnoteReference"/>
          <w:rFonts w:cstheme="minorHAnsi"/>
        </w:rPr>
        <w:footnoteRef/>
      </w:r>
      <w:r w:rsidRPr="00D96AAE">
        <w:rPr>
          <w:rFonts w:cstheme="minorHAnsi"/>
        </w:rPr>
        <w:t xml:space="preserve"> Colin RG Murray and Niall Robb, ‘From the Protocol to the Windsor Framework’ Northern Ireland Legal Quarterly</w:t>
      </w:r>
      <w:r>
        <w:rPr>
          <w:rFonts w:cstheme="minorHAnsi"/>
        </w:rPr>
        <w:t xml:space="preserve"> </w:t>
      </w:r>
      <w:r w:rsidRPr="00D96AAE">
        <w:rPr>
          <w:rFonts w:cstheme="minorHAnsi"/>
        </w:rPr>
        <w:t>Vol. 74 No. AD1 (2023) 1–21</w:t>
      </w:r>
      <w:r w:rsidR="00F908D3">
        <w:rPr>
          <w:rFonts w:cstheme="minorHAnsi"/>
        </w:rPr>
        <w:t>:</w:t>
      </w:r>
      <w:r>
        <w:rPr>
          <w:rFonts w:cstheme="minorHAnsi"/>
        </w:rPr>
        <w:t xml:space="preserve"> 6.</w:t>
      </w:r>
    </w:p>
  </w:footnote>
  <w:footnote w:id="68">
    <w:p w14:paraId="273C801F" w14:textId="16E98E50" w:rsidR="0092007B" w:rsidRPr="0092007B" w:rsidRDefault="0092007B">
      <w:pPr>
        <w:pStyle w:val="FootnoteText"/>
      </w:pPr>
      <w:r w:rsidRPr="0092007B">
        <w:rPr>
          <w:rStyle w:val="FootnoteReference"/>
        </w:rPr>
        <w:footnoteRef/>
      </w:r>
      <w:r w:rsidRPr="0092007B">
        <w:t xml:space="preserve"> </w:t>
      </w:r>
      <w:r w:rsidRPr="0092007B">
        <w:rPr>
          <w:shd w:val="clear" w:color="auto" w:fill="FFFFFF"/>
        </w:rPr>
        <w:t xml:space="preserve">Joint Committee Decision 1/2023, </w:t>
      </w:r>
      <w:r w:rsidR="00F908D3">
        <w:rPr>
          <w:shd w:val="clear" w:color="auto" w:fill="FFFFFF"/>
        </w:rPr>
        <w:t>A</w:t>
      </w:r>
      <w:r w:rsidRPr="0092007B">
        <w:rPr>
          <w:shd w:val="clear" w:color="auto" w:fill="FFFFFF"/>
        </w:rPr>
        <w:t>rt</w:t>
      </w:r>
      <w:r w:rsidR="00F908D3">
        <w:rPr>
          <w:shd w:val="clear" w:color="auto" w:fill="FFFFFF"/>
        </w:rPr>
        <w:t xml:space="preserve"> 7.</w:t>
      </w:r>
    </w:p>
  </w:footnote>
  <w:footnote w:id="69">
    <w:p w14:paraId="0F8D956F" w14:textId="5FC59C28" w:rsidR="0092007B" w:rsidRDefault="0092007B">
      <w:pPr>
        <w:pStyle w:val="FootnoteText"/>
      </w:pPr>
      <w:r>
        <w:rPr>
          <w:rStyle w:val="FootnoteReference"/>
        </w:rPr>
        <w:footnoteRef/>
      </w:r>
      <w:r>
        <w:t xml:space="preserve"> </w:t>
      </w:r>
      <w:r w:rsidRPr="00D96AAE">
        <w:rPr>
          <w:rFonts w:cstheme="minorHAnsi"/>
        </w:rPr>
        <w:t>Murray and Robb, ‘From the Protocol to the Windsor Framework’</w:t>
      </w:r>
      <w:r w:rsidR="00F908D3">
        <w:rPr>
          <w:rFonts w:cstheme="minorHAnsi"/>
        </w:rPr>
        <w:t>:</w:t>
      </w:r>
      <w:r>
        <w:rPr>
          <w:rFonts w:cstheme="minorHAnsi"/>
        </w:rPr>
        <w:t xml:space="preserve"> 6.</w:t>
      </w:r>
    </w:p>
  </w:footnote>
  <w:footnote w:id="70">
    <w:p w14:paraId="270C7EEB" w14:textId="561B7232" w:rsidR="0063017F" w:rsidRPr="0063017F" w:rsidRDefault="0063017F" w:rsidP="0063017F">
      <w:pPr>
        <w:pStyle w:val="Footnotes"/>
        <w:ind w:firstLine="0"/>
        <w:jc w:val="both"/>
        <w:rPr>
          <w:rFonts w:asciiTheme="minorHAnsi" w:eastAsiaTheme="minorEastAsia" w:hAnsiTheme="minorHAnsi" w:cstheme="minorHAnsi"/>
          <w:sz w:val="20"/>
          <w:szCs w:val="20"/>
          <w:lang w:eastAsia="en-US"/>
        </w:rPr>
      </w:pPr>
      <w:r w:rsidRPr="0063017F">
        <w:rPr>
          <w:rStyle w:val="FootnoteReference"/>
          <w:rFonts w:asciiTheme="minorHAnsi" w:hAnsiTheme="minorHAnsi" w:cstheme="minorHAnsi"/>
          <w:sz w:val="20"/>
          <w:szCs w:val="20"/>
        </w:rPr>
        <w:footnoteRef/>
      </w:r>
      <w:r>
        <w:rPr>
          <w:rFonts w:asciiTheme="minorHAnsi" w:hAnsiTheme="minorHAnsi" w:cstheme="minorHAnsi"/>
          <w:sz w:val="20"/>
          <w:szCs w:val="20"/>
        </w:rPr>
        <w:t xml:space="preserve"> </w:t>
      </w:r>
      <w:r w:rsidRPr="00F908D3">
        <w:rPr>
          <w:rFonts w:asciiTheme="minorHAnsi" w:hAnsiTheme="minorHAnsi" w:cstheme="minorHAnsi"/>
          <w:sz w:val="20"/>
          <w:szCs w:val="20"/>
        </w:rPr>
        <w:t>See</w:t>
      </w:r>
      <w:r w:rsidRPr="0063017F">
        <w:rPr>
          <w:rFonts w:asciiTheme="minorHAnsi" w:hAnsiTheme="minorHAnsi" w:cstheme="minorHAnsi"/>
          <w:sz w:val="20"/>
          <w:szCs w:val="20"/>
        </w:rPr>
        <w:t xml:space="preserve"> </w:t>
      </w:r>
      <w:proofErr w:type="spellStart"/>
      <w:r w:rsidRPr="0063017F">
        <w:rPr>
          <w:rFonts w:asciiTheme="minorHAnsi" w:hAnsiTheme="minorHAnsi" w:cstheme="minorHAnsi"/>
          <w:sz w:val="20"/>
          <w:szCs w:val="20"/>
        </w:rPr>
        <w:t>Marise</w:t>
      </w:r>
      <w:proofErr w:type="spellEnd"/>
      <w:r w:rsidRPr="0063017F">
        <w:rPr>
          <w:rFonts w:asciiTheme="minorHAnsi" w:hAnsiTheme="minorHAnsi" w:cstheme="minorHAnsi"/>
          <w:sz w:val="20"/>
          <w:szCs w:val="20"/>
        </w:rPr>
        <w:t xml:space="preserve"> Cremona </w:t>
      </w:r>
      <w:r w:rsidR="00F908D3">
        <w:rPr>
          <w:rFonts w:asciiTheme="minorHAnsi" w:hAnsiTheme="minorHAnsi" w:cstheme="minorHAnsi"/>
          <w:sz w:val="20"/>
          <w:szCs w:val="20"/>
        </w:rPr>
        <w:t>and</w:t>
      </w:r>
      <w:r w:rsidRPr="0063017F">
        <w:rPr>
          <w:rFonts w:asciiTheme="minorHAnsi" w:hAnsiTheme="minorHAnsi" w:cstheme="minorHAnsi"/>
          <w:sz w:val="20"/>
          <w:szCs w:val="20"/>
        </w:rPr>
        <w:t xml:space="preserve"> Nikos Skoutaris, </w:t>
      </w:r>
      <w:r w:rsidR="00F908D3">
        <w:rPr>
          <w:rFonts w:asciiTheme="minorHAnsi" w:hAnsiTheme="minorHAnsi" w:cstheme="minorHAnsi"/>
          <w:sz w:val="20"/>
          <w:szCs w:val="20"/>
        </w:rPr>
        <w:t>‘</w:t>
      </w:r>
      <w:r w:rsidRPr="00F908D3">
        <w:rPr>
          <w:rFonts w:asciiTheme="minorHAnsi" w:eastAsiaTheme="minorEastAsia" w:hAnsiTheme="minorHAnsi" w:cstheme="minorHAnsi"/>
          <w:sz w:val="20"/>
          <w:szCs w:val="20"/>
          <w:lang w:eastAsia="en-US"/>
        </w:rPr>
        <w:t>Speaking of the De…rogations: Accommodating a Solution of the Cyprus Issue Within the Union Legal Orde</w:t>
      </w:r>
      <w:r w:rsidR="00F908D3">
        <w:rPr>
          <w:rFonts w:asciiTheme="minorHAnsi" w:eastAsiaTheme="minorEastAsia" w:hAnsiTheme="minorHAnsi" w:cstheme="minorHAnsi"/>
          <w:sz w:val="20"/>
          <w:szCs w:val="20"/>
          <w:lang w:eastAsia="en-US"/>
        </w:rPr>
        <w:t>r’</w:t>
      </w:r>
      <w:r w:rsidRPr="0063017F">
        <w:rPr>
          <w:rFonts w:asciiTheme="minorHAnsi" w:eastAsiaTheme="minorEastAsia" w:hAnsiTheme="minorHAnsi" w:cstheme="minorHAnsi"/>
          <w:sz w:val="20"/>
          <w:szCs w:val="20"/>
          <w:lang w:eastAsia="en-US"/>
        </w:rPr>
        <w:t>,</w:t>
      </w:r>
      <w:r w:rsidRPr="0063017F">
        <w:rPr>
          <w:rFonts w:asciiTheme="minorHAnsi" w:eastAsiaTheme="minorEastAsia" w:hAnsiTheme="minorHAnsi" w:cstheme="minorHAnsi"/>
          <w:sz w:val="20"/>
          <w:szCs w:val="20"/>
          <w:lang w:val="en-US" w:eastAsia="en-US"/>
        </w:rPr>
        <w:t xml:space="preserve"> </w:t>
      </w:r>
      <w:r w:rsidR="00F908D3" w:rsidRPr="0063017F">
        <w:rPr>
          <w:rFonts w:asciiTheme="minorHAnsi" w:eastAsiaTheme="minorEastAsia" w:hAnsiTheme="minorHAnsi" w:cstheme="minorHAnsi"/>
          <w:sz w:val="20"/>
          <w:szCs w:val="20"/>
          <w:lang w:eastAsia="en-US"/>
        </w:rPr>
        <w:t>(</w:t>
      </w:r>
      <w:r w:rsidR="00F908D3" w:rsidRPr="0063017F">
        <w:rPr>
          <w:rFonts w:asciiTheme="minorHAnsi" w:eastAsiaTheme="minorEastAsia" w:hAnsiTheme="minorHAnsi" w:cstheme="minorHAnsi"/>
          <w:sz w:val="20"/>
          <w:szCs w:val="20"/>
          <w:lang w:val="en-US" w:eastAsia="en-US"/>
        </w:rPr>
        <w:t>2009)</w:t>
      </w:r>
      <w:r w:rsidR="00F908D3">
        <w:rPr>
          <w:rFonts w:asciiTheme="minorHAnsi" w:eastAsiaTheme="minorEastAsia" w:hAnsiTheme="minorHAnsi" w:cstheme="minorHAnsi"/>
          <w:sz w:val="20"/>
          <w:szCs w:val="20"/>
          <w:lang w:val="en-US" w:eastAsia="en-US"/>
        </w:rPr>
        <w:t xml:space="preserve"> </w:t>
      </w:r>
      <w:r w:rsidRPr="0063017F">
        <w:rPr>
          <w:rFonts w:asciiTheme="minorHAnsi" w:eastAsiaTheme="minorEastAsia" w:hAnsiTheme="minorHAnsi" w:cstheme="minorHAnsi"/>
          <w:sz w:val="20"/>
          <w:szCs w:val="20"/>
          <w:lang w:eastAsia="en-US"/>
        </w:rPr>
        <w:t xml:space="preserve">11 </w:t>
      </w:r>
      <w:r w:rsidRPr="00F908D3">
        <w:rPr>
          <w:rFonts w:asciiTheme="minorHAnsi" w:eastAsiaTheme="minorEastAsia" w:hAnsiTheme="minorHAnsi" w:cs="Calibri (Body)"/>
          <w:sz w:val="20"/>
          <w:szCs w:val="20"/>
          <w:lang w:eastAsia="en-US"/>
        </w:rPr>
        <w:t>J</w:t>
      </w:r>
      <w:r w:rsidR="00F908D3">
        <w:rPr>
          <w:rFonts w:asciiTheme="minorHAnsi" w:eastAsiaTheme="minorEastAsia" w:hAnsiTheme="minorHAnsi" w:cs="Calibri (Body)"/>
          <w:sz w:val="20"/>
          <w:szCs w:val="20"/>
          <w:lang w:eastAsia="en-US"/>
        </w:rPr>
        <w:t>ournal of</w:t>
      </w:r>
      <w:r w:rsidRPr="00F908D3">
        <w:rPr>
          <w:rFonts w:asciiTheme="minorHAnsi" w:eastAsiaTheme="minorEastAsia" w:hAnsiTheme="minorHAnsi" w:cs="Calibri (Body)"/>
          <w:sz w:val="20"/>
          <w:szCs w:val="20"/>
          <w:lang w:eastAsia="en-US"/>
        </w:rPr>
        <w:t xml:space="preserve"> Balkan &amp; Near E</w:t>
      </w:r>
      <w:r w:rsidR="00F908D3">
        <w:rPr>
          <w:rFonts w:asciiTheme="minorHAnsi" w:eastAsiaTheme="minorEastAsia" w:hAnsiTheme="minorHAnsi" w:cs="Calibri (Body)"/>
          <w:sz w:val="20"/>
          <w:szCs w:val="20"/>
          <w:lang w:eastAsia="en-US"/>
        </w:rPr>
        <w:t>astern</w:t>
      </w:r>
      <w:r w:rsidRPr="00F908D3">
        <w:rPr>
          <w:rFonts w:asciiTheme="minorHAnsi" w:eastAsiaTheme="minorEastAsia" w:hAnsiTheme="minorHAnsi" w:cs="Calibri (Body)"/>
          <w:sz w:val="20"/>
          <w:szCs w:val="20"/>
          <w:lang w:eastAsia="en-US"/>
        </w:rPr>
        <w:t xml:space="preserve"> Stud</w:t>
      </w:r>
      <w:r w:rsidR="00F908D3">
        <w:rPr>
          <w:rFonts w:asciiTheme="minorHAnsi" w:eastAsiaTheme="minorEastAsia" w:hAnsiTheme="minorHAnsi" w:cs="Calibri (Body)"/>
          <w:sz w:val="20"/>
          <w:szCs w:val="20"/>
          <w:lang w:eastAsia="en-US"/>
        </w:rPr>
        <w:t>ies</w:t>
      </w:r>
      <w:r w:rsidRPr="0063017F">
        <w:rPr>
          <w:rFonts w:asciiTheme="minorHAnsi" w:eastAsiaTheme="minorEastAsia" w:hAnsiTheme="minorHAnsi" w:cstheme="minorHAnsi"/>
          <w:sz w:val="20"/>
          <w:szCs w:val="20"/>
          <w:lang w:eastAsia="en-US"/>
        </w:rPr>
        <w:t xml:space="preserve"> 381</w:t>
      </w:r>
      <w:r w:rsidR="00F908D3" w:rsidRPr="0063017F">
        <w:rPr>
          <w:rFonts w:asciiTheme="minorHAnsi" w:eastAsiaTheme="minorEastAsia" w:hAnsiTheme="minorHAnsi" w:cstheme="minorHAnsi"/>
          <w:sz w:val="20"/>
          <w:szCs w:val="20"/>
          <w:lang w:eastAsia="en-US"/>
        </w:rPr>
        <w:t>–</w:t>
      </w:r>
      <w:r w:rsidR="00F908D3">
        <w:rPr>
          <w:rFonts w:asciiTheme="minorHAnsi" w:eastAsiaTheme="minorEastAsia" w:hAnsiTheme="minorHAnsi" w:cstheme="minorHAnsi"/>
          <w:sz w:val="20"/>
          <w:szCs w:val="20"/>
          <w:lang w:eastAsia="en-US"/>
        </w:rPr>
        <w:t>395:</w:t>
      </w:r>
      <w:r w:rsidRPr="0063017F">
        <w:rPr>
          <w:rFonts w:asciiTheme="minorHAnsi" w:eastAsiaTheme="minorEastAsia" w:hAnsiTheme="minorHAnsi" w:cstheme="minorHAnsi"/>
          <w:sz w:val="20"/>
          <w:szCs w:val="20"/>
          <w:lang w:eastAsia="en-US"/>
        </w:rPr>
        <w:t xml:space="preserve"> 387</w:t>
      </w:r>
      <w:r w:rsidR="00F908D3" w:rsidRPr="0063017F">
        <w:rPr>
          <w:rFonts w:asciiTheme="minorHAnsi" w:eastAsiaTheme="minorEastAsia" w:hAnsiTheme="minorHAnsi" w:cstheme="minorHAnsi"/>
          <w:sz w:val="20"/>
          <w:szCs w:val="20"/>
          <w:lang w:eastAsia="en-US"/>
        </w:rPr>
        <w:t>–</w:t>
      </w:r>
      <w:r w:rsidR="00F908D3">
        <w:rPr>
          <w:rFonts w:asciiTheme="minorHAnsi" w:eastAsiaTheme="minorEastAsia" w:hAnsiTheme="minorHAnsi" w:cstheme="minorHAnsi"/>
          <w:sz w:val="20"/>
          <w:szCs w:val="20"/>
          <w:lang w:eastAsia="en-US"/>
        </w:rPr>
        <w:t>3</w:t>
      </w:r>
      <w:r w:rsidRPr="0063017F">
        <w:rPr>
          <w:rFonts w:asciiTheme="minorHAnsi" w:eastAsiaTheme="minorEastAsia" w:hAnsiTheme="minorHAnsi" w:cstheme="minorHAnsi"/>
          <w:sz w:val="20"/>
          <w:szCs w:val="20"/>
          <w:lang w:eastAsia="en-US"/>
        </w:rPr>
        <w:t>94.</w:t>
      </w:r>
    </w:p>
  </w:footnote>
  <w:footnote w:id="71">
    <w:p w14:paraId="2C8F77FA" w14:textId="7253E014" w:rsidR="00DC0CD1" w:rsidRDefault="00DC0CD1">
      <w:pPr>
        <w:pStyle w:val="FootnoteText"/>
      </w:pPr>
      <w:r>
        <w:rPr>
          <w:rStyle w:val="FootnoteReference"/>
        </w:rPr>
        <w:footnoteRef/>
      </w:r>
      <w:r>
        <w:t xml:space="preserve"> </w:t>
      </w:r>
      <w:r w:rsidR="00943126">
        <w:t>Annan Plan</w:t>
      </w:r>
      <w:r w:rsidR="0042595C">
        <w:t>,</w:t>
      </w:r>
      <w:r w:rsidR="00F908D3">
        <w:t xml:space="preserve"> </w:t>
      </w:r>
      <w:r>
        <w:t>Appendix D.</w:t>
      </w:r>
    </w:p>
  </w:footnote>
  <w:footnote w:id="72">
    <w:p w14:paraId="3DA7FB0A" w14:textId="77777777" w:rsidR="006002D4" w:rsidRPr="00075E9F" w:rsidRDefault="006002D4" w:rsidP="006002D4">
      <w:pPr>
        <w:pStyle w:val="FootnoteText"/>
        <w:jc w:val="both"/>
        <w:rPr>
          <w:rFonts w:cstheme="minorHAnsi"/>
        </w:rPr>
      </w:pPr>
      <w:r w:rsidRPr="00075E9F">
        <w:rPr>
          <w:rStyle w:val="FootnoteReference"/>
          <w:rFonts w:cstheme="minorHAnsi"/>
        </w:rPr>
        <w:footnoteRef/>
      </w:r>
      <w:r w:rsidRPr="00075E9F">
        <w:rPr>
          <w:rFonts w:cstheme="minorHAnsi"/>
        </w:rPr>
        <w:t xml:space="preserve"> Report of the Secretary-General of 3 April 1992, S/1992/23780</w:t>
      </w:r>
      <w:r>
        <w:rPr>
          <w:rFonts w:cstheme="minorHAnsi"/>
        </w:rPr>
        <w:t>:</w:t>
      </w:r>
      <w:r w:rsidRPr="00075E9F">
        <w:rPr>
          <w:rFonts w:cstheme="minorHAnsi"/>
        </w:rPr>
        <w:t xml:space="preserve"> para</w:t>
      </w:r>
      <w:r>
        <w:rPr>
          <w:rFonts w:cstheme="minorHAnsi"/>
        </w:rPr>
        <w:t xml:space="preserve"> </w:t>
      </w:r>
      <w:r w:rsidRPr="00075E9F">
        <w:rPr>
          <w:rFonts w:cstheme="minorHAnsi"/>
        </w:rPr>
        <w:t>20.</w:t>
      </w:r>
    </w:p>
  </w:footnote>
  <w:footnote w:id="73">
    <w:p w14:paraId="6E36FE6B" w14:textId="2866FE32" w:rsidR="00B05764" w:rsidRDefault="00B05764">
      <w:pPr>
        <w:pStyle w:val="FootnoteText"/>
      </w:pPr>
      <w:r>
        <w:rPr>
          <w:rStyle w:val="FootnoteReference"/>
        </w:rPr>
        <w:footnoteRef/>
      </w:r>
      <w:r>
        <w:t xml:space="preserve"> Art 3(5) TEU.</w:t>
      </w:r>
    </w:p>
  </w:footnote>
  <w:footnote w:id="74">
    <w:p w14:paraId="671A2443" w14:textId="600E4477" w:rsidR="00FF211F" w:rsidRPr="00FF211F" w:rsidRDefault="00FF211F" w:rsidP="00FF211F">
      <w:pPr>
        <w:pStyle w:val="FootnoteText"/>
        <w:rPr>
          <w:rFonts w:cstheme="minorHAnsi"/>
        </w:rPr>
      </w:pPr>
      <w:r w:rsidRPr="00FF211F">
        <w:rPr>
          <w:rStyle w:val="FootnoteReference"/>
          <w:rFonts w:cstheme="minorHAnsi"/>
        </w:rPr>
        <w:footnoteRef/>
      </w:r>
      <w:r w:rsidRPr="00FF211F">
        <w:rPr>
          <w:rFonts w:cstheme="minorHAnsi"/>
        </w:rPr>
        <w:t xml:space="preserve"> John McGarry, ‘Asymmetrical Autonomy in the United Kingdom’ in Marc Weller and Katherine Nobbs (eds), </w:t>
      </w:r>
      <w:r w:rsidRPr="00FF211F">
        <w:rPr>
          <w:rFonts w:cstheme="minorHAnsi"/>
          <w:i/>
        </w:rPr>
        <w:t>Asymmetric Autonomy and the Settlement of Ethnic Conflicts</w:t>
      </w:r>
      <w:r w:rsidRPr="00FF211F">
        <w:rPr>
          <w:rFonts w:cstheme="minorHAnsi"/>
        </w:rPr>
        <w:t xml:space="preserve"> (</w:t>
      </w:r>
      <w:r w:rsidR="0042595C">
        <w:rPr>
          <w:rFonts w:cstheme="minorHAnsi"/>
        </w:rPr>
        <w:t>Philadelphia,</w:t>
      </w:r>
      <w:r w:rsidRPr="00FF211F">
        <w:rPr>
          <w:rFonts w:cstheme="minorHAnsi"/>
        </w:rPr>
        <w:t xml:space="preserve"> 2010) 148</w:t>
      </w:r>
      <w:r w:rsidR="0042595C">
        <w:rPr>
          <w:rFonts w:cstheme="minorHAnsi"/>
        </w:rPr>
        <w:t>-182:</w:t>
      </w:r>
      <w:r w:rsidRPr="00FF211F">
        <w:rPr>
          <w:rFonts w:cstheme="minorHAnsi"/>
        </w:rPr>
        <w:t xml:space="preserve"> 156.</w:t>
      </w:r>
    </w:p>
  </w:footnote>
  <w:footnote w:id="75">
    <w:p w14:paraId="70EE0F41" w14:textId="49338EB3" w:rsidR="00FF211F" w:rsidRPr="00FF211F" w:rsidRDefault="00FF211F" w:rsidP="00FF211F">
      <w:pPr>
        <w:pStyle w:val="FootnoteText"/>
        <w:rPr>
          <w:rFonts w:cstheme="minorHAnsi"/>
          <w:i/>
        </w:rPr>
      </w:pPr>
      <w:r w:rsidRPr="00FF211F">
        <w:rPr>
          <w:rStyle w:val="FootnoteReference"/>
          <w:rFonts w:cstheme="minorHAnsi"/>
        </w:rPr>
        <w:footnoteRef/>
      </w:r>
      <w:r w:rsidRPr="00FF211F">
        <w:rPr>
          <w:rFonts w:cstheme="minorHAnsi"/>
        </w:rPr>
        <w:t xml:space="preserve"> </w:t>
      </w:r>
      <w:r w:rsidRPr="0042595C">
        <w:rPr>
          <w:i/>
          <w:iCs/>
        </w:rPr>
        <w:t xml:space="preserve">In re Raymond McCord </w:t>
      </w:r>
      <w:r w:rsidRPr="008D1CF4">
        <w:t>[2018] NIQB 106</w:t>
      </w:r>
      <w:r w:rsidRPr="00FF211F">
        <w:rPr>
          <w:rFonts w:eastAsiaTheme="minorEastAsia" w:cstheme="minorHAnsi"/>
        </w:rPr>
        <w:t>.</w:t>
      </w:r>
    </w:p>
  </w:footnote>
  <w:footnote w:id="76">
    <w:p w14:paraId="77CC268C" w14:textId="55A85D08" w:rsidR="00FF211F" w:rsidRPr="00FF211F" w:rsidRDefault="00FF211F" w:rsidP="00FF211F">
      <w:pPr>
        <w:pStyle w:val="FootnoteText"/>
        <w:rPr>
          <w:rFonts w:cstheme="minorHAnsi"/>
        </w:rPr>
      </w:pPr>
      <w:r w:rsidRPr="00FF211F">
        <w:rPr>
          <w:rStyle w:val="FootnoteReference"/>
          <w:rFonts w:cstheme="minorHAnsi"/>
        </w:rPr>
        <w:footnoteRef/>
      </w:r>
      <w:r w:rsidRPr="00FF211F">
        <w:rPr>
          <w:rFonts w:cstheme="minorHAnsi"/>
        </w:rPr>
        <w:t xml:space="preserve"> </w:t>
      </w:r>
      <w:r w:rsidR="0042595C" w:rsidRPr="0042595C">
        <w:rPr>
          <w:i/>
          <w:iCs/>
        </w:rPr>
        <w:t>In re Raymond McCord</w:t>
      </w:r>
      <w:r w:rsidR="0042595C">
        <w:rPr>
          <w:rFonts w:cstheme="minorHAnsi"/>
        </w:rPr>
        <w:t>,</w:t>
      </w:r>
      <w:r w:rsidRPr="00FF211F">
        <w:rPr>
          <w:rFonts w:cstheme="minorHAnsi"/>
        </w:rPr>
        <w:t xml:space="preserve"> para. 18.</w:t>
      </w:r>
    </w:p>
  </w:footnote>
  <w:footnote w:id="77">
    <w:p w14:paraId="6DEFC550" w14:textId="3B94E771" w:rsidR="00FF211F" w:rsidRPr="00FF211F" w:rsidRDefault="00FF211F" w:rsidP="00FF211F">
      <w:pPr>
        <w:pStyle w:val="FootnoteText"/>
        <w:rPr>
          <w:rFonts w:cstheme="minorHAnsi"/>
        </w:rPr>
      </w:pPr>
      <w:r w:rsidRPr="00FF211F">
        <w:rPr>
          <w:rStyle w:val="FootnoteReference"/>
          <w:rFonts w:cstheme="minorHAnsi"/>
        </w:rPr>
        <w:footnoteRef/>
      </w:r>
      <w:r w:rsidRPr="00FF211F">
        <w:rPr>
          <w:rFonts w:cstheme="minorHAnsi"/>
        </w:rPr>
        <w:t xml:space="preserve"> </w:t>
      </w:r>
      <w:r w:rsidR="0042595C" w:rsidRPr="0042595C">
        <w:rPr>
          <w:i/>
          <w:iCs/>
        </w:rPr>
        <w:t>In re Raymond McCord</w:t>
      </w:r>
      <w:r w:rsidR="0042595C">
        <w:t>,</w:t>
      </w:r>
      <w:r w:rsidR="0042595C" w:rsidRPr="0042595C">
        <w:rPr>
          <w:i/>
          <w:iCs/>
        </w:rPr>
        <w:t xml:space="preserve"> </w:t>
      </w:r>
      <w:r w:rsidRPr="00FF211F">
        <w:rPr>
          <w:rFonts w:cstheme="minorHAnsi"/>
        </w:rPr>
        <w:t>para. 20.</w:t>
      </w:r>
    </w:p>
  </w:footnote>
  <w:footnote w:id="78">
    <w:p w14:paraId="646DB8EB" w14:textId="67664A63" w:rsidR="00075E9F" w:rsidRPr="00075E9F" w:rsidRDefault="00075E9F" w:rsidP="00075E9F">
      <w:pPr>
        <w:pStyle w:val="Footnotes"/>
        <w:ind w:firstLine="0"/>
        <w:rPr>
          <w:rFonts w:asciiTheme="minorHAnsi" w:hAnsiTheme="minorHAnsi" w:cstheme="minorHAnsi"/>
          <w:sz w:val="20"/>
          <w:szCs w:val="20"/>
        </w:rPr>
      </w:pPr>
      <w:r w:rsidRPr="00075E9F">
        <w:rPr>
          <w:rStyle w:val="FootnoteReference"/>
          <w:rFonts w:asciiTheme="minorHAnsi" w:hAnsiTheme="minorHAnsi" w:cstheme="minorHAnsi"/>
          <w:sz w:val="20"/>
          <w:szCs w:val="20"/>
        </w:rPr>
        <w:footnoteRef/>
      </w:r>
      <w:r w:rsidR="0042595C">
        <w:rPr>
          <w:rFonts w:asciiTheme="minorHAnsi" w:hAnsiTheme="minorHAnsi" w:cstheme="minorHAnsi"/>
          <w:sz w:val="20"/>
          <w:szCs w:val="20"/>
        </w:rPr>
        <w:t xml:space="preserve"> Dagmar </w:t>
      </w:r>
      <w:proofErr w:type="spellStart"/>
      <w:r w:rsidR="0042595C">
        <w:rPr>
          <w:rFonts w:asciiTheme="minorHAnsi" w:hAnsiTheme="minorHAnsi" w:cstheme="minorHAnsi"/>
          <w:sz w:val="20"/>
          <w:szCs w:val="20"/>
        </w:rPr>
        <w:t>Schiek</w:t>
      </w:r>
      <w:proofErr w:type="spellEnd"/>
      <w:r w:rsidRPr="00075E9F">
        <w:rPr>
          <w:rFonts w:asciiTheme="minorHAnsi" w:hAnsiTheme="minorHAnsi" w:cstheme="minorHAnsi"/>
          <w:sz w:val="20"/>
          <w:szCs w:val="20"/>
        </w:rPr>
        <w:t xml:space="preserve"> </w:t>
      </w:r>
      <w:r w:rsidR="0042595C">
        <w:rPr>
          <w:rFonts w:asciiTheme="minorHAnsi" w:hAnsiTheme="minorHAnsi" w:cstheme="minorHAnsi"/>
          <w:sz w:val="20"/>
          <w:szCs w:val="20"/>
        </w:rPr>
        <w:t>‘</w:t>
      </w:r>
      <w:r w:rsidRPr="00075E9F">
        <w:rPr>
          <w:rFonts w:asciiTheme="minorHAnsi" w:hAnsiTheme="minorHAnsi" w:cstheme="minorHAnsi"/>
          <w:smallCaps/>
          <w:sz w:val="20"/>
          <w:szCs w:val="20"/>
        </w:rPr>
        <w:t>“</w:t>
      </w:r>
      <w:r w:rsidRPr="0042595C">
        <w:rPr>
          <w:rFonts w:asciiTheme="minorHAnsi" w:hAnsiTheme="minorHAnsi" w:cs="Calibri (Body)"/>
          <w:sz w:val="20"/>
          <w:szCs w:val="20"/>
        </w:rPr>
        <w:t>Hard Brexit”—How to Address the New Conundrum for the Island of Ireland</w:t>
      </w:r>
      <w:r w:rsidR="0042595C">
        <w:rPr>
          <w:rFonts w:asciiTheme="minorHAnsi" w:hAnsiTheme="minorHAnsi" w:cs="Calibri (Body)"/>
          <w:sz w:val="20"/>
          <w:szCs w:val="20"/>
        </w:rPr>
        <w:t>’,</w:t>
      </w:r>
      <w:r w:rsidRPr="0042595C">
        <w:rPr>
          <w:rFonts w:asciiTheme="minorHAnsi" w:hAnsiTheme="minorHAnsi" w:cs="Calibri (Body)"/>
          <w:sz w:val="20"/>
          <w:szCs w:val="20"/>
        </w:rPr>
        <w:t xml:space="preserve"> Queen’s University Belfast </w:t>
      </w:r>
      <w:r w:rsidRPr="00075E9F">
        <w:rPr>
          <w:rFonts w:asciiTheme="minorHAnsi" w:hAnsiTheme="minorHAnsi" w:cstheme="minorHAnsi"/>
          <w:sz w:val="20"/>
          <w:szCs w:val="20"/>
        </w:rPr>
        <w:t xml:space="preserve">School of Law: Research Paper 2018–02, </w:t>
      </w:r>
      <w:r w:rsidR="0042595C">
        <w:rPr>
          <w:rFonts w:asciiTheme="minorHAnsi" w:hAnsiTheme="minorHAnsi" w:cstheme="minorHAnsi"/>
          <w:sz w:val="20"/>
          <w:szCs w:val="20"/>
        </w:rPr>
        <w:t xml:space="preserve">available at: </w:t>
      </w:r>
      <w:r w:rsidR="00600072" w:rsidRPr="00600072">
        <w:rPr>
          <w:rFonts w:asciiTheme="minorHAnsi" w:hAnsiTheme="minorHAnsi" w:cstheme="minorHAnsi"/>
          <w:sz w:val="20"/>
          <w:szCs w:val="20"/>
        </w:rPr>
        <w:t>https://www.qub.ac.uk/brexit/Brexitfilestore/Filetoupload,743693,en.pdf (30 March 2024).</w:t>
      </w:r>
      <w:hyperlink w:history="1"/>
      <w:r w:rsidRPr="00075E9F">
        <w:rPr>
          <w:rFonts w:asciiTheme="minorHAnsi" w:hAnsiTheme="minorHAnsi" w:cstheme="minorHAnsi"/>
          <w:sz w:val="20"/>
          <w:szCs w:val="20"/>
        </w:rPr>
        <w:t xml:space="preserve"> On how the EU legal order accommodated the German reunification, see Christian </w:t>
      </w:r>
      <w:proofErr w:type="spellStart"/>
      <w:r w:rsidRPr="00075E9F">
        <w:rPr>
          <w:rFonts w:asciiTheme="minorHAnsi" w:hAnsiTheme="minorHAnsi" w:cstheme="minorHAnsi"/>
          <w:sz w:val="20"/>
          <w:szCs w:val="20"/>
        </w:rPr>
        <w:t>Tomuschat</w:t>
      </w:r>
      <w:proofErr w:type="spellEnd"/>
      <w:r w:rsidRPr="00075E9F">
        <w:rPr>
          <w:rFonts w:asciiTheme="minorHAnsi" w:hAnsiTheme="minorHAnsi" w:cstheme="minorHAnsi"/>
          <w:sz w:val="20"/>
          <w:szCs w:val="20"/>
        </w:rPr>
        <w:t xml:space="preserve">, </w:t>
      </w:r>
      <w:r w:rsidR="0042595C">
        <w:rPr>
          <w:rFonts w:asciiTheme="minorHAnsi" w:hAnsiTheme="minorHAnsi" w:cstheme="minorHAnsi"/>
          <w:sz w:val="20"/>
          <w:szCs w:val="20"/>
        </w:rPr>
        <w:t>‘</w:t>
      </w:r>
      <w:r w:rsidRPr="0042595C">
        <w:rPr>
          <w:rFonts w:asciiTheme="minorHAnsi" w:hAnsiTheme="minorHAnsi" w:cstheme="minorHAnsi"/>
          <w:sz w:val="20"/>
          <w:szCs w:val="20"/>
        </w:rPr>
        <w:t>A United Germany Within the European Community</w:t>
      </w:r>
      <w:r w:rsidR="0042595C">
        <w:rPr>
          <w:rFonts w:asciiTheme="minorHAnsi" w:hAnsiTheme="minorHAnsi" w:cstheme="minorHAnsi"/>
          <w:sz w:val="20"/>
          <w:szCs w:val="20"/>
        </w:rPr>
        <w:t>’</w:t>
      </w:r>
      <w:r w:rsidRPr="00075E9F">
        <w:rPr>
          <w:rFonts w:asciiTheme="minorHAnsi" w:hAnsiTheme="minorHAnsi" w:cstheme="minorHAnsi"/>
          <w:sz w:val="20"/>
          <w:szCs w:val="20"/>
        </w:rPr>
        <w:t>, 27</w:t>
      </w:r>
      <w:r w:rsidR="0042595C">
        <w:rPr>
          <w:rFonts w:asciiTheme="minorHAnsi" w:hAnsiTheme="minorHAnsi" w:cstheme="minorHAnsi"/>
          <w:sz w:val="20"/>
          <w:szCs w:val="20"/>
        </w:rPr>
        <w:t xml:space="preserve"> (1990)</w:t>
      </w:r>
      <w:r w:rsidRPr="00075E9F">
        <w:rPr>
          <w:rFonts w:asciiTheme="minorHAnsi" w:hAnsiTheme="minorHAnsi" w:cstheme="minorHAnsi"/>
          <w:sz w:val="20"/>
          <w:szCs w:val="20"/>
        </w:rPr>
        <w:t xml:space="preserve"> </w:t>
      </w:r>
      <w:r w:rsidRPr="0042595C">
        <w:rPr>
          <w:rFonts w:asciiTheme="minorHAnsi" w:hAnsiTheme="minorHAnsi" w:cs="Calibri (Body)"/>
          <w:sz w:val="20"/>
          <w:szCs w:val="20"/>
        </w:rPr>
        <w:t>Common M</w:t>
      </w:r>
      <w:r w:rsidR="0042595C">
        <w:rPr>
          <w:rFonts w:asciiTheme="minorHAnsi" w:hAnsiTheme="minorHAnsi" w:cs="Calibri (Body)"/>
          <w:sz w:val="20"/>
          <w:szCs w:val="20"/>
        </w:rPr>
        <w:t>ar</w:t>
      </w:r>
      <w:r w:rsidRPr="0042595C">
        <w:rPr>
          <w:rFonts w:asciiTheme="minorHAnsi" w:hAnsiTheme="minorHAnsi" w:cs="Calibri (Body)"/>
          <w:sz w:val="20"/>
          <w:szCs w:val="20"/>
        </w:rPr>
        <w:t>k</w:t>
      </w:r>
      <w:r w:rsidR="0042595C">
        <w:rPr>
          <w:rFonts w:asciiTheme="minorHAnsi" w:hAnsiTheme="minorHAnsi" w:cs="Calibri (Body)"/>
          <w:sz w:val="20"/>
          <w:szCs w:val="20"/>
        </w:rPr>
        <w:t>e</w:t>
      </w:r>
      <w:r w:rsidRPr="0042595C">
        <w:rPr>
          <w:rFonts w:asciiTheme="minorHAnsi" w:hAnsiTheme="minorHAnsi" w:cs="Calibri (Body)"/>
          <w:sz w:val="20"/>
          <w:szCs w:val="20"/>
        </w:rPr>
        <w:t>t L</w:t>
      </w:r>
      <w:r w:rsidR="0042595C">
        <w:rPr>
          <w:rFonts w:asciiTheme="minorHAnsi" w:hAnsiTheme="minorHAnsi" w:cs="Calibri (Body)"/>
          <w:sz w:val="20"/>
          <w:szCs w:val="20"/>
        </w:rPr>
        <w:t>aw</w:t>
      </w:r>
      <w:r w:rsidRPr="0042595C">
        <w:rPr>
          <w:rFonts w:asciiTheme="minorHAnsi" w:hAnsiTheme="minorHAnsi" w:cs="Calibri (Body)"/>
          <w:sz w:val="20"/>
          <w:szCs w:val="20"/>
        </w:rPr>
        <w:t xml:space="preserve"> Rev</w:t>
      </w:r>
      <w:r w:rsidR="0042595C">
        <w:rPr>
          <w:rFonts w:asciiTheme="minorHAnsi" w:hAnsiTheme="minorHAnsi" w:cs="Calibri (Body)"/>
          <w:sz w:val="20"/>
          <w:szCs w:val="20"/>
        </w:rPr>
        <w:t>iew</w:t>
      </w:r>
      <w:r w:rsidRPr="0042595C">
        <w:rPr>
          <w:rFonts w:asciiTheme="minorHAnsi" w:hAnsiTheme="minorHAnsi" w:cs="Calibri (Body)"/>
          <w:sz w:val="20"/>
          <w:szCs w:val="20"/>
        </w:rPr>
        <w:t xml:space="preserve"> 415</w:t>
      </w:r>
      <w:r w:rsidR="00B178F7" w:rsidRPr="00FE0B0C">
        <w:rPr>
          <w:rFonts w:asciiTheme="minorHAnsi" w:hAnsiTheme="minorHAnsi" w:cstheme="minorHAnsi"/>
          <w:sz w:val="20"/>
          <w:szCs w:val="20"/>
        </w:rPr>
        <w:t>–</w:t>
      </w:r>
      <w:r w:rsidR="0042595C">
        <w:rPr>
          <w:rFonts w:asciiTheme="minorHAnsi" w:hAnsiTheme="minorHAnsi" w:cs="Calibri (Body)"/>
          <w:sz w:val="20"/>
          <w:szCs w:val="20"/>
        </w:rPr>
        <w:t>443</w:t>
      </w:r>
      <w:r w:rsidRPr="0042595C">
        <w:rPr>
          <w:rFonts w:asciiTheme="minorHAnsi" w:hAnsiTheme="minorHAnsi" w:cs="Calibri (Body)"/>
          <w:sz w:val="20"/>
          <w:szCs w:val="20"/>
        </w:rPr>
        <w:t>; see also</w:t>
      </w:r>
      <w:r w:rsidRPr="0042595C">
        <w:rPr>
          <w:rFonts w:asciiTheme="minorHAnsi" w:hAnsiTheme="minorHAnsi" w:cs="Calibri (Body)"/>
          <w:i/>
          <w:iCs/>
          <w:sz w:val="20"/>
          <w:szCs w:val="20"/>
        </w:rPr>
        <w:t xml:space="preserve"> </w:t>
      </w:r>
      <w:r w:rsidRPr="0042595C">
        <w:rPr>
          <w:rFonts w:asciiTheme="minorHAnsi" w:hAnsiTheme="minorHAnsi" w:cs="Calibri (Body)"/>
          <w:sz w:val="20"/>
          <w:szCs w:val="20"/>
        </w:rPr>
        <w:t xml:space="preserve">Christiaan W.A. Timmermans, </w:t>
      </w:r>
      <w:r w:rsidR="0042595C">
        <w:rPr>
          <w:rFonts w:asciiTheme="minorHAnsi" w:hAnsiTheme="minorHAnsi" w:cs="Calibri (Body)"/>
          <w:sz w:val="20"/>
          <w:szCs w:val="20"/>
        </w:rPr>
        <w:t>‘</w:t>
      </w:r>
      <w:r w:rsidRPr="0042595C">
        <w:rPr>
          <w:rFonts w:asciiTheme="minorHAnsi" w:hAnsiTheme="minorHAnsi" w:cs="Calibri (Body)"/>
          <w:sz w:val="20"/>
          <w:szCs w:val="20"/>
        </w:rPr>
        <w:t>German Unification and Community Law</w:t>
      </w:r>
      <w:r w:rsidR="0042595C">
        <w:rPr>
          <w:rFonts w:asciiTheme="minorHAnsi" w:hAnsiTheme="minorHAnsi" w:cs="Calibri (Body)"/>
          <w:sz w:val="20"/>
          <w:szCs w:val="20"/>
        </w:rPr>
        <w:t>’</w:t>
      </w:r>
      <w:r w:rsidRPr="0042595C">
        <w:rPr>
          <w:rFonts w:asciiTheme="minorHAnsi" w:hAnsiTheme="minorHAnsi" w:cs="Calibri (Body)"/>
          <w:sz w:val="20"/>
          <w:szCs w:val="20"/>
        </w:rPr>
        <w:t>,</w:t>
      </w:r>
      <w:r w:rsidRPr="0042595C">
        <w:rPr>
          <w:rFonts w:asciiTheme="minorHAnsi" w:hAnsiTheme="minorHAnsi" w:cs="Calibri (Body)"/>
          <w:i/>
          <w:sz w:val="20"/>
          <w:szCs w:val="20"/>
        </w:rPr>
        <w:t xml:space="preserve"> </w:t>
      </w:r>
      <w:r w:rsidRPr="0042595C">
        <w:rPr>
          <w:rFonts w:asciiTheme="minorHAnsi" w:hAnsiTheme="minorHAnsi" w:cs="Calibri (Body)"/>
          <w:sz w:val="20"/>
          <w:szCs w:val="20"/>
        </w:rPr>
        <w:t xml:space="preserve">27 </w:t>
      </w:r>
      <w:r w:rsidR="0042595C">
        <w:rPr>
          <w:rFonts w:asciiTheme="minorHAnsi" w:hAnsiTheme="minorHAnsi" w:cstheme="minorHAnsi"/>
          <w:sz w:val="20"/>
          <w:szCs w:val="20"/>
        </w:rPr>
        <w:t>(1990)</w:t>
      </w:r>
      <w:r w:rsidR="0042595C" w:rsidRPr="00075E9F">
        <w:rPr>
          <w:rFonts w:asciiTheme="minorHAnsi" w:hAnsiTheme="minorHAnsi" w:cstheme="minorHAnsi"/>
          <w:sz w:val="20"/>
          <w:szCs w:val="20"/>
        </w:rPr>
        <w:t xml:space="preserve"> </w:t>
      </w:r>
      <w:r w:rsidR="0042595C" w:rsidRPr="0042595C">
        <w:rPr>
          <w:rFonts w:asciiTheme="minorHAnsi" w:hAnsiTheme="minorHAnsi" w:cs="Calibri (Body)"/>
          <w:sz w:val="20"/>
          <w:szCs w:val="20"/>
        </w:rPr>
        <w:t>Common M</w:t>
      </w:r>
      <w:r w:rsidR="0042595C">
        <w:rPr>
          <w:rFonts w:asciiTheme="minorHAnsi" w:hAnsiTheme="minorHAnsi" w:cs="Calibri (Body)"/>
          <w:sz w:val="20"/>
          <w:szCs w:val="20"/>
        </w:rPr>
        <w:t>ar</w:t>
      </w:r>
      <w:r w:rsidR="0042595C" w:rsidRPr="0042595C">
        <w:rPr>
          <w:rFonts w:asciiTheme="minorHAnsi" w:hAnsiTheme="minorHAnsi" w:cs="Calibri (Body)"/>
          <w:sz w:val="20"/>
          <w:szCs w:val="20"/>
        </w:rPr>
        <w:t>k</w:t>
      </w:r>
      <w:r w:rsidR="0042595C">
        <w:rPr>
          <w:rFonts w:asciiTheme="minorHAnsi" w:hAnsiTheme="minorHAnsi" w:cs="Calibri (Body)"/>
          <w:sz w:val="20"/>
          <w:szCs w:val="20"/>
        </w:rPr>
        <w:t>e</w:t>
      </w:r>
      <w:r w:rsidR="0042595C" w:rsidRPr="0042595C">
        <w:rPr>
          <w:rFonts w:asciiTheme="minorHAnsi" w:hAnsiTheme="minorHAnsi" w:cs="Calibri (Body)"/>
          <w:sz w:val="20"/>
          <w:szCs w:val="20"/>
        </w:rPr>
        <w:t>t L</w:t>
      </w:r>
      <w:r w:rsidR="0042595C">
        <w:rPr>
          <w:rFonts w:asciiTheme="minorHAnsi" w:hAnsiTheme="minorHAnsi" w:cs="Calibri (Body)"/>
          <w:sz w:val="20"/>
          <w:szCs w:val="20"/>
        </w:rPr>
        <w:t>aw</w:t>
      </w:r>
      <w:r w:rsidR="0042595C" w:rsidRPr="0042595C">
        <w:rPr>
          <w:rFonts w:asciiTheme="minorHAnsi" w:hAnsiTheme="minorHAnsi" w:cs="Calibri (Body)"/>
          <w:sz w:val="20"/>
          <w:szCs w:val="20"/>
        </w:rPr>
        <w:t xml:space="preserve"> Rev</w:t>
      </w:r>
      <w:r w:rsidR="0042595C">
        <w:rPr>
          <w:rFonts w:asciiTheme="minorHAnsi" w:hAnsiTheme="minorHAnsi" w:cs="Calibri (Body)"/>
          <w:sz w:val="20"/>
          <w:szCs w:val="20"/>
        </w:rPr>
        <w:t>iew</w:t>
      </w:r>
      <w:r w:rsidR="0042595C" w:rsidRPr="0042595C">
        <w:rPr>
          <w:rFonts w:asciiTheme="minorHAnsi" w:hAnsiTheme="minorHAnsi" w:cs="Calibri (Body)"/>
          <w:sz w:val="20"/>
          <w:szCs w:val="20"/>
        </w:rPr>
        <w:t xml:space="preserve"> </w:t>
      </w:r>
      <w:r w:rsidRPr="00075E9F">
        <w:rPr>
          <w:rFonts w:asciiTheme="minorHAnsi" w:hAnsiTheme="minorHAnsi" w:cstheme="minorHAnsi"/>
          <w:sz w:val="20"/>
          <w:szCs w:val="20"/>
        </w:rPr>
        <w:t>437</w:t>
      </w:r>
      <w:r w:rsidR="00B178F7" w:rsidRPr="00FE0B0C">
        <w:rPr>
          <w:rFonts w:asciiTheme="minorHAnsi" w:hAnsiTheme="minorHAnsi" w:cstheme="minorHAnsi"/>
          <w:sz w:val="20"/>
          <w:szCs w:val="20"/>
        </w:rPr>
        <w:t>–</w:t>
      </w:r>
      <w:r w:rsidR="0042595C">
        <w:rPr>
          <w:rFonts w:asciiTheme="minorHAnsi" w:hAnsiTheme="minorHAnsi" w:cstheme="minorHAnsi"/>
          <w:sz w:val="20"/>
          <w:szCs w:val="20"/>
        </w:rPr>
        <w:t>449</w:t>
      </w:r>
      <w:r w:rsidRPr="00075E9F">
        <w:rPr>
          <w:rFonts w:asciiTheme="minorHAnsi" w:hAnsiTheme="minorHAnsi" w:cstheme="minorHAnsi"/>
          <w:sz w:val="20"/>
          <w:szCs w:val="20"/>
        </w:rPr>
        <w:t xml:space="preserve">. </w:t>
      </w:r>
    </w:p>
  </w:footnote>
  <w:footnote w:id="79">
    <w:p w14:paraId="605BFB31" w14:textId="58BCE5C8" w:rsidR="00075E9F" w:rsidRPr="00075E9F" w:rsidRDefault="00075E9F" w:rsidP="00075E9F">
      <w:pPr>
        <w:pStyle w:val="Footnotes"/>
        <w:ind w:firstLine="0"/>
        <w:rPr>
          <w:rFonts w:asciiTheme="minorHAnsi" w:hAnsiTheme="minorHAnsi" w:cstheme="minorHAnsi"/>
          <w:sz w:val="20"/>
          <w:szCs w:val="20"/>
        </w:rPr>
      </w:pPr>
      <w:r w:rsidRPr="00075E9F">
        <w:rPr>
          <w:rStyle w:val="FootnoteReference"/>
          <w:rFonts w:asciiTheme="minorHAnsi" w:hAnsiTheme="minorHAnsi" w:cstheme="minorHAnsi"/>
          <w:sz w:val="20"/>
          <w:szCs w:val="20"/>
        </w:rPr>
        <w:footnoteRef/>
      </w:r>
      <w:r w:rsidRPr="00075E9F">
        <w:rPr>
          <w:rFonts w:asciiTheme="minorHAnsi" w:hAnsiTheme="minorHAnsi" w:cstheme="minorHAnsi"/>
          <w:sz w:val="20"/>
          <w:szCs w:val="20"/>
        </w:rPr>
        <w:t xml:space="preserve"> The German Democratic Republic’s relationship to the then-European Economic Community (EEC) was clarified in the Court of Justice’s judgment. </w:t>
      </w:r>
      <w:r w:rsidRPr="0042595C">
        <w:rPr>
          <w:rFonts w:asciiTheme="minorHAnsi" w:hAnsiTheme="minorHAnsi" w:cstheme="minorHAnsi"/>
          <w:sz w:val="20"/>
          <w:szCs w:val="20"/>
        </w:rPr>
        <w:t>See</w:t>
      </w:r>
      <w:r w:rsidRPr="00075E9F">
        <w:rPr>
          <w:rFonts w:asciiTheme="minorHAnsi" w:hAnsiTheme="minorHAnsi" w:cstheme="minorHAnsi"/>
          <w:sz w:val="20"/>
          <w:szCs w:val="20"/>
        </w:rPr>
        <w:t xml:space="preserve"> Case 14/74, </w:t>
      </w:r>
      <w:proofErr w:type="spellStart"/>
      <w:r w:rsidRPr="0042595C">
        <w:rPr>
          <w:rFonts w:asciiTheme="minorHAnsi" w:hAnsiTheme="minorHAnsi" w:cstheme="minorHAnsi"/>
          <w:i/>
          <w:iCs/>
          <w:sz w:val="20"/>
          <w:szCs w:val="20"/>
          <w:shd w:val="clear" w:color="auto" w:fill="FFFFFF"/>
        </w:rPr>
        <w:t>Norddeutsches</w:t>
      </w:r>
      <w:proofErr w:type="spellEnd"/>
      <w:r w:rsidRPr="0042595C">
        <w:rPr>
          <w:rFonts w:asciiTheme="minorHAnsi" w:hAnsiTheme="minorHAnsi" w:cstheme="minorHAnsi"/>
          <w:i/>
          <w:iCs/>
          <w:sz w:val="20"/>
          <w:szCs w:val="20"/>
          <w:shd w:val="clear" w:color="auto" w:fill="FFFFFF"/>
        </w:rPr>
        <w:t xml:space="preserve"> </w:t>
      </w:r>
      <w:proofErr w:type="spellStart"/>
      <w:r w:rsidRPr="0042595C">
        <w:rPr>
          <w:rFonts w:asciiTheme="minorHAnsi" w:hAnsiTheme="minorHAnsi" w:cstheme="minorHAnsi"/>
          <w:i/>
          <w:iCs/>
          <w:sz w:val="20"/>
          <w:szCs w:val="20"/>
          <w:shd w:val="clear" w:color="auto" w:fill="FFFFFF"/>
        </w:rPr>
        <w:t>Vieh</w:t>
      </w:r>
      <w:proofErr w:type="spellEnd"/>
      <w:r w:rsidRPr="0042595C">
        <w:rPr>
          <w:rFonts w:asciiTheme="minorHAnsi" w:hAnsiTheme="minorHAnsi" w:cstheme="minorHAnsi"/>
          <w:i/>
          <w:iCs/>
          <w:sz w:val="20"/>
          <w:szCs w:val="20"/>
          <w:shd w:val="clear" w:color="auto" w:fill="FFFFFF"/>
        </w:rPr>
        <w:t xml:space="preserve">- und </w:t>
      </w:r>
      <w:proofErr w:type="spellStart"/>
      <w:r w:rsidRPr="0042595C">
        <w:rPr>
          <w:rFonts w:asciiTheme="minorHAnsi" w:hAnsiTheme="minorHAnsi" w:cstheme="minorHAnsi"/>
          <w:i/>
          <w:iCs/>
          <w:sz w:val="20"/>
          <w:szCs w:val="20"/>
          <w:shd w:val="clear" w:color="auto" w:fill="FFFFFF"/>
        </w:rPr>
        <w:t>Fleischkontor</w:t>
      </w:r>
      <w:proofErr w:type="spellEnd"/>
      <w:r w:rsidRPr="0042595C">
        <w:rPr>
          <w:rFonts w:asciiTheme="minorHAnsi" w:hAnsiTheme="minorHAnsi" w:cstheme="minorHAnsi"/>
          <w:i/>
          <w:iCs/>
          <w:sz w:val="20"/>
          <w:szCs w:val="20"/>
          <w:shd w:val="clear" w:color="auto" w:fill="FFFFFF"/>
        </w:rPr>
        <w:t xml:space="preserve"> GmbH v. </w:t>
      </w:r>
      <w:proofErr w:type="spellStart"/>
      <w:r w:rsidRPr="0042595C">
        <w:rPr>
          <w:rFonts w:asciiTheme="minorHAnsi" w:hAnsiTheme="minorHAnsi" w:cstheme="minorHAnsi"/>
          <w:i/>
          <w:iCs/>
          <w:sz w:val="20"/>
          <w:szCs w:val="20"/>
          <w:shd w:val="clear" w:color="auto" w:fill="FFFFFF"/>
        </w:rPr>
        <w:t>Hauptzollamt</w:t>
      </w:r>
      <w:proofErr w:type="spellEnd"/>
      <w:r w:rsidRPr="0042595C">
        <w:rPr>
          <w:rFonts w:asciiTheme="minorHAnsi" w:hAnsiTheme="minorHAnsi" w:cstheme="minorHAnsi"/>
          <w:i/>
          <w:iCs/>
          <w:sz w:val="20"/>
          <w:szCs w:val="20"/>
          <w:shd w:val="clear" w:color="auto" w:fill="FFFFFF"/>
        </w:rPr>
        <w:t xml:space="preserve"> Hamburg-Jonas – </w:t>
      </w:r>
      <w:proofErr w:type="spellStart"/>
      <w:r w:rsidRPr="0042595C">
        <w:rPr>
          <w:rFonts w:asciiTheme="minorHAnsi" w:hAnsiTheme="minorHAnsi" w:cstheme="minorHAnsi"/>
          <w:i/>
          <w:iCs/>
          <w:sz w:val="20"/>
          <w:szCs w:val="20"/>
          <w:shd w:val="clear" w:color="auto" w:fill="FFFFFF"/>
        </w:rPr>
        <w:t>Ausfuhrerstattung</w:t>
      </w:r>
      <w:proofErr w:type="spellEnd"/>
      <w:r w:rsidRPr="00075E9F">
        <w:rPr>
          <w:rFonts w:asciiTheme="minorHAnsi" w:hAnsiTheme="minorHAnsi" w:cstheme="minorHAnsi"/>
          <w:sz w:val="20"/>
          <w:szCs w:val="20"/>
        </w:rPr>
        <w:t>, 1974</w:t>
      </w:r>
      <w:r w:rsidRPr="00075E9F">
        <w:rPr>
          <w:rFonts w:asciiTheme="minorHAnsi" w:hAnsiTheme="minorHAnsi" w:cstheme="minorHAnsi"/>
          <w:iCs/>
          <w:sz w:val="20"/>
          <w:szCs w:val="20"/>
        </w:rPr>
        <w:t xml:space="preserve"> E.C.R. 899</w:t>
      </w:r>
      <w:r w:rsidRPr="00075E9F">
        <w:rPr>
          <w:rFonts w:asciiTheme="minorHAnsi" w:hAnsiTheme="minorHAnsi" w:cstheme="minorHAnsi"/>
          <w:sz w:val="20"/>
          <w:szCs w:val="20"/>
        </w:rPr>
        <w:t xml:space="preserve">. The Court held that the relevant rules exonerating West Germany from applying the rules of EEC law to German internal trade </w:t>
      </w:r>
      <w:r w:rsidR="0042595C">
        <w:rPr>
          <w:rFonts w:asciiTheme="minorHAnsi" w:hAnsiTheme="minorHAnsi" w:cstheme="minorHAnsi"/>
          <w:sz w:val="20"/>
          <w:szCs w:val="20"/>
        </w:rPr>
        <w:t>‘</w:t>
      </w:r>
      <w:r w:rsidRPr="00075E9F">
        <w:rPr>
          <w:rFonts w:asciiTheme="minorHAnsi" w:hAnsiTheme="minorHAnsi" w:cstheme="minorHAnsi"/>
          <w:sz w:val="20"/>
          <w:szCs w:val="20"/>
        </w:rPr>
        <w:t>does not have the result of making the German Democratic Republic part of the Community, but only that a special system applies to it as a territory which is not part of the Community</w:t>
      </w:r>
      <w:r w:rsidR="0042595C">
        <w:rPr>
          <w:rFonts w:asciiTheme="minorHAnsi" w:hAnsiTheme="minorHAnsi" w:cstheme="minorHAnsi"/>
          <w:sz w:val="20"/>
          <w:szCs w:val="20"/>
        </w:rPr>
        <w:t>’.</w:t>
      </w:r>
    </w:p>
  </w:footnote>
  <w:footnote w:id="80">
    <w:p w14:paraId="4878CC08" w14:textId="5517F0A0" w:rsidR="00075E9F" w:rsidRPr="00075E9F" w:rsidRDefault="00075E9F" w:rsidP="00075E9F">
      <w:pPr>
        <w:pStyle w:val="Footnotes"/>
        <w:ind w:firstLine="0"/>
        <w:rPr>
          <w:rFonts w:asciiTheme="minorHAnsi" w:hAnsiTheme="minorHAnsi" w:cstheme="minorHAnsi"/>
          <w:b/>
          <w:bCs/>
          <w:sz w:val="20"/>
          <w:szCs w:val="20"/>
        </w:rPr>
      </w:pPr>
      <w:r w:rsidRPr="00075E9F">
        <w:rPr>
          <w:rStyle w:val="FootnoteReference"/>
          <w:rFonts w:asciiTheme="minorHAnsi" w:hAnsiTheme="minorHAnsi" w:cstheme="minorHAnsi"/>
          <w:sz w:val="20"/>
          <w:szCs w:val="20"/>
        </w:rPr>
        <w:footnoteRef/>
      </w:r>
      <w:r w:rsidRPr="00075E9F">
        <w:rPr>
          <w:rFonts w:asciiTheme="minorHAnsi" w:hAnsiTheme="minorHAnsi" w:cstheme="minorHAnsi"/>
          <w:sz w:val="20"/>
          <w:szCs w:val="20"/>
        </w:rPr>
        <w:t xml:space="preserve"> Daniel </w:t>
      </w:r>
      <w:proofErr w:type="spellStart"/>
      <w:r w:rsidRPr="00075E9F">
        <w:rPr>
          <w:rFonts w:asciiTheme="minorHAnsi" w:hAnsiTheme="minorHAnsi" w:cstheme="minorHAnsi"/>
          <w:sz w:val="20"/>
          <w:szCs w:val="20"/>
        </w:rPr>
        <w:t>Boffey</w:t>
      </w:r>
      <w:proofErr w:type="spellEnd"/>
      <w:r w:rsidRPr="00075E9F">
        <w:rPr>
          <w:rFonts w:asciiTheme="minorHAnsi" w:hAnsiTheme="minorHAnsi" w:cstheme="minorHAnsi"/>
          <w:sz w:val="20"/>
          <w:szCs w:val="20"/>
        </w:rPr>
        <w:t xml:space="preserve">, </w:t>
      </w:r>
      <w:r w:rsidRPr="00075E9F">
        <w:rPr>
          <w:rFonts w:asciiTheme="minorHAnsi" w:hAnsiTheme="minorHAnsi" w:cstheme="minorHAnsi"/>
          <w:i/>
          <w:iCs/>
          <w:sz w:val="20"/>
          <w:szCs w:val="20"/>
        </w:rPr>
        <w:t>Irish Leader Calls for United Ireland Provision in Brexit Deal</w:t>
      </w:r>
      <w:r w:rsidRPr="00075E9F">
        <w:rPr>
          <w:rFonts w:asciiTheme="minorHAnsi" w:hAnsiTheme="minorHAnsi" w:cstheme="minorHAnsi"/>
          <w:sz w:val="20"/>
          <w:szCs w:val="20"/>
        </w:rPr>
        <w:t xml:space="preserve">, </w:t>
      </w:r>
      <w:r w:rsidRPr="00600072">
        <w:rPr>
          <w:rFonts w:asciiTheme="minorHAnsi" w:hAnsiTheme="minorHAnsi" w:cs="Calibri (Body)"/>
          <w:sz w:val="20"/>
          <w:szCs w:val="20"/>
        </w:rPr>
        <w:t>The Guardian</w:t>
      </w:r>
      <w:r w:rsidR="00600072">
        <w:rPr>
          <w:rFonts w:asciiTheme="minorHAnsi" w:hAnsiTheme="minorHAnsi" w:cstheme="minorHAnsi"/>
          <w:sz w:val="20"/>
          <w:szCs w:val="20"/>
        </w:rPr>
        <w:t>, 23 February 2017</w:t>
      </w:r>
      <w:r w:rsidRPr="00075E9F">
        <w:rPr>
          <w:rFonts w:asciiTheme="minorHAnsi" w:hAnsiTheme="minorHAnsi" w:cstheme="minorHAnsi"/>
          <w:sz w:val="20"/>
          <w:szCs w:val="20"/>
        </w:rPr>
        <w:t>,</w:t>
      </w:r>
      <w:r w:rsidR="00600072">
        <w:rPr>
          <w:rFonts w:asciiTheme="minorHAnsi" w:hAnsiTheme="minorHAnsi" w:cstheme="minorHAnsi"/>
          <w:sz w:val="20"/>
          <w:szCs w:val="20"/>
        </w:rPr>
        <w:t xml:space="preserve"> available at:</w:t>
      </w:r>
      <w:r w:rsidRPr="00075E9F">
        <w:rPr>
          <w:rFonts w:asciiTheme="minorHAnsi" w:hAnsiTheme="minorHAnsi" w:cstheme="minorHAnsi"/>
          <w:sz w:val="20"/>
          <w:szCs w:val="20"/>
        </w:rPr>
        <w:t xml:space="preserve"> </w:t>
      </w:r>
      <w:r w:rsidR="00600072" w:rsidRPr="00600072">
        <w:rPr>
          <w:rFonts w:asciiTheme="minorHAnsi" w:hAnsiTheme="minorHAnsi" w:cstheme="minorHAnsi"/>
          <w:sz w:val="20"/>
          <w:szCs w:val="20"/>
        </w:rPr>
        <w:t>https://www.theguardian.com/politics/2017/feb/23/irish-leader-enda-kenny-calls-for-united-ireland-provision-in-brexit-deal</w:t>
      </w:r>
      <w:r w:rsidR="00600072">
        <w:rPr>
          <w:rFonts w:asciiTheme="minorHAnsi" w:hAnsiTheme="minorHAnsi" w:cstheme="minorHAnsi"/>
          <w:sz w:val="20"/>
          <w:szCs w:val="20"/>
        </w:rPr>
        <w:t xml:space="preserve"> </w:t>
      </w:r>
      <w:r w:rsidR="00600072" w:rsidRPr="00600072">
        <w:rPr>
          <w:rFonts w:asciiTheme="minorHAnsi" w:hAnsiTheme="minorHAnsi" w:cstheme="minorHAnsi"/>
          <w:sz w:val="20"/>
          <w:szCs w:val="20"/>
        </w:rPr>
        <w:t>(30 March 2024)</w:t>
      </w:r>
      <w:r w:rsidRPr="00600072">
        <w:rPr>
          <w:rFonts w:asciiTheme="minorHAnsi" w:hAnsiTheme="minorHAnsi" w:cstheme="minorHAnsi"/>
          <w:sz w:val="20"/>
          <w:szCs w:val="20"/>
        </w:rPr>
        <w:t>.</w:t>
      </w:r>
    </w:p>
  </w:footnote>
  <w:footnote w:id="81">
    <w:p w14:paraId="3E4EF18A" w14:textId="2CDF8637" w:rsidR="00473993" w:rsidRPr="00473993" w:rsidRDefault="00473993" w:rsidP="00473993">
      <w:pPr>
        <w:pStyle w:val="Footnotes"/>
        <w:ind w:firstLine="0"/>
        <w:rPr>
          <w:rFonts w:asciiTheme="minorHAnsi" w:eastAsiaTheme="minorEastAsia" w:hAnsiTheme="minorHAnsi" w:cstheme="minorHAnsi"/>
          <w:sz w:val="20"/>
          <w:szCs w:val="20"/>
        </w:rPr>
      </w:pPr>
      <w:r w:rsidRPr="00473993">
        <w:rPr>
          <w:rStyle w:val="FootnoteReference"/>
          <w:rFonts w:asciiTheme="minorHAnsi" w:hAnsiTheme="minorHAnsi" w:cstheme="minorHAnsi"/>
          <w:sz w:val="20"/>
          <w:szCs w:val="20"/>
        </w:rPr>
        <w:footnoteRef/>
      </w:r>
      <w:r w:rsidRPr="00473993">
        <w:rPr>
          <w:rFonts w:asciiTheme="minorHAnsi" w:hAnsiTheme="minorHAnsi" w:cstheme="minorHAnsi"/>
          <w:sz w:val="20"/>
          <w:szCs w:val="20"/>
        </w:rPr>
        <w:t xml:space="preserve"> European Council, ‘Statement in the minutes to the agreement on the Brexit negotiating guidelines on 29 April 29, 2017’, 23 June 2017: 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6329517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502"/>
    <w:rsid w:val="0003058D"/>
    <w:rsid w:val="00034172"/>
    <w:rsid w:val="00050DF9"/>
    <w:rsid w:val="0005656A"/>
    <w:rsid w:val="00075E9F"/>
    <w:rsid w:val="00085C44"/>
    <w:rsid w:val="000B7EE3"/>
    <w:rsid w:val="000D303C"/>
    <w:rsid w:val="000D3A42"/>
    <w:rsid w:val="000E1726"/>
    <w:rsid w:val="000F70F6"/>
    <w:rsid w:val="00112471"/>
    <w:rsid w:val="001308AC"/>
    <w:rsid w:val="00195899"/>
    <w:rsid w:val="00196E83"/>
    <w:rsid w:val="001A4B26"/>
    <w:rsid w:val="001B1237"/>
    <w:rsid w:val="001F141C"/>
    <w:rsid w:val="00210FA6"/>
    <w:rsid w:val="00226EA7"/>
    <w:rsid w:val="0025636D"/>
    <w:rsid w:val="0027789D"/>
    <w:rsid w:val="00281A18"/>
    <w:rsid w:val="00290F85"/>
    <w:rsid w:val="002A5C3A"/>
    <w:rsid w:val="002E4DD6"/>
    <w:rsid w:val="0034138F"/>
    <w:rsid w:val="003434C6"/>
    <w:rsid w:val="00355DBA"/>
    <w:rsid w:val="003926A8"/>
    <w:rsid w:val="00394465"/>
    <w:rsid w:val="00394502"/>
    <w:rsid w:val="003D3DAF"/>
    <w:rsid w:val="003E17CE"/>
    <w:rsid w:val="003F68CB"/>
    <w:rsid w:val="00424008"/>
    <w:rsid w:val="0042595C"/>
    <w:rsid w:val="00436FBB"/>
    <w:rsid w:val="00441011"/>
    <w:rsid w:val="004472BF"/>
    <w:rsid w:val="00447B8F"/>
    <w:rsid w:val="00473993"/>
    <w:rsid w:val="004A1736"/>
    <w:rsid w:val="004E285F"/>
    <w:rsid w:val="00542F61"/>
    <w:rsid w:val="005445A6"/>
    <w:rsid w:val="005474F5"/>
    <w:rsid w:val="0056218D"/>
    <w:rsid w:val="00563014"/>
    <w:rsid w:val="00574C2B"/>
    <w:rsid w:val="005921D4"/>
    <w:rsid w:val="005A1561"/>
    <w:rsid w:val="005B59FC"/>
    <w:rsid w:val="005D5218"/>
    <w:rsid w:val="005E14A8"/>
    <w:rsid w:val="005E7A59"/>
    <w:rsid w:val="00600072"/>
    <w:rsid w:val="006002D4"/>
    <w:rsid w:val="00602EEE"/>
    <w:rsid w:val="00603FDB"/>
    <w:rsid w:val="0063017F"/>
    <w:rsid w:val="00683FB5"/>
    <w:rsid w:val="006A5DD1"/>
    <w:rsid w:val="006B1054"/>
    <w:rsid w:val="006B65CF"/>
    <w:rsid w:val="006D0165"/>
    <w:rsid w:val="00721782"/>
    <w:rsid w:val="00751DA6"/>
    <w:rsid w:val="00767BE4"/>
    <w:rsid w:val="007712E3"/>
    <w:rsid w:val="00782EAC"/>
    <w:rsid w:val="00792076"/>
    <w:rsid w:val="007B0422"/>
    <w:rsid w:val="007E3280"/>
    <w:rsid w:val="007E77F2"/>
    <w:rsid w:val="008402A3"/>
    <w:rsid w:val="00861B1D"/>
    <w:rsid w:val="00875B99"/>
    <w:rsid w:val="008817B7"/>
    <w:rsid w:val="00894F49"/>
    <w:rsid w:val="008A5BAC"/>
    <w:rsid w:val="0092007B"/>
    <w:rsid w:val="0092736B"/>
    <w:rsid w:val="00943126"/>
    <w:rsid w:val="00981442"/>
    <w:rsid w:val="00984989"/>
    <w:rsid w:val="009A3856"/>
    <w:rsid w:val="009C0059"/>
    <w:rsid w:val="00A02A70"/>
    <w:rsid w:val="00A20E63"/>
    <w:rsid w:val="00A6593C"/>
    <w:rsid w:val="00A94159"/>
    <w:rsid w:val="00AC5FA2"/>
    <w:rsid w:val="00AC6BA4"/>
    <w:rsid w:val="00AE00A8"/>
    <w:rsid w:val="00AE2E0B"/>
    <w:rsid w:val="00B05764"/>
    <w:rsid w:val="00B178F7"/>
    <w:rsid w:val="00B2299F"/>
    <w:rsid w:val="00B46723"/>
    <w:rsid w:val="00B53889"/>
    <w:rsid w:val="00B7104A"/>
    <w:rsid w:val="00B91E8B"/>
    <w:rsid w:val="00BB4476"/>
    <w:rsid w:val="00BD1E91"/>
    <w:rsid w:val="00C02C95"/>
    <w:rsid w:val="00C602EE"/>
    <w:rsid w:val="00C64146"/>
    <w:rsid w:val="00C733EF"/>
    <w:rsid w:val="00C80314"/>
    <w:rsid w:val="00C90FAB"/>
    <w:rsid w:val="00C9518A"/>
    <w:rsid w:val="00CA6E6D"/>
    <w:rsid w:val="00CB2B40"/>
    <w:rsid w:val="00CD16CC"/>
    <w:rsid w:val="00CE36A7"/>
    <w:rsid w:val="00CE7458"/>
    <w:rsid w:val="00D30925"/>
    <w:rsid w:val="00D43A8D"/>
    <w:rsid w:val="00D55C5E"/>
    <w:rsid w:val="00D61DD2"/>
    <w:rsid w:val="00D668AA"/>
    <w:rsid w:val="00D745D2"/>
    <w:rsid w:val="00D750B0"/>
    <w:rsid w:val="00D96AAE"/>
    <w:rsid w:val="00DC0CD1"/>
    <w:rsid w:val="00DF036E"/>
    <w:rsid w:val="00E20D2B"/>
    <w:rsid w:val="00E40453"/>
    <w:rsid w:val="00E44EAF"/>
    <w:rsid w:val="00E7003C"/>
    <w:rsid w:val="00E72351"/>
    <w:rsid w:val="00F1243E"/>
    <w:rsid w:val="00F167D1"/>
    <w:rsid w:val="00F25961"/>
    <w:rsid w:val="00F26072"/>
    <w:rsid w:val="00F341AC"/>
    <w:rsid w:val="00F36F76"/>
    <w:rsid w:val="00F64B30"/>
    <w:rsid w:val="00F908D3"/>
    <w:rsid w:val="00FB53CC"/>
    <w:rsid w:val="00FE0B0C"/>
    <w:rsid w:val="00FE2768"/>
    <w:rsid w:val="00FF03AF"/>
    <w:rsid w:val="00FF21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94856EB"/>
  <w15:chartTrackingRefBased/>
  <w15:docId w15:val="{A5F57E13-D71E-134D-8168-130113C55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9C0059"/>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FSR footnote,Footnote,Fußnote,lábléc,Footnote Text Char Char,C26 Footnote body,Voetnoottekst Char,Voetnoottekst Char1 Char,Voetnoottekst Char Char Char,Footnote Char Char Char,Fußnote Char Char Char,RSC_WP (footnotes)"/>
    <w:basedOn w:val="Normal"/>
    <w:link w:val="FootnoteTextChar"/>
    <w:uiPriority w:val="99"/>
    <w:unhideWhenUsed/>
    <w:rsid w:val="003434C6"/>
    <w:rPr>
      <w:sz w:val="20"/>
      <w:szCs w:val="20"/>
    </w:rPr>
  </w:style>
  <w:style w:type="character" w:customStyle="1" w:styleId="FootnoteTextChar">
    <w:name w:val="Footnote Text Char"/>
    <w:aliases w:val="fn Char,FSR footnote Char,Footnote Char,Fußnote Char,lábléc Char,Footnote Text Char Char Char,C26 Footnote body Char,Voetnoottekst Char Char,Voetnoottekst Char1 Char Char,Voetnoottekst Char Char Char Char,Footnote Char Char Char Char"/>
    <w:basedOn w:val="DefaultParagraphFont"/>
    <w:link w:val="FootnoteText"/>
    <w:uiPriority w:val="99"/>
    <w:rsid w:val="003434C6"/>
    <w:rPr>
      <w:sz w:val="20"/>
      <w:szCs w:val="20"/>
    </w:rPr>
  </w:style>
  <w:style w:type="character" w:styleId="FootnoteReference">
    <w:name w:val="footnote reference"/>
    <w:aliases w:val="Footnote Reference Number,Footnote Reference_LVL6,Footnote Reference_LVL61,Footnote Reference_LVL62,Footnote Reference_LVL63,Footnote Reference_LVL64,C26 Footnote Number,Footnote symbol,Footnote Reference_LVL65,Footnote Reference1,f,o"/>
    <w:basedOn w:val="DefaultParagraphFont"/>
    <w:uiPriority w:val="99"/>
    <w:unhideWhenUsed/>
    <w:qFormat/>
    <w:rsid w:val="003434C6"/>
    <w:rPr>
      <w:vertAlign w:val="superscript"/>
    </w:rPr>
  </w:style>
  <w:style w:type="character" w:customStyle="1" w:styleId="URL">
    <w:name w:val="‡URL"/>
    <w:rsid w:val="00F341AC"/>
    <w:rPr>
      <w:color w:val="auto"/>
      <w:bdr w:val="single" w:sz="4" w:space="0" w:color="0000FF"/>
    </w:rPr>
  </w:style>
  <w:style w:type="paragraph" w:customStyle="1" w:styleId="TextInd">
    <w:name w:val="†TextInd"/>
    <w:rsid w:val="00F341AC"/>
    <w:pPr>
      <w:spacing w:line="480" w:lineRule="auto"/>
      <w:ind w:firstLine="720"/>
    </w:pPr>
    <w:rPr>
      <w:rFonts w:ascii="Times New Roman" w:eastAsia="Times New Roman" w:hAnsi="Times New Roman" w:cs="Times New Roman"/>
      <w:lang w:val="en-US"/>
    </w:rPr>
  </w:style>
  <w:style w:type="paragraph" w:customStyle="1" w:styleId="TextFlushLeft">
    <w:name w:val="†TextFlushLeft"/>
    <w:rsid w:val="00F341AC"/>
    <w:pPr>
      <w:spacing w:line="480" w:lineRule="auto"/>
    </w:pPr>
    <w:rPr>
      <w:rFonts w:ascii="Times New Roman" w:eastAsia="Times New Roman" w:hAnsi="Times New Roman" w:cs="Times New Roman"/>
      <w:lang w:val="en-US"/>
    </w:rPr>
  </w:style>
  <w:style w:type="paragraph" w:customStyle="1" w:styleId="Note">
    <w:name w:val="†Note"/>
    <w:rsid w:val="00F341AC"/>
    <w:pPr>
      <w:spacing w:line="480" w:lineRule="auto"/>
      <w:ind w:left="720" w:hanging="720"/>
    </w:pPr>
    <w:rPr>
      <w:rFonts w:ascii="Times New Roman" w:eastAsia="Times New Roman" w:hAnsi="Times New Roman" w:cs="Times New Roman"/>
      <w:lang w:val="en-US"/>
    </w:rPr>
  </w:style>
  <w:style w:type="paragraph" w:customStyle="1" w:styleId="ExtractEnd">
    <w:name w:val="†ExtractEnd"/>
    <w:basedOn w:val="Normal"/>
    <w:qFormat/>
    <w:rsid w:val="00F341AC"/>
    <w:pPr>
      <w:pBdr>
        <w:left w:val="dashed" w:sz="12" w:space="4" w:color="auto"/>
        <w:bottom w:val="dashed" w:sz="12" w:space="1" w:color="auto"/>
        <w:right w:val="dashed" w:sz="12" w:space="4" w:color="auto"/>
      </w:pBdr>
      <w:shd w:val="pct12" w:color="auto" w:fill="FFFFFF"/>
      <w:overflowPunct w:val="0"/>
      <w:autoSpaceDE w:val="0"/>
      <w:autoSpaceDN w:val="0"/>
      <w:adjustRightInd w:val="0"/>
      <w:spacing w:before="360" w:after="360" w:line="360" w:lineRule="exact"/>
      <w:jc w:val="center"/>
      <w:textAlignment w:val="baseline"/>
    </w:pPr>
    <w:rPr>
      <w:rFonts w:ascii="Arial Unicode MS" w:eastAsia="Arial Unicode MS" w:hAnsi="Arial Unicode MS" w:cs="Times New Roman"/>
      <w:b/>
      <w:color w:val="660033"/>
      <w:sz w:val="28"/>
      <w:szCs w:val="20"/>
      <w:lang w:val="en-US"/>
    </w:rPr>
  </w:style>
  <w:style w:type="paragraph" w:customStyle="1" w:styleId="ExtractBegin">
    <w:name w:val="†ExtractBegin"/>
    <w:basedOn w:val="Normal"/>
    <w:qFormat/>
    <w:rsid w:val="00F341AC"/>
    <w:pPr>
      <w:pBdr>
        <w:top w:val="dashed" w:sz="12" w:space="1" w:color="auto"/>
        <w:left w:val="dashed" w:sz="12" w:space="4" w:color="auto"/>
        <w:right w:val="dashed" w:sz="12" w:space="4" w:color="auto"/>
      </w:pBdr>
      <w:shd w:val="pct12" w:color="auto" w:fill="FFFFFF"/>
      <w:overflowPunct w:val="0"/>
      <w:autoSpaceDE w:val="0"/>
      <w:autoSpaceDN w:val="0"/>
      <w:adjustRightInd w:val="0"/>
      <w:spacing w:before="360" w:after="360" w:line="360" w:lineRule="exact"/>
      <w:jc w:val="center"/>
      <w:textAlignment w:val="baseline"/>
    </w:pPr>
    <w:rPr>
      <w:rFonts w:ascii="Arial Unicode MS" w:eastAsia="Arial Unicode MS" w:hAnsi="Arial Unicode MS" w:cs="Times New Roman"/>
      <w:b/>
      <w:color w:val="660033"/>
      <w:sz w:val="28"/>
      <w:szCs w:val="20"/>
      <w:lang w:val="en-US"/>
    </w:rPr>
  </w:style>
  <w:style w:type="paragraph" w:customStyle="1" w:styleId="ExtractSource">
    <w:name w:val="†Extract_Source"/>
    <w:rsid w:val="00F341AC"/>
    <w:pPr>
      <w:spacing w:line="480" w:lineRule="auto"/>
      <w:ind w:left="720" w:right="720"/>
      <w:jc w:val="right"/>
    </w:pPr>
    <w:rPr>
      <w:rFonts w:ascii="Times New Roman" w:eastAsia="Times New Roman" w:hAnsi="Times New Roman" w:cs="Times New Roman"/>
      <w:color w:val="003366"/>
      <w:sz w:val="20"/>
      <w:lang w:val="en-US"/>
    </w:rPr>
  </w:style>
  <w:style w:type="paragraph" w:customStyle="1" w:styleId="Extract">
    <w:name w:val="†Extract"/>
    <w:rsid w:val="00F341AC"/>
    <w:pPr>
      <w:spacing w:line="480" w:lineRule="auto"/>
      <w:ind w:left="720" w:right="720"/>
    </w:pPr>
    <w:rPr>
      <w:rFonts w:ascii="Times New Roman" w:eastAsia="Times New Roman" w:hAnsi="Times New Roman" w:cs="Times New Roman"/>
      <w:color w:val="003366"/>
      <w:sz w:val="20"/>
      <w:lang w:val="en-US"/>
    </w:rPr>
  </w:style>
  <w:style w:type="character" w:styleId="Hyperlink">
    <w:name w:val="Hyperlink"/>
    <w:basedOn w:val="DefaultParagraphFont"/>
    <w:uiPriority w:val="99"/>
    <w:unhideWhenUsed/>
    <w:rsid w:val="00F341AC"/>
    <w:rPr>
      <w:color w:val="0563C1" w:themeColor="hyperlink"/>
      <w:u w:val="single"/>
    </w:rPr>
  </w:style>
  <w:style w:type="paragraph" w:styleId="EndnoteText">
    <w:name w:val="endnote text"/>
    <w:basedOn w:val="Normal"/>
    <w:link w:val="EndnoteTextChar"/>
    <w:uiPriority w:val="99"/>
    <w:unhideWhenUsed/>
    <w:rsid w:val="00F341AC"/>
    <w:rPr>
      <w:sz w:val="20"/>
      <w:szCs w:val="20"/>
    </w:rPr>
  </w:style>
  <w:style w:type="character" w:customStyle="1" w:styleId="EndnoteTextChar">
    <w:name w:val="Endnote Text Char"/>
    <w:basedOn w:val="DefaultParagraphFont"/>
    <w:link w:val="EndnoteText"/>
    <w:uiPriority w:val="99"/>
    <w:rsid w:val="00F341AC"/>
    <w:rPr>
      <w:sz w:val="20"/>
      <w:szCs w:val="20"/>
    </w:rPr>
  </w:style>
  <w:style w:type="character" w:styleId="EndnoteReference">
    <w:name w:val="endnote reference"/>
    <w:basedOn w:val="DefaultParagraphFont"/>
    <w:uiPriority w:val="99"/>
    <w:semiHidden/>
    <w:unhideWhenUsed/>
    <w:rsid w:val="00F341AC"/>
    <w:rPr>
      <w:vertAlign w:val="superscript"/>
    </w:rPr>
  </w:style>
  <w:style w:type="character" w:customStyle="1" w:styleId="refvolumeNumber">
    <w:name w:val="‡ref_volumeNumber"/>
    <w:rsid w:val="00FE0B0C"/>
    <w:rPr>
      <w:color w:val="FF0000"/>
    </w:rPr>
  </w:style>
  <w:style w:type="character" w:customStyle="1" w:styleId="reftitleJournal">
    <w:name w:val="‡ref_titleJournal"/>
    <w:rsid w:val="00FE0B0C"/>
    <w:rPr>
      <w:color w:val="3366FF"/>
    </w:rPr>
  </w:style>
  <w:style w:type="character" w:customStyle="1" w:styleId="reftitleArticle">
    <w:name w:val="‡ref_titleArticle"/>
    <w:rsid w:val="00FE0B0C"/>
    <w:rPr>
      <w:color w:val="808080"/>
    </w:rPr>
  </w:style>
  <w:style w:type="character" w:customStyle="1" w:styleId="refpubdateYear">
    <w:name w:val="‡ref_pubdateYear"/>
    <w:rsid w:val="00FE0B0C"/>
    <w:rPr>
      <w:color w:val="FF99CC"/>
    </w:rPr>
  </w:style>
  <w:style w:type="character" w:customStyle="1" w:styleId="refpageLast">
    <w:name w:val="‡ref_pageLast"/>
    <w:rsid w:val="00FE0B0C"/>
    <w:rPr>
      <w:color w:val="0000FF"/>
    </w:rPr>
  </w:style>
  <w:style w:type="character" w:customStyle="1" w:styleId="refpageFirst">
    <w:name w:val="‡ref_pageFirst"/>
    <w:rsid w:val="00FE0B0C"/>
    <w:rPr>
      <w:color w:val="008080"/>
    </w:rPr>
  </w:style>
  <w:style w:type="character" w:customStyle="1" w:styleId="refissueNumber">
    <w:name w:val="‡ref_issueNumber"/>
    <w:rsid w:val="00FE0B0C"/>
    <w:rPr>
      <w:color w:val="6565FF"/>
    </w:rPr>
  </w:style>
  <w:style w:type="character" w:customStyle="1" w:styleId="refidDOI">
    <w:name w:val="‡ref_idDOI"/>
    <w:rsid w:val="00FE0B0C"/>
    <w:rPr>
      <w:color w:val="800080"/>
    </w:rPr>
  </w:style>
  <w:style w:type="character" w:customStyle="1" w:styleId="refauSurname">
    <w:name w:val="‡ref_auSurname"/>
    <w:rsid w:val="00FE0B0C"/>
    <w:rPr>
      <w:color w:val="008000"/>
      <w:bdr w:val="none" w:sz="0" w:space="0" w:color="auto"/>
      <w:shd w:val="clear" w:color="auto" w:fill="auto"/>
    </w:rPr>
  </w:style>
  <w:style w:type="character" w:customStyle="1" w:styleId="refauGivenName">
    <w:name w:val="‡ref_auGivenName"/>
    <w:rsid w:val="00FE0B0C"/>
    <w:rPr>
      <w:color w:val="993300"/>
      <w:bdr w:val="none" w:sz="0" w:space="0" w:color="auto"/>
      <w:shd w:val="clear" w:color="auto" w:fill="auto"/>
    </w:rPr>
  </w:style>
  <w:style w:type="paragraph" w:customStyle="1" w:styleId="Reference">
    <w:name w:val="†Reference"/>
    <w:rsid w:val="00FE0B0C"/>
    <w:pPr>
      <w:spacing w:line="480" w:lineRule="auto"/>
      <w:ind w:left="720" w:hanging="720"/>
    </w:pPr>
    <w:rPr>
      <w:rFonts w:ascii="Times New Roman" w:eastAsia="Times New Roman" w:hAnsi="Times New Roman" w:cs="Times New Roman"/>
      <w:lang w:val="en-US"/>
    </w:rPr>
  </w:style>
  <w:style w:type="paragraph" w:styleId="CommentText">
    <w:name w:val="annotation text"/>
    <w:basedOn w:val="Normal"/>
    <w:link w:val="CommentTextChar"/>
    <w:uiPriority w:val="99"/>
    <w:unhideWhenUsed/>
    <w:qFormat/>
    <w:rsid w:val="00F64B30"/>
    <w:pPr>
      <w:overflowPunct w:val="0"/>
      <w:autoSpaceDE w:val="0"/>
      <w:autoSpaceDN w:val="0"/>
      <w:adjustRightInd w:val="0"/>
      <w:textAlignment w:val="baseline"/>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F64B30"/>
    <w:rPr>
      <w:rFonts w:ascii="Times New Roman" w:eastAsia="Times New Roman" w:hAnsi="Times New Roman" w:cs="Times New Roman"/>
      <w:sz w:val="20"/>
      <w:szCs w:val="20"/>
    </w:rPr>
  </w:style>
  <w:style w:type="character" w:styleId="Strong">
    <w:name w:val="Strong"/>
    <w:basedOn w:val="DefaultParagraphFont"/>
    <w:uiPriority w:val="22"/>
    <w:qFormat/>
    <w:rsid w:val="00F167D1"/>
    <w:rPr>
      <w:b/>
      <w:bCs/>
    </w:rPr>
  </w:style>
  <w:style w:type="character" w:styleId="CommentReference">
    <w:name w:val="annotation reference"/>
    <w:basedOn w:val="DefaultParagraphFont"/>
    <w:uiPriority w:val="99"/>
    <w:rsid w:val="00F167D1"/>
    <w:rPr>
      <w:sz w:val="16"/>
      <w:szCs w:val="16"/>
    </w:rPr>
  </w:style>
  <w:style w:type="character" w:styleId="FollowedHyperlink">
    <w:name w:val="FollowedHyperlink"/>
    <w:basedOn w:val="DefaultParagraphFont"/>
    <w:uiPriority w:val="99"/>
    <w:semiHidden/>
    <w:unhideWhenUsed/>
    <w:rsid w:val="007B0422"/>
    <w:rPr>
      <w:color w:val="954F72" w:themeColor="followedHyperlink"/>
      <w:u w:val="single"/>
    </w:rPr>
  </w:style>
  <w:style w:type="character" w:customStyle="1" w:styleId="reftitleBook">
    <w:name w:val="‡ref_titleBook"/>
    <w:rsid w:val="007B0422"/>
    <w:rPr>
      <w:color w:val="3366FF"/>
    </w:rPr>
  </w:style>
  <w:style w:type="character" w:customStyle="1" w:styleId="refpublisherName">
    <w:name w:val="‡ref_publisherName"/>
    <w:rsid w:val="007B0422"/>
    <w:rPr>
      <w:color w:val="2D7864"/>
    </w:rPr>
  </w:style>
  <w:style w:type="character" w:customStyle="1" w:styleId="refpublisherLocation">
    <w:name w:val="‡ref_publisherLocation"/>
    <w:rsid w:val="007B0422"/>
    <w:rPr>
      <w:color w:val="FF9900"/>
    </w:rPr>
  </w:style>
  <w:style w:type="character" w:customStyle="1" w:styleId="refURL">
    <w:name w:val="‡ref_URL"/>
    <w:rsid w:val="00355DBA"/>
    <w:rPr>
      <w:bdr w:val="single" w:sz="4" w:space="0" w:color="FF0000"/>
    </w:rPr>
  </w:style>
  <w:style w:type="character" w:styleId="UnresolvedMention">
    <w:name w:val="Unresolved Mention"/>
    <w:basedOn w:val="DefaultParagraphFont"/>
    <w:uiPriority w:val="99"/>
    <w:semiHidden/>
    <w:unhideWhenUsed/>
    <w:rsid w:val="008A5BAC"/>
    <w:rPr>
      <w:color w:val="605E5C"/>
      <w:shd w:val="clear" w:color="auto" w:fill="E1DFDD"/>
    </w:rPr>
  </w:style>
  <w:style w:type="paragraph" w:customStyle="1" w:styleId="BodyTextFormat">
    <w:name w:val="Body Text Format"/>
    <w:basedOn w:val="Normal"/>
    <w:qFormat/>
    <w:rsid w:val="00C64146"/>
    <w:pPr>
      <w:adjustRightInd w:val="0"/>
      <w:ind w:firstLine="360"/>
      <w:jc w:val="both"/>
    </w:pPr>
    <w:rPr>
      <w:rFonts w:ascii="Garamond" w:eastAsia="Times New Roman" w:hAnsi="Garamond" w:cstheme="majorHAnsi"/>
      <w:sz w:val="23"/>
      <w:szCs w:val="23"/>
      <w:lang w:eastAsia="en-GB"/>
    </w:rPr>
  </w:style>
  <w:style w:type="paragraph" w:customStyle="1" w:styleId="Footnotes">
    <w:name w:val="Footnotes"/>
    <w:basedOn w:val="Normal"/>
    <w:link w:val="FootnotesChar"/>
    <w:qFormat/>
    <w:rsid w:val="00C64146"/>
    <w:pPr>
      <w:ind w:firstLine="360"/>
    </w:pPr>
    <w:rPr>
      <w:rFonts w:ascii="Garamond" w:eastAsia="Times New Roman" w:hAnsi="Garamond" w:cstheme="majorHAnsi"/>
      <w:color w:val="000000" w:themeColor="text1"/>
      <w:sz w:val="17"/>
      <w:szCs w:val="17"/>
      <w:lang w:eastAsia="en-GB"/>
    </w:rPr>
  </w:style>
  <w:style w:type="character" w:customStyle="1" w:styleId="FootnotesChar">
    <w:name w:val="Footnotes Char"/>
    <w:basedOn w:val="DefaultParagraphFont"/>
    <w:link w:val="Footnotes"/>
    <w:rsid w:val="00C64146"/>
    <w:rPr>
      <w:rFonts w:ascii="Garamond" w:eastAsia="Times New Roman" w:hAnsi="Garamond" w:cstheme="majorHAnsi"/>
      <w:color w:val="000000" w:themeColor="text1"/>
      <w:sz w:val="17"/>
      <w:szCs w:val="17"/>
      <w:lang w:eastAsia="en-GB"/>
    </w:rPr>
  </w:style>
  <w:style w:type="paragraph" w:styleId="Footer">
    <w:name w:val="footer"/>
    <w:basedOn w:val="Normal"/>
    <w:link w:val="FooterChar"/>
    <w:uiPriority w:val="99"/>
    <w:unhideWhenUsed/>
    <w:rsid w:val="003F68CB"/>
    <w:pPr>
      <w:tabs>
        <w:tab w:val="center" w:pos="4513"/>
        <w:tab w:val="right" w:pos="9026"/>
      </w:tabs>
    </w:pPr>
  </w:style>
  <w:style w:type="character" w:customStyle="1" w:styleId="FooterChar">
    <w:name w:val="Footer Char"/>
    <w:basedOn w:val="DefaultParagraphFont"/>
    <w:link w:val="Footer"/>
    <w:uiPriority w:val="99"/>
    <w:rsid w:val="003F68CB"/>
  </w:style>
  <w:style w:type="character" w:styleId="PageNumber">
    <w:name w:val="page number"/>
    <w:basedOn w:val="DefaultParagraphFont"/>
    <w:uiPriority w:val="99"/>
    <w:semiHidden/>
    <w:unhideWhenUsed/>
    <w:rsid w:val="003F68CB"/>
  </w:style>
  <w:style w:type="paragraph" w:styleId="Header">
    <w:name w:val="header"/>
    <w:basedOn w:val="Normal"/>
    <w:link w:val="HeaderChar"/>
    <w:uiPriority w:val="99"/>
    <w:unhideWhenUsed/>
    <w:rsid w:val="003F68CB"/>
    <w:pPr>
      <w:tabs>
        <w:tab w:val="center" w:pos="4513"/>
        <w:tab w:val="right" w:pos="9026"/>
      </w:tabs>
    </w:pPr>
  </w:style>
  <w:style w:type="character" w:customStyle="1" w:styleId="HeaderChar">
    <w:name w:val="Header Char"/>
    <w:basedOn w:val="DefaultParagraphFont"/>
    <w:link w:val="Header"/>
    <w:uiPriority w:val="99"/>
    <w:rsid w:val="003F68CB"/>
  </w:style>
  <w:style w:type="character" w:customStyle="1" w:styleId="refauCollab">
    <w:name w:val="‡ref_auCollab"/>
    <w:rsid w:val="00D745D2"/>
    <w:rPr>
      <w:color w:val="FF0000"/>
    </w:rPr>
  </w:style>
  <w:style w:type="paragraph" w:customStyle="1" w:styleId="Default">
    <w:name w:val="Default"/>
    <w:rsid w:val="00D96AAE"/>
    <w:pPr>
      <w:autoSpaceDE w:val="0"/>
      <w:autoSpaceDN w:val="0"/>
      <w:adjustRightInd w:val="0"/>
    </w:pPr>
    <w:rPr>
      <w:rFonts w:ascii="Arial" w:hAnsi="Arial" w:cs="Arial"/>
      <w:color w:val="000000"/>
    </w:rPr>
  </w:style>
  <w:style w:type="paragraph" w:styleId="ListParagraph">
    <w:name w:val="List Paragraph"/>
    <w:basedOn w:val="Normal"/>
    <w:uiPriority w:val="34"/>
    <w:qFormat/>
    <w:rsid w:val="00FF211F"/>
    <w:pPr>
      <w:ind w:left="720"/>
      <w:contextualSpacing/>
    </w:pPr>
    <w:rPr>
      <w:rFonts w:ascii="Cambria" w:eastAsia="Cambria" w:hAnsi="Cambria" w:cs="Times New Roman"/>
      <w:lang w:val="en-US"/>
    </w:rPr>
  </w:style>
  <w:style w:type="character" w:customStyle="1" w:styleId="apple-converted-space">
    <w:name w:val="apple-converted-space"/>
    <w:basedOn w:val="DefaultParagraphFont"/>
    <w:rsid w:val="00FF211F"/>
  </w:style>
  <w:style w:type="character" w:customStyle="1" w:styleId="tag">
    <w:name w:val="tag"/>
    <w:rsid w:val="00FF211F"/>
    <w:rPr>
      <w:rFonts w:ascii="Arial" w:hAnsi="Arial"/>
      <w:color w:val="808080"/>
      <w:spacing w:val="0"/>
      <w:kern w:val="0"/>
      <w:position w:val="0"/>
      <w:sz w:val="24"/>
      <w:szCs w:val="24"/>
      <w:u w:val="none"/>
      <w:vertAlign w:val="baseline"/>
    </w:rPr>
  </w:style>
  <w:style w:type="paragraph" w:styleId="NormalWeb">
    <w:name w:val="Normal (Web)"/>
    <w:basedOn w:val="Normal"/>
    <w:uiPriority w:val="99"/>
    <w:unhideWhenUsed/>
    <w:rsid w:val="008817B7"/>
    <w:pPr>
      <w:spacing w:before="100" w:beforeAutospacing="1" w:after="100" w:afterAutospacing="1"/>
    </w:pPr>
    <w:rPr>
      <w:rFonts w:ascii="Times" w:eastAsia="Cambria" w:hAnsi="Times" w:cs="Times New Roman"/>
      <w:sz w:val="20"/>
      <w:szCs w:val="20"/>
    </w:rPr>
  </w:style>
  <w:style w:type="character" w:styleId="Emphasis">
    <w:name w:val="Emphasis"/>
    <w:uiPriority w:val="20"/>
    <w:qFormat/>
    <w:rsid w:val="008817B7"/>
    <w:rPr>
      <w:rFonts w:cs="Times New Roman"/>
      <w:i/>
    </w:rPr>
  </w:style>
  <w:style w:type="character" w:customStyle="1" w:styleId="Heading3Char">
    <w:name w:val="Heading 3 Char"/>
    <w:basedOn w:val="DefaultParagraphFont"/>
    <w:link w:val="Heading3"/>
    <w:uiPriority w:val="9"/>
    <w:rsid w:val="009C0059"/>
    <w:rPr>
      <w:rFonts w:ascii="Times New Roman" w:eastAsia="Times New Roman" w:hAnsi="Times New Roman" w:cs="Times New Roman"/>
      <w:b/>
      <w:bCs/>
      <w:sz w:val="27"/>
      <w:szCs w:val="27"/>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462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5007</TotalTime>
  <Pages>27</Pages>
  <Words>6151</Words>
  <Characters>35067</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Nikos SKOUTARIS</dc:creator>
  <cp:keywords/>
  <dc:description/>
  <cp:lastModifiedBy>Nikos SKOUTARIS</cp:lastModifiedBy>
  <cp:revision>15</cp:revision>
  <dcterms:created xsi:type="dcterms:W3CDTF">2025-04-02T14:12:00Z</dcterms:created>
  <dcterms:modified xsi:type="dcterms:W3CDTF">2025-05-13T15:21:00Z</dcterms:modified>
</cp:coreProperties>
</file>