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E8C28" w14:textId="4ED99CB1" w:rsidR="00622B45" w:rsidRPr="0031297D" w:rsidRDefault="000D6EE4" w:rsidP="0031297D">
      <w:pPr>
        <w:widowControl w:val="0"/>
        <w:spacing w:line="276" w:lineRule="auto"/>
        <w:jc w:val="center"/>
        <w:rPr>
          <w:rFonts w:ascii="Arial" w:hAnsi="Arial" w:cs="Arial"/>
          <w:b/>
          <w:bCs/>
          <w:sz w:val="40"/>
          <w:szCs w:val="40"/>
        </w:rPr>
      </w:pPr>
      <w:r w:rsidRPr="0031297D">
        <w:rPr>
          <w:rFonts w:ascii="Arial" w:hAnsi="Arial" w:cs="Arial"/>
          <w:b/>
          <w:bCs/>
          <w:sz w:val="40"/>
          <w:szCs w:val="40"/>
        </w:rPr>
        <w:t>10 Top Tips for the Management of GLP-1 Receptor Agonists in Adults within Primary Care</w:t>
      </w:r>
    </w:p>
    <w:p w14:paraId="1D43AAAD" w14:textId="77777777" w:rsidR="000D6EE4" w:rsidRPr="0031297D" w:rsidRDefault="000D6EE4" w:rsidP="00714097">
      <w:pPr>
        <w:widowControl w:val="0"/>
        <w:spacing w:line="276" w:lineRule="auto"/>
        <w:rPr>
          <w:rFonts w:ascii="Arial" w:hAnsi="Arial" w:cs="Arial"/>
        </w:rPr>
      </w:pPr>
    </w:p>
    <w:p w14:paraId="1E5AC962" w14:textId="3EFBF2CD" w:rsidR="00BB29BF" w:rsidRPr="00BB29BF" w:rsidRDefault="00FA3D69" w:rsidP="00714097">
      <w:pPr>
        <w:widowControl w:val="0"/>
        <w:spacing w:line="276" w:lineRule="auto"/>
        <w:rPr>
          <w:rFonts w:ascii="Arial" w:hAnsi="Arial" w:cs="Arial"/>
          <w:b/>
          <w:bCs/>
          <w:vertAlign w:val="superscript"/>
        </w:rPr>
      </w:pPr>
      <w:r w:rsidRPr="00C81D6D">
        <w:rPr>
          <w:rFonts w:ascii="Arial" w:hAnsi="Arial" w:cs="Arial"/>
          <w:b/>
          <w:bCs/>
        </w:rPr>
        <w:t>Laurence J Dobbie</w:t>
      </w:r>
      <w:r w:rsidR="00C83B9B" w:rsidRPr="00C81D6D">
        <w:rPr>
          <w:rFonts w:ascii="Arial" w:hAnsi="Arial" w:cs="Arial"/>
          <w:b/>
          <w:bCs/>
          <w:vertAlign w:val="superscript"/>
        </w:rPr>
        <w:t>1,</w:t>
      </w:r>
      <w:proofErr w:type="gramStart"/>
      <w:r w:rsidR="00C42C82" w:rsidRPr="00C81D6D">
        <w:rPr>
          <w:rFonts w:ascii="Arial" w:hAnsi="Arial" w:cs="Arial"/>
          <w:b/>
          <w:bCs/>
          <w:vertAlign w:val="superscript"/>
        </w:rPr>
        <w:t>2,</w:t>
      </w:r>
      <w:r w:rsidR="00C83B9B" w:rsidRPr="00C81D6D">
        <w:rPr>
          <w:rFonts w:ascii="Arial" w:hAnsi="Arial" w:cs="Arial"/>
          <w:b/>
          <w:bCs/>
          <w:vertAlign w:val="superscript"/>
        </w:rPr>
        <w:t>^</w:t>
      </w:r>
      <w:proofErr w:type="gramEnd"/>
      <w:r w:rsidR="00DF2C0A" w:rsidRPr="00C81D6D">
        <w:rPr>
          <w:rFonts w:ascii="Arial" w:hAnsi="Arial" w:cs="Arial"/>
          <w:b/>
          <w:bCs/>
          <w:vertAlign w:val="superscript"/>
        </w:rPr>
        <w:t>,*</w:t>
      </w:r>
      <w:r w:rsidRPr="00C81D6D">
        <w:rPr>
          <w:rFonts w:ascii="Arial" w:hAnsi="Arial" w:cs="Arial"/>
          <w:b/>
          <w:bCs/>
        </w:rPr>
        <w:t>, Helen M Parretti</w:t>
      </w:r>
      <w:proofErr w:type="gramStart"/>
      <w:r w:rsidR="00C42C82" w:rsidRPr="00C81D6D">
        <w:rPr>
          <w:rFonts w:ascii="Arial" w:hAnsi="Arial" w:cs="Arial"/>
          <w:b/>
          <w:bCs/>
          <w:vertAlign w:val="superscript"/>
        </w:rPr>
        <w:t>3</w:t>
      </w:r>
      <w:r w:rsidR="00DF2C0A" w:rsidRPr="00C81D6D">
        <w:rPr>
          <w:rFonts w:ascii="Arial" w:hAnsi="Arial" w:cs="Arial"/>
          <w:b/>
          <w:bCs/>
          <w:vertAlign w:val="superscript"/>
        </w:rPr>
        <w:t>,*</w:t>
      </w:r>
      <w:proofErr w:type="gramEnd"/>
      <w:r w:rsidRPr="00C81D6D">
        <w:rPr>
          <w:rFonts w:ascii="Arial" w:hAnsi="Arial" w:cs="Arial"/>
          <w:b/>
          <w:bCs/>
        </w:rPr>
        <w:t>, Ellen Fallows</w:t>
      </w:r>
      <w:r w:rsidR="00C42C82" w:rsidRPr="00C81D6D">
        <w:rPr>
          <w:rFonts w:ascii="Arial" w:hAnsi="Arial" w:cs="Arial"/>
          <w:b/>
          <w:bCs/>
          <w:vertAlign w:val="superscript"/>
        </w:rPr>
        <w:t>1,</w:t>
      </w:r>
      <w:proofErr w:type="gramStart"/>
      <w:r w:rsidR="00C42C82" w:rsidRPr="00C81D6D">
        <w:rPr>
          <w:rFonts w:ascii="Arial" w:hAnsi="Arial" w:cs="Arial"/>
          <w:b/>
          <w:bCs/>
          <w:vertAlign w:val="superscript"/>
        </w:rPr>
        <w:t>4,5</w:t>
      </w:r>
      <w:r w:rsidR="00DF00F4" w:rsidRPr="00C81D6D">
        <w:rPr>
          <w:rFonts w:ascii="Arial" w:hAnsi="Arial" w:cs="Arial"/>
          <w:b/>
          <w:bCs/>
          <w:vertAlign w:val="superscript"/>
        </w:rPr>
        <w:t>,</w:t>
      </w:r>
      <w:r w:rsidRPr="00C81D6D">
        <w:rPr>
          <w:rFonts w:ascii="Arial" w:hAnsi="Arial" w:cs="Arial"/>
          <w:b/>
          <w:bCs/>
        </w:rPr>
        <w:t>,</w:t>
      </w:r>
      <w:proofErr w:type="gramEnd"/>
      <w:r w:rsidRPr="00C81D6D">
        <w:rPr>
          <w:rFonts w:ascii="Arial" w:hAnsi="Arial" w:cs="Arial"/>
          <w:b/>
          <w:bCs/>
        </w:rPr>
        <w:t xml:space="preserve"> Sarah Le Brocq</w:t>
      </w:r>
      <w:r w:rsidR="00C42C82" w:rsidRPr="00C81D6D">
        <w:rPr>
          <w:rFonts w:ascii="Arial" w:hAnsi="Arial" w:cs="Arial"/>
          <w:b/>
          <w:bCs/>
          <w:vertAlign w:val="superscript"/>
        </w:rPr>
        <w:t>1,6</w:t>
      </w:r>
      <w:r w:rsidRPr="00C81D6D">
        <w:rPr>
          <w:rFonts w:ascii="Arial" w:hAnsi="Arial" w:cs="Arial"/>
          <w:b/>
          <w:bCs/>
        </w:rPr>
        <w:t>, Stephanie De Giorgio</w:t>
      </w:r>
      <w:r w:rsidR="00C42C82" w:rsidRPr="00C81D6D">
        <w:rPr>
          <w:rFonts w:ascii="Arial" w:hAnsi="Arial" w:cs="Arial"/>
          <w:b/>
          <w:bCs/>
          <w:vertAlign w:val="superscript"/>
        </w:rPr>
        <w:t>7</w:t>
      </w:r>
      <w:r w:rsidRPr="00C81D6D">
        <w:rPr>
          <w:rFonts w:ascii="Arial" w:hAnsi="Arial" w:cs="Arial"/>
          <w:b/>
          <w:bCs/>
        </w:rPr>
        <w:t>, Barbara McGowan</w:t>
      </w:r>
      <w:r w:rsidR="00C42C82" w:rsidRPr="00C81D6D">
        <w:rPr>
          <w:rFonts w:ascii="Arial" w:hAnsi="Arial" w:cs="Arial"/>
          <w:b/>
          <w:bCs/>
          <w:vertAlign w:val="superscript"/>
        </w:rPr>
        <w:t>1,8</w:t>
      </w:r>
      <w:r w:rsidRPr="00C81D6D">
        <w:rPr>
          <w:rFonts w:ascii="Arial" w:hAnsi="Arial" w:cs="Arial"/>
          <w:b/>
          <w:bCs/>
        </w:rPr>
        <w:t xml:space="preserve">, Dipesh </w:t>
      </w:r>
      <w:r w:rsidR="001F0A80" w:rsidRPr="00C81D6D">
        <w:rPr>
          <w:rFonts w:ascii="Arial" w:hAnsi="Arial" w:cs="Arial"/>
          <w:b/>
          <w:bCs/>
        </w:rPr>
        <w:t xml:space="preserve">C </w:t>
      </w:r>
      <w:r w:rsidRPr="00C81D6D">
        <w:rPr>
          <w:rFonts w:ascii="Arial" w:hAnsi="Arial" w:cs="Arial"/>
          <w:b/>
          <w:bCs/>
        </w:rPr>
        <w:t>Patel</w:t>
      </w:r>
      <w:r w:rsidR="00C42C82" w:rsidRPr="00C81D6D">
        <w:rPr>
          <w:rFonts w:ascii="Arial" w:hAnsi="Arial" w:cs="Arial"/>
          <w:b/>
          <w:bCs/>
          <w:vertAlign w:val="superscript"/>
        </w:rPr>
        <w:t>1,9</w:t>
      </w:r>
    </w:p>
    <w:p w14:paraId="656CE4F8" w14:textId="77777777" w:rsidR="00622B45" w:rsidRPr="00C81D6D" w:rsidRDefault="00622B45" w:rsidP="00714097">
      <w:pPr>
        <w:spacing w:line="276" w:lineRule="auto"/>
        <w:rPr>
          <w:rFonts w:ascii="Arial" w:hAnsi="Arial" w:cs="Arial"/>
        </w:rPr>
      </w:pPr>
    </w:p>
    <w:p w14:paraId="58728A11" w14:textId="373F89E9" w:rsidR="00C42C82" w:rsidRPr="00C81D6D" w:rsidRDefault="00C42C82" w:rsidP="00714097">
      <w:pPr>
        <w:spacing w:line="276" w:lineRule="auto"/>
        <w:rPr>
          <w:rFonts w:ascii="Arial" w:hAnsi="Arial" w:cs="Arial"/>
        </w:rPr>
      </w:pPr>
      <w:r w:rsidRPr="00C81D6D">
        <w:rPr>
          <w:rFonts w:ascii="Arial" w:hAnsi="Arial" w:cs="Arial"/>
        </w:rPr>
        <w:t>1: Obesity Management Collaborative UK (OMC-UK), 483 Green Lanes, London, UK</w:t>
      </w:r>
    </w:p>
    <w:p w14:paraId="36E7F1E5" w14:textId="08B80924" w:rsidR="00FA3D69" w:rsidRPr="00C81D6D" w:rsidRDefault="00C42C82" w:rsidP="00FA3D69">
      <w:pPr>
        <w:pStyle w:val="Body"/>
        <w:rPr>
          <w:rFonts w:ascii="Arial" w:hAnsi="Arial" w:cs="Arial"/>
          <w:lang w:val="en-US"/>
        </w:rPr>
      </w:pPr>
      <w:r w:rsidRPr="00C81D6D">
        <w:rPr>
          <w:rFonts w:ascii="Arial" w:hAnsi="Arial" w:cs="Arial"/>
          <w:lang w:val="en-US"/>
        </w:rPr>
        <w:t>2</w:t>
      </w:r>
      <w:r w:rsidR="00FA3D69" w:rsidRPr="00C81D6D">
        <w:rPr>
          <w:rFonts w:ascii="Arial" w:hAnsi="Arial" w:cs="Arial"/>
          <w:lang w:val="en-US"/>
        </w:rPr>
        <w:t>: School of Life Course &amp; Population Sciences, Kings College London, UK</w:t>
      </w:r>
    </w:p>
    <w:p w14:paraId="598F0C76" w14:textId="17435C95" w:rsidR="00C83B9B" w:rsidRPr="00C81D6D" w:rsidRDefault="00C42C82" w:rsidP="00FA3D69">
      <w:pPr>
        <w:pStyle w:val="Body"/>
        <w:rPr>
          <w:rFonts w:ascii="Arial" w:eastAsia="Arial" w:hAnsi="Arial" w:cs="Arial"/>
          <w:lang w:val="en-GB"/>
        </w:rPr>
      </w:pPr>
      <w:r w:rsidRPr="00C81D6D">
        <w:rPr>
          <w:rFonts w:ascii="Arial" w:eastAsia="Arial" w:hAnsi="Arial" w:cs="Arial"/>
          <w:lang w:val="en-GB"/>
        </w:rPr>
        <w:t>3</w:t>
      </w:r>
      <w:r w:rsidR="00C83B9B" w:rsidRPr="00C81D6D">
        <w:rPr>
          <w:rFonts w:ascii="Arial" w:eastAsia="Arial" w:hAnsi="Arial" w:cs="Arial"/>
          <w:lang w:val="en-GB"/>
        </w:rPr>
        <w:t>: Norwich Medical School, University of East Anglia, Norwich, UK</w:t>
      </w:r>
    </w:p>
    <w:p w14:paraId="20CB252B" w14:textId="0E4383F1" w:rsidR="00DF00F4" w:rsidRPr="00C81D6D" w:rsidRDefault="00C42C82" w:rsidP="00FA3D69">
      <w:pPr>
        <w:pStyle w:val="Body"/>
        <w:rPr>
          <w:rFonts w:ascii="Arial" w:eastAsia="Arial" w:hAnsi="Arial" w:cs="Arial"/>
          <w:lang w:val="en-GB"/>
        </w:rPr>
      </w:pPr>
      <w:r w:rsidRPr="00C81D6D">
        <w:rPr>
          <w:rFonts w:ascii="Arial" w:eastAsia="Arial" w:hAnsi="Arial" w:cs="Arial"/>
          <w:lang w:val="en-GB"/>
        </w:rPr>
        <w:t>4</w:t>
      </w:r>
      <w:r w:rsidR="00C83B9B" w:rsidRPr="00C81D6D">
        <w:rPr>
          <w:rFonts w:ascii="Arial" w:eastAsia="Arial" w:hAnsi="Arial" w:cs="Arial"/>
          <w:lang w:val="en-GB"/>
        </w:rPr>
        <w:t>:</w:t>
      </w:r>
      <w:r w:rsidR="00DF00F4" w:rsidRPr="00C81D6D">
        <w:rPr>
          <w:rFonts w:ascii="Arial" w:eastAsia="Arial" w:hAnsi="Arial" w:cs="Arial"/>
          <w:lang w:val="en-GB"/>
        </w:rPr>
        <w:t xml:space="preserve"> </w:t>
      </w:r>
      <w:r w:rsidR="00C83B9B" w:rsidRPr="00C81D6D">
        <w:rPr>
          <w:rFonts w:ascii="Arial" w:eastAsia="Arial" w:hAnsi="Arial" w:cs="Arial"/>
          <w:lang w:val="en-GB"/>
        </w:rPr>
        <w:t xml:space="preserve">Brackley Medical Centre, Brackley NN13 6QZ, </w:t>
      </w:r>
      <w:proofErr w:type="gramStart"/>
      <w:r w:rsidR="00C83B9B" w:rsidRPr="00C81D6D">
        <w:rPr>
          <w:rFonts w:ascii="Arial" w:eastAsia="Arial" w:hAnsi="Arial" w:cs="Arial"/>
          <w:lang w:val="en-GB"/>
        </w:rPr>
        <w:t>UK;</w:t>
      </w:r>
      <w:proofErr w:type="gramEnd"/>
      <w:r w:rsidR="00C83B9B" w:rsidRPr="00C81D6D">
        <w:rPr>
          <w:rFonts w:ascii="Arial" w:eastAsia="Arial" w:hAnsi="Arial" w:cs="Arial"/>
          <w:lang w:val="en-GB"/>
        </w:rPr>
        <w:t xml:space="preserve"> </w:t>
      </w:r>
    </w:p>
    <w:p w14:paraId="377692DB" w14:textId="4F2976C9" w:rsidR="00C83B9B" w:rsidRPr="00C81D6D" w:rsidRDefault="00C42C82" w:rsidP="00FA3D69">
      <w:pPr>
        <w:pStyle w:val="Body"/>
        <w:rPr>
          <w:rFonts w:ascii="Arial" w:eastAsia="Arial" w:hAnsi="Arial" w:cs="Arial"/>
          <w:lang w:val="en-GB"/>
        </w:rPr>
      </w:pPr>
      <w:r w:rsidRPr="00C81D6D">
        <w:rPr>
          <w:rFonts w:ascii="Arial" w:eastAsia="Arial" w:hAnsi="Arial" w:cs="Arial"/>
          <w:lang w:val="en-GB"/>
        </w:rPr>
        <w:t>5</w:t>
      </w:r>
      <w:r w:rsidR="00DF00F4" w:rsidRPr="00C81D6D">
        <w:rPr>
          <w:rFonts w:ascii="Arial" w:eastAsia="Arial" w:hAnsi="Arial" w:cs="Arial"/>
          <w:lang w:val="en-GB"/>
        </w:rPr>
        <w:t xml:space="preserve">: </w:t>
      </w:r>
      <w:r w:rsidR="00C83B9B" w:rsidRPr="00C81D6D">
        <w:rPr>
          <w:rFonts w:ascii="Arial" w:eastAsia="Arial" w:hAnsi="Arial" w:cs="Arial"/>
          <w:lang w:val="en-GB"/>
        </w:rPr>
        <w:t>The British Society of Lifestyle Medicine, Haddington, East Lothian, UK. </w:t>
      </w:r>
    </w:p>
    <w:p w14:paraId="2CBA7F31" w14:textId="04BEECBE" w:rsidR="00C83B9B" w:rsidRPr="00C81D6D" w:rsidRDefault="00C42C82" w:rsidP="00FA3D69">
      <w:pPr>
        <w:pStyle w:val="Body"/>
        <w:rPr>
          <w:rFonts w:ascii="Arial" w:eastAsia="Arial" w:hAnsi="Arial" w:cs="Arial"/>
          <w:lang w:val="en-GB"/>
        </w:rPr>
      </w:pPr>
      <w:r w:rsidRPr="00C81D6D">
        <w:rPr>
          <w:rFonts w:ascii="Arial" w:eastAsia="Arial" w:hAnsi="Arial" w:cs="Arial"/>
          <w:lang w:val="en-GB"/>
        </w:rPr>
        <w:t>6</w:t>
      </w:r>
      <w:r w:rsidR="00C83B9B" w:rsidRPr="00C81D6D">
        <w:rPr>
          <w:rFonts w:ascii="Arial" w:eastAsia="Arial" w:hAnsi="Arial" w:cs="Arial"/>
          <w:lang w:val="en-GB"/>
        </w:rPr>
        <w:t xml:space="preserve">: All About Obesity CIC, </w:t>
      </w:r>
      <w:proofErr w:type="spellStart"/>
      <w:r w:rsidR="00C83B9B" w:rsidRPr="00C81D6D">
        <w:rPr>
          <w:rFonts w:ascii="Arial" w:eastAsia="Arial" w:hAnsi="Arial" w:cs="Arial"/>
          <w:lang w:val="en-GB"/>
        </w:rPr>
        <w:t>Birstwith</w:t>
      </w:r>
      <w:proofErr w:type="spellEnd"/>
      <w:r w:rsidR="00C83B9B" w:rsidRPr="00C81D6D">
        <w:rPr>
          <w:rFonts w:ascii="Arial" w:eastAsia="Arial" w:hAnsi="Arial" w:cs="Arial"/>
          <w:lang w:val="en-GB"/>
        </w:rPr>
        <w:t>, Harrogate HG3 2NP, UK.</w:t>
      </w:r>
    </w:p>
    <w:p w14:paraId="4A791D6F" w14:textId="2B8CE1D5" w:rsidR="00C83B9B" w:rsidRPr="00C81D6D" w:rsidRDefault="00C42C82" w:rsidP="00FA3D69">
      <w:pPr>
        <w:pStyle w:val="Body"/>
        <w:rPr>
          <w:rFonts w:ascii="Arial" w:eastAsia="Arial" w:hAnsi="Arial" w:cs="Arial"/>
          <w:lang w:val="en-GB"/>
        </w:rPr>
      </w:pPr>
      <w:r w:rsidRPr="00C81D6D">
        <w:rPr>
          <w:rFonts w:ascii="Arial" w:eastAsia="Arial" w:hAnsi="Arial" w:cs="Arial"/>
          <w:lang w:val="en-GB"/>
        </w:rPr>
        <w:t>7</w:t>
      </w:r>
      <w:r w:rsidR="00C83B9B" w:rsidRPr="00C81D6D">
        <w:rPr>
          <w:rFonts w:ascii="Arial" w:eastAsia="Arial" w:hAnsi="Arial" w:cs="Arial"/>
          <w:lang w:val="en-GB"/>
        </w:rPr>
        <w:t>: GP Perinatal Mental Health Lead, South Kent Coast, UK.</w:t>
      </w:r>
    </w:p>
    <w:p w14:paraId="534F8148" w14:textId="56C073AE" w:rsidR="00FA3D69" w:rsidRPr="00C81D6D" w:rsidRDefault="00C42C82" w:rsidP="00714097">
      <w:pPr>
        <w:spacing w:line="276" w:lineRule="auto"/>
        <w:rPr>
          <w:rFonts w:ascii="Arial" w:hAnsi="Arial" w:cs="Arial"/>
          <w:color w:val="212121"/>
          <w:u w:color="212121"/>
          <w:shd w:val="clear" w:color="auto" w:fill="FFFFFF"/>
          <w:lang w:val="en-US"/>
        </w:rPr>
      </w:pPr>
      <w:r w:rsidRPr="00C81D6D">
        <w:rPr>
          <w:rFonts w:ascii="Arial" w:hAnsi="Arial" w:cs="Arial"/>
          <w:color w:val="212121"/>
          <w:u w:color="212121"/>
          <w:shd w:val="clear" w:color="auto" w:fill="FFFFFF"/>
          <w:lang w:val="en-US"/>
        </w:rPr>
        <w:t>8</w:t>
      </w:r>
      <w:r w:rsidR="00FA3D69" w:rsidRPr="00C81D6D">
        <w:rPr>
          <w:rFonts w:ascii="Arial" w:hAnsi="Arial" w:cs="Arial"/>
          <w:color w:val="212121"/>
          <w:u w:color="212121"/>
          <w:shd w:val="clear" w:color="auto" w:fill="FFFFFF"/>
          <w:lang w:val="en-US"/>
        </w:rPr>
        <w:t>: Department of Diabetes and Endocrinology, Guy's and St Thomas' NHS Foundation Trust, London, UK</w:t>
      </w:r>
    </w:p>
    <w:p w14:paraId="7FDBE70C" w14:textId="3022C91B" w:rsidR="00C83B9B" w:rsidRPr="00C81D6D" w:rsidRDefault="00C42C82" w:rsidP="00714097">
      <w:pPr>
        <w:spacing w:line="276" w:lineRule="auto"/>
        <w:rPr>
          <w:rFonts w:ascii="Arial" w:hAnsi="Arial" w:cs="Arial"/>
          <w:color w:val="212121"/>
          <w:u w:color="212121"/>
          <w:shd w:val="clear" w:color="auto" w:fill="FFFFFF"/>
          <w:lang w:val="en-US"/>
        </w:rPr>
      </w:pPr>
      <w:r w:rsidRPr="00C81D6D">
        <w:rPr>
          <w:rFonts w:ascii="Arial" w:hAnsi="Arial" w:cs="Arial"/>
          <w:color w:val="212121"/>
          <w:u w:color="212121"/>
          <w:shd w:val="clear" w:color="auto" w:fill="FFFFFF"/>
        </w:rPr>
        <w:t>9</w:t>
      </w:r>
      <w:r w:rsidR="00C83B9B" w:rsidRPr="00C81D6D">
        <w:rPr>
          <w:rFonts w:ascii="Arial" w:hAnsi="Arial" w:cs="Arial"/>
          <w:color w:val="212121"/>
          <w:u w:color="212121"/>
          <w:shd w:val="clear" w:color="auto" w:fill="FFFFFF"/>
        </w:rPr>
        <w:t>:</w:t>
      </w:r>
      <w:r w:rsidR="008B116F" w:rsidRPr="00C81D6D">
        <w:rPr>
          <w:rFonts w:ascii="Arial" w:hAnsi="Arial" w:cs="Arial"/>
          <w:color w:val="212121"/>
          <w:u w:color="212121"/>
          <w:shd w:val="clear" w:color="auto" w:fill="FFFFFF"/>
        </w:rPr>
        <w:t xml:space="preserve"> </w:t>
      </w:r>
      <w:r w:rsidR="00C83B9B" w:rsidRPr="00C81D6D">
        <w:rPr>
          <w:rFonts w:ascii="Arial" w:hAnsi="Arial" w:cs="Arial"/>
          <w:color w:val="212121"/>
          <w:u w:color="212121"/>
          <w:shd w:val="clear" w:color="auto" w:fill="FFFFFF"/>
        </w:rPr>
        <w:t>University College London, Royal Free Campus, London, UK</w:t>
      </w:r>
    </w:p>
    <w:p w14:paraId="6F19740D" w14:textId="77777777" w:rsidR="00FA3D69" w:rsidRPr="00C81D6D" w:rsidRDefault="00FA3D69" w:rsidP="00FA3D69">
      <w:pPr>
        <w:pStyle w:val="Body"/>
        <w:rPr>
          <w:rFonts w:ascii="Arial" w:hAnsi="Arial" w:cs="Arial"/>
        </w:rPr>
      </w:pPr>
    </w:p>
    <w:p w14:paraId="3E860132" w14:textId="77777777" w:rsidR="00FA3D69" w:rsidRPr="00C81D6D" w:rsidRDefault="00FA3D69" w:rsidP="00FA3D69">
      <w:pPr>
        <w:pStyle w:val="Body"/>
        <w:spacing w:line="276" w:lineRule="auto"/>
        <w:jc w:val="both"/>
        <w:rPr>
          <w:rFonts w:ascii="Arial" w:hAnsi="Arial" w:cs="Arial"/>
        </w:rPr>
      </w:pPr>
      <w:r w:rsidRPr="00C81D6D">
        <w:rPr>
          <w:rFonts w:ascii="Arial" w:hAnsi="Arial" w:cs="Arial"/>
          <w:lang w:val="en-US"/>
        </w:rPr>
        <w:t>^: Corresponding Author</w:t>
      </w:r>
    </w:p>
    <w:p w14:paraId="35E8B95A" w14:textId="668ACE1E" w:rsidR="00FA3D69" w:rsidRPr="00C81D6D" w:rsidRDefault="00FA3D69" w:rsidP="00FA3D69">
      <w:pPr>
        <w:pStyle w:val="Body"/>
        <w:spacing w:line="276" w:lineRule="auto"/>
        <w:jc w:val="both"/>
        <w:rPr>
          <w:rFonts w:ascii="Arial" w:hAnsi="Arial" w:cs="Arial"/>
          <w:lang w:val="en-US"/>
        </w:rPr>
      </w:pPr>
      <w:r w:rsidRPr="00C81D6D">
        <w:rPr>
          <w:rFonts w:ascii="Arial" w:hAnsi="Arial" w:cs="Arial"/>
          <w:lang w:val="en-US"/>
        </w:rPr>
        <w:t>Dr Laurence Dobbie</w:t>
      </w:r>
    </w:p>
    <w:p w14:paraId="1059D3A4" w14:textId="77BF825E" w:rsidR="00DF00F4" w:rsidRPr="00C81D6D" w:rsidRDefault="00DF00F4" w:rsidP="00225248">
      <w:pPr>
        <w:pStyle w:val="Body"/>
        <w:rPr>
          <w:rFonts w:ascii="Arial" w:hAnsi="Arial" w:cs="Arial"/>
          <w:lang w:val="en-US"/>
        </w:rPr>
      </w:pPr>
      <w:r w:rsidRPr="00C81D6D">
        <w:rPr>
          <w:rFonts w:ascii="Arial" w:hAnsi="Arial" w:cs="Arial"/>
          <w:lang w:val="en-US"/>
        </w:rPr>
        <w:t>School of Life Course &amp; Population Sciences, Kings College London, UK</w:t>
      </w:r>
    </w:p>
    <w:p w14:paraId="7F5FB964" w14:textId="333ACBDD" w:rsidR="00DF00F4" w:rsidRPr="00C81D6D" w:rsidRDefault="00FA3D69" w:rsidP="00FA3D69">
      <w:pPr>
        <w:pStyle w:val="Body"/>
        <w:spacing w:line="276" w:lineRule="auto"/>
        <w:jc w:val="both"/>
        <w:rPr>
          <w:rFonts w:ascii="Arial" w:hAnsi="Arial" w:cs="Arial"/>
          <w:lang w:val="en-US"/>
        </w:rPr>
      </w:pPr>
      <w:r w:rsidRPr="00C81D6D">
        <w:rPr>
          <w:rFonts w:ascii="Arial" w:hAnsi="Arial" w:cs="Arial"/>
          <w:lang w:val="en-US"/>
        </w:rPr>
        <w:t xml:space="preserve">Email: </w:t>
      </w:r>
      <w:hyperlink r:id="rId8" w:history="1">
        <w:r w:rsidR="00DF2C0A" w:rsidRPr="00C81D6D">
          <w:rPr>
            <w:rStyle w:val="Hyperlink"/>
            <w:rFonts w:ascii="Arial" w:hAnsi="Arial" w:cs="Arial"/>
            <w:lang w:val="en-US"/>
          </w:rPr>
          <w:t>Laurence.dobbie@kcl.ac.uk</w:t>
        </w:r>
      </w:hyperlink>
    </w:p>
    <w:p w14:paraId="544EA8D7" w14:textId="3C9AF0EF" w:rsidR="00DF2C0A" w:rsidRPr="00C81D6D" w:rsidRDefault="00DF2C0A" w:rsidP="00FA3D69">
      <w:pPr>
        <w:pStyle w:val="Body"/>
        <w:spacing w:line="276" w:lineRule="auto"/>
        <w:jc w:val="both"/>
        <w:rPr>
          <w:rFonts w:ascii="Arial" w:hAnsi="Arial" w:cs="Arial"/>
        </w:rPr>
      </w:pPr>
      <w:r w:rsidRPr="00C81D6D">
        <w:rPr>
          <w:rFonts w:ascii="Arial" w:hAnsi="Arial" w:cs="Arial"/>
          <w:lang w:val="en-US"/>
        </w:rPr>
        <w:t xml:space="preserve">*: LJD and HMP share first authorship </w:t>
      </w:r>
    </w:p>
    <w:p w14:paraId="7D3446EA" w14:textId="77777777" w:rsidR="00FA3D69" w:rsidRPr="00C81D6D" w:rsidRDefault="00FA3D69" w:rsidP="00FA3D69">
      <w:pPr>
        <w:pStyle w:val="Body"/>
        <w:spacing w:line="276" w:lineRule="auto"/>
        <w:jc w:val="both"/>
        <w:rPr>
          <w:rFonts w:ascii="Arial" w:hAnsi="Arial" w:cs="Arial"/>
          <w:lang w:val="en-US"/>
        </w:rPr>
      </w:pPr>
    </w:p>
    <w:p w14:paraId="59916B81" w14:textId="77777777" w:rsidR="00FA3D69" w:rsidRPr="00C81D6D" w:rsidRDefault="00FA3D69" w:rsidP="00FA3D69">
      <w:pPr>
        <w:pStyle w:val="Body"/>
        <w:spacing w:line="360" w:lineRule="auto"/>
        <w:jc w:val="both"/>
        <w:rPr>
          <w:rFonts w:ascii="Arial" w:hAnsi="Arial" w:cs="Arial"/>
          <w:b/>
          <w:bCs/>
        </w:rPr>
      </w:pPr>
      <w:r w:rsidRPr="00C81D6D">
        <w:rPr>
          <w:rFonts w:ascii="Arial" w:hAnsi="Arial" w:cs="Arial"/>
          <w:b/>
          <w:bCs/>
          <w:lang w:val="en-US"/>
        </w:rPr>
        <w:t xml:space="preserve">ORCID of authors: </w:t>
      </w:r>
    </w:p>
    <w:p w14:paraId="3AD60E4D" w14:textId="77777777" w:rsidR="00FA3D69" w:rsidRPr="00C81D6D" w:rsidRDefault="00FA3D69" w:rsidP="00FA3D69">
      <w:pPr>
        <w:pStyle w:val="Body"/>
        <w:spacing w:line="360" w:lineRule="auto"/>
        <w:jc w:val="both"/>
        <w:rPr>
          <w:rFonts w:ascii="Arial" w:hAnsi="Arial" w:cs="Arial"/>
          <w:color w:val="494A4C"/>
          <w:u w:color="494A4C"/>
          <w:shd w:val="clear" w:color="auto" w:fill="FFFFFF"/>
        </w:rPr>
      </w:pPr>
      <w:r w:rsidRPr="00C81D6D">
        <w:rPr>
          <w:rFonts w:ascii="Arial" w:hAnsi="Arial" w:cs="Arial"/>
          <w:lang w:val="fr-FR"/>
        </w:rPr>
        <w:t xml:space="preserve">Laurence J. </w:t>
      </w:r>
      <w:proofErr w:type="gramStart"/>
      <w:r w:rsidRPr="00C81D6D">
        <w:rPr>
          <w:rFonts w:ascii="Arial" w:hAnsi="Arial" w:cs="Arial"/>
          <w:lang w:val="fr-FR"/>
        </w:rPr>
        <w:t>Dobbie:</w:t>
      </w:r>
      <w:proofErr w:type="gramEnd"/>
      <w:r w:rsidRPr="00C81D6D">
        <w:rPr>
          <w:rFonts w:ascii="Arial" w:hAnsi="Arial" w:cs="Arial"/>
          <w:lang w:val="fr-FR"/>
        </w:rPr>
        <w:t xml:space="preserve"> </w:t>
      </w:r>
      <w:r w:rsidRPr="00C81D6D">
        <w:rPr>
          <w:rFonts w:ascii="Arial" w:hAnsi="Arial" w:cs="Arial"/>
          <w:color w:val="494A4C"/>
          <w:u w:color="494A4C"/>
          <w:shd w:val="clear" w:color="auto" w:fill="FFFFFF"/>
        </w:rPr>
        <w:t>0000-0003-1908-848X</w:t>
      </w:r>
    </w:p>
    <w:p w14:paraId="2E35190F" w14:textId="3304DC38" w:rsidR="008B116F" w:rsidRPr="00C81D6D" w:rsidRDefault="008B116F" w:rsidP="00FA3D69">
      <w:pPr>
        <w:pStyle w:val="Body"/>
        <w:spacing w:line="360" w:lineRule="auto"/>
        <w:jc w:val="both"/>
        <w:rPr>
          <w:rFonts w:ascii="Arial" w:hAnsi="Arial" w:cs="Arial"/>
          <w:color w:val="494A4C"/>
          <w:u w:color="494A4C"/>
          <w:shd w:val="clear" w:color="auto" w:fill="FFFFFF"/>
        </w:rPr>
      </w:pPr>
      <w:r w:rsidRPr="00C81D6D">
        <w:rPr>
          <w:rFonts w:ascii="Arial" w:hAnsi="Arial" w:cs="Arial"/>
          <w:color w:val="494A4C"/>
          <w:u w:color="494A4C"/>
          <w:shd w:val="clear" w:color="auto" w:fill="FFFFFF"/>
        </w:rPr>
        <w:t xml:space="preserve">Helen M </w:t>
      </w:r>
      <w:proofErr w:type="spellStart"/>
      <w:r w:rsidRPr="00C81D6D">
        <w:rPr>
          <w:rFonts w:ascii="Arial" w:hAnsi="Arial" w:cs="Arial"/>
          <w:color w:val="494A4C"/>
          <w:u w:color="494A4C"/>
          <w:shd w:val="clear" w:color="auto" w:fill="FFFFFF"/>
        </w:rPr>
        <w:t>Parretti</w:t>
      </w:r>
      <w:proofErr w:type="spellEnd"/>
      <w:r w:rsidRPr="00C81D6D">
        <w:rPr>
          <w:rFonts w:ascii="Arial" w:hAnsi="Arial" w:cs="Arial"/>
          <w:color w:val="494A4C"/>
          <w:u w:color="494A4C"/>
          <w:shd w:val="clear" w:color="auto" w:fill="FFFFFF"/>
        </w:rPr>
        <w:t xml:space="preserve">: </w:t>
      </w:r>
      <w:r w:rsidR="00942B41" w:rsidRPr="00C81D6D">
        <w:rPr>
          <w:rFonts w:ascii="Arial" w:hAnsi="Arial" w:cs="Arial"/>
          <w:color w:val="494A4C"/>
          <w:u w:color="494A4C"/>
          <w:shd w:val="clear" w:color="auto" w:fill="FFFFFF"/>
        </w:rPr>
        <w:t>0000-0002-7184-269X</w:t>
      </w:r>
    </w:p>
    <w:p w14:paraId="50990BD8" w14:textId="2A203BE0" w:rsidR="001F0A80" w:rsidRPr="00C81D6D" w:rsidRDefault="001F0A80" w:rsidP="00FA3D69">
      <w:pPr>
        <w:pStyle w:val="Body"/>
        <w:spacing w:line="360" w:lineRule="auto"/>
        <w:jc w:val="both"/>
        <w:rPr>
          <w:rFonts w:ascii="Arial" w:hAnsi="Arial" w:cs="Arial"/>
          <w:color w:val="494A4C"/>
          <w:u w:color="494A4C"/>
          <w:shd w:val="clear" w:color="auto" w:fill="FFFFFF"/>
        </w:rPr>
      </w:pPr>
      <w:r w:rsidRPr="00C81D6D">
        <w:rPr>
          <w:rFonts w:ascii="Arial" w:hAnsi="Arial" w:cs="Arial"/>
          <w:color w:val="494A4C"/>
          <w:u w:color="494A4C"/>
          <w:shd w:val="clear" w:color="auto" w:fill="FFFFFF"/>
        </w:rPr>
        <w:t>Dipesh C Patel 0000-0002-5740-5709</w:t>
      </w:r>
    </w:p>
    <w:p w14:paraId="0CCEA1BE" w14:textId="77777777" w:rsidR="00FA3D69" w:rsidRPr="00C81D6D" w:rsidRDefault="00FA3D69" w:rsidP="00FA3D69">
      <w:pPr>
        <w:pStyle w:val="Body"/>
        <w:spacing w:line="276" w:lineRule="auto"/>
        <w:jc w:val="both"/>
        <w:rPr>
          <w:rFonts w:ascii="Arial" w:hAnsi="Arial" w:cs="Arial"/>
          <w:color w:val="1C1D1E"/>
          <w:u w:color="1C1D1E"/>
          <w:lang w:val="en-US"/>
        </w:rPr>
      </w:pPr>
    </w:p>
    <w:p w14:paraId="24997514" w14:textId="77777777" w:rsidR="00AF52A5" w:rsidRPr="00C81D6D" w:rsidRDefault="00AF52A5" w:rsidP="00714097">
      <w:pPr>
        <w:spacing w:line="276" w:lineRule="auto"/>
        <w:rPr>
          <w:rFonts w:ascii="Arial" w:hAnsi="Arial" w:cs="Arial"/>
        </w:rPr>
      </w:pPr>
    </w:p>
    <w:p w14:paraId="063D13AB" w14:textId="31DEA6C7" w:rsidR="001C1B26" w:rsidRPr="00C81D6D" w:rsidRDefault="0014142F" w:rsidP="00AF52A5">
      <w:pPr>
        <w:spacing w:line="480" w:lineRule="auto"/>
        <w:rPr>
          <w:rFonts w:ascii="Arial" w:hAnsi="Arial" w:cs="Arial"/>
        </w:rPr>
      </w:pPr>
      <w:r w:rsidRPr="00C81D6D">
        <w:rPr>
          <w:rFonts w:ascii="Arial" w:hAnsi="Arial" w:cs="Arial"/>
          <w:b/>
          <w:bCs/>
        </w:rPr>
        <w:t>Keywords:</w:t>
      </w:r>
      <w:r w:rsidRPr="00C81D6D">
        <w:rPr>
          <w:rFonts w:ascii="Arial" w:hAnsi="Arial" w:cs="Arial"/>
        </w:rPr>
        <w:t xml:space="preserve"> Obesity, Overweight, GLP-1 receptor agonists, Primary Care, General Practice, Family Medicine</w:t>
      </w:r>
    </w:p>
    <w:p w14:paraId="7B38A6A3" w14:textId="77777777" w:rsidR="001C1B26" w:rsidRPr="00C81D6D" w:rsidRDefault="001C1B26" w:rsidP="00AF52A5">
      <w:pPr>
        <w:spacing w:line="480" w:lineRule="auto"/>
        <w:rPr>
          <w:rFonts w:ascii="Arial" w:hAnsi="Arial" w:cs="Arial"/>
        </w:rPr>
      </w:pPr>
    </w:p>
    <w:p w14:paraId="7289E294" w14:textId="77777777" w:rsidR="001C1B26" w:rsidRPr="00C81D6D" w:rsidRDefault="001C1B26" w:rsidP="00AF52A5">
      <w:pPr>
        <w:spacing w:line="480" w:lineRule="auto"/>
        <w:rPr>
          <w:rFonts w:ascii="Arial" w:hAnsi="Arial" w:cs="Arial"/>
        </w:rPr>
      </w:pPr>
    </w:p>
    <w:p w14:paraId="1DFF1A3E" w14:textId="77777777" w:rsidR="00C81D6D" w:rsidRPr="00C81D6D" w:rsidRDefault="00C81D6D" w:rsidP="00AF52A5">
      <w:pPr>
        <w:spacing w:line="480" w:lineRule="auto"/>
        <w:rPr>
          <w:rFonts w:ascii="Arial" w:hAnsi="Arial" w:cs="Arial"/>
        </w:rPr>
      </w:pPr>
    </w:p>
    <w:p w14:paraId="041269F0" w14:textId="77777777" w:rsidR="00C81D6D" w:rsidRPr="00C81D6D" w:rsidRDefault="00C81D6D" w:rsidP="00AF52A5">
      <w:pPr>
        <w:spacing w:line="480" w:lineRule="auto"/>
        <w:rPr>
          <w:rFonts w:ascii="Arial" w:hAnsi="Arial" w:cs="Arial"/>
        </w:rPr>
      </w:pPr>
    </w:p>
    <w:p w14:paraId="5C10D6A4" w14:textId="74CC74E5" w:rsidR="00622B45" w:rsidRPr="00C81D6D" w:rsidRDefault="00254EB7" w:rsidP="00AF52A5">
      <w:pPr>
        <w:pStyle w:val="NormalWeb"/>
        <w:spacing w:line="480" w:lineRule="auto"/>
        <w:rPr>
          <w:rFonts w:ascii="Arial" w:hAnsi="Arial" w:cs="Arial"/>
        </w:rPr>
      </w:pPr>
      <w:r w:rsidRPr="00C81D6D">
        <w:rPr>
          <w:rFonts w:ascii="Arial" w:hAnsi="Arial" w:cs="Arial"/>
        </w:rPr>
        <w:lastRenderedPageBreak/>
        <w:t>GLP-1 receptor agonists</w:t>
      </w:r>
      <w:r w:rsidR="00AE1808" w:rsidRPr="00C81D6D">
        <w:rPr>
          <w:rFonts w:ascii="Arial" w:hAnsi="Arial" w:cs="Arial"/>
        </w:rPr>
        <w:t xml:space="preserve"> (GLP-1R</w:t>
      </w:r>
      <w:r w:rsidR="006465DA" w:rsidRPr="00C81D6D">
        <w:rPr>
          <w:rFonts w:ascii="Arial" w:hAnsi="Arial" w:cs="Arial"/>
        </w:rPr>
        <w:t>A</w:t>
      </w:r>
      <w:r w:rsidR="00AE1808" w:rsidRPr="00C81D6D">
        <w:rPr>
          <w:rFonts w:ascii="Arial" w:hAnsi="Arial" w:cs="Arial"/>
        </w:rPr>
        <w:t>s)</w:t>
      </w:r>
      <w:r w:rsidRPr="00C81D6D">
        <w:rPr>
          <w:rFonts w:ascii="Arial" w:hAnsi="Arial" w:cs="Arial"/>
        </w:rPr>
        <w:t xml:space="preserve"> like semaglutide and tirzepatide are increasingly used in </w:t>
      </w:r>
      <w:r w:rsidR="00FE0EE4" w:rsidRPr="00C81D6D">
        <w:rPr>
          <w:rFonts w:ascii="Arial" w:hAnsi="Arial" w:cs="Arial"/>
        </w:rPr>
        <w:t>clinical practice</w:t>
      </w:r>
      <w:r w:rsidRPr="00C81D6D">
        <w:rPr>
          <w:rFonts w:ascii="Arial" w:hAnsi="Arial" w:cs="Arial"/>
        </w:rPr>
        <w:t xml:space="preserve">, given their proven efficacy in managing obesity and type 2 diabetes (T2D) </w:t>
      </w:r>
      <w:sdt>
        <w:sdtPr>
          <w:rPr>
            <w:rFonts w:ascii="Arial" w:hAnsi="Arial" w:cs="Arial"/>
            <w:color w:val="000000"/>
          </w:rPr>
          <w:tag w:val="MENDELEY_CITATION_v3_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"/>
          <w:id w:val="-46987850"/>
          <w:placeholder>
            <w:docPart w:val="D6A0983B0C409849B120A2C0C80F4EE6"/>
          </w:placeholder>
        </w:sdtPr>
        <w:sdtContent>
          <w:r w:rsidR="00012446" w:rsidRPr="00C81D6D">
            <w:rPr>
              <w:rFonts w:ascii="Arial" w:hAnsi="Arial" w:cs="Arial"/>
              <w:color w:val="000000"/>
            </w:rPr>
            <w:t>[1]</w:t>
          </w:r>
        </w:sdtContent>
      </w:sdt>
      <w:r w:rsidR="00622B45" w:rsidRPr="00C81D6D">
        <w:rPr>
          <w:rFonts w:ascii="Arial" w:hAnsi="Arial" w:cs="Arial"/>
        </w:rPr>
        <w:t>.</w:t>
      </w:r>
      <w:r w:rsidR="00DF0731" w:rsidRPr="00C81D6D">
        <w:rPr>
          <w:rFonts w:ascii="Arial" w:hAnsi="Arial" w:cs="Arial"/>
        </w:rPr>
        <w:t xml:space="preserve"> </w:t>
      </w:r>
      <w:r w:rsidR="00277895" w:rsidRPr="00C81D6D">
        <w:rPr>
          <w:rFonts w:ascii="Arial" w:hAnsi="Arial" w:cs="Arial"/>
        </w:rPr>
        <w:t>This guide and infographic (Figure 1) support</w:t>
      </w:r>
      <w:r w:rsidR="00FE0EE4" w:rsidRPr="00C81D6D">
        <w:rPr>
          <w:rFonts w:ascii="Arial" w:hAnsi="Arial" w:cs="Arial"/>
        </w:rPr>
        <w:t xml:space="preserve"> primary care staff</w:t>
      </w:r>
      <w:r w:rsidR="00277895" w:rsidRPr="00C81D6D">
        <w:rPr>
          <w:rFonts w:ascii="Arial" w:hAnsi="Arial" w:cs="Arial"/>
        </w:rPr>
        <w:t xml:space="preserve"> in managing </w:t>
      </w:r>
      <w:r w:rsidR="000D6EE4" w:rsidRPr="00C81D6D">
        <w:rPr>
          <w:rFonts w:ascii="Arial" w:hAnsi="Arial" w:cs="Arial"/>
        </w:rPr>
        <w:t xml:space="preserve">adult </w:t>
      </w:r>
      <w:r w:rsidR="00277895" w:rsidRPr="00C81D6D">
        <w:rPr>
          <w:rFonts w:ascii="Arial" w:hAnsi="Arial" w:cs="Arial"/>
        </w:rPr>
        <w:t>patients on these medications.</w:t>
      </w:r>
    </w:p>
    <w:p w14:paraId="02A48FD1" w14:textId="473DCA2C" w:rsidR="000F6280" w:rsidRPr="00C81D6D" w:rsidRDefault="00C91C29" w:rsidP="00AF52A5">
      <w:pPr>
        <w:spacing w:line="480" w:lineRule="auto"/>
        <w:rPr>
          <w:rFonts w:ascii="Arial" w:hAnsi="Arial" w:cs="Arial"/>
        </w:rPr>
      </w:pPr>
      <w:r w:rsidRPr="00C81D6D">
        <w:rPr>
          <w:rFonts w:ascii="Arial" w:hAnsi="Arial" w:cs="Arial"/>
          <w:b/>
          <w:bCs/>
        </w:rPr>
        <w:t xml:space="preserve">1: </w:t>
      </w:r>
      <w:r w:rsidR="00622B45" w:rsidRPr="00C81D6D">
        <w:rPr>
          <w:rFonts w:ascii="Arial" w:hAnsi="Arial" w:cs="Arial"/>
          <w:b/>
          <w:bCs/>
        </w:rPr>
        <w:t>What are GLP-1RA</w:t>
      </w:r>
      <w:r w:rsidR="00AE1808" w:rsidRPr="00C81D6D">
        <w:rPr>
          <w:rFonts w:ascii="Arial" w:hAnsi="Arial" w:cs="Arial"/>
          <w:b/>
          <w:bCs/>
        </w:rPr>
        <w:t>s</w:t>
      </w:r>
      <w:r w:rsidR="00503FA0" w:rsidRPr="00C81D6D">
        <w:rPr>
          <w:rFonts w:ascii="Arial" w:hAnsi="Arial" w:cs="Arial"/>
          <w:b/>
          <w:bCs/>
        </w:rPr>
        <w:t>,</w:t>
      </w:r>
      <w:r w:rsidR="00622B45" w:rsidRPr="00C81D6D">
        <w:rPr>
          <w:rFonts w:ascii="Arial" w:hAnsi="Arial" w:cs="Arial"/>
          <w:b/>
          <w:bCs/>
        </w:rPr>
        <w:t xml:space="preserve"> and how do they work? </w:t>
      </w:r>
    </w:p>
    <w:p w14:paraId="4F6A102B" w14:textId="2708881F" w:rsidR="00622B45" w:rsidRPr="00C81D6D" w:rsidRDefault="00622B45" w:rsidP="00AF52A5">
      <w:pPr>
        <w:pStyle w:val="NormalWeb"/>
        <w:spacing w:line="480" w:lineRule="auto"/>
        <w:rPr>
          <w:rFonts w:ascii="Arial" w:hAnsi="Arial" w:cs="Arial"/>
        </w:rPr>
      </w:pPr>
      <w:r w:rsidRPr="00C81D6D">
        <w:rPr>
          <w:rFonts w:ascii="Arial" w:hAnsi="Arial" w:cs="Arial"/>
        </w:rPr>
        <w:t xml:space="preserve">GLP-1RAs </w:t>
      </w:r>
      <w:r w:rsidR="007929AA" w:rsidRPr="00C81D6D">
        <w:rPr>
          <w:rFonts w:ascii="Arial" w:hAnsi="Arial" w:cs="Arial"/>
        </w:rPr>
        <w:t>replicate the activity of the endogenous incretin hormone GLP-1, which is</w:t>
      </w:r>
      <w:r w:rsidRPr="00C81D6D">
        <w:rPr>
          <w:rFonts w:ascii="Arial" w:hAnsi="Arial" w:cs="Arial"/>
        </w:rPr>
        <w:t xml:space="preserve"> </w:t>
      </w:r>
      <w:r w:rsidR="0030207F" w:rsidRPr="00C81D6D">
        <w:rPr>
          <w:rFonts w:ascii="Arial" w:hAnsi="Arial" w:cs="Arial"/>
        </w:rPr>
        <w:t xml:space="preserve">secreted </w:t>
      </w:r>
      <w:r w:rsidR="004051ED" w:rsidRPr="00C81D6D">
        <w:rPr>
          <w:rFonts w:ascii="Arial" w:hAnsi="Arial" w:cs="Arial"/>
        </w:rPr>
        <w:t>by</w:t>
      </w:r>
      <w:r w:rsidR="0030207F" w:rsidRPr="00C81D6D">
        <w:rPr>
          <w:rFonts w:ascii="Arial" w:hAnsi="Arial" w:cs="Arial"/>
        </w:rPr>
        <w:t xml:space="preserve"> the gut in response to food intake.</w:t>
      </w:r>
      <w:r w:rsidR="00503FA0" w:rsidRPr="00C81D6D">
        <w:rPr>
          <w:rFonts w:ascii="Arial" w:hAnsi="Arial" w:cs="Arial"/>
        </w:rPr>
        <w:t xml:space="preserve"> </w:t>
      </w:r>
      <w:r w:rsidR="004051ED" w:rsidRPr="00C81D6D">
        <w:rPr>
          <w:rFonts w:ascii="Arial" w:hAnsi="Arial" w:cs="Arial"/>
        </w:rPr>
        <w:t xml:space="preserve">GLP-1RAs promote weight loss by reducing appetite via slowed gastric emptying and acting on the brain’s appetite centres. </w:t>
      </w:r>
      <w:r w:rsidR="0030207F" w:rsidRPr="00C81D6D">
        <w:rPr>
          <w:rFonts w:ascii="Arial" w:hAnsi="Arial" w:cs="Arial"/>
        </w:rPr>
        <w:t xml:space="preserve">They enhance insulin secretion in a glucose-dependent manner, reducing the risk of hypoglycaemia and concurrently suppressing glucagon secretion, leading to decreased hepatic glucose production </w:t>
      </w:r>
      <w:sdt>
        <w:sdtPr>
          <w:rPr>
            <w:rFonts w:ascii="Arial" w:hAnsi="Arial" w:cs="Arial"/>
            <w:color w:val="000000"/>
          </w:rPr>
          <w:tag w:val="MENDELEY_CITATION_v3_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"/>
          <w:id w:val="-1919168186"/>
          <w:placeholder>
            <w:docPart w:val="705514F0F26DA04C928B36375882E813"/>
          </w:placeholder>
        </w:sdtPr>
        <w:sdtContent>
          <w:r w:rsidR="00012446" w:rsidRPr="00C81D6D">
            <w:rPr>
              <w:rFonts w:ascii="Arial" w:hAnsi="Arial" w:cs="Arial"/>
              <w:color w:val="000000"/>
            </w:rPr>
            <w:t>[2]</w:t>
          </w:r>
        </w:sdtContent>
      </w:sdt>
      <w:r w:rsidR="008A3B5A" w:rsidRPr="00C81D6D">
        <w:rPr>
          <w:rFonts w:ascii="Arial" w:hAnsi="Arial" w:cs="Arial"/>
          <w:color w:val="000000"/>
        </w:rPr>
        <w:t>.</w:t>
      </w:r>
      <w:r w:rsidR="00790B7C" w:rsidRPr="00C81D6D">
        <w:rPr>
          <w:rFonts w:ascii="Arial" w:hAnsi="Arial" w:cs="Arial"/>
          <w:color w:val="000000"/>
        </w:rPr>
        <w:t xml:space="preserve"> </w:t>
      </w:r>
      <w:r w:rsidR="003331F9" w:rsidRPr="00C81D6D">
        <w:rPr>
          <w:rFonts w:ascii="Arial" w:hAnsi="Arial" w:cs="Arial"/>
          <w:color w:val="000000"/>
        </w:rPr>
        <w:t>Gastric Inhibitory Polypeptide (</w:t>
      </w:r>
      <w:r w:rsidR="00790B7C" w:rsidRPr="00C81D6D">
        <w:rPr>
          <w:rFonts w:ascii="Arial" w:hAnsi="Arial" w:cs="Arial"/>
          <w:color w:val="000000"/>
        </w:rPr>
        <w:t>GIP</w:t>
      </w:r>
      <w:r w:rsidR="003331F9" w:rsidRPr="00C81D6D">
        <w:rPr>
          <w:rFonts w:ascii="Arial" w:hAnsi="Arial" w:cs="Arial"/>
          <w:color w:val="000000"/>
        </w:rPr>
        <w:t>)</w:t>
      </w:r>
      <w:r w:rsidR="00790B7C" w:rsidRPr="00C81D6D">
        <w:rPr>
          <w:rFonts w:ascii="Arial" w:hAnsi="Arial" w:cs="Arial"/>
          <w:color w:val="000000"/>
        </w:rPr>
        <w:t xml:space="preserve"> is also a gut hormone which plays a role in appetite reduction.</w:t>
      </w:r>
    </w:p>
    <w:p w14:paraId="5095761E" w14:textId="77777777" w:rsidR="00622B45" w:rsidRPr="00C81D6D" w:rsidRDefault="00622B45" w:rsidP="00AF52A5">
      <w:pPr>
        <w:spacing w:line="480" w:lineRule="auto"/>
        <w:rPr>
          <w:rFonts w:ascii="Arial" w:hAnsi="Arial" w:cs="Arial"/>
          <w:b/>
          <w:bCs/>
        </w:rPr>
      </w:pPr>
    </w:p>
    <w:p w14:paraId="4F429118" w14:textId="63CC2378" w:rsidR="008A3B5A" w:rsidRPr="00C81D6D" w:rsidRDefault="00C91C29" w:rsidP="00AF52A5">
      <w:pPr>
        <w:spacing w:line="480" w:lineRule="auto"/>
        <w:rPr>
          <w:rFonts w:ascii="Arial" w:hAnsi="Arial" w:cs="Arial"/>
        </w:rPr>
      </w:pPr>
      <w:r w:rsidRPr="00C81D6D">
        <w:rPr>
          <w:rFonts w:ascii="Arial" w:hAnsi="Arial" w:cs="Arial"/>
          <w:b/>
          <w:bCs/>
        </w:rPr>
        <w:t xml:space="preserve">2: </w:t>
      </w:r>
      <w:r w:rsidR="00622B45" w:rsidRPr="00C81D6D">
        <w:rPr>
          <w:rFonts w:ascii="Arial" w:hAnsi="Arial" w:cs="Arial"/>
          <w:b/>
          <w:bCs/>
        </w:rPr>
        <w:t>Which GLP-1RA</w:t>
      </w:r>
      <w:r w:rsidR="00AE1808" w:rsidRPr="00C81D6D">
        <w:rPr>
          <w:rFonts w:ascii="Arial" w:hAnsi="Arial" w:cs="Arial"/>
          <w:b/>
          <w:bCs/>
        </w:rPr>
        <w:t>s</w:t>
      </w:r>
      <w:r w:rsidR="00622B45" w:rsidRPr="00C81D6D">
        <w:rPr>
          <w:rFonts w:ascii="Arial" w:hAnsi="Arial" w:cs="Arial"/>
          <w:b/>
          <w:bCs/>
        </w:rPr>
        <w:t xml:space="preserve"> are licensed for obesity?</w:t>
      </w:r>
    </w:p>
    <w:p w14:paraId="25329E8A" w14:textId="2722FCD5" w:rsidR="00C91C29" w:rsidRDefault="006A574D" w:rsidP="00AF52A5">
      <w:pPr>
        <w:pStyle w:val="NormalWeb"/>
        <w:spacing w:line="480" w:lineRule="auto"/>
        <w:rPr>
          <w:rFonts w:ascii="Arial" w:hAnsi="Arial" w:cs="Arial"/>
        </w:rPr>
      </w:pPr>
      <w:r w:rsidRPr="00C81D6D">
        <w:rPr>
          <w:rFonts w:ascii="Arial" w:hAnsi="Arial" w:cs="Arial"/>
        </w:rPr>
        <w:t xml:space="preserve">For obesity treatment, only liraglutide 3.0mg, semaglutide 2.4mg, and tirzepatide </w:t>
      </w:r>
      <w:r w:rsidR="00790B7C" w:rsidRPr="00C81D6D">
        <w:rPr>
          <w:rFonts w:ascii="Arial" w:hAnsi="Arial" w:cs="Arial"/>
        </w:rPr>
        <w:t>5,10 and</w:t>
      </w:r>
      <w:r w:rsidR="00FE2531" w:rsidRPr="00C81D6D">
        <w:rPr>
          <w:rFonts w:ascii="Arial" w:hAnsi="Arial" w:cs="Arial"/>
        </w:rPr>
        <w:t xml:space="preserve"> </w:t>
      </w:r>
      <w:r w:rsidRPr="00C81D6D">
        <w:rPr>
          <w:rFonts w:ascii="Arial" w:hAnsi="Arial" w:cs="Arial"/>
        </w:rPr>
        <w:t>15mg are licensed</w:t>
      </w:r>
      <w:r w:rsidR="000D6EE4" w:rsidRPr="00C81D6D">
        <w:rPr>
          <w:rFonts w:ascii="Arial" w:hAnsi="Arial" w:cs="Arial"/>
        </w:rPr>
        <w:t xml:space="preserve"> in adults</w:t>
      </w:r>
      <w:r w:rsidRPr="00C81D6D">
        <w:rPr>
          <w:rFonts w:ascii="Arial" w:hAnsi="Arial" w:cs="Arial"/>
        </w:rPr>
        <w:t>. Semaglutide and liraglutide are GLP-1</w:t>
      </w:r>
      <w:r w:rsidR="00AE1808" w:rsidRPr="00C81D6D">
        <w:rPr>
          <w:rFonts w:ascii="Arial" w:hAnsi="Arial" w:cs="Arial"/>
        </w:rPr>
        <w:t>RAs</w:t>
      </w:r>
      <w:r w:rsidRPr="00C81D6D">
        <w:rPr>
          <w:rFonts w:ascii="Arial" w:hAnsi="Arial" w:cs="Arial"/>
        </w:rPr>
        <w:t>, while tirzepatide is a dual GLP-1/GIP co-agonist.</w:t>
      </w:r>
      <w:r w:rsidR="009142B0" w:rsidRPr="00C81D6D">
        <w:rPr>
          <w:rFonts w:ascii="Arial" w:hAnsi="Arial" w:cs="Arial"/>
        </w:rPr>
        <w:t xml:space="preserve"> </w:t>
      </w:r>
      <w:r w:rsidR="00BC58C6" w:rsidRPr="00C81D6D">
        <w:rPr>
          <w:rFonts w:ascii="Arial" w:hAnsi="Arial" w:cs="Arial"/>
        </w:rPr>
        <w:t xml:space="preserve">Dosing schedules are detailed in Figure 2A. </w:t>
      </w:r>
      <w:r w:rsidR="00DC616C" w:rsidRPr="00C81D6D">
        <w:rPr>
          <w:rFonts w:ascii="Arial" w:hAnsi="Arial" w:cs="Arial"/>
        </w:rPr>
        <w:t>Patients may privately obtain these medications, so it's important to inquire non-judgmentally (e.g., "To ensure safe prescribing, are you taking any weight loss medications you buy online?").</w:t>
      </w:r>
    </w:p>
    <w:p w14:paraId="4DD02316" w14:textId="77777777" w:rsidR="00B61003" w:rsidRDefault="00B61003" w:rsidP="00AF52A5">
      <w:pPr>
        <w:pStyle w:val="NormalWeb"/>
        <w:spacing w:line="480" w:lineRule="auto"/>
        <w:rPr>
          <w:rFonts w:ascii="Arial" w:hAnsi="Arial" w:cs="Arial"/>
        </w:rPr>
      </w:pPr>
    </w:p>
    <w:p w14:paraId="34FE66B9" w14:textId="77777777" w:rsidR="00B61003" w:rsidRPr="00C81D6D" w:rsidRDefault="00B61003" w:rsidP="00AF52A5">
      <w:pPr>
        <w:pStyle w:val="NormalWeb"/>
        <w:spacing w:line="480" w:lineRule="auto"/>
        <w:rPr>
          <w:rFonts w:ascii="Arial" w:hAnsi="Arial" w:cs="Arial"/>
        </w:rPr>
      </w:pPr>
    </w:p>
    <w:p w14:paraId="741EA08E" w14:textId="16F12F68" w:rsidR="00622B45" w:rsidRPr="00C81D6D" w:rsidRDefault="00C91C29" w:rsidP="00AF52A5">
      <w:pPr>
        <w:spacing w:line="480" w:lineRule="auto"/>
        <w:rPr>
          <w:rFonts w:ascii="Arial" w:hAnsi="Arial" w:cs="Arial"/>
          <w:b/>
          <w:bCs/>
        </w:rPr>
      </w:pPr>
      <w:r w:rsidRPr="00C81D6D">
        <w:rPr>
          <w:rFonts w:ascii="Arial" w:hAnsi="Arial" w:cs="Arial"/>
          <w:b/>
          <w:bCs/>
        </w:rPr>
        <w:lastRenderedPageBreak/>
        <w:t xml:space="preserve">3: </w:t>
      </w:r>
      <w:r w:rsidR="00622B45" w:rsidRPr="00C81D6D">
        <w:rPr>
          <w:rFonts w:ascii="Arial" w:hAnsi="Arial" w:cs="Arial"/>
          <w:b/>
          <w:bCs/>
        </w:rPr>
        <w:t>Who is eligible</w:t>
      </w:r>
      <w:r w:rsidR="00503FA0" w:rsidRPr="00C81D6D">
        <w:rPr>
          <w:rFonts w:ascii="Arial" w:hAnsi="Arial" w:cs="Arial"/>
          <w:b/>
          <w:bCs/>
        </w:rPr>
        <w:t>,</w:t>
      </w:r>
      <w:r w:rsidR="00622B45" w:rsidRPr="00C81D6D">
        <w:rPr>
          <w:rFonts w:ascii="Arial" w:hAnsi="Arial" w:cs="Arial"/>
          <w:b/>
          <w:bCs/>
        </w:rPr>
        <w:t xml:space="preserve"> and what support do patients need?</w:t>
      </w:r>
    </w:p>
    <w:p w14:paraId="21A7F64D" w14:textId="4D9E1CBF" w:rsidR="00844F54" w:rsidRPr="00C81D6D" w:rsidRDefault="00FE0EE4" w:rsidP="00AF52A5">
      <w:pPr>
        <w:pStyle w:val="NormalWeb"/>
        <w:spacing w:line="480" w:lineRule="auto"/>
        <w:rPr>
          <w:rFonts w:ascii="Arial" w:hAnsi="Arial" w:cs="Arial"/>
        </w:rPr>
      </w:pPr>
      <w:r w:rsidRPr="00C81D6D">
        <w:rPr>
          <w:rFonts w:ascii="Arial" w:hAnsi="Arial" w:cs="Arial"/>
        </w:rPr>
        <w:t>Within the UK, National Health Service (</w:t>
      </w:r>
      <w:r w:rsidR="008A3B5A" w:rsidRPr="00C81D6D">
        <w:rPr>
          <w:rFonts w:ascii="Arial" w:hAnsi="Arial" w:cs="Arial"/>
        </w:rPr>
        <w:t>NHS</w:t>
      </w:r>
      <w:r w:rsidR="000D6EE4" w:rsidRPr="00C81D6D">
        <w:rPr>
          <w:rFonts w:ascii="Arial" w:hAnsi="Arial" w:cs="Arial"/>
        </w:rPr>
        <w:t>) adult</w:t>
      </w:r>
      <w:r w:rsidR="008A3B5A" w:rsidRPr="00C81D6D">
        <w:rPr>
          <w:rFonts w:ascii="Arial" w:hAnsi="Arial" w:cs="Arial"/>
        </w:rPr>
        <w:t xml:space="preserve"> patients can be prescribed GLP-1 agents licensed for </w:t>
      </w:r>
      <w:r w:rsidR="00254EB7" w:rsidRPr="00C81D6D">
        <w:rPr>
          <w:rFonts w:ascii="Arial" w:hAnsi="Arial" w:cs="Arial"/>
        </w:rPr>
        <w:t xml:space="preserve">T2D </w:t>
      </w:r>
      <w:r w:rsidR="00DC616C" w:rsidRPr="00C81D6D">
        <w:rPr>
          <w:rFonts w:ascii="Arial" w:hAnsi="Arial" w:cs="Arial"/>
        </w:rPr>
        <w:t xml:space="preserve">according to </w:t>
      </w:r>
      <w:r w:rsidR="008A3B5A" w:rsidRPr="00C81D6D">
        <w:rPr>
          <w:rFonts w:ascii="Arial" w:hAnsi="Arial" w:cs="Arial"/>
        </w:rPr>
        <w:t>local guidance</w:t>
      </w:r>
      <w:r w:rsidR="00254EB7" w:rsidRPr="00C81D6D">
        <w:rPr>
          <w:rFonts w:ascii="Arial" w:hAnsi="Arial" w:cs="Arial"/>
        </w:rPr>
        <w:t>.</w:t>
      </w:r>
      <w:r w:rsidR="00D14FBF" w:rsidRPr="00C81D6D">
        <w:rPr>
          <w:rFonts w:ascii="Arial" w:hAnsi="Arial" w:cs="Arial"/>
        </w:rPr>
        <w:t xml:space="preserve"> </w:t>
      </w:r>
      <w:r w:rsidR="00DC616C" w:rsidRPr="00C81D6D">
        <w:rPr>
          <w:rFonts w:ascii="Arial" w:hAnsi="Arial" w:cs="Arial"/>
        </w:rPr>
        <w:t xml:space="preserve">However, </w:t>
      </w:r>
      <w:r w:rsidR="00477EE9" w:rsidRPr="00C81D6D">
        <w:rPr>
          <w:rFonts w:ascii="Arial" w:hAnsi="Arial" w:cs="Arial"/>
        </w:rPr>
        <w:t xml:space="preserve">at present </w:t>
      </w:r>
      <w:r w:rsidRPr="00C81D6D">
        <w:rPr>
          <w:rFonts w:ascii="Arial" w:hAnsi="Arial" w:cs="Arial"/>
        </w:rPr>
        <w:t>primary care staff</w:t>
      </w:r>
      <w:r w:rsidR="008A3B5A" w:rsidRPr="00C81D6D">
        <w:rPr>
          <w:rFonts w:ascii="Arial" w:hAnsi="Arial" w:cs="Arial"/>
        </w:rPr>
        <w:t xml:space="preserve"> cannot prescribe GLP-1 RA for obesity </w:t>
      </w:r>
      <w:r w:rsidR="00DC616C" w:rsidRPr="00C81D6D">
        <w:rPr>
          <w:rFonts w:ascii="Arial" w:hAnsi="Arial" w:cs="Arial"/>
        </w:rPr>
        <w:t>and</w:t>
      </w:r>
      <w:r w:rsidR="008A3B5A" w:rsidRPr="00C81D6D">
        <w:rPr>
          <w:rFonts w:ascii="Arial" w:hAnsi="Arial" w:cs="Arial"/>
        </w:rPr>
        <w:t xml:space="preserve"> </w:t>
      </w:r>
      <w:r w:rsidR="001F0A80" w:rsidRPr="00C81D6D">
        <w:rPr>
          <w:rFonts w:ascii="Arial" w:hAnsi="Arial" w:cs="Arial"/>
        </w:rPr>
        <w:t xml:space="preserve">currently </w:t>
      </w:r>
      <w:r w:rsidR="008A3B5A" w:rsidRPr="00C81D6D">
        <w:rPr>
          <w:rFonts w:ascii="Arial" w:hAnsi="Arial" w:cs="Arial"/>
        </w:rPr>
        <w:t>must refer</w:t>
      </w:r>
      <w:r w:rsidR="00DC616C" w:rsidRPr="00C81D6D">
        <w:rPr>
          <w:rFonts w:ascii="Arial" w:hAnsi="Arial" w:cs="Arial"/>
        </w:rPr>
        <w:t xml:space="preserve"> patients</w:t>
      </w:r>
      <w:r w:rsidR="008A3B5A" w:rsidRPr="00C81D6D">
        <w:rPr>
          <w:rFonts w:ascii="Arial" w:hAnsi="Arial" w:cs="Arial"/>
        </w:rPr>
        <w:t xml:space="preserve"> </w:t>
      </w:r>
      <w:r w:rsidR="00503FA0" w:rsidRPr="00C81D6D">
        <w:rPr>
          <w:rFonts w:ascii="Arial" w:hAnsi="Arial" w:cs="Arial"/>
        </w:rPr>
        <w:t>to</w:t>
      </w:r>
      <w:r w:rsidR="00AE1808" w:rsidRPr="00C81D6D">
        <w:rPr>
          <w:rFonts w:ascii="Arial" w:hAnsi="Arial" w:cs="Arial"/>
        </w:rPr>
        <w:t xml:space="preserve"> specialist weight management service</w:t>
      </w:r>
      <w:r w:rsidR="00DC616C" w:rsidRPr="00C81D6D">
        <w:rPr>
          <w:rFonts w:ascii="Arial" w:hAnsi="Arial" w:cs="Arial"/>
        </w:rPr>
        <w:t>s</w:t>
      </w:r>
      <w:r w:rsidR="008A3B5A" w:rsidRPr="00C81D6D">
        <w:rPr>
          <w:rFonts w:ascii="Arial" w:hAnsi="Arial" w:cs="Arial"/>
        </w:rPr>
        <w:t>.</w:t>
      </w:r>
      <w:r w:rsidR="00503FA0" w:rsidRPr="00C81D6D">
        <w:rPr>
          <w:rFonts w:ascii="Arial" w:hAnsi="Arial" w:cs="Arial"/>
        </w:rPr>
        <w:t xml:space="preserve"> </w:t>
      </w:r>
      <w:r w:rsidR="00EF20F7" w:rsidRPr="00C81D6D">
        <w:rPr>
          <w:rFonts w:ascii="Arial" w:hAnsi="Arial" w:cs="Arial"/>
        </w:rPr>
        <w:t xml:space="preserve">There are also </w:t>
      </w:r>
      <w:r w:rsidRPr="00C81D6D">
        <w:rPr>
          <w:rFonts w:ascii="Arial" w:hAnsi="Arial" w:cs="Arial"/>
        </w:rPr>
        <w:t>National Institute of Clinical Excellence (</w:t>
      </w:r>
      <w:r w:rsidR="00EF20F7" w:rsidRPr="00C81D6D">
        <w:rPr>
          <w:rFonts w:ascii="Arial" w:hAnsi="Arial" w:cs="Arial"/>
        </w:rPr>
        <w:t>NICE</w:t>
      </w:r>
      <w:r w:rsidRPr="00C81D6D">
        <w:rPr>
          <w:rFonts w:ascii="Arial" w:hAnsi="Arial" w:cs="Arial"/>
        </w:rPr>
        <w:t>)</w:t>
      </w:r>
      <w:r w:rsidR="00EF20F7" w:rsidRPr="00C81D6D">
        <w:rPr>
          <w:rFonts w:ascii="Arial" w:hAnsi="Arial" w:cs="Arial"/>
        </w:rPr>
        <w:t xml:space="preserve"> approved digital providers of wrap-around care to support prescribing of GLP-1RA</w:t>
      </w:r>
      <w:r w:rsidR="003331F9" w:rsidRPr="00C81D6D">
        <w:rPr>
          <w:rFonts w:ascii="Arial" w:hAnsi="Arial" w:cs="Arial"/>
        </w:rPr>
        <w:t xml:space="preserve"> </w:t>
      </w:r>
      <w:sdt>
        <w:sdtPr>
          <w:rPr>
            <w:rFonts w:ascii="Arial" w:hAnsi="Arial" w:cs="Arial"/>
            <w:color w:val="000000"/>
          </w:rPr>
          <w:tag w:val="MENDELEY_CITATION_v3_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"/>
          <w:id w:val="1193260037"/>
          <w:placeholder>
            <w:docPart w:val="DefaultPlaceholder_-1854013440"/>
          </w:placeholder>
        </w:sdtPr>
        <w:sdtContent>
          <w:r w:rsidR="00012446" w:rsidRPr="00C81D6D">
            <w:rPr>
              <w:rFonts w:ascii="Arial" w:hAnsi="Arial" w:cs="Arial"/>
              <w:color w:val="000000"/>
            </w:rPr>
            <w:t>[3]</w:t>
          </w:r>
        </w:sdtContent>
      </w:sdt>
      <w:r w:rsidR="00EF20F7" w:rsidRPr="00C81D6D">
        <w:rPr>
          <w:rFonts w:ascii="Arial" w:hAnsi="Arial" w:cs="Arial"/>
        </w:rPr>
        <w:t xml:space="preserve">.  </w:t>
      </w:r>
      <w:r w:rsidR="00CB6607" w:rsidRPr="00C81D6D">
        <w:rPr>
          <w:rFonts w:ascii="Arial" w:hAnsi="Arial" w:cs="Arial"/>
        </w:rPr>
        <w:t>NICE recommends prescribing</w:t>
      </w:r>
      <w:r w:rsidR="009F6CB2" w:rsidRPr="00C81D6D">
        <w:rPr>
          <w:rFonts w:ascii="Arial" w:hAnsi="Arial" w:cs="Arial"/>
        </w:rPr>
        <w:t xml:space="preserve"> semaglutide 2.4mg </w:t>
      </w:r>
      <w:r w:rsidR="00CB6607" w:rsidRPr="00C81D6D">
        <w:rPr>
          <w:rFonts w:ascii="Arial" w:hAnsi="Arial" w:cs="Arial"/>
        </w:rPr>
        <w:t>with dietary and physical activity support for adults with weight-related complication</w:t>
      </w:r>
      <w:r w:rsidR="00DC616C" w:rsidRPr="00C81D6D">
        <w:rPr>
          <w:rFonts w:ascii="Arial" w:hAnsi="Arial" w:cs="Arial"/>
        </w:rPr>
        <w:t>s</w:t>
      </w:r>
      <w:r w:rsidR="00CB6607" w:rsidRPr="00C81D6D">
        <w:rPr>
          <w:rFonts w:ascii="Arial" w:hAnsi="Arial" w:cs="Arial"/>
        </w:rPr>
        <w:t xml:space="preserve"> (i.e. </w:t>
      </w:r>
      <w:r w:rsidR="00790B7C" w:rsidRPr="00C81D6D">
        <w:rPr>
          <w:rFonts w:ascii="Arial" w:hAnsi="Arial" w:cs="Arial"/>
        </w:rPr>
        <w:t>cardiovascular disease</w:t>
      </w:r>
      <w:r w:rsidR="003D43A0" w:rsidRPr="00C81D6D">
        <w:rPr>
          <w:rFonts w:ascii="Arial" w:hAnsi="Arial" w:cs="Arial"/>
        </w:rPr>
        <w:t xml:space="preserve"> (</w:t>
      </w:r>
      <w:r w:rsidR="00DC616C" w:rsidRPr="00C81D6D">
        <w:rPr>
          <w:rFonts w:ascii="Arial" w:hAnsi="Arial" w:cs="Arial"/>
        </w:rPr>
        <w:t>CVD</w:t>
      </w:r>
      <w:r w:rsidR="003D43A0" w:rsidRPr="00C81D6D">
        <w:rPr>
          <w:rFonts w:ascii="Arial" w:hAnsi="Arial" w:cs="Arial"/>
        </w:rPr>
        <w:t>)</w:t>
      </w:r>
      <w:r w:rsidR="00CB6607" w:rsidRPr="00C81D6D">
        <w:rPr>
          <w:rFonts w:ascii="Arial" w:hAnsi="Arial" w:cs="Arial"/>
        </w:rPr>
        <w:t xml:space="preserve">) and </w:t>
      </w:r>
      <w:r w:rsidR="00AE1808" w:rsidRPr="00C81D6D">
        <w:rPr>
          <w:rFonts w:ascii="Arial" w:hAnsi="Arial" w:cs="Arial"/>
        </w:rPr>
        <w:t>BMI</w:t>
      </w:r>
      <m:oMath>
        <m:r>
          <w:rPr>
            <w:rFonts w:ascii="Cambria Math" w:hAnsi="Cambria Math" w:cs="Arial"/>
          </w:rPr>
          <m:t>≥</m:t>
        </m:r>
      </m:oMath>
      <w:r w:rsidR="00AE1808" w:rsidRPr="00C81D6D">
        <w:rPr>
          <w:rFonts w:ascii="Arial" w:hAnsi="Arial" w:cs="Arial"/>
        </w:rPr>
        <w:t>35kg/m</w:t>
      </w:r>
      <w:r w:rsidR="00AE1808" w:rsidRPr="00C81D6D">
        <w:rPr>
          <w:rFonts w:ascii="Arial" w:hAnsi="Arial" w:cs="Arial"/>
          <w:vertAlign w:val="superscript"/>
        </w:rPr>
        <w:t>2</w:t>
      </w:r>
      <w:r w:rsidR="00AE1808" w:rsidRPr="00C81D6D">
        <w:rPr>
          <w:rFonts w:ascii="Arial" w:hAnsi="Arial" w:cs="Arial"/>
        </w:rPr>
        <w:t xml:space="preserve"> (</w:t>
      </w:r>
      <w:r w:rsidR="00DC616C" w:rsidRPr="00C81D6D">
        <w:rPr>
          <w:rFonts w:ascii="Arial" w:hAnsi="Arial" w:cs="Arial"/>
        </w:rPr>
        <w:t xml:space="preserve">or exceptionally ≥30) </w:t>
      </w:r>
      <w:r w:rsidR="00844F54" w:rsidRPr="00C81D6D">
        <w:rPr>
          <w:rFonts w:ascii="Arial" w:hAnsi="Arial" w:cs="Arial"/>
        </w:rPr>
        <w:t xml:space="preserve">within specialist services </w:t>
      </w:r>
      <w:sdt>
        <w:sdtPr>
          <w:rPr>
            <w:rFonts w:ascii="Arial" w:hAnsi="Arial" w:cs="Arial"/>
            <w:color w:val="000000"/>
          </w:rPr>
          <w:tag w:val="MENDELEY_CITATION_v3_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"/>
          <w:id w:val="435103143"/>
          <w:placeholder>
            <w:docPart w:val="DefaultPlaceholder_-1854013440"/>
          </w:placeholder>
        </w:sdtPr>
        <w:sdtContent>
          <w:r w:rsidR="00012446" w:rsidRPr="00C81D6D">
            <w:rPr>
              <w:rFonts w:ascii="Arial" w:hAnsi="Arial" w:cs="Arial"/>
              <w:color w:val="000000"/>
            </w:rPr>
            <w:t>[4]</w:t>
          </w:r>
        </w:sdtContent>
      </w:sdt>
      <w:r w:rsidR="00844F54" w:rsidRPr="00C81D6D">
        <w:rPr>
          <w:rFonts w:ascii="Arial" w:hAnsi="Arial" w:cs="Arial"/>
          <w:color w:val="000000"/>
        </w:rPr>
        <w:t>.</w:t>
      </w:r>
      <w:r w:rsidR="00DC616C" w:rsidRPr="00C81D6D">
        <w:rPr>
          <w:rFonts w:ascii="Arial" w:hAnsi="Arial" w:cs="Arial"/>
        </w:rPr>
        <w:t xml:space="preserve"> </w:t>
      </w:r>
      <w:r w:rsidR="00DC616C" w:rsidRPr="00C81D6D">
        <w:rPr>
          <w:rFonts w:ascii="Arial" w:hAnsi="Arial" w:cs="Arial"/>
          <w:color w:val="000000"/>
        </w:rPr>
        <w:t xml:space="preserve">Due to supply and funding constraints, most UK patients cannot access </w:t>
      </w:r>
      <w:r w:rsidR="009F6CB2" w:rsidRPr="00C81D6D">
        <w:rPr>
          <w:rFonts w:ascii="Arial" w:hAnsi="Arial" w:cs="Arial"/>
          <w:color w:val="000000"/>
        </w:rPr>
        <w:t>semaglutide 2.4mg</w:t>
      </w:r>
      <w:r w:rsidR="00DC616C" w:rsidRPr="00C81D6D">
        <w:rPr>
          <w:rFonts w:ascii="Arial" w:hAnsi="Arial" w:cs="Arial"/>
          <w:color w:val="000000"/>
        </w:rPr>
        <w:t>, even in specialist services.</w:t>
      </w:r>
      <w:r w:rsidR="00DC616C" w:rsidRPr="00C81D6D">
        <w:rPr>
          <w:rFonts w:ascii="Arial" w:hAnsi="Arial" w:cs="Arial"/>
        </w:rPr>
        <w:t xml:space="preserve"> </w:t>
      </w:r>
      <w:r w:rsidR="008A3B5A" w:rsidRPr="00C81D6D">
        <w:rPr>
          <w:rFonts w:ascii="Arial" w:hAnsi="Arial" w:cs="Arial"/>
        </w:rPr>
        <w:t xml:space="preserve">Tirzepatide </w:t>
      </w:r>
      <w:r w:rsidR="00EA7A44" w:rsidRPr="00C81D6D">
        <w:rPr>
          <w:rFonts w:ascii="Arial" w:hAnsi="Arial" w:cs="Arial"/>
        </w:rPr>
        <w:t xml:space="preserve">has been evaluated by NICE for obesity </w:t>
      </w:r>
      <w:proofErr w:type="gramStart"/>
      <w:r w:rsidR="00EA7A44" w:rsidRPr="00C81D6D">
        <w:rPr>
          <w:rFonts w:ascii="Arial" w:hAnsi="Arial" w:cs="Arial"/>
        </w:rPr>
        <w:t>management, and</w:t>
      </w:r>
      <w:proofErr w:type="gramEnd"/>
      <w:r w:rsidR="00EA7A44" w:rsidRPr="00C81D6D">
        <w:rPr>
          <w:rFonts w:ascii="Arial" w:hAnsi="Arial" w:cs="Arial"/>
        </w:rPr>
        <w:t xml:space="preserve"> will have a phased roll out</w:t>
      </w:r>
      <w:r w:rsidR="00027F0A" w:rsidRPr="00C81D6D">
        <w:rPr>
          <w:rFonts w:ascii="Arial" w:hAnsi="Arial" w:cs="Arial"/>
        </w:rPr>
        <w:t xml:space="preserve"> </w:t>
      </w:r>
      <w:sdt>
        <w:sdtPr>
          <w:rPr>
            <w:rFonts w:ascii="Arial" w:hAnsi="Arial" w:cs="Arial"/>
            <w:color w:val="000000"/>
          </w:rPr>
          <w:tag w:val="MENDELEY_CITATION_v3_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"/>
          <w:id w:val="739909912"/>
          <w:placeholder>
            <w:docPart w:val="DefaultPlaceholder_-1854013440"/>
          </w:placeholder>
        </w:sdtPr>
        <w:sdtContent>
          <w:r w:rsidR="00012446" w:rsidRPr="00C81D6D">
            <w:rPr>
              <w:rFonts w:ascii="Arial" w:hAnsi="Arial" w:cs="Arial"/>
              <w:color w:val="000000"/>
            </w:rPr>
            <w:t>[5]</w:t>
          </w:r>
        </w:sdtContent>
      </w:sdt>
      <w:r w:rsidR="00EA7A44" w:rsidRPr="00C81D6D">
        <w:rPr>
          <w:rFonts w:ascii="Arial" w:hAnsi="Arial" w:cs="Arial"/>
        </w:rPr>
        <w:t xml:space="preserve">. </w:t>
      </w:r>
      <w:r w:rsidR="009B01AB" w:rsidRPr="00C81D6D">
        <w:rPr>
          <w:rFonts w:ascii="Arial" w:hAnsi="Arial" w:cs="Arial"/>
        </w:rPr>
        <w:t xml:space="preserve">NICE recommends that patients receive support from a multi-disciplinary team delivering comprehensive weight management programs, </w:t>
      </w:r>
      <w:r w:rsidR="00503FA0" w:rsidRPr="00C81D6D">
        <w:rPr>
          <w:rFonts w:ascii="Arial" w:hAnsi="Arial" w:cs="Arial"/>
        </w:rPr>
        <w:t>emphasising</w:t>
      </w:r>
      <w:r w:rsidR="009B01AB" w:rsidRPr="00C81D6D">
        <w:rPr>
          <w:rFonts w:ascii="Arial" w:hAnsi="Arial" w:cs="Arial"/>
        </w:rPr>
        <w:t xml:space="preserve"> calorie restriction, increased physical activity, and behavioural interventions for long-term success by trained professionals </w:t>
      </w:r>
      <w:sdt>
        <w:sdtPr>
          <w:rPr>
            <w:rFonts w:ascii="Arial" w:hAnsi="Arial" w:cs="Arial"/>
            <w:color w:val="000000"/>
          </w:rPr>
          <w:tag w:val="MENDELEY_CITATION_v3_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"/>
          <w:id w:val="-278258044"/>
          <w:placeholder>
            <w:docPart w:val="DefaultPlaceholder_-1854013440"/>
          </w:placeholder>
        </w:sdtPr>
        <w:sdtContent>
          <w:r w:rsidR="00012446" w:rsidRPr="00C81D6D">
            <w:rPr>
              <w:rFonts w:ascii="Arial" w:hAnsi="Arial" w:cs="Arial"/>
              <w:color w:val="000000"/>
            </w:rPr>
            <w:t>[6]</w:t>
          </w:r>
        </w:sdtContent>
      </w:sdt>
      <w:r w:rsidR="008A3B5A" w:rsidRPr="00C81D6D">
        <w:rPr>
          <w:rFonts w:ascii="Arial" w:hAnsi="Arial" w:cs="Arial"/>
        </w:rPr>
        <w:t>.</w:t>
      </w:r>
      <w:r w:rsidR="00503FA0" w:rsidRPr="00C81D6D">
        <w:rPr>
          <w:rFonts w:ascii="Arial" w:hAnsi="Arial" w:cs="Arial"/>
        </w:rPr>
        <w:t xml:space="preserve"> </w:t>
      </w:r>
      <w:r w:rsidR="009B01AB" w:rsidRPr="00C81D6D">
        <w:rPr>
          <w:rFonts w:ascii="Arial" w:hAnsi="Arial" w:cs="Arial"/>
        </w:rPr>
        <w:t xml:space="preserve"> </w:t>
      </w:r>
    </w:p>
    <w:p w14:paraId="0108FC50" w14:textId="6441F8EB" w:rsidR="00622B45" w:rsidRPr="00C81D6D" w:rsidRDefault="00025D61" w:rsidP="00AF52A5">
      <w:pPr>
        <w:spacing w:line="480" w:lineRule="auto"/>
        <w:rPr>
          <w:rFonts w:ascii="Arial" w:hAnsi="Arial" w:cs="Arial"/>
        </w:rPr>
      </w:pPr>
      <w:r w:rsidRPr="00C81D6D">
        <w:rPr>
          <w:rFonts w:ascii="Arial" w:hAnsi="Arial" w:cs="Arial"/>
          <w:b/>
          <w:bCs/>
        </w:rPr>
        <w:t>4</w:t>
      </w:r>
      <w:r w:rsidR="00C91C29" w:rsidRPr="00C81D6D">
        <w:rPr>
          <w:rFonts w:ascii="Arial" w:hAnsi="Arial" w:cs="Arial"/>
          <w:b/>
          <w:bCs/>
        </w:rPr>
        <w:t xml:space="preserve">: </w:t>
      </w:r>
      <w:r w:rsidR="00622B45" w:rsidRPr="00C81D6D">
        <w:rPr>
          <w:rFonts w:ascii="Arial" w:hAnsi="Arial" w:cs="Arial"/>
          <w:b/>
          <w:bCs/>
        </w:rPr>
        <w:t>Benefits of GLP-1RA</w:t>
      </w:r>
      <w:r w:rsidR="00AE1808" w:rsidRPr="00C81D6D">
        <w:rPr>
          <w:rFonts w:ascii="Arial" w:hAnsi="Arial" w:cs="Arial"/>
          <w:b/>
          <w:bCs/>
        </w:rPr>
        <w:t>s</w:t>
      </w:r>
      <w:r w:rsidR="00622B45" w:rsidRPr="00C81D6D">
        <w:rPr>
          <w:rFonts w:ascii="Arial" w:hAnsi="Arial" w:cs="Arial"/>
          <w:b/>
          <w:bCs/>
        </w:rPr>
        <w:t>?</w:t>
      </w:r>
    </w:p>
    <w:p w14:paraId="11E04BE5" w14:textId="509E28C4" w:rsidR="00753B2D" w:rsidRPr="00C81D6D" w:rsidRDefault="00CB6607" w:rsidP="00AF52A5">
      <w:pPr>
        <w:spacing w:line="480" w:lineRule="auto"/>
        <w:rPr>
          <w:rFonts w:ascii="Arial" w:hAnsi="Arial" w:cs="Arial"/>
        </w:rPr>
      </w:pPr>
      <w:r w:rsidRPr="00C81D6D">
        <w:rPr>
          <w:rFonts w:ascii="Arial" w:hAnsi="Arial" w:cs="Arial"/>
        </w:rPr>
        <w:t>GLP-1RAs significantly reduce weight and improve glycaemic control, with emerging benefits for</w:t>
      </w:r>
      <w:r w:rsidR="00DF0731" w:rsidRPr="00C81D6D">
        <w:rPr>
          <w:rFonts w:ascii="Arial" w:hAnsi="Arial" w:cs="Arial"/>
        </w:rPr>
        <w:t xml:space="preserve"> other</w:t>
      </w:r>
      <w:r w:rsidRPr="00C81D6D">
        <w:rPr>
          <w:rFonts w:ascii="Arial" w:hAnsi="Arial" w:cs="Arial"/>
        </w:rPr>
        <w:t xml:space="preserve"> obesity-related health conditions.</w:t>
      </w:r>
      <w:r w:rsidR="00503FA0" w:rsidRPr="00C81D6D">
        <w:rPr>
          <w:rFonts w:ascii="Arial" w:hAnsi="Arial" w:cs="Arial"/>
        </w:rPr>
        <w:t xml:space="preserve"> </w:t>
      </w:r>
      <w:r w:rsidR="00DC616C" w:rsidRPr="00C81D6D">
        <w:rPr>
          <w:rFonts w:ascii="Arial" w:hAnsi="Arial" w:cs="Arial"/>
        </w:rPr>
        <w:t xml:space="preserve">Combined with </w:t>
      </w:r>
      <w:r w:rsidR="00377B68" w:rsidRPr="00C81D6D">
        <w:rPr>
          <w:rFonts w:ascii="Arial" w:hAnsi="Arial" w:cs="Arial"/>
        </w:rPr>
        <w:t>behavioural</w:t>
      </w:r>
      <w:r w:rsidR="00DC616C" w:rsidRPr="00C81D6D">
        <w:rPr>
          <w:rFonts w:ascii="Arial" w:hAnsi="Arial" w:cs="Arial"/>
        </w:rPr>
        <w:t xml:space="preserve"> interventions, </w:t>
      </w:r>
      <w:r w:rsidR="009F6CB2" w:rsidRPr="00C81D6D">
        <w:rPr>
          <w:rFonts w:ascii="Arial" w:hAnsi="Arial" w:cs="Arial"/>
        </w:rPr>
        <w:t>Semaglutide 2.4mg</w:t>
      </w:r>
      <w:r w:rsidR="00DC616C" w:rsidRPr="00C81D6D">
        <w:rPr>
          <w:rFonts w:ascii="Arial" w:hAnsi="Arial" w:cs="Arial"/>
        </w:rPr>
        <w:t xml:space="preserve"> achieves an average 15% weight loss at one year, while </w:t>
      </w:r>
      <w:r w:rsidR="009F6CB2" w:rsidRPr="00C81D6D">
        <w:rPr>
          <w:rFonts w:ascii="Arial" w:hAnsi="Arial" w:cs="Arial"/>
        </w:rPr>
        <w:t>Tirzepatide 15mg</w:t>
      </w:r>
      <w:r w:rsidR="00DC616C" w:rsidRPr="00C81D6D">
        <w:rPr>
          <w:rFonts w:ascii="Arial" w:hAnsi="Arial" w:cs="Arial"/>
        </w:rPr>
        <w:t xml:space="preserve"> reaches 22% at its top dose of 15 mg. Weight loss also occurs at lower doses if higher doses are not tolerated due to side effects. </w:t>
      </w:r>
      <w:r w:rsidR="00DF0731" w:rsidRPr="00C81D6D">
        <w:rPr>
          <w:rFonts w:ascii="Arial" w:hAnsi="Arial" w:cs="Arial"/>
        </w:rPr>
        <w:t xml:space="preserve"> </w:t>
      </w:r>
      <w:r w:rsidR="00753B2D" w:rsidRPr="00C81D6D">
        <w:rPr>
          <w:rFonts w:ascii="Arial" w:hAnsi="Arial" w:cs="Arial"/>
        </w:rPr>
        <w:t xml:space="preserve">There </w:t>
      </w:r>
      <w:r w:rsidR="00844F54" w:rsidRPr="00C81D6D">
        <w:rPr>
          <w:rFonts w:ascii="Arial" w:hAnsi="Arial" w:cs="Arial"/>
        </w:rPr>
        <w:t>are</w:t>
      </w:r>
      <w:r w:rsidR="00753B2D" w:rsidRPr="00C81D6D">
        <w:rPr>
          <w:rFonts w:ascii="Arial" w:hAnsi="Arial" w:cs="Arial"/>
        </w:rPr>
        <w:t xml:space="preserve"> emerging</w:t>
      </w:r>
      <w:r w:rsidR="00844F54" w:rsidRPr="00C81D6D">
        <w:rPr>
          <w:rFonts w:ascii="Arial" w:hAnsi="Arial" w:cs="Arial"/>
        </w:rPr>
        <w:t>/established</w:t>
      </w:r>
      <w:r w:rsidR="00753B2D" w:rsidRPr="00C81D6D">
        <w:rPr>
          <w:rFonts w:ascii="Arial" w:hAnsi="Arial" w:cs="Arial"/>
        </w:rPr>
        <w:t xml:space="preserve"> benefits </w:t>
      </w:r>
      <w:r w:rsidR="00503FA0" w:rsidRPr="00C81D6D">
        <w:rPr>
          <w:rFonts w:ascii="Arial" w:hAnsi="Arial" w:cs="Arial"/>
        </w:rPr>
        <w:t>for</w:t>
      </w:r>
      <w:r w:rsidR="00753B2D" w:rsidRPr="00C81D6D">
        <w:rPr>
          <w:rFonts w:ascii="Arial" w:hAnsi="Arial" w:cs="Arial"/>
        </w:rPr>
        <w:t xml:space="preserve"> </w:t>
      </w:r>
      <w:r w:rsidR="00844F54" w:rsidRPr="00C81D6D">
        <w:rPr>
          <w:rFonts w:ascii="Arial" w:hAnsi="Arial" w:cs="Arial"/>
        </w:rPr>
        <w:t>CVD</w:t>
      </w:r>
      <w:r w:rsidR="00753B2D" w:rsidRPr="00C81D6D">
        <w:rPr>
          <w:rFonts w:ascii="Arial" w:hAnsi="Arial" w:cs="Arial"/>
        </w:rPr>
        <w:t>, heart failure</w:t>
      </w:r>
      <w:r w:rsidRPr="00C81D6D">
        <w:rPr>
          <w:rFonts w:ascii="Arial" w:hAnsi="Arial" w:cs="Arial"/>
        </w:rPr>
        <w:t xml:space="preserve">, </w:t>
      </w:r>
      <w:r w:rsidR="00753B2D" w:rsidRPr="00C81D6D">
        <w:rPr>
          <w:rFonts w:ascii="Arial" w:hAnsi="Arial" w:cs="Arial"/>
        </w:rPr>
        <w:t xml:space="preserve">chronic kidney disease, sleep apnoea, osteoarthritis and </w:t>
      </w:r>
      <w:r w:rsidR="00AE1808" w:rsidRPr="00C81D6D">
        <w:rPr>
          <w:rFonts w:ascii="Arial" w:hAnsi="Arial" w:cs="Arial"/>
        </w:rPr>
        <w:t xml:space="preserve">metabolic-associated </w:t>
      </w:r>
      <w:proofErr w:type="spellStart"/>
      <w:r w:rsidR="00AE1808" w:rsidRPr="00C81D6D">
        <w:rPr>
          <w:rFonts w:ascii="Arial" w:hAnsi="Arial" w:cs="Arial"/>
        </w:rPr>
        <w:t>steatotic</w:t>
      </w:r>
      <w:proofErr w:type="spellEnd"/>
      <w:r w:rsidR="00AE1808" w:rsidRPr="00C81D6D">
        <w:rPr>
          <w:rFonts w:ascii="Arial" w:hAnsi="Arial" w:cs="Arial"/>
        </w:rPr>
        <w:t xml:space="preserve"> liver disease</w:t>
      </w:r>
      <w:r w:rsidR="006134E8" w:rsidRPr="00C81D6D">
        <w:rPr>
          <w:rFonts w:ascii="Arial" w:hAnsi="Arial" w:cs="Arial"/>
        </w:rPr>
        <w:t xml:space="preserve"> </w:t>
      </w:r>
      <w:sdt>
        <w:sdtPr>
          <w:rPr>
            <w:rFonts w:ascii="Arial" w:hAnsi="Arial" w:cs="Arial"/>
            <w:color w:val="000000"/>
          </w:rPr>
          <w:tag w:val="MENDELEY_CITATION_v3_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"/>
          <w:id w:val="-2038800878"/>
          <w:placeholder>
            <w:docPart w:val="DefaultPlaceholder_-1854013440"/>
          </w:placeholder>
        </w:sdtPr>
        <w:sdtContent>
          <w:r w:rsidR="00012446" w:rsidRPr="00C81D6D">
            <w:rPr>
              <w:rFonts w:ascii="Arial" w:hAnsi="Arial" w:cs="Arial"/>
              <w:color w:val="000000"/>
            </w:rPr>
            <w:t>[7]</w:t>
          </w:r>
        </w:sdtContent>
      </w:sdt>
      <w:r w:rsidRPr="00C81D6D">
        <w:rPr>
          <w:rFonts w:ascii="Arial" w:hAnsi="Arial" w:cs="Arial"/>
          <w:color w:val="000000"/>
        </w:rPr>
        <w:t>.</w:t>
      </w:r>
    </w:p>
    <w:p w14:paraId="37C8E945" w14:textId="77777777" w:rsidR="00025D61" w:rsidRPr="00C81D6D" w:rsidRDefault="00025D61" w:rsidP="00AF52A5">
      <w:pPr>
        <w:spacing w:line="480" w:lineRule="auto"/>
        <w:rPr>
          <w:rFonts w:ascii="Arial" w:hAnsi="Arial" w:cs="Arial"/>
          <w:color w:val="000000"/>
        </w:rPr>
      </w:pPr>
    </w:p>
    <w:p w14:paraId="76286AF6" w14:textId="6CF1528F" w:rsidR="00025D61" w:rsidRPr="00C81D6D" w:rsidRDefault="00025D61" w:rsidP="00AF52A5">
      <w:pPr>
        <w:spacing w:line="480" w:lineRule="auto"/>
        <w:textAlignment w:val="center"/>
        <w:rPr>
          <w:rFonts w:ascii="Arial" w:hAnsi="Arial" w:cs="Arial"/>
        </w:rPr>
      </w:pPr>
      <w:r w:rsidRPr="00C81D6D">
        <w:rPr>
          <w:rFonts w:ascii="Arial" w:hAnsi="Arial" w:cs="Arial"/>
          <w:b/>
          <w:bCs/>
        </w:rPr>
        <w:t>5: Excessive weight loss and risk of malnutrition?</w:t>
      </w:r>
    </w:p>
    <w:p w14:paraId="28D227C6" w14:textId="1C641416" w:rsidR="001D51FF" w:rsidRPr="00C81D6D" w:rsidRDefault="00025D61" w:rsidP="00AF52A5">
      <w:pPr>
        <w:spacing w:line="480" w:lineRule="auto"/>
        <w:textAlignment w:val="center"/>
        <w:rPr>
          <w:rFonts w:ascii="Arial" w:hAnsi="Arial" w:cs="Arial"/>
        </w:rPr>
      </w:pPr>
      <w:r w:rsidRPr="00C81D6D">
        <w:rPr>
          <w:rFonts w:ascii="Arial" w:hAnsi="Arial" w:cs="Arial"/>
        </w:rPr>
        <w:t xml:space="preserve">Some patients, </w:t>
      </w:r>
      <w:r w:rsidR="00DC616C" w:rsidRPr="00C81D6D">
        <w:rPr>
          <w:rFonts w:ascii="Arial" w:hAnsi="Arial" w:cs="Arial"/>
        </w:rPr>
        <w:t>termed</w:t>
      </w:r>
      <w:r w:rsidRPr="00C81D6D">
        <w:rPr>
          <w:rFonts w:ascii="Arial" w:hAnsi="Arial" w:cs="Arial"/>
        </w:rPr>
        <w:t xml:space="preserve"> 'super-responders'</w:t>
      </w:r>
      <w:r w:rsidR="000B4448" w:rsidRPr="00C81D6D">
        <w:rPr>
          <w:rFonts w:ascii="Arial" w:hAnsi="Arial" w:cs="Arial"/>
        </w:rPr>
        <w:t>,</w:t>
      </w:r>
      <w:r w:rsidRPr="00C81D6D">
        <w:rPr>
          <w:rFonts w:ascii="Arial" w:hAnsi="Arial" w:cs="Arial"/>
        </w:rPr>
        <w:t xml:space="preserve"> lose more weight than expected. Additionally, some patients with normal weight</w:t>
      </w:r>
      <w:r w:rsidR="001D51FF" w:rsidRPr="00C81D6D">
        <w:rPr>
          <w:rFonts w:ascii="Arial" w:hAnsi="Arial" w:cs="Arial"/>
        </w:rPr>
        <w:t xml:space="preserve"> may risk underweight by privately purchasing GLP-1 RAs off-license. While weight loss benefits those with obesity, excessive loss may signal underlying pathology rather than the GLP-1 RA</w:t>
      </w:r>
      <w:r w:rsidR="000B4448" w:rsidRPr="00C81D6D">
        <w:rPr>
          <w:rFonts w:ascii="Arial" w:hAnsi="Arial" w:cs="Arial"/>
        </w:rPr>
        <w:t>’</w:t>
      </w:r>
      <w:r w:rsidR="001D51FF" w:rsidRPr="00C81D6D">
        <w:rPr>
          <w:rFonts w:ascii="Arial" w:hAnsi="Arial" w:cs="Arial"/>
        </w:rPr>
        <w:t>s effect.</w:t>
      </w:r>
    </w:p>
    <w:p w14:paraId="01AC9AB8" w14:textId="1A27F42D" w:rsidR="001D51FF" w:rsidRPr="00C81D6D" w:rsidRDefault="00025D61" w:rsidP="00AF52A5">
      <w:pPr>
        <w:spacing w:line="480" w:lineRule="auto"/>
        <w:textAlignment w:val="center"/>
        <w:rPr>
          <w:rFonts w:ascii="Arial" w:hAnsi="Arial" w:cs="Arial"/>
        </w:rPr>
      </w:pPr>
      <w:r w:rsidRPr="00C81D6D">
        <w:rPr>
          <w:rFonts w:ascii="Arial" w:hAnsi="Arial" w:cs="Arial"/>
        </w:rPr>
        <w:t xml:space="preserve">For example, </w:t>
      </w:r>
      <w:r w:rsidR="001D51FF" w:rsidRPr="00C81D6D">
        <w:rPr>
          <w:rFonts w:ascii="Arial" w:hAnsi="Arial" w:cs="Arial"/>
        </w:rPr>
        <w:t xml:space="preserve">if a patient maintains stable weight reduction for a year but then loses more weight after six months on the same GLP-1RA dose, secondary causes should be investigated, especially due to </w:t>
      </w:r>
      <w:r w:rsidR="001F0A80" w:rsidRPr="00C81D6D">
        <w:rPr>
          <w:rFonts w:ascii="Arial" w:hAnsi="Arial" w:cs="Arial"/>
        </w:rPr>
        <w:t>a</w:t>
      </w:r>
      <w:r w:rsidR="001D51FF" w:rsidRPr="00C81D6D">
        <w:rPr>
          <w:rFonts w:ascii="Arial" w:hAnsi="Arial" w:cs="Arial"/>
        </w:rPr>
        <w:t xml:space="preserve"> higher malignancy risk in patients with obesity</w:t>
      </w:r>
      <w:r w:rsidR="001F0A80" w:rsidRPr="00C81D6D">
        <w:rPr>
          <w:rFonts w:ascii="Arial" w:hAnsi="Arial" w:cs="Arial"/>
        </w:rPr>
        <w:t>.</w:t>
      </w:r>
      <w:r w:rsidR="001D51FF" w:rsidRPr="00C81D6D">
        <w:rPr>
          <w:rFonts w:ascii="Arial" w:hAnsi="Arial" w:cs="Arial"/>
        </w:rPr>
        <w:t xml:space="preserve"> </w:t>
      </w:r>
    </w:p>
    <w:p w14:paraId="079C5336" w14:textId="0E364C6F" w:rsidR="00025D61" w:rsidRPr="00C81D6D" w:rsidRDefault="001D51FF" w:rsidP="00AF52A5">
      <w:pPr>
        <w:spacing w:line="480" w:lineRule="auto"/>
        <w:textAlignment w:val="center"/>
        <w:rPr>
          <w:rFonts w:ascii="Arial" w:hAnsi="Arial" w:cs="Arial"/>
        </w:rPr>
      </w:pPr>
      <w:r w:rsidRPr="00C81D6D">
        <w:rPr>
          <w:rFonts w:ascii="Arial" w:hAnsi="Arial" w:cs="Arial"/>
        </w:rPr>
        <w:t xml:space="preserve">It is essential not to attribute significant, unexpected weight loss solely to GLP-1 RAs without further inquiry. Excessive weight loss or continued loss after stopping the medication should be investigated </w:t>
      </w:r>
      <w:r w:rsidR="00025D61" w:rsidRPr="00C81D6D">
        <w:rPr>
          <w:rFonts w:ascii="Arial" w:hAnsi="Arial" w:cs="Arial"/>
        </w:rPr>
        <w:t>as per any un</w:t>
      </w:r>
      <w:r w:rsidRPr="00C81D6D">
        <w:rPr>
          <w:rFonts w:ascii="Arial" w:hAnsi="Arial" w:cs="Arial"/>
        </w:rPr>
        <w:t>explained</w:t>
      </w:r>
      <w:r w:rsidR="00025D61" w:rsidRPr="00C81D6D">
        <w:rPr>
          <w:rFonts w:ascii="Arial" w:hAnsi="Arial" w:cs="Arial"/>
        </w:rPr>
        <w:t xml:space="preserve"> weight loss.</w:t>
      </w:r>
      <w:r w:rsidR="00025D61" w:rsidRPr="00C81D6D" w:rsidDel="009975B0">
        <w:rPr>
          <w:rFonts w:ascii="Arial" w:hAnsi="Arial" w:cs="Arial"/>
        </w:rPr>
        <w:t xml:space="preserve"> </w:t>
      </w:r>
    </w:p>
    <w:p w14:paraId="1330EB34" w14:textId="77777777" w:rsidR="00025D61" w:rsidRPr="00C81D6D" w:rsidRDefault="00025D61" w:rsidP="00AF52A5">
      <w:pPr>
        <w:spacing w:line="480" w:lineRule="auto"/>
        <w:rPr>
          <w:rFonts w:ascii="Arial" w:hAnsi="Arial" w:cs="Arial"/>
        </w:rPr>
      </w:pPr>
    </w:p>
    <w:p w14:paraId="5C65EC9B" w14:textId="7453AF08" w:rsidR="00025D61" w:rsidRPr="00C81D6D" w:rsidRDefault="00025D61" w:rsidP="00AF52A5">
      <w:pPr>
        <w:spacing w:line="480" w:lineRule="auto"/>
        <w:textAlignment w:val="center"/>
        <w:rPr>
          <w:rFonts w:ascii="Arial" w:hAnsi="Arial" w:cs="Arial"/>
        </w:rPr>
      </w:pPr>
      <w:r w:rsidRPr="00C81D6D">
        <w:rPr>
          <w:rFonts w:ascii="Arial" w:hAnsi="Arial" w:cs="Arial"/>
        </w:rPr>
        <w:t xml:space="preserve">People with obesity often </w:t>
      </w:r>
      <w:r w:rsidR="001D51FF" w:rsidRPr="00C81D6D">
        <w:rPr>
          <w:rFonts w:ascii="Arial" w:hAnsi="Arial" w:cs="Arial"/>
        </w:rPr>
        <w:t xml:space="preserve">experience </w:t>
      </w:r>
      <w:r w:rsidRPr="00C81D6D">
        <w:rPr>
          <w:rFonts w:ascii="Arial" w:hAnsi="Arial" w:cs="Arial"/>
        </w:rPr>
        <w:t xml:space="preserve">malnutrition, a ‘double burden’ </w:t>
      </w:r>
      <w:sdt>
        <w:sdtPr>
          <w:rPr>
            <w:rFonts w:ascii="Arial" w:hAnsi="Arial" w:cs="Arial"/>
            <w:color w:val="000000"/>
          </w:rPr>
          <w:tag w:val="MENDELEY_CITATION_v3_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"/>
          <w:id w:val="-1444992776"/>
          <w:placeholder>
            <w:docPart w:val="3C6081E0B1F25C44BE5E95424BCDE80A"/>
          </w:placeholder>
        </w:sdtPr>
        <w:sdtContent>
          <w:r w:rsidR="00012446" w:rsidRPr="00C81D6D">
            <w:rPr>
              <w:rFonts w:ascii="Arial" w:hAnsi="Arial" w:cs="Arial"/>
              <w:color w:val="000000"/>
            </w:rPr>
            <w:t>[8]</w:t>
          </w:r>
        </w:sdtContent>
      </w:sdt>
      <w:r w:rsidRPr="00C81D6D">
        <w:rPr>
          <w:rFonts w:ascii="Arial" w:hAnsi="Arial" w:cs="Arial"/>
        </w:rPr>
        <w:t xml:space="preserve"> that may </w:t>
      </w:r>
      <w:r w:rsidR="001F0A80" w:rsidRPr="00C81D6D">
        <w:rPr>
          <w:rFonts w:ascii="Arial" w:hAnsi="Arial" w:cs="Arial"/>
        </w:rPr>
        <w:t>be exacerbated by</w:t>
      </w:r>
      <w:r w:rsidRPr="00C81D6D">
        <w:rPr>
          <w:rFonts w:ascii="Arial" w:hAnsi="Arial" w:cs="Arial"/>
        </w:rPr>
        <w:t xml:space="preserve"> GLP-1RA use. </w:t>
      </w:r>
      <w:r w:rsidR="001D51FF" w:rsidRPr="00C81D6D">
        <w:rPr>
          <w:rFonts w:ascii="Arial" w:hAnsi="Arial" w:cs="Arial"/>
        </w:rPr>
        <w:t>Patients using GLP-1RAs should maintain a diet rich in healthy proteins and whole foods while avoiding ultra-processed foods</w:t>
      </w:r>
      <w:r w:rsidRPr="00C81D6D">
        <w:rPr>
          <w:rFonts w:ascii="Arial" w:hAnsi="Arial" w:cs="Arial"/>
        </w:rPr>
        <w:t xml:space="preserve">, especially in those with frailty. </w:t>
      </w:r>
      <w:r w:rsidR="001D51FF" w:rsidRPr="00C81D6D">
        <w:rPr>
          <w:rFonts w:ascii="Arial" w:hAnsi="Arial" w:cs="Arial"/>
        </w:rPr>
        <w:t>Strength training can help preserve muscle mass during treatment and prevent weight regain after stopping the medication</w:t>
      </w:r>
      <w:r w:rsidRPr="00C81D6D">
        <w:rPr>
          <w:rFonts w:ascii="Arial" w:hAnsi="Arial" w:cs="Arial"/>
        </w:rPr>
        <w:t xml:space="preserve">.  </w:t>
      </w:r>
      <w:r w:rsidR="00ED1315" w:rsidRPr="00C81D6D">
        <w:rPr>
          <w:rFonts w:ascii="Arial" w:hAnsi="Arial" w:cs="Arial"/>
        </w:rPr>
        <w:t xml:space="preserve">Patients should be </w:t>
      </w:r>
      <w:r w:rsidR="00E24698" w:rsidRPr="00C81D6D">
        <w:rPr>
          <w:rFonts w:ascii="Arial" w:hAnsi="Arial" w:cs="Arial"/>
        </w:rPr>
        <w:t>r</w:t>
      </w:r>
      <w:r w:rsidRPr="00C81D6D">
        <w:rPr>
          <w:rFonts w:ascii="Arial" w:hAnsi="Arial" w:cs="Arial"/>
        </w:rPr>
        <w:t>eferr</w:t>
      </w:r>
      <w:r w:rsidR="00ED1315" w:rsidRPr="00C81D6D">
        <w:rPr>
          <w:rFonts w:ascii="Arial" w:hAnsi="Arial" w:cs="Arial"/>
        </w:rPr>
        <w:t xml:space="preserve">ed </w:t>
      </w:r>
      <w:r w:rsidRPr="00C81D6D">
        <w:rPr>
          <w:rFonts w:ascii="Arial" w:hAnsi="Arial" w:cs="Arial"/>
        </w:rPr>
        <w:t>to health coaches, dietitians,</w:t>
      </w:r>
      <w:r w:rsidR="00ED1315" w:rsidRPr="00C81D6D">
        <w:rPr>
          <w:rFonts w:ascii="Arial" w:hAnsi="Arial" w:cs="Arial"/>
        </w:rPr>
        <w:t xml:space="preserve"> physiotherapists,</w:t>
      </w:r>
      <w:r w:rsidRPr="00C81D6D">
        <w:rPr>
          <w:rFonts w:ascii="Arial" w:hAnsi="Arial" w:cs="Arial"/>
        </w:rPr>
        <w:t xml:space="preserve"> or online </w:t>
      </w:r>
      <w:r w:rsidR="002D6A5A" w:rsidRPr="00C81D6D">
        <w:rPr>
          <w:rFonts w:ascii="Arial" w:hAnsi="Arial" w:cs="Arial"/>
        </w:rPr>
        <w:t xml:space="preserve">weight management </w:t>
      </w:r>
      <w:r w:rsidRPr="00C81D6D">
        <w:rPr>
          <w:rFonts w:ascii="Arial" w:hAnsi="Arial" w:cs="Arial"/>
        </w:rPr>
        <w:t>programs</w:t>
      </w:r>
      <w:r w:rsidR="00D729E3" w:rsidRPr="00C81D6D">
        <w:rPr>
          <w:rFonts w:ascii="Arial" w:hAnsi="Arial" w:cs="Arial"/>
        </w:rPr>
        <w:t xml:space="preserve"> for </w:t>
      </w:r>
      <w:r w:rsidR="00D97B70" w:rsidRPr="00C81D6D">
        <w:rPr>
          <w:rFonts w:ascii="Arial" w:hAnsi="Arial" w:cs="Arial"/>
        </w:rPr>
        <w:t xml:space="preserve">additional </w:t>
      </w:r>
      <w:r w:rsidR="00D729E3" w:rsidRPr="00C81D6D">
        <w:rPr>
          <w:rFonts w:ascii="Arial" w:hAnsi="Arial" w:cs="Arial"/>
        </w:rPr>
        <w:t>suppor</w:t>
      </w:r>
      <w:r w:rsidR="001F5F3C" w:rsidRPr="00C81D6D">
        <w:rPr>
          <w:rFonts w:ascii="Arial" w:hAnsi="Arial" w:cs="Arial"/>
        </w:rPr>
        <w:t>t</w:t>
      </w:r>
      <w:r w:rsidR="00D729E3" w:rsidRPr="00C81D6D">
        <w:rPr>
          <w:rFonts w:ascii="Arial" w:hAnsi="Arial" w:cs="Arial"/>
        </w:rPr>
        <w:t xml:space="preserve">. </w:t>
      </w:r>
    </w:p>
    <w:p w14:paraId="6156B061" w14:textId="77777777" w:rsidR="000F6280" w:rsidRPr="00C81D6D" w:rsidRDefault="000F6280" w:rsidP="00AF52A5">
      <w:pPr>
        <w:spacing w:line="480" w:lineRule="auto"/>
        <w:rPr>
          <w:rFonts w:ascii="Arial" w:hAnsi="Arial" w:cs="Arial"/>
        </w:rPr>
      </w:pPr>
    </w:p>
    <w:p w14:paraId="45E075A5" w14:textId="7C8F60C7" w:rsidR="00622B45" w:rsidRPr="00C81D6D" w:rsidRDefault="00025D61" w:rsidP="00AF52A5">
      <w:pPr>
        <w:spacing w:line="480" w:lineRule="auto"/>
        <w:rPr>
          <w:rFonts w:ascii="Arial" w:hAnsi="Arial" w:cs="Arial"/>
        </w:rPr>
      </w:pPr>
      <w:r w:rsidRPr="00C81D6D">
        <w:rPr>
          <w:rFonts w:ascii="Arial" w:hAnsi="Arial" w:cs="Arial"/>
          <w:b/>
          <w:bCs/>
        </w:rPr>
        <w:t>6</w:t>
      </w:r>
      <w:r w:rsidR="00C91C29" w:rsidRPr="00C81D6D">
        <w:rPr>
          <w:rFonts w:ascii="Arial" w:hAnsi="Arial" w:cs="Arial"/>
          <w:b/>
          <w:bCs/>
        </w:rPr>
        <w:t>: C</w:t>
      </w:r>
      <w:r w:rsidR="00172230" w:rsidRPr="00C81D6D">
        <w:rPr>
          <w:rFonts w:ascii="Arial" w:hAnsi="Arial" w:cs="Arial"/>
          <w:b/>
          <w:bCs/>
        </w:rPr>
        <w:t>ommon side effects</w:t>
      </w:r>
      <w:r w:rsidR="00C91C29" w:rsidRPr="00C81D6D">
        <w:rPr>
          <w:rFonts w:ascii="Arial" w:hAnsi="Arial" w:cs="Arial"/>
          <w:b/>
          <w:bCs/>
        </w:rPr>
        <w:t xml:space="preserve">? </w:t>
      </w:r>
    </w:p>
    <w:p w14:paraId="48E1E6DF" w14:textId="18F45BA5" w:rsidR="00172230" w:rsidRPr="00C81D6D" w:rsidRDefault="00172230" w:rsidP="00AF52A5">
      <w:pPr>
        <w:spacing w:line="480" w:lineRule="auto"/>
        <w:textAlignment w:val="center"/>
        <w:rPr>
          <w:rFonts w:ascii="Arial" w:hAnsi="Arial" w:cs="Arial"/>
        </w:rPr>
      </w:pPr>
      <w:r w:rsidRPr="00C81D6D">
        <w:rPr>
          <w:rFonts w:ascii="Arial" w:hAnsi="Arial" w:cs="Arial"/>
        </w:rPr>
        <w:t>GLP-1</w:t>
      </w:r>
      <w:r w:rsidR="007D71D3" w:rsidRPr="00C81D6D">
        <w:rPr>
          <w:rFonts w:ascii="Arial" w:hAnsi="Arial" w:cs="Arial"/>
        </w:rPr>
        <w:t>RA</w:t>
      </w:r>
      <w:r w:rsidR="00AE1808" w:rsidRPr="00C81D6D">
        <w:rPr>
          <w:rFonts w:ascii="Arial" w:hAnsi="Arial" w:cs="Arial"/>
        </w:rPr>
        <w:t>s</w:t>
      </w:r>
      <w:r w:rsidRPr="00C81D6D">
        <w:rPr>
          <w:rFonts w:ascii="Arial" w:hAnsi="Arial" w:cs="Arial"/>
        </w:rPr>
        <w:t xml:space="preserve"> commonly</w:t>
      </w:r>
      <w:r w:rsidR="007D71D3" w:rsidRPr="00C81D6D">
        <w:rPr>
          <w:rFonts w:ascii="Arial" w:hAnsi="Arial" w:cs="Arial"/>
        </w:rPr>
        <w:t xml:space="preserve"> cause</w:t>
      </w:r>
      <w:r w:rsidRPr="00C81D6D">
        <w:rPr>
          <w:rFonts w:ascii="Arial" w:hAnsi="Arial" w:cs="Arial"/>
        </w:rPr>
        <w:t xml:space="preserve"> gastrointestinal </w:t>
      </w:r>
      <w:r w:rsidR="007D71D3" w:rsidRPr="00C81D6D">
        <w:rPr>
          <w:rFonts w:ascii="Arial" w:hAnsi="Arial" w:cs="Arial"/>
        </w:rPr>
        <w:t>side effects</w:t>
      </w:r>
      <w:r w:rsidR="00AE1808" w:rsidRPr="00C81D6D">
        <w:rPr>
          <w:rFonts w:ascii="Arial" w:hAnsi="Arial" w:cs="Arial"/>
        </w:rPr>
        <w:t xml:space="preserve"> </w:t>
      </w:r>
      <w:r w:rsidR="007D71D3" w:rsidRPr="00C81D6D">
        <w:rPr>
          <w:rFonts w:ascii="Arial" w:hAnsi="Arial" w:cs="Arial"/>
        </w:rPr>
        <w:t xml:space="preserve">which </w:t>
      </w:r>
      <w:r w:rsidRPr="00C81D6D">
        <w:rPr>
          <w:rFonts w:ascii="Arial" w:hAnsi="Arial" w:cs="Arial"/>
        </w:rPr>
        <w:t xml:space="preserve">are dose-dependent and </w:t>
      </w:r>
      <w:r w:rsidR="005945FD" w:rsidRPr="00C81D6D">
        <w:rPr>
          <w:rFonts w:ascii="Arial" w:hAnsi="Arial" w:cs="Arial"/>
        </w:rPr>
        <w:t xml:space="preserve">typically settle once </w:t>
      </w:r>
      <w:r w:rsidR="007D71D3" w:rsidRPr="00C81D6D">
        <w:rPr>
          <w:rFonts w:ascii="Arial" w:hAnsi="Arial" w:cs="Arial"/>
        </w:rPr>
        <w:t xml:space="preserve">the dose </w:t>
      </w:r>
      <w:r w:rsidR="00503FA0" w:rsidRPr="00C81D6D">
        <w:rPr>
          <w:rFonts w:ascii="Arial" w:hAnsi="Arial" w:cs="Arial"/>
        </w:rPr>
        <w:t>stabilises</w:t>
      </w:r>
      <w:r w:rsidR="007D71D3" w:rsidRPr="00C81D6D">
        <w:rPr>
          <w:rFonts w:ascii="Arial" w:hAnsi="Arial" w:cs="Arial"/>
        </w:rPr>
        <w:t>.</w:t>
      </w:r>
      <w:r w:rsidR="00503FA0" w:rsidRPr="00C81D6D">
        <w:rPr>
          <w:rFonts w:ascii="Arial" w:hAnsi="Arial" w:cs="Arial"/>
        </w:rPr>
        <w:t xml:space="preserve"> </w:t>
      </w:r>
      <w:r w:rsidR="00C31310" w:rsidRPr="00C81D6D">
        <w:rPr>
          <w:rFonts w:ascii="Arial" w:hAnsi="Arial" w:cs="Arial"/>
        </w:rPr>
        <w:t>Patients should be educated on gastrointestinal side effects at treatment initiation</w:t>
      </w:r>
      <w:r w:rsidR="00ED1315" w:rsidRPr="00C81D6D">
        <w:rPr>
          <w:rFonts w:ascii="Arial" w:hAnsi="Arial" w:cs="Arial"/>
        </w:rPr>
        <w:t xml:space="preserve">. </w:t>
      </w:r>
      <w:r w:rsidR="00D729E3" w:rsidRPr="00C81D6D">
        <w:rPr>
          <w:rFonts w:ascii="Arial" w:hAnsi="Arial" w:cs="Arial"/>
        </w:rPr>
        <w:t xml:space="preserve">Counselling patients on </w:t>
      </w:r>
      <w:r w:rsidR="00D729E3" w:rsidRPr="00C81D6D">
        <w:rPr>
          <w:rFonts w:ascii="Arial" w:hAnsi="Arial" w:cs="Arial"/>
        </w:rPr>
        <w:lastRenderedPageBreak/>
        <w:t>management strategies, such as adequate hydration, smaller meals, reducing alcohol intake, and increasing dietary fib</w:t>
      </w:r>
      <w:r w:rsidR="00D97B70" w:rsidRPr="00C81D6D">
        <w:rPr>
          <w:rFonts w:ascii="Arial" w:hAnsi="Arial" w:cs="Arial"/>
        </w:rPr>
        <w:t>re</w:t>
      </w:r>
      <w:r w:rsidR="00D729E3" w:rsidRPr="00C81D6D">
        <w:rPr>
          <w:rFonts w:ascii="Arial" w:hAnsi="Arial" w:cs="Arial"/>
        </w:rPr>
        <w:t>, is crucial.</w:t>
      </w:r>
      <w:r w:rsidR="00503FA0" w:rsidRPr="00C81D6D">
        <w:rPr>
          <w:rFonts w:ascii="Arial" w:hAnsi="Arial" w:cs="Arial"/>
        </w:rPr>
        <w:t xml:space="preserve"> </w:t>
      </w:r>
      <w:r w:rsidR="007D71D3" w:rsidRPr="00C81D6D">
        <w:rPr>
          <w:rFonts w:ascii="Arial" w:hAnsi="Arial" w:cs="Arial"/>
        </w:rPr>
        <w:t xml:space="preserve">For </w:t>
      </w:r>
      <w:r w:rsidR="005945FD" w:rsidRPr="00C81D6D">
        <w:rPr>
          <w:rFonts w:ascii="Arial" w:hAnsi="Arial" w:cs="Arial"/>
        </w:rPr>
        <w:t>moderate-</w:t>
      </w:r>
      <w:r w:rsidR="007D71D3" w:rsidRPr="00C81D6D">
        <w:rPr>
          <w:rFonts w:ascii="Arial" w:hAnsi="Arial" w:cs="Arial"/>
        </w:rPr>
        <w:t>severe side effects, slower dose escalation, temporary dose reductions, or lower target doses may help.</w:t>
      </w:r>
      <w:r w:rsidR="00503FA0" w:rsidRPr="00C81D6D">
        <w:rPr>
          <w:rFonts w:ascii="Arial" w:hAnsi="Arial" w:cs="Arial"/>
        </w:rPr>
        <w:t xml:space="preserve"> </w:t>
      </w:r>
      <w:r w:rsidR="00D729E3" w:rsidRPr="00C81D6D">
        <w:rPr>
          <w:rFonts w:ascii="Arial" w:hAnsi="Arial" w:cs="Arial"/>
        </w:rPr>
        <w:t xml:space="preserve">Short-term use of adjunct medications like proton pump inhibitors and H2-antagonists for reflux, or cyclizine for nausea, can be beneficial. The requirement for these adjunct medications typically decreases over time and should not be used long-term </w:t>
      </w:r>
      <w:sdt>
        <w:sdtPr>
          <w:rPr>
            <w:rFonts w:ascii="Arial" w:hAnsi="Arial" w:cs="Arial"/>
            <w:color w:val="000000"/>
          </w:rPr>
          <w:tag w:val="MENDELEY_CITATION_v3_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"/>
          <w:id w:val="917444872"/>
          <w:placeholder>
            <w:docPart w:val="08D96023B787BC49A5A19CA0DA95E6A6"/>
          </w:placeholder>
        </w:sdtPr>
        <w:sdtContent>
          <w:r w:rsidR="00012446" w:rsidRPr="00C81D6D">
            <w:rPr>
              <w:rFonts w:ascii="Arial" w:hAnsi="Arial" w:cs="Arial"/>
              <w:color w:val="000000"/>
            </w:rPr>
            <w:t>[9]</w:t>
          </w:r>
        </w:sdtContent>
      </w:sdt>
      <w:r w:rsidRPr="00C81D6D">
        <w:rPr>
          <w:rFonts w:ascii="Arial" w:hAnsi="Arial" w:cs="Arial"/>
          <w:color w:val="000000"/>
        </w:rPr>
        <w:t>.</w:t>
      </w:r>
      <w:r w:rsidRPr="00C81D6D">
        <w:rPr>
          <w:rFonts w:ascii="Arial" w:hAnsi="Arial" w:cs="Arial"/>
        </w:rPr>
        <w:t xml:space="preserve"> </w:t>
      </w:r>
    </w:p>
    <w:p w14:paraId="31842FC9" w14:textId="77777777" w:rsidR="00622B45" w:rsidRPr="00C81D6D" w:rsidRDefault="00622B45" w:rsidP="00AF52A5">
      <w:pPr>
        <w:spacing w:line="480" w:lineRule="auto"/>
        <w:rPr>
          <w:rFonts w:ascii="Arial" w:hAnsi="Arial" w:cs="Arial"/>
          <w:b/>
          <w:bCs/>
        </w:rPr>
      </w:pPr>
    </w:p>
    <w:p w14:paraId="2AA3338A" w14:textId="16E808A5" w:rsidR="00D729E3" w:rsidRPr="00C81D6D" w:rsidRDefault="00025D61" w:rsidP="00AF52A5">
      <w:pPr>
        <w:spacing w:line="480" w:lineRule="auto"/>
        <w:rPr>
          <w:rFonts w:ascii="Arial" w:hAnsi="Arial" w:cs="Arial"/>
        </w:rPr>
      </w:pPr>
      <w:r w:rsidRPr="00C81D6D">
        <w:rPr>
          <w:rFonts w:ascii="Arial" w:hAnsi="Arial" w:cs="Arial"/>
          <w:b/>
          <w:bCs/>
        </w:rPr>
        <w:t>7</w:t>
      </w:r>
      <w:r w:rsidR="00C91C29" w:rsidRPr="00C81D6D">
        <w:rPr>
          <w:rFonts w:ascii="Arial" w:hAnsi="Arial" w:cs="Arial"/>
          <w:b/>
          <w:bCs/>
        </w:rPr>
        <w:t>: Rare severe side effects?</w:t>
      </w:r>
    </w:p>
    <w:p w14:paraId="76B59057" w14:textId="17E552CC" w:rsidR="00D729E3" w:rsidRPr="00C81D6D" w:rsidRDefault="00D729E3" w:rsidP="00AF52A5">
      <w:pPr>
        <w:spacing w:line="480" w:lineRule="auto"/>
        <w:textAlignment w:val="center"/>
        <w:rPr>
          <w:rFonts w:ascii="Arial" w:hAnsi="Arial" w:cs="Arial"/>
        </w:rPr>
      </w:pPr>
      <w:r w:rsidRPr="00C81D6D">
        <w:rPr>
          <w:rFonts w:ascii="Arial" w:hAnsi="Arial" w:cs="Arial"/>
        </w:rPr>
        <w:t>GLP-1</w:t>
      </w:r>
      <w:r w:rsidR="00167C94" w:rsidRPr="00C81D6D">
        <w:rPr>
          <w:rFonts w:ascii="Arial" w:hAnsi="Arial" w:cs="Arial"/>
        </w:rPr>
        <w:t xml:space="preserve">RAs </w:t>
      </w:r>
      <w:r w:rsidRPr="00C81D6D">
        <w:rPr>
          <w:rFonts w:ascii="Arial" w:hAnsi="Arial" w:cs="Arial"/>
        </w:rPr>
        <w:t xml:space="preserve">are generally well-tolerated, however patients should be counselled to seek urgent medical attention if they experience severe abdominal pain, as this may indicate </w:t>
      </w:r>
      <w:r w:rsidR="009D21A6" w:rsidRPr="00C81D6D">
        <w:rPr>
          <w:rFonts w:ascii="Arial" w:hAnsi="Arial" w:cs="Arial"/>
        </w:rPr>
        <w:t xml:space="preserve">underlying </w:t>
      </w:r>
      <w:r w:rsidRPr="00C81D6D">
        <w:rPr>
          <w:rFonts w:ascii="Arial" w:hAnsi="Arial" w:cs="Arial"/>
        </w:rPr>
        <w:t>acute pancreatitis, cholecystitis, or bowel obstruction.</w:t>
      </w:r>
    </w:p>
    <w:p w14:paraId="6DDBF4BB" w14:textId="443F7EC2" w:rsidR="007D71D3" w:rsidRPr="00C81D6D" w:rsidRDefault="00D729E3" w:rsidP="00AF52A5">
      <w:pPr>
        <w:spacing w:line="480" w:lineRule="auto"/>
        <w:textAlignment w:val="center"/>
        <w:rPr>
          <w:rFonts w:ascii="Arial" w:hAnsi="Arial" w:cs="Arial"/>
        </w:rPr>
      </w:pPr>
      <w:r w:rsidRPr="00C81D6D">
        <w:rPr>
          <w:rFonts w:ascii="Arial" w:hAnsi="Arial" w:cs="Arial"/>
        </w:rPr>
        <w:t xml:space="preserve">Recent studies indicate that semaglutide does not increase suicide risk </w:t>
      </w:r>
      <w:sdt>
        <w:sdtPr>
          <w:rPr>
            <w:rFonts w:ascii="Arial" w:hAnsi="Arial" w:cs="Arial"/>
            <w:color w:val="000000"/>
          </w:rPr>
          <w:tag w:val="MENDELEY_CITATION_v3_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"/>
          <w:id w:val="-279420001"/>
          <w:placeholder>
            <w:docPart w:val="CB76B2BA52453F48858C28DA41056205"/>
          </w:placeholder>
        </w:sdtPr>
        <w:sdtContent>
          <w:r w:rsidR="00012446" w:rsidRPr="00C81D6D">
            <w:rPr>
              <w:rFonts w:ascii="Arial" w:hAnsi="Arial" w:cs="Arial"/>
              <w:color w:val="000000"/>
            </w:rPr>
            <w:t>[10]</w:t>
          </w:r>
        </w:sdtContent>
      </w:sdt>
      <w:r w:rsidRPr="00C81D6D">
        <w:rPr>
          <w:rFonts w:ascii="Arial" w:hAnsi="Arial" w:cs="Arial"/>
        </w:rPr>
        <w:t>, but caution is still advised for patients with significant mental health conditions.</w:t>
      </w:r>
    </w:p>
    <w:p w14:paraId="3D9F1356" w14:textId="77777777" w:rsidR="00622B45" w:rsidRPr="00C81D6D" w:rsidRDefault="00622B45" w:rsidP="00AF52A5">
      <w:pPr>
        <w:spacing w:line="480" w:lineRule="auto"/>
        <w:rPr>
          <w:rFonts w:ascii="Arial" w:hAnsi="Arial" w:cs="Arial"/>
        </w:rPr>
      </w:pPr>
    </w:p>
    <w:p w14:paraId="1C95EB74" w14:textId="4277BF93" w:rsidR="00501074" w:rsidRPr="00C81D6D" w:rsidRDefault="00025D61" w:rsidP="00AF52A5">
      <w:pPr>
        <w:spacing w:line="480" w:lineRule="auto"/>
        <w:rPr>
          <w:rFonts w:ascii="Arial" w:hAnsi="Arial" w:cs="Arial"/>
        </w:rPr>
      </w:pPr>
      <w:r w:rsidRPr="00C81D6D">
        <w:rPr>
          <w:rFonts w:ascii="Arial" w:hAnsi="Arial" w:cs="Arial"/>
          <w:b/>
          <w:bCs/>
        </w:rPr>
        <w:t>8</w:t>
      </w:r>
      <w:r w:rsidR="00C91C29" w:rsidRPr="00C81D6D">
        <w:rPr>
          <w:rFonts w:ascii="Arial" w:hAnsi="Arial" w:cs="Arial"/>
          <w:b/>
          <w:bCs/>
        </w:rPr>
        <w:t xml:space="preserve">: </w:t>
      </w:r>
      <w:r w:rsidR="00622B45" w:rsidRPr="00C81D6D">
        <w:rPr>
          <w:rFonts w:ascii="Arial" w:hAnsi="Arial" w:cs="Arial"/>
          <w:b/>
          <w:bCs/>
        </w:rPr>
        <w:t xml:space="preserve">Medications </w:t>
      </w:r>
      <w:r w:rsidR="000F6280" w:rsidRPr="00C81D6D">
        <w:rPr>
          <w:rFonts w:ascii="Arial" w:hAnsi="Arial" w:cs="Arial"/>
          <w:b/>
          <w:bCs/>
        </w:rPr>
        <w:t>Review Requirements during GLP-1RA treatment?</w:t>
      </w:r>
    </w:p>
    <w:p w14:paraId="2B213DB7" w14:textId="20402EB9" w:rsidR="00304D06" w:rsidRPr="00C81D6D" w:rsidRDefault="00501074" w:rsidP="00AF52A5">
      <w:pPr>
        <w:spacing w:line="480" w:lineRule="auto"/>
        <w:textAlignment w:val="center"/>
        <w:rPr>
          <w:rFonts w:ascii="Arial" w:hAnsi="Arial" w:cs="Arial"/>
        </w:rPr>
      </w:pPr>
      <w:r w:rsidRPr="00C81D6D">
        <w:rPr>
          <w:rFonts w:ascii="Arial" w:hAnsi="Arial" w:cs="Arial"/>
        </w:rPr>
        <w:t xml:space="preserve">Significant weight loss can </w:t>
      </w:r>
      <w:r w:rsidR="006A574D" w:rsidRPr="00C81D6D">
        <w:rPr>
          <w:rFonts w:ascii="Arial" w:hAnsi="Arial" w:cs="Arial"/>
        </w:rPr>
        <w:t>improve</w:t>
      </w:r>
      <w:r w:rsidRPr="00C81D6D">
        <w:rPr>
          <w:rFonts w:ascii="Arial" w:hAnsi="Arial" w:cs="Arial"/>
        </w:rPr>
        <w:t xml:space="preserve"> obesity-related complications</w:t>
      </w:r>
      <w:r w:rsidR="006A574D" w:rsidRPr="00C81D6D">
        <w:rPr>
          <w:rFonts w:ascii="Arial" w:hAnsi="Arial" w:cs="Arial"/>
        </w:rPr>
        <w:t>, potentially necessitating the de-prescribing or down-titration of other medications.</w:t>
      </w:r>
      <w:r w:rsidR="00503FA0" w:rsidRPr="00C81D6D">
        <w:rPr>
          <w:rFonts w:ascii="Arial" w:hAnsi="Arial" w:cs="Arial"/>
        </w:rPr>
        <w:t xml:space="preserve"> </w:t>
      </w:r>
      <w:r w:rsidR="00D729E3" w:rsidRPr="00C81D6D">
        <w:rPr>
          <w:rFonts w:ascii="Arial" w:hAnsi="Arial" w:cs="Arial"/>
        </w:rPr>
        <w:t xml:space="preserve">Key risks include hypoglycaemic agents like insulin and gliclazide, </w:t>
      </w:r>
      <w:r w:rsidR="00304D06" w:rsidRPr="00C81D6D">
        <w:rPr>
          <w:rFonts w:ascii="Arial" w:hAnsi="Arial" w:cs="Arial"/>
        </w:rPr>
        <w:t>risking potentially</w:t>
      </w:r>
      <w:r w:rsidR="00D729E3" w:rsidRPr="00C81D6D">
        <w:rPr>
          <w:rFonts w:ascii="Arial" w:hAnsi="Arial" w:cs="Arial"/>
        </w:rPr>
        <w:t xml:space="preserve"> life-threatening hypoglycaemia, and inappropriate antihypertensive treatments increasing falls risk. </w:t>
      </w:r>
      <w:r w:rsidR="00304D06" w:rsidRPr="00C81D6D">
        <w:rPr>
          <w:rFonts w:ascii="Arial" w:hAnsi="Arial" w:cs="Arial"/>
        </w:rPr>
        <w:t xml:space="preserve">DPP-4 inhibitors (gliptins) </w:t>
      </w:r>
      <w:r w:rsidR="00515710" w:rsidRPr="00C81D6D">
        <w:rPr>
          <w:rFonts w:ascii="Arial" w:hAnsi="Arial" w:cs="Arial"/>
        </w:rPr>
        <w:t>should be stopped as not recommended together</w:t>
      </w:r>
      <w:r w:rsidR="00304D06" w:rsidRPr="00C81D6D">
        <w:rPr>
          <w:rFonts w:ascii="Arial" w:hAnsi="Arial" w:cs="Arial"/>
        </w:rPr>
        <w:t xml:space="preserve">, as well as antimotility medications like codeine and loperamide. Reduced gastrointestinal motility and altered drug absorption may require dose adjustments of medications including warfarin, direct oral anticoagulants, opioids, and antiepileptic agents. </w:t>
      </w:r>
      <w:r w:rsidR="006A574D" w:rsidRPr="00C81D6D">
        <w:rPr>
          <w:rFonts w:ascii="Arial" w:hAnsi="Arial" w:cs="Arial"/>
        </w:rPr>
        <w:t xml:space="preserve">Patients should be counselled that </w:t>
      </w:r>
      <w:r w:rsidR="006A574D" w:rsidRPr="00C81D6D">
        <w:rPr>
          <w:rFonts w:ascii="Arial" w:hAnsi="Arial" w:cs="Arial"/>
        </w:rPr>
        <w:lastRenderedPageBreak/>
        <w:t>regaining weight after stopping GLP-1 RA</w:t>
      </w:r>
      <w:r w:rsidR="00AE1808" w:rsidRPr="00C81D6D">
        <w:rPr>
          <w:rFonts w:ascii="Arial" w:hAnsi="Arial" w:cs="Arial"/>
        </w:rPr>
        <w:t>s</w:t>
      </w:r>
      <w:r w:rsidR="006A574D" w:rsidRPr="00C81D6D">
        <w:rPr>
          <w:rFonts w:ascii="Arial" w:hAnsi="Arial" w:cs="Arial"/>
        </w:rPr>
        <w:t xml:space="preserve"> can reverse improvements, potentially requiring medications to be resumed.</w:t>
      </w:r>
      <w:r w:rsidR="00503FA0" w:rsidRPr="00C81D6D">
        <w:rPr>
          <w:rFonts w:ascii="Arial" w:hAnsi="Arial" w:cs="Arial"/>
        </w:rPr>
        <w:t xml:space="preserve"> </w:t>
      </w:r>
      <w:r w:rsidR="006A574D" w:rsidRPr="00C81D6D">
        <w:rPr>
          <w:rFonts w:ascii="Arial" w:hAnsi="Arial" w:cs="Arial"/>
        </w:rPr>
        <w:t xml:space="preserve">Patients in </w:t>
      </w:r>
      <w:r w:rsidR="002D6A5A" w:rsidRPr="00C81D6D">
        <w:rPr>
          <w:rFonts w:ascii="Arial" w:hAnsi="Arial" w:cs="Arial"/>
        </w:rPr>
        <w:t xml:space="preserve">disease </w:t>
      </w:r>
      <w:r w:rsidR="006A574D" w:rsidRPr="00C81D6D">
        <w:rPr>
          <w:rFonts w:ascii="Arial" w:hAnsi="Arial" w:cs="Arial"/>
        </w:rPr>
        <w:t xml:space="preserve">remission </w:t>
      </w:r>
      <w:r w:rsidR="00304D06" w:rsidRPr="00C81D6D">
        <w:rPr>
          <w:rFonts w:ascii="Arial" w:hAnsi="Arial" w:cs="Arial"/>
        </w:rPr>
        <w:t>should continue annual chronic disease review</w:t>
      </w:r>
      <w:r w:rsidR="002D6A5A" w:rsidRPr="00C81D6D">
        <w:rPr>
          <w:rFonts w:ascii="Arial" w:hAnsi="Arial" w:cs="Arial"/>
        </w:rPr>
        <w:t>s.</w:t>
      </w:r>
    </w:p>
    <w:p w14:paraId="42E93EC0" w14:textId="053559B5" w:rsidR="00622B45" w:rsidRPr="00C81D6D" w:rsidRDefault="00622B45" w:rsidP="00AF52A5">
      <w:pPr>
        <w:spacing w:line="480" w:lineRule="auto"/>
        <w:rPr>
          <w:rFonts w:ascii="Arial" w:hAnsi="Arial" w:cs="Arial"/>
        </w:rPr>
      </w:pPr>
    </w:p>
    <w:p w14:paraId="02033399" w14:textId="6ABF27B4" w:rsidR="00C325D7" w:rsidRPr="00C81D6D" w:rsidRDefault="00025D61" w:rsidP="00AF52A5">
      <w:pPr>
        <w:spacing w:line="480" w:lineRule="auto"/>
        <w:rPr>
          <w:rFonts w:ascii="Arial" w:hAnsi="Arial" w:cs="Arial"/>
        </w:rPr>
      </w:pPr>
      <w:r w:rsidRPr="00C81D6D">
        <w:rPr>
          <w:rFonts w:ascii="Arial" w:hAnsi="Arial" w:cs="Arial"/>
          <w:b/>
          <w:bCs/>
        </w:rPr>
        <w:t>9</w:t>
      </w:r>
      <w:r w:rsidR="00C91C29" w:rsidRPr="00C81D6D">
        <w:rPr>
          <w:rFonts w:ascii="Arial" w:hAnsi="Arial" w:cs="Arial"/>
          <w:b/>
          <w:bCs/>
        </w:rPr>
        <w:t xml:space="preserve">: </w:t>
      </w:r>
      <w:r w:rsidR="00622B45" w:rsidRPr="00C81D6D">
        <w:rPr>
          <w:rFonts w:ascii="Arial" w:hAnsi="Arial" w:cs="Arial"/>
          <w:b/>
          <w:bCs/>
        </w:rPr>
        <w:t>Considerations in women of childbearing age</w:t>
      </w:r>
      <w:r w:rsidR="00C325D7" w:rsidRPr="00C81D6D">
        <w:rPr>
          <w:rFonts w:ascii="Arial" w:hAnsi="Arial" w:cs="Arial"/>
          <w:b/>
          <w:bCs/>
        </w:rPr>
        <w:t>?</w:t>
      </w:r>
    </w:p>
    <w:p w14:paraId="1E8879F0" w14:textId="77611BF3" w:rsidR="002D7357" w:rsidRPr="00C81D6D" w:rsidRDefault="002D7357" w:rsidP="00AF52A5">
      <w:pPr>
        <w:spacing w:line="480" w:lineRule="auto"/>
        <w:textAlignment w:val="center"/>
        <w:rPr>
          <w:rFonts w:ascii="Arial" w:hAnsi="Arial" w:cs="Arial"/>
        </w:rPr>
      </w:pPr>
      <w:r w:rsidRPr="00C81D6D">
        <w:rPr>
          <w:rFonts w:ascii="Arial" w:hAnsi="Arial" w:cs="Arial"/>
        </w:rPr>
        <w:t>GLP-1RA</w:t>
      </w:r>
      <w:r w:rsidR="00AE1808" w:rsidRPr="00C81D6D">
        <w:rPr>
          <w:rFonts w:ascii="Arial" w:hAnsi="Arial" w:cs="Arial"/>
        </w:rPr>
        <w:t>s</w:t>
      </w:r>
      <w:r w:rsidRPr="00C81D6D">
        <w:rPr>
          <w:rFonts w:ascii="Arial" w:hAnsi="Arial" w:cs="Arial"/>
        </w:rPr>
        <w:t xml:space="preserve"> may enhance fertility and manage polycystic ovary syndrome (PCOS).</w:t>
      </w:r>
      <w:r w:rsidR="00503FA0" w:rsidRPr="00C81D6D">
        <w:rPr>
          <w:rFonts w:ascii="Arial" w:hAnsi="Arial" w:cs="Arial"/>
        </w:rPr>
        <w:t xml:space="preserve"> </w:t>
      </w:r>
      <w:r w:rsidRPr="00C81D6D">
        <w:rPr>
          <w:rFonts w:ascii="Arial" w:hAnsi="Arial" w:cs="Arial"/>
        </w:rPr>
        <w:t>While weight loss can improve fertility, GLP-1RA</w:t>
      </w:r>
      <w:r w:rsidR="00AE1808" w:rsidRPr="00C81D6D">
        <w:rPr>
          <w:rFonts w:ascii="Arial" w:hAnsi="Arial" w:cs="Arial"/>
        </w:rPr>
        <w:t>s</w:t>
      </w:r>
      <w:r w:rsidRPr="00C81D6D">
        <w:rPr>
          <w:rFonts w:ascii="Arial" w:hAnsi="Arial" w:cs="Arial"/>
        </w:rPr>
        <w:t xml:space="preserve"> pose potential teratogenic risks, with animal studies suggesting decreased foetal survival and possible congenital defects </w:t>
      </w:r>
      <w:sdt>
        <w:sdtPr>
          <w:rPr>
            <w:rFonts w:ascii="Arial" w:hAnsi="Arial" w:cs="Arial"/>
            <w:color w:val="000000"/>
          </w:rPr>
          <w:tag w:val="MENDELEY_CITATION_v3_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"/>
          <w:id w:val="1242454103"/>
          <w:placeholder>
            <w:docPart w:val="0ECA34065137394D895E297F7826B914"/>
          </w:placeholder>
        </w:sdtPr>
        <w:sdtContent>
          <w:r w:rsidR="00012446" w:rsidRPr="00C81D6D">
            <w:rPr>
              <w:rFonts w:ascii="Arial" w:hAnsi="Arial" w:cs="Arial"/>
              <w:color w:val="000000"/>
            </w:rPr>
            <w:t>[11]</w:t>
          </w:r>
        </w:sdtContent>
      </w:sdt>
      <w:r w:rsidR="00C325D7" w:rsidRPr="00C81D6D">
        <w:rPr>
          <w:rFonts w:ascii="Arial" w:hAnsi="Arial" w:cs="Arial"/>
        </w:rPr>
        <w:t>.</w:t>
      </w:r>
      <w:r w:rsidR="00503FA0" w:rsidRPr="00C81D6D">
        <w:rPr>
          <w:rFonts w:ascii="Arial" w:hAnsi="Arial" w:cs="Arial"/>
        </w:rPr>
        <w:t xml:space="preserve"> </w:t>
      </w:r>
      <w:r w:rsidR="00131040" w:rsidRPr="00C81D6D">
        <w:rPr>
          <w:rFonts w:ascii="Arial" w:hAnsi="Arial" w:cs="Arial"/>
        </w:rPr>
        <w:t xml:space="preserve">Therefore, </w:t>
      </w:r>
      <w:r w:rsidR="00304D06" w:rsidRPr="00C81D6D">
        <w:rPr>
          <w:rFonts w:ascii="Arial" w:hAnsi="Arial" w:cs="Arial"/>
        </w:rPr>
        <w:t>GLP-1RA</w:t>
      </w:r>
      <w:r w:rsidR="00633040" w:rsidRPr="00C81D6D">
        <w:rPr>
          <w:rFonts w:ascii="Arial" w:hAnsi="Arial" w:cs="Arial"/>
        </w:rPr>
        <w:t>s</w:t>
      </w:r>
      <w:r w:rsidR="00304D06" w:rsidRPr="00C81D6D">
        <w:rPr>
          <w:rFonts w:ascii="Arial" w:hAnsi="Arial" w:cs="Arial"/>
        </w:rPr>
        <w:t xml:space="preserve"> should be stopped two months prior to trying to conceive. </w:t>
      </w:r>
      <w:r w:rsidR="00C325D7" w:rsidRPr="00C81D6D">
        <w:rPr>
          <w:rFonts w:ascii="Arial" w:hAnsi="Arial" w:cs="Arial"/>
        </w:rPr>
        <w:t>In women with PCOS, weight loss can improve fertility</w:t>
      </w:r>
      <w:sdt>
        <w:sdtPr>
          <w:rPr>
            <w:rFonts w:ascii="Arial" w:hAnsi="Arial" w:cs="Arial"/>
            <w:color w:val="000000"/>
          </w:rPr>
          <w:tag w:val="MENDELEY_CITATION_v3_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"/>
          <w:id w:val="-1431270809"/>
          <w:placeholder>
            <w:docPart w:val="DefaultPlaceholder_-1854013440"/>
          </w:placeholder>
        </w:sdtPr>
        <w:sdtContent>
          <w:r w:rsidR="00012446" w:rsidRPr="00C81D6D">
            <w:rPr>
              <w:rFonts w:ascii="Arial" w:hAnsi="Arial" w:cs="Arial"/>
              <w:color w:val="000000"/>
            </w:rPr>
            <w:t>[12]</w:t>
          </w:r>
        </w:sdtContent>
      </w:sdt>
      <w:r w:rsidR="00C325D7" w:rsidRPr="00C81D6D">
        <w:rPr>
          <w:rFonts w:ascii="Arial" w:hAnsi="Arial" w:cs="Arial"/>
        </w:rPr>
        <w:t>.</w:t>
      </w:r>
      <w:r w:rsidR="00503FA0" w:rsidRPr="00C81D6D">
        <w:rPr>
          <w:rFonts w:ascii="Arial" w:hAnsi="Arial" w:cs="Arial"/>
        </w:rPr>
        <w:t xml:space="preserve"> </w:t>
      </w:r>
      <w:r w:rsidR="00304D06" w:rsidRPr="00C81D6D">
        <w:rPr>
          <w:rFonts w:ascii="Arial" w:hAnsi="Arial" w:cs="Arial"/>
        </w:rPr>
        <w:t xml:space="preserve">Therefore, women of childbearing age should be advised that significant weight loss may increase fertility, requiring effective contraception. </w:t>
      </w:r>
      <w:r w:rsidR="001E4301" w:rsidRPr="00C81D6D">
        <w:rPr>
          <w:rFonts w:ascii="Arial" w:hAnsi="Arial" w:cs="Arial"/>
        </w:rPr>
        <w:t>Alternatives to oral contraception may be required due to absorption changes</w:t>
      </w:r>
      <w:r w:rsidRPr="00C81D6D">
        <w:rPr>
          <w:rFonts w:ascii="Arial" w:hAnsi="Arial" w:cs="Arial"/>
        </w:rPr>
        <w:t>.</w:t>
      </w:r>
      <w:r w:rsidR="001E4301" w:rsidRPr="00C81D6D">
        <w:rPr>
          <w:rFonts w:ascii="Arial" w:hAnsi="Arial" w:cs="Arial"/>
        </w:rPr>
        <w:t xml:space="preserve"> </w:t>
      </w:r>
    </w:p>
    <w:p w14:paraId="5B5F929E" w14:textId="77777777" w:rsidR="00622B45" w:rsidRPr="00C81D6D" w:rsidRDefault="00622B45" w:rsidP="00AF52A5">
      <w:pPr>
        <w:spacing w:line="480" w:lineRule="auto"/>
        <w:rPr>
          <w:rFonts w:ascii="Arial" w:hAnsi="Arial" w:cs="Arial"/>
        </w:rPr>
      </w:pPr>
    </w:p>
    <w:p w14:paraId="63E32A75" w14:textId="6E0118E7" w:rsidR="00C325D7" w:rsidRPr="00C81D6D" w:rsidRDefault="00025D61" w:rsidP="00AF52A5">
      <w:pPr>
        <w:spacing w:line="480" w:lineRule="auto"/>
        <w:rPr>
          <w:rFonts w:ascii="Arial" w:hAnsi="Arial" w:cs="Arial"/>
        </w:rPr>
      </w:pPr>
      <w:r w:rsidRPr="00C81D6D">
        <w:rPr>
          <w:rFonts w:ascii="Arial" w:hAnsi="Arial" w:cs="Arial"/>
          <w:b/>
          <w:bCs/>
        </w:rPr>
        <w:t>10</w:t>
      </w:r>
      <w:r w:rsidR="00C91C29" w:rsidRPr="00C81D6D">
        <w:rPr>
          <w:rFonts w:ascii="Arial" w:hAnsi="Arial" w:cs="Arial"/>
          <w:b/>
          <w:bCs/>
        </w:rPr>
        <w:t xml:space="preserve">: </w:t>
      </w:r>
      <w:r w:rsidR="000F6280" w:rsidRPr="00C81D6D">
        <w:rPr>
          <w:rFonts w:ascii="Arial" w:hAnsi="Arial" w:cs="Arial"/>
          <w:b/>
          <w:bCs/>
        </w:rPr>
        <w:t>Longer-</w:t>
      </w:r>
      <w:r w:rsidR="00622B45" w:rsidRPr="00C81D6D">
        <w:rPr>
          <w:rFonts w:ascii="Arial" w:hAnsi="Arial" w:cs="Arial"/>
          <w:b/>
          <w:bCs/>
        </w:rPr>
        <w:t>term risks of GLP-1RA?</w:t>
      </w:r>
    </w:p>
    <w:p w14:paraId="1390C9B7" w14:textId="7F5C4FC4" w:rsidR="00304D06" w:rsidRPr="00C81D6D" w:rsidRDefault="00AE1808" w:rsidP="00AF52A5">
      <w:pPr>
        <w:spacing w:line="480" w:lineRule="auto"/>
        <w:rPr>
          <w:rFonts w:ascii="Arial" w:hAnsi="Arial" w:cs="Arial"/>
        </w:rPr>
      </w:pPr>
      <w:r w:rsidRPr="00C81D6D">
        <w:rPr>
          <w:rFonts w:ascii="Arial" w:hAnsi="Arial" w:cs="Arial"/>
        </w:rPr>
        <w:t xml:space="preserve">There is no consistent </w:t>
      </w:r>
      <w:r w:rsidR="00304D06" w:rsidRPr="00C81D6D">
        <w:rPr>
          <w:rFonts w:ascii="Arial" w:hAnsi="Arial" w:cs="Arial"/>
        </w:rPr>
        <w:t xml:space="preserve">human evidence </w:t>
      </w:r>
      <w:r w:rsidRPr="00C81D6D">
        <w:rPr>
          <w:rFonts w:ascii="Arial" w:hAnsi="Arial" w:cs="Arial"/>
        </w:rPr>
        <w:t xml:space="preserve">that GLP-1RAs increase the risk of thyroid or pancreatic cancer. </w:t>
      </w:r>
      <w:r w:rsidR="00304D06" w:rsidRPr="00C81D6D">
        <w:rPr>
          <w:rFonts w:ascii="Arial" w:hAnsi="Arial" w:cs="Arial"/>
        </w:rPr>
        <w:t xml:space="preserve">However, rodent studies suggest a link to medullary thyroid cancer, leading to contraindications for individuals with a personal or family history of MEN2A or medullary thyroid cancer </w:t>
      </w:r>
      <w:sdt>
        <w:sdtPr>
          <w:rPr>
            <w:rFonts w:ascii="Arial" w:hAnsi="Arial" w:cs="Arial"/>
            <w:color w:val="000000"/>
          </w:rPr>
          <w:tag w:val="MENDELEY_CITATION_v3_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"/>
          <w:id w:val="-1613354589"/>
          <w:placeholder>
            <w:docPart w:val="DefaultPlaceholder_-1854013440"/>
          </w:placeholder>
        </w:sdtPr>
        <w:sdtContent>
          <w:r w:rsidR="00012446" w:rsidRPr="00C81D6D">
            <w:rPr>
              <w:rFonts w:ascii="Arial" w:hAnsi="Arial" w:cs="Arial"/>
              <w:color w:val="000000"/>
            </w:rPr>
            <w:t>[13]</w:t>
          </w:r>
        </w:sdtContent>
      </w:sdt>
      <w:r w:rsidR="002D7357" w:rsidRPr="00C81D6D">
        <w:rPr>
          <w:rFonts w:ascii="Arial" w:hAnsi="Arial" w:cs="Arial"/>
        </w:rPr>
        <w:t>.</w:t>
      </w:r>
      <w:r w:rsidR="00503FA0" w:rsidRPr="00C81D6D">
        <w:rPr>
          <w:rFonts w:ascii="Arial" w:hAnsi="Arial" w:cs="Arial"/>
        </w:rPr>
        <w:t xml:space="preserve"> </w:t>
      </w:r>
    </w:p>
    <w:p w14:paraId="6E0064A1" w14:textId="77777777" w:rsidR="00C61FD4" w:rsidRPr="00C81D6D" w:rsidRDefault="00C61FD4" w:rsidP="00AF52A5">
      <w:pPr>
        <w:spacing w:line="480" w:lineRule="auto"/>
        <w:rPr>
          <w:rFonts w:ascii="Arial" w:hAnsi="Arial" w:cs="Arial"/>
        </w:rPr>
      </w:pPr>
    </w:p>
    <w:p w14:paraId="3F7545BE" w14:textId="1EB7A325" w:rsidR="00C61FD4" w:rsidRPr="00C81D6D" w:rsidRDefault="002D7357" w:rsidP="00AF52A5">
      <w:pPr>
        <w:spacing w:line="480" w:lineRule="auto"/>
        <w:rPr>
          <w:rFonts w:ascii="Arial" w:hAnsi="Arial" w:cs="Arial"/>
        </w:rPr>
      </w:pPr>
      <w:r w:rsidRPr="00C81D6D">
        <w:rPr>
          <w:rFonts w:ascii="Arial" w:hAnsi="Arial" w:cs="Arial"/>
        </w:rPr>
        <w:t>GLP-1RA</w:t>
      </w:r>
      <w:r w:rsidR="00AE1808" w:rsidRPr="00C81D6D">
        <w:rPr>
          <w:rFonts w:ascii="Arial" w:hAnsi="Arial" w:cs="Arial"/>
        </w:rPr>
        <w:t>s</w:t>
      </w:r>
      <w:r w:rsidRPr="00C81D6D">
        <w:rPr>
          <w:rFonts w:ascii="Arial" w:hAnsi="Arial" w:cs="Arial"/>
        </w:rPr>
        <w:t xml:space="preserve"> can cause gastroparesis</w:t>
      </w:r>
      <w:r w:rsidR="00503FA0" w:rsidRPr="00C81D6D">
        <w:rPr>
          <w:rFonts w:ascii="Arial" w:hAnsi="Arial" w:cs="Arial"/>
        </w:rPr>
        <w:t>,</w:t>
      </w:r>
      <w:r w:rsidR="005945FD" w:rsidRPr="00C81D6D">
        <w:rPr>
          <w:rFonts w:ascii="Arial" w:hAnsi="Arial" w:cs="Arial"/>
        </w:rPr>
        <w:t xml:space="preserve"> requiring anaesthesia precautions due to </w:t>
      </w:r>
      <w:r w:rsidR="00304D06" w:rsidRPr="00C81D6D">
        <w:rPr>
          <w:rFonts w:ascii="Arial" w:hAnsi="Arial" w:cs="Arial"/>
        </w:rPr>
        <w:t>aspiration risk</w:t>
      </w:r>
      <w:r w:rsidR="005945FD" w:rsidRPr="00C81D6D">
        <w:rPr>
          <w:rFonts w:ascii="Arial" w:hAnsi="Arial" w:cs="Arial"/>
        </w:rPr>
        <w:t>.</w:t>
      </w:r>
      <w:r w:rsidR="00503FA0" w:rsidRPr="00C81D6D">
        <w:rPr>
          <w:rFonts w:ascii="Arial" w:hAnsi="Arial" w:cs="Arial"/>
        </w:rPr>
        <w:t xml:space="preserve"> </w:t>
      </w:r>
      <w:r w:rsidR="001A13B4" w:rsidRPr="00C81D6D">
        <w:rPr>
          <w:rFonts w:ascii="Arial" w:hAnsi="Arial" w:cs="Arial"/>
        </w:rPr>
        <w:t xml:space="preserve">Guidance advises patients to skip daily doses on the day of surgery or weekly doses one week </w:t>
      </w:r>
      <w:r w:rsidR="00503FA0" w:rsidRPr="00C81D6D">
        <w:rPr>
          <w:rFonts w:ascii="Arial" w:hAnsi="Arial" w:cs="Arial"/>
        </w:rPr>
        <w:t>before</w:t>
      </w:r>
      <w:r w:rsidR="001A13B4" w:rsidRPr="00C81D6D">
        <w:rPr>
          <w:rFonts w:ascii="Arial" w:hAnsi="Arial" w:cs="Arial"/>
        </w:rPr>
        <w:t xml:space="preserve"> surgery</w:t>
      </w:r>
      <w:r w:rsidR="00C325D7" w:rsidRPr="00C81D6D">
        <w:rPr>
          <w:rFonts w:ascii="Arial" w:hAnsi="Arial" w:cs="Arial"/>
        </w:rPr>
        <w:t xml:space="preserve"> </w:t>
      </w:r>
      <w:sdt>
        <w:sdtPr>
          <w:rPr>
            <w:rFonts w:ascii="Arial" w:hAnsi="Arial" w:cs="Arial"/>
            <w:color w:val="000000"/>
          </w:rPr>
          <w:tag w:val="MENDELEY_CITATION_v3_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"/>
          <w:id w:val="639233603"/>
          <w:placeholder>
            <w:docPart w:val="0EEF0C6F9BFC3B4694F549813524E236"/>
          </w:placeholder>
        </w:sdtPr>
        <w:sdtContent>
          <w:r w:rsidR="00012446" w:rsidRPr="00C81D6D">
            <w:rPr>
              <w:rFonts w:ascii="Arial" w:hAnsi="Arial" w:cs="Arial"/>
              <w:color w:val="000000"/>
            </w:rPr>
            <w:t>[14]</w:t>
          </w:r>
        </w:sdtContent>
      </w:sdt>
      <w:r w:rsidR="001A13B4" w:rsidRPr="00C81D6D">
        <w:rPr>
          <w:rFonts w:ascii="Arial" w:hAnsi="Arial" w:cs="Arial"/>
          <w:color w:val="000000"/>
        </w:rPr>
        <w:t>.</w:t>
      </w:r>
      <w:r w:rsidR="00503FA0" w:rsidRPr="00C81D6D">
        <w:rPr>
          <w:rFonts w:ascii="Arial" w:hAnsi="Arial" w:cs="Arial"/>
        </w:rPr>
        <w:t xml:space="preserve"> </w:t>
      </w:r>
      <w:r w:rsidR="00304D06" w:rsidRPr="00C81D6D">
        <w:rPr>
          <w:rFonts w:ascii="Arial" w:hAnsi="Arial" w:cs="Arial"/>
        </w:rPr>
        <w:t xml:space="preserve">As GLP-1RAs </w:t>
      </w:r>
      <w:r w:rsidR="004D654C" w:rsidRPr="00C81D6D">
        <w:rPr>
          <w:rFonts w:ascii="Arial" w:hAnsi="Arial" w:cs="Arial"/>
        </w:rPr>
        <w:t xml:space="preserve">can </w:t>
      </w:r>
      <w:r w:rsidR="00304D06" w:rsidRPr="00C81D6D">
        <w:rPr>
          <w:rFonts w:ascii="Arial" w:hAnsi="Arial" w:cs="Arial"/>
        </w:rPr>
        <w:t>suppress thirst, patients should be counselled to maintain fluid intake to prevent dehydration and acute kidney injury.</w:t>
      </w:r>
    </w:p>
    <w:p w14:paraId="4202B642" w14:textId="0243ABDA" w:rsidR="00622B45" w:rsidRPr="00C81D6D" w:rsidRDefault="00C91C29" w:rsidP="00AF52A5">
      <w:pPr>
        <w:spacing w:line="480" w:lineRule="auto"/>
        <w:rPr>
          <w:rFonts w:ascii="Arial" w:hAnsi="Arial" w:cs="Arial"/>
        </w:rPr>
      </w:pPr>
      <w:r w:rsidRPr="00C81D6D">
        <w:rPr>
          <w:rFonts w:ascii="Arial" w:hAnsi="Arial" w:cs="Arial"/>
        </w:rPr>
        <w:lastRenderedPageBreak/>
        <w:t>GLP-1RA</w:t>
      </w:r>
      <w:r w:rsidR="00AE1808" w:rsidRPr="00C81D6D">
        <w:rPr>
          <w:rFonts w:ascii="Arial" w:hAnsi="Arial" w:cs="Arial"/>
        </w:rPr>
        <w:t>s</w:t>
      </w:r>
      <w:r w:rsidRPr="00C81D6D">
        <w:rPr>
          <w:rFonts w:ascii="Arial" w:hAnsi="Arial" w:cs="Arial"/>
        </w:rPr>
        <w:t xml:space="preserve"> pose risks of severe eye complications, particularly worsening diabetic retinopathy</w:t>
      </w:r>
      <w:r w:rsidR="00277895" w:rsidRPr="00C81D6D">
        <w:rPr>
          <w:rFonts w:ascii="Arial" w:hAnsi="Arial" w:cs="Arial"/>
        </w:rPr>
        <w:t xml:space="preserve"> with rapid and significant HbA1c reduction</w:t>
      </w:r>
      <w:r w:rsidRPr="00C81D6D">
        <w:rPr>
          <w:rFonts w:ascii="Arial" w:hAnsi="Arial" w:cs="Arial"/>
        </w:rPr>
        <w:t>.</w:t>
      </w:r>
      <w:r w:rsidR="00503FA0" w:rsidRPr="00C81D6D">
        <w:rPr>
          <w:rFonts w:ascii="Arial" w:hAnsi="Arial" w:cs="Arial"/>
        </w:rPr>
        <w:t xml:space="preserve"> </w:t>
      </w:r>
      <w:r w:rsidRPr="00C81D6D">
        <w:rPr>
          <w:rFonts w:ascii="Arial" w:hAnsi="Arial" w:cs="Arial"/>
        </w:rPr>
        <w:t xml:space="preserve">There is also concern regarding the potential </w:t>
      </w:r>
      <w:r w:rsidR="00C325D7" w:rsidRPr="00C81D6D">
        <w:rPr>
          <w:rFonts w:ascii="Arial" w:hAnsi="Arial" w:cs="Arial"/>
        </w:rPr>
        <w:t xml:space="preserve">risk of </w:t>
      </w:r>
      <w:proofErr w:type="spellStart"/>
      <w:r w:rsidR="00C325D7" w:rsidRPr="00C81D6D">
        <w:rPr>
          <w:rFonts w:ascii="Arial" w:hAnsi="Arial" w:cs="Arial"/>
        </w:rPr>
        <w:t>nonarteritic</w:t>
      </w:r>
      <w:proofErr w:type="spellEnd"/>
      <w:r w:rsidR="00C325D7" w:rsidRPr="00C81D6D">
        <w:rPr>
          <w:rFonts w:ascii="Arial" w:hAnsi="Arial" w:cs="Arial"/>
        </w:rPr>
        <w:t xml:space="preserve"> anterior ischemic optic neuropathy (NAION</w:t>
      </w:r>
      <w:r w:rsidR="00320C2C" w:rsidRPr="00C81D6D">
        <w:rPr>
          <w:rFonts w:ascii="Arial" w:hAnsi="Arial" w:cs="Arial"/>
        </w:rPr>
        <w:t>),</w:t>
      </w:r>
      <w:r w:rsidR="00BE3297" w:rsidRPr="00C81D6D">
        <w:rPr>
          <w:rFonts w:ascii="Arial" w:hAnsi="Arial" w:cs="Arial"/>
        </w:rPr>
        <w:t xml:space="preserve"> although</w:t>
      </w:r>
      <w:r w:rsidR="00320C2C" w:rsidRPr="00C81D6D">
        <w:rPr>
          <w:rFonts w:ascii="Arial" w:hAnsi="Arial" w:cs="Arial"/>
        </w:rPr>
        <w:t xml:space="preserve"> the</w:t>
      </w:r>
      <w:r w:rsidR="00BE3297" w:rsidRPr="00C81D6D">
        <w:rPr>
          <w:rFonts w:ascii="Arial" w:hAnsi="Arial" w:cs="Arial"/>
        </w:rPr>
        <w:t xml:space="preserve"> study in question</w:t>
      </w:r>
      <w:r w:rsidR="00320C2C" w:rsidRPr="00C81D6D">
        <w:rPr>
          <w:rFonts w:ascii="Arial" w:hAnsi="Arial" w:cs="Arial"/>
        </w:rPr>
        <w:t xml:space="preserve"> </w:t>
      </w:r>
      <w:r w:rsidR="00BE3297" w:rsidRPr="00C81D6D">
        <w:rPr>
          <w:rFonts w:ascii="Arial" w:hAnsi="Arial" w:cs="Arial"/>
        </w:rPr>
        <w:t>had</w:t>
      </w:r>
      <w:r w:rsidR="00320C2C" w:rsidRPr="00C81D6D">
        <w:rPr>
          <w:rFonts w:ascii="Arial" w:hAnsi="Arial" w:cs="Arial"/>
        </w:rPr>
        <w:t xml:space="preserve"> </w:t>
      </w:r>
      <w:r w:rsidR="00BE3297" w:rsidRPr="00C81D6D">
        <w:rPr>
          <w:rFonts w:ascii="Arial" w:hAnsi="Arial" w:cs="Arial"/>
        </w:rPr>
        <w:t>several l</w:t>
      </w:r>
      <w:r w:rsidR="00320C2C" w:rsidRPr="00C81D6D">
        <w:rPr>
          <w:rFonts w:ascii="Arial" w:hAnsi="Arial" w:cs="Arial"/>
        </w:rPr>
        <w:t>imitations</w:t>
      </w:r>
      <w:r w:rsidRPr="00C81D6D">
        <w:rPr>
          <w:rFonts w:ascii="Arial" w:hAnsi="Arial" w:cs="Arial"/>
        </w:rPr>
        <w:t xml:space="preserve"> </w:t>
      </w:r>
      <w:sdt>
        <w:sdtPr>
          <w:rPr>
            <w:rFonts w:ascii="Arial" w:hAnsi="Arial" w:cs="Arial"/>
            <w:color w:val="000000"/>
          </w:rPr>
          <w:tag w:val="MENDELEY_CITATION_v3_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"/>
          <w:id w:val="662053086"/>
          <w:placeholder>
            <w:docPart w:val="80950834A91472499342C39DDF6820C2"/>
          </w:placeholder>
        </w:sdtPr>
        <w:sdtContent>
          <w:r w:rsidR="00012446" w:rsidRPr="00C81D6D">
            <w:rPr>
              <w:rFonts w:ascii="Arial" w:hAnsi="Arial" w:cs="Arial"/>
              <w:color w:val="000000"/>
            </w:rPr>
            <w:t>[15]</w:t>
          </w:r>
        </w:sdtContent>
      </w:sdt>
      <w:r w:rsidR="00C325D7" w:rsidRPr="00C81D6D">
        <w:rPr>
          <w:rFonts w:ascii="Arial" w:hAnsi="Arial" w:cs="Arial"/>
        </w:rPr>
        <w:t>.</w:t>
      </w:r>
      <w:r w:rsidR="00503FA0" w:rsidRPr="00C81D6D">
        <w:rPr>
          <w:rFonts w:ascii="Arial" w:hAnsi="Arial" w:cs="Arial"/>
        </w:rPr>
        <w:t xml:space="preserve"> </w:t>
      </w:r>
      <w:r w:rsidR="00277895" w:rsidRPr="00C81D6D">
        <w:rPr>
          <w:rFonts w:ascii="Arial" w:hAnsi="Arial" w:cs="Arial"/>
        </w:rPr>
        <w:t xml:space="preserve">Patients with T2D should undergo </w:t>
      </w:r>
      <w:r w:rsidR="004D654C" w:rsidRPr="00C81D6D">
        <w:rPr>
          <w:rFonts w:ascii="Arial" w:hAnsi="Arial" w:cs="Arial"/>
        </w:rPr>
        <w:t xml:space="preserve">retinal </w:t>
      </w:r>
      <w:r w:rsidR="00277895" w:rsidRPr="00C81D6D">
        <w:rPr>
          <w:rFonts w:ascii="Arial" w:hAnsi="Arial" w:cs="Arial"/>
        </w:rPr>
        <w:t>exams within a year before starting GLP-1RAs, and any vision changes during treatment should be promptly investigated.</w:t>
      </w:r>
    </w:p>
    <w:p w14:paraId="0E979F07" w14:textId="77777777" w:rsidR="001F6E42" w:rsidRPr="00C81D6D" w:rsidRDefault="001F6E42" w:rsidP="00AF52A5">
      <w:pPr>
        <w:spacing w:line="480" w:lineRule="auto"/>
        <w:rPr>
          <w:rFonts w:ascii="Arial" w:hAnsi="Arial" w:cs="Arial"/>
        </w:rPr>
      </w:pPr>
    </w:p>
    <w:p w14:paraId="7FF09914" w14:textId="1C2FAFB8" w:rsidR="000F6280" w:rsidRPr="00C81D6D" w:rsidRDefault="00B61003" w:rsidP="00AF52A5">
      <w:pPr>
        <w:spacing w:line="480" w:lineRule="auto"/>
        <w:rPr>
          <w:rFonts w:ascii="Arial" w:hAnsi="Arial" w:cs="Arial"/>
        </w:rPr>
      </w:pPr>
      <w:r>
        <w:rPr>
          <w:rFonts w:ascii="Arial" w:hAnsi="Arial" w:cs="Arial"/>
        </w:rPr>
        <w:t xml:space="preserve">Overall, </w:t>
      </w:r>
      <w:r w:rsidR="000F6280" w:rsidRPr="00C81D6D">
        <w:rPr>
          <w:rFonts w:ascii="Arial" w:hAnsi="Arial" w:cs="Arial"/>
        </w:rPr>
        <w:t>GLP-1RA</w:t>
      </w:r>
      <w:r w:rsidR="00277895" w:rsidRPr="00C81D6D">
        <w:rPr>
          <w:rFonts w:ascii="Arial" w:hAnsi="Arial" w:cs="Arial"/>
        </w:rPr>
        <w:t>s</w:t>
      </w:r>
      <w:r w:rsidR="000F6280" w:rsidRPr="00C81D6D">
        <w:rPr>
          <w:rFonts w:ascii="Arial" w:hAnsi="Arial" w:cs="Arial"/>
        </w:rPr>
        <w:t xml:space="preserve"> are becoming </w:t>
      </w:r>
      <w:r w:rsidR="00503FA0" w:rsidRPr="00C81D6D">
        <w:rPr>
          <w:rFonts w:ascii="Arial" w:hAnsi="Arial" w:cs="Arial"/>
        </w:rPr>
        <w:t>critical</w:t>
      </w:r>
      <w:r w:rsidR="000F6280" w:rsidRPr="00C81D6D">
        <w:rPr>
          <w:rFonts w:ascii="Arial" w:hAnsi="Arial" w:cs="Arial"/>
        </w:rPr>
        <w:t xml:space="preserve"> tools in the management of obesity and </w:t>
      </w:r>
      <w:r w:rsidR="00D14FBF" w:rsidRPr="00C81D6D">
        <w:rPr>
          <w:rFonts w:ascii="Arial" w:hAnsi="Arial" w:cs="Arial"/>
        </w:rPr>
        <w:t>T2D</w:t>
      </w:r>
      <w:r w:rsidR="00277895" w:rsidRPr="00C81D6D">
        <w:rPr>
          <w:rFonts w:ascii="Arial" w:hAnsi="Arial" w:cs="Arial"/>
        </w:rPr>
        <w:t>.</w:t>
      </w:r>
      <w:r w:rsidR="00503FA0" w:rsidRPr="00C81D6D">
        <w:rPr>
          <w:rFonts w:ascii="Arial" w:hAnsi="Arial" w:cs="Arial"/>
        </w:rPr>
        <w:t xml:space="preserve"> </w:t>
      </w:r>
      <w:r w:rsidR="000F6280" w:rsidRPr="00C81D6D">
        <w:rPr>
          <w:rFonts w:ascii="Arial" w:hAnsi="Arial" w:cs="Arial"/>
        </w:rPr>
        <w:t xml:space="preserve">For </w:t>
      </w:r>
      <w:r w:rsidR="004D654C" w:rsidRPr="00C81D6D">
        <w:rPr>
          <w:rFonts w:ascii="Arial" w:hAnsi="Arial" w:cs="Arial"/>
        </w:rPr>
        <w:t xml:space="preserve">safety and </w:t>
      </w:r>
      <w:r w:rsidR="000F6280" w:rsidRPr="00C81D6D">
        <w:rPr>
          <w:rFonts w:ascii="Arial" w:hAnsi="Arial" w:cs="Arial"/>
        </w:rPr>
        <w:t xml:space="preserve">successful outcomes, </w:t>
      </w:r>
      <w:r w:rsidR="00503FA0" w:rsidRPr="00C81D6D">
        <w:rPr>
          <w:rFonts w:ascii="Arial" w:hAnsi="Arial" w:cs="Arial"/>
        </w:rPr>
        <w:t>these treatments must be</w:t>
      </w:r>
      <w:r w:rsidR="000F6280" w:rsidRPr="00C81D6D">
        <w:rPr>
          <w:rFonts w:ascii="Arial" w:hAnsi="Arial" w:cs="Arial"/>
        </w:rPr>
        <w:t xml:space="preserve"> accompanied by comprehensive </w:t>
      </w:r>
      <w:r w:rsidR="00D14FBF" w:rsidRPr="00C81D6D">
        <w:rPr>
          <w:rFonts w:ascii="Arial" w:hAnsi="Arial" w:cs="Arial"/>
        </w:rPr>
        <w:t xml:space="preserve">wrap-around care which includes </w:t>
      </w:r>
      <w:r w:rsidR="000F6280" w:rsidRPr="00C81D6D">
        <w:rPr>
          <w:rFonts w:ascii="Arial" w:hAnsi="Arial" w:cs="Arial"/>
        </w:rPr>
        <w:t xml:space="preserve">dietary, </w:t>
      </w:r>
      <w:r w:rsidR="00DF0731" w:rsidRPr="00C81D6D">
        <w:rPr>
          <w:rFonts w:ascii="Arial" w:hAnsi="Arial" w:cs="Arial"/>
        </w:rPr>
        <w:t>behavioural</w:t>
      </w:r>
      <w:r w:rsidR="000F6280" w:rsidRPr="00C81D6D">
        <w:rPr>
          <w:rFonts w:ascii="Arial" w:hAnsi="Arial" w:cs="Arial"/>
        </w:rPr>
        <w:t>, and medical support.</w:t>
      </w:r>
      <w:r w:rsidR="00503FA0" w:rsidRPr="00C81D6D">
        <w:rPr>
          <w:rFonts w:ascii="Arial" w:hAnsi="Arial" w:cs="Arial"/>
        </w:rPr>
        <w:t xml:space="preserve"> </w:t>
      </w:r>
      <w:r w:rsidR="00FE0EE4" w:rsidRPr="00C81D6D">
        <w:rPr>
          <w:rFonts w:ascii="Arial" w:hAnsi="Arial" w:cs="Arial"/>
        </w:rPr>
        <w:t xml:space="preserve">Primary Care staff </w:t>
      </w:r>
      <w:r w:rsidR="000F6280" w:rsidRPr="00C81D6D">
        <w:rPr>
          <w:rFonts w:ascii="Arial" w:hAnsi="Arial" w:cs="Arial"/>
        </w:rPr>
        <w:t xml:space="preserve">should </w:t>
      </w:r>
      <w:r w:rsidR="00277895" w:rsidRPr="00C81D6D">
        <w:rPr>
          <w:rFonts w:ascii="Arial" w:hAnsi="Arial" w:cs="Arial"/>
        </w:rPr>
        <w:t xml:space="preserve">stay updated on </w:t>
      </w:r>
      <w:r w:rsidR="000F6280" w:rsidRPr="00C81D6D">
        <w:rPr>
          <w:rFonts w:ascii="Arial" w:hAnsi="Arial" w:cs="Arial"/>
        </w:rPr>
        <w:t xml:space="preserve">evolving research and guidelines, </w:t>
      </w:r>
      <w:r w:rsidR="00277895" w:rsidRPr="00C81D6D">
        <w:rPr>
          <w:rFonts w:ascii="Arial" w:hAnsi="Arial" w:cs="Arial"/>
        </w:rPr>
        <w:t>as</w:t>
      </w:r>
      <w:r w:rsidR="00503FA0" w:rsidRPr="00C81D6D">
        <w:rPr>
          <w:rFonts w:ascii="Arial" w:hAnsi="Arial" w:cs="Arial"/>
        </w:rPr>
        <w:t xml:space="preserve"> </w:t>
      </w:r>
      <w:r w:rsidR="000F6280" w:rsidRPr="00C81D6D">
        <w:rPr>
          <w:rFonts w:ascii="Arial" w:hAnsi="Arial" w:cs="Arial"/>
        </w:rPr>
        <w:t>GLP-1RA</w:t>
      </w:r>
      <w:r w:rsidR="00DF0731" w:rsidRPr="00C81D6D">
        <w:rPr>
          <w:rFonts w:ascii="Arial" w:hAnsi="Arial" w:cs="Arial"/>
        </w:rPr>
        <w:t>s</w:t>
      </w:r>
      <w:r w:rsidR="000F6280" w:rsidRPr="00C81D6D">
        <w:rPr>
          <w:rFonts w:ascii="Arial" w:hAnsi="Arial" w:cs="Arial"/>
        </w:rPr>
        <w:t xml:space="preserve"> are </w:t>
      </w:r>
      <w:r w:rsidR="00503FA0" w:rsidRPr="00C81D6D">
        <w:rPr>
          <w:rFonts w:ascii="Arial" w:hAnsi="Arial" w:cs="Arial"/>
        </w:rPr>
        <w:t xml:space="preserve">increasingly prescribed and </w:t>
      </w:r>
      <w:r w:rsidR="000F6280" w:rsidRPr="00C81D6D">
        <w:rPr>
          <w:rFonts w:ascii="Arial" w:hAnsi="Arial" w:cs="Arial"/>
        </w:rPr>
        <w:t xml:space="preserve">likely to be licenced for </w:t>
      </w:r>
      <w:r w:rsidR="00277895" w:rsidRPr="00C81D6D">
        <w:rPr>
          <w:rFonts w:ascii="Arial" w:hAnsi="Arial" w:cs="Arial"/>
        </w:rPr>
        <w:t>more</w:t>
      </w:r>
      <w:r w:rsidR="000F6280" w:rsidRPr="00C81D6D">
        <w:rPr>
          <w:rFonts w:ascii="Arial" w:hAnsi="Arial" w:cs="Arial"/>
        </w:rPr>
        <w:t xml:space="preserve"> obesity-related health conditions.</w:t>
      </w:r>
    </w:p>
    <w:p w14:paraId="32EF3C34" w14:textId="77777777" w:rsidR="005818C6" w:rsidRPr="00C81D6D" w:rsidRDefault="005818C6" w:rsidP="00AF52A5">
      <w:pPr>
        <w:spacing w:line="480" w:lineRule="auto"/>
        <w:rPr>
          <w:rFonts w:ascii="Arial" w:hAnsi="Arial" w:cs="Arial"/>
        </w:rPr>
      </w:pPr>
    </w:p>
    <w:p w14:paraId="60E0C199" w14:textId="77777777" w:rsidR="005818C6" w:rsidRPr="00C81D6D" w:rsidRDefault="005818C6" w:rsidP="00AF52A5">
      <w:pPr>
        <w:spacing w:line="480" w:lineRule="auto"/>
        <w:rPr>
          <w:rFonts w:ascii="Arial" w:hAnsi="Arial" w:cs="Arial"/>
        </w:rPr>
      </w:pPr>
    </w:p>
    <w:p w14:paraId="038DF953" w14:textId="77777777" w:rsidR="000F6280" w:rsidRPr="00C81D6D" w:rsidRDefault="000F6280" w:rsidP="00AF52A5">
      <w:pPr>
        <w:spacing w:line="480" w:lineRule="auto"/>
        <w:rPr>
          <w:rFonts w:ascii="Arial" w:hAnsi="Arial" w:cs="Arial"/>
        </w:rPr>
      </w:pPr>
    </w:p>
    <w:p w14:paraId="7259BB40" w14:textId="77777777" w:rsidR="000F6280" w:rsidRPr="00C81D6D" w:rsidRDefault="000F6280" w:rsidP="00AF52A5">
      <w:pPr>
        <w:spacing w:line="480" w:lineRule="auto"/>
        <w:rPr>
          <w:rFonts w:ascii="Arial" w:hAnsi="Arial" w:cs="Arial"/>
        </w:rPr>
      </w:pPr>
    </w:p>
    <w:p w14:paraId="56D2FDD2" w14:textId="77777777" w:rsidR="000F6280" w:rsidRPr="00C81D6D" w:rsidRDefault="000F6280" w:rsidP="00AF52A5">
      <w:pPr>
        <w:spacing w:line="480" w:lineRule="auto"/>
        <w:rPr>
          <w:rFonts w:ascii="Arial" w:hAnsi="Arial" w:cs="Arial"/>
        </w:rPr>
      </w:pPr>
    </w:p>
    <w:p w14:paraId="43F119D4" w14:textId="77777777" w:rsidR="000F6280" w:rsidRPr="00C81D6D" w:rsidRDefault="000F6280" w:rsidP="00AF52A5">
      <w:pPr>
        <w:spacing w:line="480" w:lineRule="auto"/>
        <w:rPr>
          <w:rFonts w:ascii="Arial" w:hAnsi="Arial" w:cs="Arial"/>
        </w:rPr>
      </w:pPr>
    </w:p>
    <w:p w14:paraId="1AB511EB" w14:textId="77777777" w:rsidR="000F6280" w:rsidRPr="00C81D6D" w:rsidRDefault="000F6280" w:rsidP="00AF52A5">
      <w:pPr>
        <w:spacing w:line="480" w:lineRule="auto"/>
        <w:rPr>
          <w:rFonts w:ascii="Arial" w:hAnsi="Arial" w:cs="Arial"/>
        </w:rPr>
      </w:pPr>
    </w:p>
    <w:p w14:paraId="7197BCFF" w14:textId="77777777" w:rsidR="000F6280" w:rsidRPr="00C81D6D" w:rsidRDefault="000F6280" w:rsidP="00AF52A5">
      <w:pPr>
        <w:spacing w:line="480" w:lineRule="auto"/>
        <w:rPr>
          <w:rFonts w:ascii="Arial" w:hAnsi="Arial" w:cs="Arial"/>
        </w:rPr>
      </w:pPr>
    </w:p>
    <w:p w14:paraId="0D226D3D" w14:textId="77777777" w:rsidR="000F6280" w:rsidRPr="00C81D6D" w:rsidRDefault="000F6280" w:rsidP="00AF52A5">
      <w:pPr>
        <w:spacing w:line="480" w:lineRule="auto"/>
        <w:rPr>
          <w:rFonts w:ascii="Arial" w:hAnsi="Arial" w:cs="Arial"/>
        </w:rPr>
      </w:pPr>
    </w:p>
    <w:p w14:paraId="47F08E7F" w14:textId="77777777" w:rsidR="005818C6" w:rsidRPr="00C81D6D" w:rsidRDefault="005818C6" w:rsidP="00AF52A5">
      <w:pPr>
        <w:spacing w:line="480" w:lineRule="auto"/>
        <w:rPr>
          <w:rFonts w:ascii="Arial" w:hAnsi="Arial" w:cs="Arial"/>
        </w:rPr>
      </w:pPr>
    </w:p>
    <w:p w14:paraId="0427B98C" w14:textId="77777777" w:rsidR="001F6E42" w:rsidRPr="00C81D6D" w:rsidRDefault="001F6E42" w:rsidP="00AF52A5">
      <w:pPr>
        <w:spacing w:line="480" w:lineRule="auto"/>
        <w:rPr>
          <w:rFonts w:ascii="Arial" w:hAnsi="Arial" w:cs="Arial"/>
        </w:rPr>
      </w:pPr>
    </w:p>
    <w:p w14:paraId="1692AD86" w14:textId="77777777" w:rsidR="001F6E42" w:rsidRPr="00C81D6D" w:rsidRDefault="001F6E42" w:rsidP="00AF52A5">
      <w:pPr>
        <w:spacing w:line="480" w:lineRule="auto"/>
        <w:rPr>
          <w:rFonts w:ascii="Arial" w:hAnsi="Arial" w:cs="Arial"/>
        </w:rPr>
      </w:pPr>
    </w:p>
    <w:p w14:paraId="1B7AEF53" w14:textId="77777777" w:rsidR="00254EB7" w:rsidRPr="00C81D6D" w:rsidRDefault="00254EB7" w:rsidP="00C81D6D">
      <w:pPr>
        <w:spacing w:line="480" w:lineRule="auto"/>
        <w:rPr>
          <w:rFonts w:ascii="Arial" w:hAnsi="Arial" w:cs="Arial"/>
        </w:rPr>
      </w:pPr>
    </w:p>
    <w:p w14:paraId="7BA87588" w14:textId="16981EC9" w:rsidR="00C42C82" w:rsidRPr="00C81D6D" w:rsidRDefault="00C42C82" w:rsidP="00C81D6D">
      <w:pPr>
        <w:pStyle w:val="Body"/>
        <w:spacing w:line="480" w:lineRule="auto"/>
        <w:jc w:val="both"/>
        <w:rPr>
          <w:rFonts w:ascii="Arial" w:hAnsi="Arial" w:cs="Arial"/>
          <w:color w:val="1C1D1E"/>
          <w:u w:color="1C1D1E"/>
          <w:lang w:val="en-GB"/>
        </w:rPr>
      </w:pPr>
      <w:r w:rsidRPr="00C81D6D">
        <w:rPr>
          <w:rFonts w:ascii="Arial" w:hAnsi="Arial" w:cs="Arial"/>
          <w:b/>
          <w:bCs/>
          <w:color w:val="1C1D1E"/>
          <w:u w:color="1C1D1E"/>
          <w:lang w:val="en-US"/>
        </w:rPr>
        <w:t>Acknowledgments:</w:t>
      </w:r>
      <w:r w:rsidRPr="00C81D6D">
        <w:rPr>
          <w:rFonts w:ascii="Arial" w:hAnsi="Arial" w:cs="Arial"/>
          <w:color w:val="1C1D1E"/>
          <w:u w:color="1C1D1E"/>
          <w:lang w:val="en-US"/>
        </w:rPr>
        <w:t xml:space="preserve"> </w:t>
      </w:r>
      <w:r w:rsidR="00F20D8D">
        <w:rPr>
          <w:rFonts w:ascii="Arial" w:hAnsi="Arial" w:cs="Arial"/>
          <w:color w:val="1C1D1E"/>
          <w:u w:color="1C1D1E"/>
          <w:lang w:val="en-US"/>
        </w:rPr>
        <w:t>Nil</w:t>
      </w:r>
    </w:p>
    <w:p w14:paraId="4EDABFB1" w14:textId="77777777" w:rsidR="00C42C82" w:rsidRPr="00C81D6D" w:rsidRDefault="00C42C82" w:rsidP="00C81D6D">
      <w:pPr>
        <w:pStyle w:val="Body"/>
        <w:spacing w:line="480" w:lineRule="auto"/>
        <w:jc w:val="both"/>
        <w:rPr>
          <w:rFonts w:ascii="Arial" w:hAnsi="Arial" w:cs="Arial"/>
          <w:color w:val="1C1D1E"/>
          <w:u w:color="1C1D1E"/>
          <w:lang w:val="en-GB"/>
        </w:rPr>
      </w:pPr>
    </w:p>
    <w:p w14:paraId="17CA97A2" w14:textId="77777777" w:rsidR="00C42C82" w:rsidRPr="00C81D6D" w:rsidRDefault="00C42C82" w:rsidP="00C81D6D">
      <w:pPr>
        <w:pStyle w:val="Body"/>
        <w:spacing w:line="480" w:lineRule="auto"/>
        <w:jc w:val="both"/>
        <w:rPr>
          <w:rFonts w:ascii="Arial" w:hAnsi="Arial" w:cs="Arial"/>
          <w:color w:val="1C1D1E"/>
          <w:u w:color="1C1D1E"/>
          <w:lang w:val="en-US"/>
        </w:rPr>
      </w:pPr>
      <w:r w:rsidRPr="00C81D6D">
        <w:rPr>
          <w:rFonts w:ascii="Arial" w:hAnsi="Arial" w:cs="Arial"/>
          <w:b/>
          <w:bCs/>
          <w:color w:val="1C1D1E"/>
          <w:u w:color="1C1D1E"/>
          <w:lang w:val="en-US"/>
        </w:rPr>
        <w:t>Conflict of Interest</w:t>
      </w:r>
      <w:r w:rsidRPr="00C81D6D">
        <w:rPr>
          <w:rFonts w:ascii="Arial" w:hAnsi="Arial" w:cs="Arial"/>
          <w:color w:val="1C1D1E"/>
          <w:u w:color="1C1D1E"/>
          <w:lang w:val="en-US"/>
        </w:rPr>
        <w:t xml:space="preserve">:  </w:t>
      </w:r>
    </w:p>
    <w:p w14:paraId="5227DA59" w14:textId="77777777" w:rsidR="00C42C82" w:rsidRPr="00C81D6D" w:rsidRDefault="00C42C82" w:rsidP="00C81D6D">
      <w:pPr>
        <w:pStyle w:val="Body"/>
        <w:spacing w:line="480" w:lineRule="auto"/>
        <w:jc w:val="both"/>
        <w:rPr>
          <w:rFonts w:ascii="Arial" w:hAnsi="Arial" w:cs="Arial"/>
          <w:color w:val="1C1D1E"/>
          <w:u w:color="1C1D1E"/>
          <w:lang w:val="en-US"/>
        </w:rPr>
      </w:pPr>
      <w:r w:rsidRPr="00C81D6D">
        <w:rPr>
          <w:rFonts w:ascii="Arial" w:hAnsi="Arial" w:cs="Arial"/>
          <w:color w:val="1C1D1E"/>
          <w:u w:color="1C1D1E"/>
          <w:lang w:val="en-US"/>
        </w:rPr>
        <w:t xml:space="preserve">SLB has done consultancy work for second nature, simple online pharmacy and CheqUp. SLB has received honorarium for speaking for Novo Nordisk, Eli Lilly and Boehringer Ingelheim. SLB is the founder and director of all about obesity and a trustee of ASO. DP has done advisory work for Astra Zeneca, Boehringer Ingelheim and Eli Lilly. DP has done educational work for Eli Lilly and Novo Nordisk </w:t>
      </w:r>
      <w:proofErr w:type="gramStart"/>
      <w:r w:rsidRPr="00C81D6D">
        <w:rPr>
          <w:rFonts w:ascii="Arial" w:hAnsi="Arial" w:cs="Arial"/>
          <w:color w:val="1C1D1E"/>
          <w:u w:color="1C1D1E"/>
          <w:lang w:val="en-US"/>
        </w:rPr>
        <w:t>and also</w:t>
      </w:r>
      <w:proofErr w:type="gramEnd"/>
      <w:r w:rsidRPr="00C81D6D">
        <w:rPr>
          <w:rFonts w:ascii="Arial" w:hAnsi="Arial" w:cs="Arial"/>
          <w:color w:val="1C1D1E"/>
          <w:u w:color="1C1D1E"/>
          <w:lang w:val="en-US"/>
        </w:rPr>
        <w:t xml:space="preserve"> has shareholdings in Reset Health. BM is a shareholder in Reset Health and performs Advisory and educational work for Novo Nordisk and Advisory work for Lilly, Pfizer and Johnson &amp; Johnson.</w:t>
      </w:r>
    </w:p>
    <w:p w14:paraId="08A3A9BD" w14:textId="7F8914D7" w:rsidR="00C42C82" w:rsidRPr="00C81D6D" w:rsidRDefault="00C42C82" w:rsidP="00C81D6D">
      <w:pPr>
        <w:pStyle w:val="Body"/>
        <w:spacing w:line="480" w:lineRule="auto"/>
        <w:jc w:val="both"/>
        <w:rPr>
          <w:rFonts w:ascii="Arial" w:hAnsi="Arial" w:cs="Arial"/>
          <w:color w:val="1C1D1E"/>
          <w:u w:color="1C1D1E"/>
          <w:lang w:val="en-US"/>
        </w:rPr>
      </w:pPr>
      <w:r w:rsidRPr="00C81D6D">
        <w:rPr>
          <w:rFonts w:ascii="Arial" w:hAnsi="Arial" w:cs="Arial"/>
          <w:color w:val="1C1D1E"/>
          <w:u w:color="1C1D1E"/>
          <w:lang w:val="en-US"/>
        </w:rPr>
        <w:t xml:space="preserve">SDG has been funded by Novo Nordisk previously to create RCGP educational material and to do teaching for Novo Nordisk’s in house staff. SDG is a founder of all about obesity, which has received seed funding from Novo Nordisk. </w:t>
      </w:r>
      <w:r w:rsidRPr="00C81D6D">
        <w:rPr>
          <w:rFonts w:ascii="Arial" w:hAnsi="Arial" w:cs="Arial"/>
          <w:color w:val="1C1D1E"/>
          <w:u w:color="1C1D1E"/>
          <w:lang w:val="en-GB"/>
        </w:rPr>
        <w:t xml:space="preserve">HP is a British Obesity and Metabolic Surgery Society (BOMSS) council member and has organised educational events supported by Ethicon for BOMSS members (honoraria received for educational events). HP has developed an algorithm for the management of obesity in primary care with accompanying resources for MGP publishing which were supported by arm's length sponsorship from Novo Nordisk (honoraria received). HP is a member of the NICE obesity management clinical guidelines and quality standards committees and was an expert advisor for the NICE Early Value Assessment of digital technologies for delivering specialist weight-management services to manage weight-management medicine. HP is a co-author on a paper reporting a secondary analysis </w:t>
      </w:r>
      <w:r w:rsidRPr="00C81D6D">
        <w:rPr>
          <w:rFonts w:ascii="Arial" w:hAnsi="Arial" w:cs="Arial"/>
          <w:color w:val="1C1D1E"/>
          <w:u w:color="1C1D1E"/>
          <w:lang w:val="en-GB"/>
        </w:rPr>
        <w:lastRenderedPageBreak/>
        <w:t xml:space="preserve">of data from the ACTION-IO study (funded by </w:t>
      </w:r>
      <w:proofErr w:type="spellStart"/>
      <w:r w:rsidRPr="00C81D6D">
        <w:rPr>
          <w:rFonts w:ascii="Arial" w:hAnsi="Arial" w:cs="Arial"/>
          <w:color w:val="1C1D1E"/>
          <w:u w:color="1C1D1E"/>
          <w:lang w:val="en-GB"/>
        </w:rPr>
        <w:t>NovoNordisk</w:t>
      </w:r>
      <w:proofErr w:type="spellEnd"/>
      <w:r w:rsidRPr="00C81D6D">
        <w:rPr>
          <w:rFonts w:ascii="Arial" w:hAnsi="Arial" w:cs="Arial"/>
          <w:color w:val="1C1D1E"/>
          <w:u w:color="1C1D1E"/>
          <w:lang w:val="en-GB"/>
        </w:rPr>
        <w:t xml:space="preserve">) (no payments received). All other authors declare no COI. </w:t>
      </w:r>
    </w:p>
    <w:p w14:paraId="11BF26D6" w14:textId="77777777" w:rsidR="00C42C82" w:rsidRPr="00C81D6D" w:rsidRDefault="00C42C82" w:rsidP="00C81D6D">
      <w:pPr>
        <w:pStyle w:val="Body"/>
        <w:spacing w:line="480" w:lineRule="auto"/>
        <w:jc w:val="both"/>
        <w:rPr>
          <w:rFonts w:ascii="Arial" w:hAnsi="Arial" w:cs="Arial"/>
          <w:b/>
          <w:bCs/>
          <w:color w:val="1C1D1E"/>
          <w:u w:color="1C1D1E"/>
        </w:rPr>
      </w:pPr>
    </w:p>
    <w:p w14:paraId="35052BE3" w14:textId="77777777" w:rsidR="00C42C82" w:rsidRPr="00C81D6D" w:rsidRDefault="00C42C82" w:rsidP="00C81D6D">
      <w:pPr>
        <w:pStyle w:val="Body"/>
        <w:spacing w:line="480" w:lineRule="auto"/>
        <w:jc w:val="both"/>
        <w:rPr>
          <w:rFonts w:ascii="Arial" w:hAnsi="Arial" w:cs="Arial"/>
          <w:color w:val="1C1D1E"/>
          <w:u w:color="1C1D1E"/>
        </w:rPr>
      </w:pPr>
      <w:r w:rsidRPr="00C81D6D">
        <w:rPr>
          <w:rFonts w:ascii="Arial" w:hAnsi="Arial" w:cs="Arial"/>
          <w:b/>
          <w:bCs/>
          <w:color w:val="1C1D1E"/>
          <w:u w:color="1C1D1E"/>
          <w:lang w:val="en-US"/>
        </w:rPr>
        <w:t xml:space="preserve">Funding Statement: </w:t>
      </w:r>
      <w:r w:rsidRPr="00C81D6D">
        <w:rPr>
          <w:rFonts w:ascii="Arial" w:hAnsi="Arial" w:cs="Arial"/>
          <w:color w:val="1C1D1E"/>
          <w:u w:color="1C1D1E"/>
          <w:lang w:val="en-US"/>
        </w:rPr>
        <w:t>This study received no funding</w:t>
      </w:r>
    </w:p>
    <w:p w14:paraId="0902085D" w14:textId="77777777" w:rsidR="00C42C82" w:rsidRPr="00C81D6D" w:rsidRDefault="00C42C82" w:rsidP="00C81D6D">
      <w:pPr>
        <w:pStyle w:val="Body"/>
        <w:shd w:val="clear" w:color="auto" w:fill="FFFFFF"/>
        <w:spacing w:line="480" w:lineRule="auto"/>
        <w:rPr>
          <w:rFonts w:ascii="Arial" w:eastAsia="Arial" w:hAnsi="Arial" w:cs="Arial"/>
          <w:color w:val="242424"/>
          <w:u w:color="242424"/>
        </w:rPr>
      </w:pPr>
    </w:p>
    <w:p w14:paraId="2E077C20" w14:textId="77777777" w:rsidR="00C42C82" w:rsidRPr="00C81D6D" w:rsidRDefault="00C42C82" w:rsidP="00C81D6D">
      <w:pPr>
        <w:pStyle w:val="Body"/>
        <w:spacing w:line="480" w:lineRule="auto"/>
        <w:jc w:val="both"/>
        <w:rPr>
          <w:rFonts w:ascii="Arial" w:hAnsi="Arial" w:cs="Arial"/>
          <w:color w:val="1C1D1E"/>
          <w:u w:color="1C1D1E"/>
          <w:lang w:val="en-US"/>
        </w:rPr>
      </w:pPr>
      <w:r w:rsidRPr="00C81D6D">
        <w:rPr>
          <w:rFonts w:ascii="Arial" w:hAnsi="Arial" w:cs="Arial"/>
          <w:b/>
          <w:bCs/>
          <w:color w:val="1C1D1E"/>
          <w:u w:color="1C1D1E"/>
          <w:lang w:val="en-US"/>
        </w:rPr>
        <w:t>Author contributions</w:t>
      </w:r>
      <w:r w:rsidRPr="00C81D6D">
        <w:rPr>
          <w:rFonts w:ascii="Arial" w:hAnsi="Arial" w:cs="Arial"/>
          <w:b/>
          <w:bCs/>
          <w:color w:val="1C1D1E"/>
          <w:u w:color="1C1D1E"/>
        </w:rPr>
        <w:t xml:space="preserve">; </w:t>
      </w:r>
      <w:r w:rsidRPr="00C81D6D">
        <w:rPr>
          <w:rFonts w:ascii="Arial" w:hAnsi="Arial" w:cs="Arial"/>
          <w:color w:val="1C1D1E"/>
          <w:u w:color="1C1D1E"/>
          <w:lang w:val="en-US"/>
        </w:rPr>
        <w:t>LJD, BM and DP led the conception and design of the work. LD wrote the initial draft with HMP, EF, SLB, SDG, BM and DCP revising it critically for important intellectual content. LD, HMP, EF, SLB, SDG, BM, DCP gave final approval of the version to be submitted. LJD takes responsibility for the integrity of the work as a whole, from inception to finished article.</w:t>
      </w:r>
    </w:p>
    <w:p w14:paraId="7031B522" w14:textId="77777777" w:rsidR="00C42C82" w:rsidRPr="00C81D6D" w:rsidRDefault="00C42C82" w:rsidP="00C81D6D">
      <w:pPr>
        <w:pStyle w:val="Body"/>
        <w:spacing w:line="480" w:lineRule="auto"/>
        <w:jc w:val="both"/>
        <w:rPr>
          <w:rFonts w:ascii="Arial" w:hAnsi="Arial" w:cs="Arial"/>
          <w:color w:val="1C1D1E"/>
          <w:u w:color="1C1D1E"/>
          <w:lang w:val="en-US"/>
        </w:rPr>
      </w:pPr>
    </w:p>
    <w:p w14:paraId="54B398B2" w14:textId="77777777" w:rsidR="00254EB7" w:rsidRPr="00C81D6D" w:rsidRDefault="00254EB7" w:rsidP="00C81D6D">
      <w:pPr>
        <w:spacing w:line="480" w:lineRule="auto"/>
        <w:rPr>
          <w:rFonts w:ascii="Arial" w:hAnsi="Arial" w:cs="Arial"/>
        </w:rPr>
      </w:pPr>
    </w:p>
    <w:p w14:paraId="570D275C" w14:textId="77777777" w:rsidR="00254EB7" w:rsidRPr="00C81D6D" w:rsidRDefault="00254EB7" w:rsidP="00C81D6D">
      <w:pPr>
        <w:spacing w:line="480" w:lineRule="auto"/>
        <w:rPr>
          <w:rFonts w:ascii="Arial" w:hAnsi="Arial" w:cs="Arial"/>
        </w:rPr>
      </w:pPr>
    </w:p>
    <w:p w14:paraId="140E443C" w14:textId="77777777" w:rsidR="00254EB7" w:rsidRPr="00C81D6D" w:rsidRDefault="00254EB7" w:rsidP="00C81D6D">
      <w:pPr>
        <w:spacing w:line="480" w:lineRule="auto"/>
        <w:rPr>
          <w:rFonts w:ascii="Arial" w:hAnsi="Arial" w:cs="Arial"/>
        </w:rPr>
      </w:pPr>
    </w:p>
    <w:p w14:paraId="2D6C82B1" w14:textId="77777777" w:rsidR="00254EB7" w:rsidRPr="00C81D6D" w:rsidRDefault="00254EB7" w:rsidP="00AF52A5">
      <w:pPr>
        <w:spacing w:line="480" w:lineRule="auto"/>
        <w:rPr>
          <w:rFonts w:ascii="Arial" w:hAnsi="Arial" w:cs="Arial"/>
        </w:rPr>
      </w:pPr>
    </w:p>
    <w:p w14:paraId="0FD5B8EB" w14:textId="77777777" w:rsidR="00254EB7" w:rsidRDefault="00254EB7" w:rsidP="00AF52A5">
      <w:pPr>
        <w:spacing w:line="480" w:lineRule="auto"/>
        <w:rPr>
          <w:rFonts w:ascii="Arial" w:hAnsi="Arial" w:cs="Arial"/>
        </w:rPr>
      </w:pPr>
    </w:p>
    <w:p w14:paraId="4286AC06" w14:textId="77777777" w:rsidR="00C81D6D" w:rsidRDefault="00C81D6D" w:rsidP="00AF52A5">
      <w:pPr>
        <w:spacing w:line="480" w:lineRule="auto"/>
        <w:rPr>
          <w:rFonts w:ascii="Arial" w:hAnsi="Arial" w:cs="Arial"/>
        </w:rPr>
      </w:pPr>
    </w:p>
    <w:p w14:paraId="76D23726" w14:textId="77777777" w:rsidR="00C81D6D" w:rsidRDefault="00C81D6D" w:rsidP="00AF52A5">
      <w:pPr>
        <w:spacing w:line="480" w:lineRule="auto"/>
        <w:rPr>
          <w:rFonts w:ascii="Arial" w:hAnsi="Arial" w:cs="Arial"/>
        </w:rPr>
      </w:pPr>
    </w:p>
    <w:p w14:paraId="3C56A9C9" w14:textId="77777777" w:rsidR="00C81D6D" w:rsidRDefault="00C81D6D" w:rsidP="00AF52A5">
      <w:pPr>
        <w:spacing w:line="480" w:lineRule="auto"/>
        <w:rPr>
          <w:rFonts w:ascii="Arial" w:hAnsi="Arial" w:cs="Arial"/>
        </w:rPr>
      </w:pPr>
    </w:p>
    <w:p w14:paraId="4989B3B3" w14:textId="77777777" w:rsidR="00C81D6D" w:rsidRDefault="00C81D6D" w:rsidP="00AF52A5">
      <w:pPr>
        <w:spacing w:line="480" w:lineRule="auto"/>
        <w:rPr>
          <w:rFonts w:ascii="Arial" w:hAnsi="Arial" w:cs="Arial"/>
        </w:rPr>
      </w:pPr>
    </w:p>
    <w:p w14:paraId="5232BCFD" w14:textId="77777777" w:rsidR="00C81D6D" w:rsidRPr="00C81D6D" w:rsidRDefault="00C81D6D" w:rsidP="00AF52A5">
      <w:pPr>
        <w:spacing w:line="480" w:lineRule="auto"/>
        <w:rPr>
          <w:rFonts w:ascii="Arial" w:hAnsi="Arial" w:cs="Arial"/>
        </w:rPr>
      </w:pPr>
    </w:p>
    <w:p w14:paraId="544072FE" w14:textId="77777777" w:rsidR="00C81D6D" w:rsidRDefault="00C81D6D" w:rsidP="00AF52A5">
      <w:pPr>
        <w:spacing w:line="480" w:lineRule="auto"/>
        <w:rPr>
          <w:rFonts w:ascii="Arial" w:hAnsi="Arial" w:cs="Arial"/>
        </w:rPr>
      </w:pPr>
    </w:p>
    <w:p w14:paraId="7406CB56" w14:textId="77777777" w:rsidR="00C81D6D" w:rsidRDefault="00C81D6D" w:rsidP="00AF52A5">
      <w:pPr>
        <w:spacing w:line="480" w:lineRule="auto"/>
        <w:rPr>
          <w:rFonts w:ascii="Arial" w:hAnsi="Arial" w:cs="Arial"/>
        </w:rPr>
      </w:pPr>
    </w:p>
    <w:p w14:paraId="5BD67378" w14:textId="77777777" w:rsidR="00C81D6D" w:rsidRPr="00C81D6D" w:rsidRDefault="00C81D6D" w:rsidP="00AF52A5">
      <w:pPr>
        <w:spacing w:line="480" w:lineRule="auto"/>
        <w:rPr>
          <w:rFonts w:ascii="Arial" w:hAnsi="Arial" w:cs="Arial"/>
        </w:rPr>
      </w:pPr>
    </w:p>
    <w:p w14:paraId="26BDDF70" w14:textId="53CB0C00" w:rsidR="00254EB7" w:rsidRPr="00C81D6D" w:rsidRDefault="00254EB7" w:rsidP="00AF52A5">
      <w:pPr>
        <w:spacing w:line="480" w:lineRule="auto"/>
        <w:rPr>
          <w:rFonts w:ascii="Arial" w:hAnsi="Arial" w:cs="Arial"/>
          <w:b/>
          <w:bCs/>
        </w:rPr>
      </w:pPr>
      <w:r w:rsidRPr="00C81D6D">
        <w:rPr>
          <w:rFonts w:ascii="Arial" w:hAnsi="Arial" w:cs="Arial"/>
          <w:b/>
          <w:bCs/>
        </w:rPr>
        <w:t>References</w:t>
      </w:r>
    </w:p>
    <w:sdt>
      <w:sdtPr>
        <w:rPr>
          <w:rFonts w:ascii="Arial" w:hAnsi="Arial" w:cs="Arial"/>
          <w:color w:val="000000"/>
        </w:rPr>
        <w:tag w:val="MENDELEY_BIBLIOGRAPHY"/>
        <w:id w:val="-507063486"/>
        <w:placeholder>
          <w:docPart w:val="DefaultPlaceholder_-1854013440"/>
        </w:placeholder>
      </w:sdtPr>
      <w:sdtContent>
        <w:p w14:paraId="61D5E335" w14:textId="77777777" w:rsidR="00012446" w:rsidRPr="00C81D6D" w:rsidRDefault="00012446">
          <w:pPr>
            <w:autoSpaceDE w:val="0"/>
            <w:autoSpaceDN w:val="0"/>
            <w:ind w:hanging="640"/>
            <w:divId w:val="655643876"/>
            <w:rPr>
              <w:rFonts w:ascii="Arial" w:hAnsi="Arial" w:cs="Arial"/>
            </w:rPr>
          </w:pPr>
          <w:r w:rsidRPr="00C81D6D">
            <w:rPr>
              <w:rFonts w:ascii="Arial" w:hAnsi="Arial" w:cs="Arial"/>
            </w:rPr>
            <w:t>[1]</w:t>
          </w:r>
          <w:r w:rsidRPr="00C81D6D">
            <w:rPr>
              <w:rFonts w:ascii="Arial" w:hAnsi="Arial" w:cs="Arial"/>
            </w:rPr>
            <w:tab/>
            <w:t xml:space="preserve">Wilding JPH, </w:t>
          </w:r>
          <w:proofErr w:type="spellStart"/>
          <w:r w:rsidRPr="00C81D6D">
            <w:rPr>
              <w:rFonts w:ascii="Arial" w:hAnsi="Arial" w:cs="Arial"/>
            </w:rPr>
            <w:t>Batterham</w:t>
          </w:r>
          <w:proofErr w:type="spellEnd"/>
          <w:r w:rsidRPr="00C81D6D">
            <w:rPr>
              <w:rFonts w:ascii="Arial" w:hAnsi="Arial" w:cs="Arial"/>
            </w:rPr>
            <w:t xml:space="preserve"> RL, </w:t>
          </w:r>
          <w:proofErr w:type="spellStart"/>
          <w:r w:rsidRPr="00C81D6D">
            <w:rPr>
              <w:rFonts w:ascii="Arial" w:hAnsi="Arial" w:cs="Arial"/>
            </w:rPr>
            <w:t>Calanna</w:t>
          </w:r>
          <w:proofErr w:type="spellEnd"/>
          <w:r w:rsidRPr="00C81D6D">
            <w:rPr>
              <w:rFonts w:ascii="Arial" w:hAnsi="Arial" w:cs="Arial"/>
            </w:rPr>
            <w:t xml:space="preserve"> S, Davies M, Van Gaal LF, </w:t>
          </w:r>
          <w:proofErr w:type="spellStart"/>
          <w:r w:rsidRPr="00C81D6D">
            <w:rPr>
              <w:rFonts w:ascii="Arial" w:hAnsi="Arial" w:cs="Arial"/>
            </w:rPr>
            <w:t>Lingvay</w:t>
          </w:r>
          <w:proofErr w:type="spellEnd"/>
          <w:r w:rsidRPr="00C81D6D">
            <w:rPr>
              <w:rFonts w:ascii="Arial" w:hAnsi="Arial" w:cs="Arial"/>
            </w:rPr>
            <w:t xml:space="preserve"> I, et al. Once-Weekly Semaglutide in Adults with Overweight or Obesity. New England Journal of Medicine </w:t>
          </w:r>
          <w:proofErr w:type="gramStart"/>
          <w:r w:rsidRPr="00C81D6D">
            <w:rPr>
              <w:rFonts w:ascii="Arial" w:hAnsi="Arial" w:cs="Arial"/>
            </w:rPr>
            <w:t>2021;384:989</w:t>
          </w:r>
          <w:proofErr w:type="gramEnd"/>
          <w:r w:rsidRPr="00C81D6D">
            <w:rPr>
              <w:rFonts w:ascii="Arial" w:hAnsi="Arial" w:cs="Arial"/>
            </w:rPr>
            <w:t>–1002. https://doi.org/10.1056/NEJMoa2032183.</w:t>
          </w:r>
        </w:p>
        <w:p w14:paraId="657A5C51" w14:textId="77777777" w:rsidR="00012446" w:rsidRPr="00C81D6D" w:rsidRDefault="00012446">
          <w:pPr>
            <w:autoSpaceDE w:val="0"/>
            <w:autoSpaceDN w:val="0"/>
            <w:ind w:hanging="640"/>
            <w:divId w:val="345637456"/>
            <w:rPr>
              <w:rFonts w:ascii="Arial" w:hAnsi="Arial" w:cs="Arial"/>
            </w:rPr>
          </w:pPr>
          <w:r w:rsidRPr="00C81D6D">
            <w:rPr>
              <w:rFonts w:ascii="Arial" w:hAnsi="Arial" w:cs="Arial"/>
            </w:rPr>
            <w:t>[2]</w:t>
          </w:r>
          <w:r w:rsidRPr="00C81D6D">
            <w:rPr>
              <w:rFonts w:ascii="Arial" w:hAnsi="Arial" w:cs="Arial"/>
            </w:rPr>
            <w:tab/>
            <w:t xml:space="preserve">Meier JJ. GLP-1 receptor agonists for individualized treatment of type 2 diabetes mellitus. Nat Rev Endocrinol </w:t>
          </w:r>
          <w:proofErr w:type="gramStart"/>
          <w:r w:rsidRPr="00C81D6D">
            <w:rPr>
              <w:rFonts w:ascii="Arial" w:hAnsi="Arial" w:cs="Arial"/>
            </w:rPr>
            <w:t>2012;8:728</w:t>
          </w:r>
          <w:proofErr w:type="gramEnd"/>
          <w:r w:rsidRPr="00C81D6D">
            <w:rPr>
              <w:rFonts w:ascii="Arial" w:hAnsi="Arial" w:cs="Arial"/>
            </w:rPr>
            <w:t>–42. https://doi.org/10.1038/nrendo.2012.140.</w:t>
          </w:r>
        </w:p>
        <w:p w14:paraId="22347721" w14:textId="77777777" w:rsidR="00012446" w:rsidRPr="00C81D6D" w:rsidRDefault="00012446">
          <w:pPr>
            <w:autoSpaceDE w:val="0"/>
            <w:autoSpaceDN w:val="0"/>
            <w:ind w:hanging="640"/>
            <w:divId w:val="694160087"/>
            <w:rPr>
              <w:rFonts w:ascii="Arial" w:hAnsi="Arial" w:cs="Arial"/>
            </w:rPr>
          </w:pPr>
          <w:r w:rsidRPr="00C81D6D">
            <w:rPr>
              <w:rFonts w:ascii="Arial" w:hAnsi="Arial" w:cs="Arial"/>
            </w:rPr>
            <w:t>[3]</w:t>
          </w:r>
          <w:r w:rsidRPr="00C81D6D">
            <w:rPr>
              <w:rFonts w:ascii="Arial" w:hAnsi="Arial" w:cs="Arial"/>
            </w:rPr>
            <w:tab/>
            <w:t>National Institute for Health and Care Excellence (NICE). Digital technologies for delivering multidisciplinary weight-management services: early value assessment. 2023.</w:t>
          </w:r>
        </w:p>
        <w:p w14:paraId="51CAEF73" w14:textId="77777777" w:rsidR="00012446" w:rsidRPr="00C81D6D" w:rsidRDefault="00012446">
          <w:pPr>
            <w:autoSpaceDE w:val="0"/>
            <w:autoSpaceDN w:val="0"/>
            <w:ind w:hanging="640"/>
            <w:divId w:val="1853259419"/>
            <w:rPr>
              <w:rFonts w:ascii="Arial" w:hAnsi="Arial" w:cs="Arial"/>
            </w:rPr>
          </w:pPr>
          <w:r w:rsidRPr="00C81D6D">
            <w:rPr>
              <w:rFonts w:ascii="Arial" w:hAnsi="Arial" w:cs="Arial"/>
            </w:rPr>
            <w:t>[4]</w:t>
          </w:r>
          <w:r w:rsidRPr="00C81D6D">
            <w:rPr>
              <w:rFonts w:ascii="Arial" w:hAnsi="Arial" w:cs="Arial"/>
            </w:rPr>
            <w:tab/>
            <w:t>NICE. Semaglutide for managing overweight and obesity. Ta875 2023.</w:t>
          </w:r>
        </w:p>
        <w:p w14:paraId="7150ED09" w14:textId="77777777" w:rsidR="00012446" w:rsidRPr="00C81D6D" w:rsidRDefault="00012446">
          <w:pPr>
            <w:autoSpaceDE w:val="0"/>
            <w:autoSpaceDN w:val="0"/>
            <w:ind w:hanging="640"/>
            <w:divId w:val="2016028914"/>
            <w:rPr>
              <w:rFonts w:ascii="Arial" w:hAnsi="Arial" w:cs="Arial"/>
            </w:rPr>
          </w:pPr>
          <w:r w:rsidRPr="00C81D6D">
            <w:rPr>
              <w:rFonts w:ascii="Arial" w:hAnsi="Arial" w:cs="Arial"/>
            </w:rPr>
            <w:t>[5]</w:t>
          </w:r>
          <w:r w:rsidRPr="00C81D6D">
            <w:rPr>
              <w:rFonts w:ascii="Arial" w:hAnsi="Arial" w:cs="Arial"/>
            </w:rPr>
            <w:tab/>
            <w:t>National Institute of Clinical Excellence. Tirzepatide for managing overweight and obesity. 2024.</w:t>
          </w:r>
        </w:p>
        <w:p w14:paraId="48A25F71" w14:textId="77777777" w:rsidR="00012446" w:rsidRPr="00C81D6D" w:rsidRDefault="00012446">
          <w:pPr>
            <w:autoSpaceDE w:val="0"/>
            <w:autoSpaceDN w:val="0"/>
            <w:ind w:hanging="640"/>
            <w:divId w:val="713233718"/>
            <w:rPr>
              <w:rFonts w:ascii="Arial" w:hAnsi="Arial" w:cs="Arial"/>
            </w:rPr>
          </w:pPr>
          <w:r w:rsidRPr="00C81D6D">
            <w:rPr>
              <w:rFonts w:ascii="Arial" w:hAnsi="Arial" w:cs="Arial"/>
            </w:rPr>
            <w:t>[6]</w:t>
          </w:r>
          <w:r w:rsidRPr="00C81D6D">
            <w:rPr>
              <w:rFonts w:ascii="Arial" w:hAnsi="Arial" w:cs="Arial"/>
            </w:rPr>
            <w:tab/>
            <w:t>Obesity: identification, assessment and management Clinical guideline. 2014.</w:t>
          </w:r>
        </w:p>
        <w:p w14:paraId="18343E8E" w14:textId="77777777" w:rsidR="00012446" w:rsidRPr="00C81D6D" w:rsidRDefault="00012446">
          <w:pPr>
            <w:autoSpaceDE w:val="0"/>
            <w:autoSpaceDN w:val="0"/>
            <w:ind w:hanging="640"/>
            <w:divId w:val="470906739"/>
            <w:rPr>
              <w:rFonts w:ascii="Arial" w:hAnsi="Arial" w:cs="Arial"/>
            </w:rPr>
          </w:pPr>
          <w:r w:rsidRPr="00C81D6D">
            <w:rPr>
              <w:rFonts w:ascii="Arial" w:hAnsi="Arial" w:cs="Arial"/>
            </w:rPr>
            <w:t>[7]</w:t>
          </w:r>
          <w:r w:rsidRPr="00C81D6D">
            <w:rPr>
              <w:rFonts w:ascii="Arial" w:hAnsi="Arial" w:cs="Arial"/>
            </w:rPr>
            <w:tab/>
            <w:t xml:space="preserve">Drucker DJ. The GLP-1 </w:t>
          </w:r>
          <w:proofErr w:type="gramStart"/>
          <w:r w:rsidRPr="00C81D6D">
            <w:rPr>
              <w:rFonts w:ascii="Arial" w:hAnsi="Arial" w:cs="Arial"/>
            </w:rPr>
            <w:t>journey:</w:t>
          </w:r>
          <w:proofErr w:type="gramEnd"/>
          <w:r w:rsidRPr="00C81D6D">
            <w:rPr>
              <w:rFonts w:ascii="Arial" w:hAnsi="Arial" w:cs="Arial"/>
            </w:rPr>
            <w:t xml:space="preserve"> from discovery science to therapeutic impact. Journal of Clinical Investigation 2024;134. https://doi.org/10.1172/JCI175634.</w:t>
          </w:r>
        </w:p>
        <w:p w14:paraId="27509286" w14:textId="77777777" w:rsidR="00012446" w:rsidRPr="00C81D6D" w:rsidRDefault="00012446">
          <w:pPr>
            <w:autoSpaceDE w:val="0"/>
            <w:autoSpaceDN w:val="0"/>
            <w:ind w:hanging="640"/>
            <w:divId w:val="705762886"/>
            <w:rPr>
              <w:rFonts w:ascii="Arial" w:hAnsi="Arial" w:cs="Arial"/>
            </w:rPr>
          </w:pPr>
          <w:r w:rsidRPr="00C81D6D">
            <w:rPr>
              <w:rFonts w:ascii="Arial" w:hAnsi="Arial" w:cs="Arial"/>
            </w:rPr>
            <w:t>[8]</w:t>
          </w:r>
          <w:r w:rsidRPr="00C81D6D">
            <w:rPr>
              <w:rFonts w:ascii="Arial" w:hAnsi="Arial" w:cs="Arial"/>
            </w:rPr>
            <w:tab/>
          </w:r>
          <w:proofErr w:type="spellStart"/>
          <w:r w:rsidRPr="00C81D6D">
            <w:rPr>
              <w:rFonts w:ascii="Arial" w:hAnsi="Arial" w:cs="Arial"/>
            </w:rPr>
            <w:t>Barazzoni</w:t>
          </w:r>
          <w:proofErr w:type="spellEnd"/>
          <w:r w:rsidRPr="00C81D6D">
            <w:rPr>
              <w:rFonts w:ascii="Arial" w:hAnsi="Arial" w:cs="Arial"/>
            </w:rPr>
            <w:t xml:space="preserve"> R, </w:t>
          </w:r>
          <w:proofErr w:type="spellStart"/>
          <w:r w:rsidRPr="00C81D6D">
            <w:rPr>
              <w:rFonts w:ascii="Arial" w:hAnsi="Arial" w:cs="Arial"/>
            </w:rPr>
            <w:t>Gortan</w:t>
          </w:r>
          <w:proofErr w:type="spellEnd"/>
          <w:r w:rsidRPr="00C81D6D">
            <w:rPr>
              <w:rFonts w:ascii="Arial" w:hAnsi="Arial" w:cs="Arial"/>
            </w:rPr>
            <w:t xml:space="preserve"> </w:t>
          </w:r>
          <w:proofErr w:type="spellStart"/>
          <w:r w:rsidRPr="00C81D6D">
            <w:rPr>
              <w:rFonts w:ascii="Arial" w:hAnsi="Arial" w:cs="Arial"/>
            </w:rPr>
            <w:t>Cappellari</w:t>
          </w:r>
          <w:proofErr w:type="spellEnd"/>
          <w:r w:rsidRPr="00C81D6D">
            <w:rPr>
              <w:rFonts w:ascii="Arial" w:hAnsi="Arial" w:cs="Arial"/>
            </w:rPr>
            <w:t xml:space="preserve"> G. Double burden of malnutrition in persons with obesity. Rev </w:t>
          </w:r>
          <w:proofErr w:type="spellStart"/>
          <w:r w:rsidRPr="00C81D6D">
            <w:rPr>
              <w:rFonts w:ascii="Arial" w:hAnsi="Arial" w:cs="Arial"/>
            </w:rPr>
            <w:t>Endocr</w:t>
          </w:r>
          <w:proofErr w:type="spellEnd"/>
          <w:r w:rsidRPr="00C81D6D">
            <w:rPr>
              <w:rFonts w:ascii="Arial" w:hAnsi="Arial" w:cs="Arial"/>
            </w:rPr>
            <w:t xml:space="preserve"> </w:t>
          </w:r>
          <w:proofErr w:type="spellStart"/>
          <w:r w:rsidRPr="00C81D6D">
            <w:rPr>
              <w:rFonts w:ascii="Arial" w:hAnsi="Arial" w:cs="Arial"/>
            </w:rPr>
            <w:t>Metab</w:t>
          </w:r>
          <w:proofErr w:type="spellEnd"/>
          <w:r w:rsidRPr="00C81D6D">
            <w:rPr>
              <w:rFonts w:ascii="Arial" w:hAnsi="Arial" w:cs="Arial"/>
            </w:rPr>
            <w:t xml:space="preserve"> </w:t>
          </w:r>
          <w:proofErr w:type="spellStart"/>
          <w:r w:rsidRPr="00C81D6D">
            <w:rPr>
              <w:rFonts w:ascii="Arial" w:hAnsi="Arial" w:cs="Arial"/>
            </w:rPr>
            <w:t>Disord</w:t>
          </w:r>
          <w:proofErr w:type="spellEnd"/>
          <w:r w:rsidRPr="00C81D6D">
            <w:rPr>
              <w:rFonts w:ascii="Arial" w:hAnsi="Arial" w:cs="Arial"/>
            </w:rPr>
            <w:t xml:space="preserve"> </w:t>
          </w:r>
          <w:proofErr w:type="gramStart"/>
          <w:r w:rsidRPr="00C81D6D">
            <w:rPr>
              <w:rFonts w:ascii="Arial" w:hAnsi="Arial" w:cs="Arial"/>
            </w:rPr>
            <w:t>2020;21:307</w:t>
          </w:r>
          <w:proofErr w:type="gramEnd"/>
          <w:r w:rsidRPr="00C81D6D">
            <w:rPr>
              <w:rFonts w:ascii="Arial" w:hAnsi="Arial" w:cs="Arial"/>
            </w:rPr>
            <w:t>–13. https://doi.org/10.1007/s11154-020-09578-1.</w:t>
          </w:r>
        </w:p>
        <w:p w14:paraId="5911D65A" w14:textId="77777777" w:rsidR="00012446" w:rsidRPr="00C81D6D" w:rsidRDefault="00012446">
          <w:pPr>
            <w:autoSpaceDE w:val="0"/>
            <w:autoSpaceDN w:val="0"/>
            <w:ind w:hanging="640"/>
            <w:divId w:val="1191411668"/>
            <w:rPr>
              <w:rFonts w:ascii="Arial" w:hAnsi="Arial" w:cs="Arial"/>
            </w:rPr>
          </w:pPr>
          <w:r w:rsidRPr="00C81D6D">
            <w:rPr>
              <w:rFonts w:ascii="Arial" w:hAnsi="Arial" w:cs="Arial"/>
            </w:rPr>
            <w:t>[9]</w:t>
          </w:r>
          <w:r w:rsidRPr="00C81D6D">
            <w:rPr>
              <w:rFonts w:ascii="Arial" w:hAnsi="Arial" w:cs="Arial"/>
            </w:rPr>
            <w:tab/>
            <w:t xml:space="preserve">Wharton S, Davies M, Dicker D, </w:t>
          </w:r>
          <w:proofErr w:type="spellStart"/>
          <w:r w:rsidRPr="00C81D6D">
            <w:rPr>
              <w:rFonts w:ascii="Arial" w:hAnsi="Arial" w:cs="Arial"/>
            </w:rPr>
            <w:t>Lingvay</w:t>
          </w:r>
          <w:proofErr w:type="spellEnd"/>
          <w:r w:rsidRPr="00C81D6D">
            <w:rPr>
              <w:rFonts w:ascii="Arial" w:hAnsi="Arial" w:cs="Arial"/>
            </w:rPr>
            <w:t xml:space="preserve"> I, </w:t>
          </w:r>
          <w:proofErr w:type="spellStart"/>
          <w:r w:rsidRPr="00C81D6D">
            <w:rPr>
              <w:rFonts w:ascii="Arial" w:hAnsi="Arial" w:cs="Arial"/>
            </w:rPr>
            <w:t>Mosenzon</w:t>
          </w:r>
          <w:proofErr w:type="spellEnd"/>
          <w:r w:rsidRPr="00C81D6D">
            <w:rPr>
              <w:rFonts w:ascii="Arial" w:hAnsi="Arial" w:cs="Arial"/>
            </w:rPr>
            <w:t xml:space="preserve"> O, Rubino DM, et al. Managing the gastrointestinal side effects of GLP-1 receptor agonists in obesity: recommendations for clinical practice. Postgrad Med </w:t>
          </w:r>
          <w:proofErr w:type="gramStart"/>
          <w:r w:rsidRPr="00C81D6D">
            <w:rPr>
              <w:rFonts w:ascii="Arial" w:hAnsi="Arial" w:cs="Arial"/>
            </w:rPr>
            <w:t>2022;134:14</w:t>
          </w:r>
          <w:proofErr w:type="gramEnd"/>
          <w:r w:rsidRPr="00C81D6D">
            <w:rPr>
              <w:rFonts w:ascii="Arial" w:hAnsi="Arial" w:cs="Arial"/>
            </w:rPr>
            <w:t>–9. https://doi.org/10.1080/00325481.2021.2002616.</w:t>
          </w:r>
        </w:p>
        <w:p w14:paraId="1C5912F7" w14:textId="77777777" w:rsidR="00012446" w:rsidRPr="00C81D6D" w:rsidRDefault="00012446">
          <w:pPr>
            <w:autoSpaceDE w:val="0"/>
            <w:autoSpaceDN w:val="0"/>
            <w:ind w:hanging="640"/>
            <w:divId w:val="1603954563"/>
            <w:rPr>
              <w:rFonts w:ascii="Arial" w:hAnsi="Arial" w:cs="Arial"/>
            </w:rPr>
          </w:pPr>
          <w:r w:rsidRPr="00C81D6D">
            <w:rPr>
              <w:rFonts w:ascii="Arial" w:hAnsi="Arial" w:cs="Arial"/>
            </w:rPr>
            <w:t>[10]</w:t>
          </w:r>
          <w:r w:rsidRPr="00C81D6D">
            <w:rPr>
              <w:rFonts w:ascii="Arial" w:hAnsi="Arial" w:cs="Arial"/>
            </w:rPr>
            <w:tab/>
            <w:t xml:space="preserve">Wang W, Volkow ND, Berger NA, Davis PB, Kaelber DC, Xu R. Association of semaglutide with risk of suicidal ideation in a real-world cohort. Nat Med </w:t>
          </w:r>
          <w:proofErr w:type="gramStart"/>
          <w:r w:rsidRPr="00C81D6D">
            <w:rPr>
              <w:rFonts w:ascii="Arial" w:hAnsi="Arial" w:cs="Arial"/>
            </w:rPr>
            <w:t>2024;30:168</w:t>
          </w:r>
          <w:proofErr w:type="gramEnd"/>
          <w:r w:rsidRPr="00C81D6D">
            <w:rPr>
              <w:rFonts w:ascii="Arial" w:hAnsi="Arial" w:cs="Arial"/>
            </w:rPr>
            <w:t>–76. https://doi.org/10.1038/s41591-023-02672-2.</w:t>
          </w:r>
        </w:p>
        <w:p w14:paraId="20394029" w14:textId="77777777" w:rsidR="00012446" w:rsidRPr="00C81D6D" w:rsidRDefault="00012446">
          <w:pPr>
            <w:autoSpaceDE w:val="0"/>
            <w:autoSpaceDN w:val="0"/>
            <w:ind w:hanging="640"/>
            <w:divId w:val="1015576769"/>
            <w:rPr>
              <w:rFonts w:ascii="Arial" w:hAnsi="Arial" w:cs="Arial"/>
            </w:rPr>
          </w:pPr>
          <w:r w:rsidRPr="00C81D6D">
            <w:rPr>
              <w:rFonts w:ascii="Arial" w:hAnsi="Arial" w:cs="Arial"/>
            </w:rPr>
            <w:t>[11]</w:t>
          </w:r>
          <w:r w:rsidRPr="00C81D6D">
            <w:rPr>
              <w:rFonts w:ascii="Arial" w:hAnsi="Arial" w:cs="Arial"/>
            </w:rPr>
            <w:tab/>
            <w:t xml:space="preserve">Muller DRP, </w:t>
          </w:r>
          <w:proofErr w:type="spellStart"/>
          <w:r w:rsidRPr="00C81D6D">
            <w:rPr>
              <w:rFonts w:ascii="Arial" w:hAnsi="Arial" w:cs="Arial"/>
            </w:rPr>
            <w:t>Stenvers</w:t>
          </w:r>
          <w:proofErr w:type="spellEnd"/>
          <w:r w:rsidRPr="00C81D6D">
            <w:rPr>
              <w:rFonts w:ascii="Arial" w:hAnsi="Arial" w:cs="Arial"/>
            </w:rPr>
            <w:t xml:space="preserve"> DJ, Malekzadeh A, Holleman F, Painter RC, </w:t>
          </w:r>
          <w:proofErr w:type="spellStart"/>
          <w:r w:rsidRPr="00C81D6D">
            <w:rPr>
              <w:rFonts w:ascii="Arial" w:hAnsi="Arial" w:cs="Arial"/>
            </w:rPr>
            <w:t>Siegelaar</w:t>
          </w:r>
          <w:proofErr w:type="spellEnd"/>
          <w:r w:rsidRPr="00C81D6D">
            <w:rPr>
              <w:rFonts w:ascii="Arial" w:hAnsi="Arial" w:cs="Arial"/>
            </w:rPr>
            <w:t xml:space="preserve"> SE. Effects of GLP-1 agonists and SGLT2 inhibitors during pregnancy and lactation on offspring outcomes: a systematic review of the evidence. Front Endocrinol (Lausanne) 2023;14. https://doi.org/10.3389/fendo.2023.1215356.</w:t>
          </w:r>
        </w:p>
        <w:p w14:paraId="4F5F21BC" w14:textId="77777777" w:rsidR="00012446" w:rsidRPr="00C81D6D" w:rsidRDefault="00012446">
          <w:pPr>
            <w:autoSpaceDE w:val="0"/>
            <w:autoSpaceDN w:val="0"/>
            <w:ind w:hanging="640"/>
            <w:divId w:val="768891851"/>
            <w:rPr>
              <w:rFonts w:ascii="Arial" w:hAnsi="Arial" w:cs="Arial"/>
            </w:rPr>
          </w:pPr>
          <w:r w:rsidRPr="00C81D6D">
            <w:rPr>
              <w:rFonts w:ascii="Arial" w:hAnsi="Arial" w:cs="Arial"/>
            </w:rPr>
            <w:t>[12]</w:t>
          </w:r>
          <w:r w:rsidRPr="00C81D6D">
            <w:rPr>
              <w:rFonts w:ascii="Arial" w:hAnsi="Arial" w:cs="Arial"/>
            </w:rPr>
            <w:tab/>
            <w:t xml:space="preserve">Zhou L, Qu H, Yang L, Shou L. Effects of GLP1RAs on pregnancy rate and menstrual cyclicity in women with polycystic ovary syndrome: a meta-analysis and systematic review. BMC </w:t>
          </w:r>
          <w:proofErr w:type="spellStart"/>
          <w:r w:rsidRPr="00C81D6D">
            <w:rPr>
              <w:rFonts w:ascii="Arial" w:hAnsi="Arial" w:cs="Arial"/>
            </w:rPr>
            <w:t>Endocr</w:t>
          </w:r>
          <w:proofErr w:type="spellEnd"/>
          <w:r w:rsidRPr="00C81D6D">
            <w:rPr>
              <w:rFonts w:ascii="Arial" w:hAnsi="Arial" w:cs="Arial"/>
            </w:rPr>
            <w:t xml:space="preserve"> </w:t>
          </w:r>
          <w:proofErr w:type="spellStart"/>
          <w:r w:rsidRPr="00C81D6D">
            <w:rPr>
              <w:rFonts w:ascii="Arial" w:hAnsi="Arial" w:cs="Arial"/>
            </w:rPr>
            <w:t>Disord</w:t>
          </w:r>
          <w:proofErr w:type="spellEnd"/>
          <w:r w:rsidRPr="00C81D6D">
            <w:rPr>
              <w:rFonts w:ascii="Arial" w:hAnsi="Arial" w:cs="Arial"/>
            </w:rPr>
            <w:t xml:space="preserve"> 2023;23. https://doi.org/10.1186/s12902-023-01500-5.</w:t>
          </w:r>
        </w:p>
        <w:p w14:paraId="0F9E1605" w14:textId="77777777" w:rsidR="00012446" w:rsidRPr="00C81D6D" w:rsidRDefault="00012446">
          <w:pPr>
            <w:autoSpaceDE w:val="0"/>
            <w:autoSpaceDN w:val="0"/>
            <w:ind w:hanging="640"/>
            <w:divId w:val="1555581425"/>
            <w:rPr>
              <w:rFonts w:ascii="Arial" w:hAnsi="Arial" w:cs="Arial"/>
            </w:rPr>
          </w:pPr>
          <w:r w:rsidRPr="00C81D6D">
            <w:rPr>
              <w:rFonts w:ascii="Arial" w:hAnsi="Arial" w:cs="Arial"/>
            </w:rPr>
            <w:t>[13]</w:t>
          </w:r>
          <w:r w:rsidRPr="00C81D6D">
            <w:rPr>
              <w:rFonts w:ascii="Arial" w:hAnsi="Arial" w:cs="Arial"/>
            </w:rPr>
            <w:tab/>
            <w:t xml:space="preserve">Espinosa De Ycaza AE, Brito JP, McCoy RG, Shao H, Singh Ospina N. Glucagon-Like Peptide-1 Receptor Agonists and Thyroid Cancer: A Narrative Review. Thyroid® </w:t>
          </w:r>
          <w:proofErr w:type="gramStart"/>
          <w:r w:rsidRPr="00C81D6D">
            <w:rPr>
              <w:rFonts w:ascii="Arial" w:hAnsi="Arial" w:cs="Arial"/>
            </w:rPr>
            <w:t>2024;34:403</w:t>
          </w:r>
          <w:proofErr w:type="gramEnd"/>
          <w:r w:rsidRPr="00C81D6D">
            <w:rPr>
              <w:rFonts w:ascii="Arial" w:hAnsi="Arial" w:cs="Arial"/>
            </w:rPr>
            <w:t>–18. https://doi.org/10.1089/thy.2023.0530.</w:t>
          </w:r>
        </w:p>
        <w:p w14:paraId="3EBF86CC" w14:textId="77777777" w:rsidR="00012446" w:rsidRPr="00C81D6D" w:rsidRDefault="00012446">
          <w:pPr>
            <w:autoSpaceDE w:val="0"/>
            <w:autoSpaceDN w:val="0"/>
            <w:ind w:hanging="640"/>
            <w:divId w:val="1856074735"/>
            <w:rPr>
              <w:rFonts w:ascii="Arial" w:hAnsi="Arial" w:cs="Arial"/>
            </w:rPr>
          </w:pPr>
          <w:r w:rsidRPr="00C81D6D">
            <w:rPr>
              <w:rFonts w:ascii="Arial" w:hAnsi="Arial" w:cs="Arial"/>
            </w:rPr>
            <w:t>[14]</w:t>
          </w:r>
          <w:r w:rsidRPr="00C81D6D">
            <w:rPr>
              <w:rFonts w:ascii="Arial" w:hAnsi="Arial" w:cs="Arial"/>
            </w:rPr>
            <w:tab/>
          </w:r>
          <w:proofErr w:type="spellStart"/>
          <w:r w:rsidRPr="00C81D6D">
            <w:rPr>
              <w:rFonts w:ascii="Arial" w:hAnsi="Arial" w:cs="Arial"/>
            </w:rPr>
            <w:t>Ushakumari</w:t>
          </w:r>
          <w:proofErr w:type="spellEnd"/>
          <w:r w:rsidRPr="00C81D6D">
            <w:rPr>
              <w:rFonts w:ascii="Arial" w:hAnsi="Arial" w:cs="Arial"/>
            </w:rPr>
            <w:t xml:space="preserve"> DS, </w:t>
          </w:r>
          <w:proofErr w:type="spellStart"/>
          <w:r w:rsidRPr="00C81D6D">
            <w:rPr>
              <w:rFonts w:ascii="Arial" w:hAnsi="Arial" w:cs="Arial"/>
            </w:rPr>
            <w:t>Sladen</w:t>
          </w:r>
          <w:proofErr w:type="spellEnd"/>
          <w:r w:rsidRPr="00C81D6D">
            <w:rPr>
              <w:rFonts w:ascii="Arial" w:hAnsi="Arial" w:cs="Arial"/>
            </w:rPr>
            <w:t xml:space="preserve"> RN. ASA Consensus-based Guidance on Preoperative Management of Patients on Glucagon-like Peptide-1 Receptor Agonists. </w:t>
          </w:r>
          <w:proofErr w:type="spellStart"/>
          <w:r w:rsidRPr="00C81D6D">
            <w:rPr>
              <w:rFonts w:ascii="Arial" w:hAnsi="Arial" w:cs="Arial"/>
            </w:rPr>
            <w:t>Anesthesiology</w:t>
          </w:r>
          <w:proofErr w:type="spellEnd"/>
          <w:r w:rsidRPr="00C81D6D">
            <w:rPr>
              <w:rFonts w:ascii="Arial" w:hAnsi="Arial" w:cs="Arial"/>
            </w:rPr>
            <w:t xml:space="preserve"> </w:t>
          </w:r>
          <w:proofErr w:type="gramStart"/>
          <w:r w:rsidRPr="00C81D6D">
            <w:rPr>
              <w:rFonts w:ascii="Arial" w:hAnsi="Arial" w:cs="Arial"/>
            </w:rPr>
            <w:t>2024;140:346</w:t>
          </w:r>
          <w:proofErr w:type="gramEnd"/>
          <w:r w:rsidRPr="00C81D6D">
            <w:rPr>
              <w:rFonts w:ascii="Arial" w:hAnsi="Arial" w:cs="Arial"/>
            </w:rPr>
            <w:t>–8. https://doi.org/10.1097/ALN.0000000000004776.</w:t>
          </w:r>
        </w:p>
        <w:p w14:paraId="54A316CD" w14:textId="77777777" w:rsidR="00012446" w:rsidRPr="00C81D6D" w:rsidRDefault="00012446">
          <w:pPr>
            <w:autoSpaceDE w:val="0"/>
            <w:autoSpaceDN w:val="0"/>
            <w:ind w:hanging="640"/>
            <w:divId w:val="1331592465"/>
            <w:rPr>
              <w:rFonts w:ascii="Arial" w:hAnsi="Arial" w:cs="Arial"/>
            </w:rPr>
          </w:pPr>
          <w:r w:rsidRPr="00C81D6D">
            <w:rPr>
              <w:rFonts w:ascii="Arial" w:hAnsi="Arial" w:cs="Arial"/>
            </w:rPr>
            <w:t>[15]</w:t>
          </w:r>
          <w:r w:rsidRPr="00C81D6D">
            <w:rPr>
              <w:rFonts w:ascii="Arial" w:hAnsi="Arial" w:cs="Arial"/>
            </w:rPr>
            <w:tab/>
            <w:t xml:space="preserve">Hathaway JT, Shah MP, Hathaway DB, </w:t>
          </w:r>
          <w:proofErr w:type="spellStart"/>
          <w:r w:rsidRPr="00C81D6D">
            <w:rPr>
              <w:rFonts w:ascii="Arial" w:hAnsi="Arial" w:cs="Arial"/>
            </w:rPr>
            <w:t>Zekavat</w:t>
          </w:r>
          <w:proofErr w:type="spellEnd"/>
          <w:r w:rsidRPr="00C81D6D">
            <w:rPr>
              <w:rFonts w:ascii="Arial" w:hAnsi="Arial" w:cs="Arial"/>
            </w:rPr>
            <w:t xml:space="preserve"> SM, Krasniqi D, Gittinger JW, et al. Risk of </w:t>
          </w:r>
          <w:proofErr w:type="spellStart"/>
          <w:r w:rsidRPr="00C81D6D">
            <w:rPr>
              <w:rFonts w:ascii="Arial" w:hAnsi="Arial" w:cs="Arial"/>
            </w:rPr>
            <w:t>Nonarteritic</w:t>
          </w:r>
          <w:proofErr w:type="spellEnd"/>
          <w:r w:rsidRPr="00C81D6D">
            <w:rPr>
              <w:rFonts w:ascii="Arial" w:hAnsi="Arial" w:cs="Arial"/>
            </w:rPr>
            <w:t xml:space="preserve"> Anterior Ischemic Optic Neuropathy in Patients Prescribed Semaglutide. JAMA </w:t>
          </w:r>
          <w:proofErr w:type="spellStart"/>
          <w:r w:rsidRPr="00C81D6D">
            <w:rPr>
              <w:rFonts w:ascii="Arial" w:hAnsi="Arial" w:cs="Arial"/>
            </w:rPr>
            <w:t>Ophthalmol</w:t>
          </w:r>
          <w:proofErr w:type="spellEnd"/>
          <w:r w:rsidRPr="00C81D6D">
            <w:rPr>
              <w:rFonts w:ascii="Arial" w:hAnsi="Arial" w:cs="Arial"/>
            </w:rPr>
            <w:t xml:space="preserve"> 2024. https://doi.org/10.1001/jamaophthalmol.2024.2296.</w:t>
          </w:r>
        </w:p>
        <w:p w14:paraId="2B185ACE" w14:textId="77777777" w:rsidR="00C81D6D" w:rsidRPr="00C81D6D" w:rsidRDefault="00012446" w:rsidP="00C81D6D">
          <w:pPr>
            <w:spacing w:line="480" w:lineRule="auto"/>
            <w:rPr>
              <w:rFonts w:ascii="Arial" w:hAnsi="Arial" w:cs="Arial"/>
              <w:color w:val="000000"/>
            </w:rPr>
          </w:pPr>
          <w:r w:rsidRPr="00C81D6D">
            <w:rPr>
              <w:rFonts w:ascii="Arial" w:hAnsi="Arial" w:cs="Arial"/>
            </w:rPr>
            <w:t> </w:t>
          </w:r>
        </w:p>
      </w:sdtContent>
    </w:sdt>
    <w:p w14:paraId="5B26606C" w14:textId="77777777" w:rsidR="00B61003" w:rsidRDefault="00B61003" w:rsidP="00C81D6D">
      <w:pPr>
        <w:spacing w:line="480" w:lineRule="auto"/>
        <w:rPr>
          <w:rFonts w:ascii="Arial" w:hAnsi="Arial" w:cs="Arial"/>
          <w:b/>
          <w:bCs/>
        </w:rPr>
      </w:pPr>
    </w:p>
    <w:p w14:paraId="70AA6297" w14:textId="6C74E29C" w:rsidR="00C81D6D" w:rsidRPr="00C81D6D" w:rsidRDefault="00C81D6D" w:rsidP="00C81D6D">
      <w:pPr>
        <w:spacing w:line="480" w:lineRule="auto"/>
        <w:rPr>
          <w:rFonts w:ascii="Arial" w:hAnsi="Arial" w:cs="Arial"/>
          <w:b/>
          <w:bCs/>
        </w:rPr>
      </w:pPr>
      <w:r w:rsidRPr="00C81D6D">
        <w:rPr>
          <w:rFonts w:ascii="Arial" w:hAnsi="Arial" w:cs="Arial"/>
          <w:b/>
          <w:bCs/>
        </w:rPr>
        <w:t xml:space="preserve"> Figure Legends</w:t>
      </w:r>
    </w:p>
    <w:p w14:paraId="539527F3" w14:textId="77777777" w:rsidR="00C81D6D" w:rsidRPr="00C81D6D" w:rsidRDefault="00C81D6D" w:rsidP="00C81D6D">
      <w:pPr>
        <w:spacing w:line="480" w:lineRule="auto"/>
        <w:rPr>
          <w:rFonts w:ascii="Arial" w:hAnsi="Arial" w:cs="Arial"/>
          <w:b/>
          <w:bCs/>
        </w:rPr>
      </w:pPr>
      <w:r w:rsidRPr="00C81D6D">
        <w:rPr>
          <w:rFonts w:ascii="Arial" w:hAnsi="Arial" w:cs="Arial"/>
          <w:b/>
          <w:bCs/>
        </w:rPr>
        <w:lastRenderedPageBreak/>
        <w:t>Figure 1: 10 top tips for GLP-1 RAs in adults within primary care summary infographic.</w:t>
      </w:r>
    </w:p>
    <w:p w14:paraId="1C2A811A" w14:textId="77777777" w:rsidR="00C81D6D" w:rsidRPr="00C81D6D" w:rsidRDefault="00C81D6D" w:rsidP="00C81D6D">
      <w:pPr>
        <w:spacing w:line="480" w:lineRule="auto"/>
        <w:rPr>
          <w:rFonts w:ascii="Arial" w:hAnsi="Arial" w:cs="Arial"/>
        </w:rPr>
      </w:pPr>
    </w:p>
    <w:p w14:paraId="25A78489" w14:textId="77777777" w:rsidR="00C81D6D" w:rsidRPr="00C81D6D" w:rsidRDefault="00C81D6D" w:rsidP="00C81D6D">
      <w:pPr>
        <w:spacing w:line="480" w:lineRule="auto"/>
        <w:rPr>
          <w:rFonts w:ascii="Arial" w:hAnsi="Arial" w:cs="Arial"/>
          <w:b/>
          <w:bCs/>
        </w:rPr>
      </w:pPr>
      <w:r w:rsidRPr="00C81D6D">
        <w:rPr>
          <w:rFonts w:ascii="Arial" w:hAnsi="Arial" w:cs="Arial"/>
          <w:b/>
          <w:bCs/>
        </w:rPr>
        <w:t>Figure 2A: Dose escalation for Semaglutide and Tirzepatide.</w:t>
      </w:r>
    </w:p>
    <w:p w14:paraId="26943731" w14:textId="77777777" w:rsidR="00C81D6D" w:rsidRPr="00C81D6D" w:rsidRDefault="00C81D6D" w:rsidP="00C81D6D">
      <w:pPr>
        <w:spacing w:line="480" w:lineRule="auto"/>
        <w:rPr>
          <w:rFonts w:ascii="Arial" w:hAnsi="Arial" w:cs="Arial"/>
          <w:b/>
          <w:bCs/>
        </w:rPr>
      </w:pPr>
      <w:r w:rsidRPr="00C81D6D">
        <w:rPr>
          <w:rFonts w:ascii="Arial" w:hAnsi="Arial" w:cs="Arial"/>
          <w:b/>
          <w:bCs/>
        </w:rPr>
        <w:tab/>
        <w:t xml:space="preserve"> 2B: Management of GLP-1RA side effects.</w:t>
      </w:r>
    </w:p>
    <w:p w14:paraId="1F1607DA" w14:textId="77777777" w:rsidR="00C81D6D" w:rsidRPr="00C81D6D" w:rsidRDefault="00C81D6D" w:rsidP="00C81D6D">
      <w:pPr>
        <w:spacing w:line="480" w:lineRule="auto"/>
        <w:rPr>
          <w:rFonts w:ascii="Arial" w:hAnsi="Arial" w:cs="Arial"/>
        </w:rPr>
      </w:pPr>
      <w:r w:rsidRPr="00C81D6D">
        <w:rPr>
          <w:rFonts w:ascii="Arial" w:hAnsi="Arial" w:cs="Arial"/>
        </w:rPr>
        <w:t xml:space="preserve">Adapted from Wharton et al. (2022, Postgrad medicine) </w:t>
      </w:r>
      <w:sdt>
        <w:sdtPr>
          <w:rPr>
            <w:rFonts w:ascii="Arial" w:hAnsi="Arial" w:cs="Arial"/>
            <w:color w:val="000000"/>
          </w:rPr>
          <w:tag w:val="MENDELEY_CITATION_v3_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"/>
          <w:id w:val="-338849489"/>
          <w:placeholder>
            <w:docPart w:val="59D720107E2F9647B49ED9AEB136B741"/>
          </w:placeholder>
        </w:sdtPr>
        <w:sdtContent>
          <w:r w:rsidRPr="00C81D6D">
            <w:rPr>
              <w:rFonts w:ascii="Arial" w:hAnsi="Arial" w:cs="Arial"/>
              <w:color w:val="000000"/>
            </w:rPr>
            <w:t>[9]</w:t>
          </w:r>
        </w:sdtContent>
      </w:sdt>
    </w:p>
    <w:p w14:paraId="7C145942" w14:textId="2B3800C0" w:rsidR="00254EB7" w:rsidRPr="00C81D6D" w:rsidRDefault="00254EB7" w:rsidP="00AF52A5">
      <w:pPr>
        <w:spacing w:line="480" w:lineRule="auto"/>
        <w:rPr>
          <w:rFonts w:ascii="Arial" w:hAnsi="Arial" w:cs="Arial"/>
        </w:rPr>
      </w:pPr>
    </w:p>
    <w:sectPr w:rsidR="00254EB7" w:rsidRPr="00C81D6D" w:rsidSect="001A17C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321D5" w14:textId="77777777" w:rsidR="00AB0807" w:rsidRDefault="00AB0807" w:rsidP="0014142F">
      <w:r>
        <w:separator/>
      </w:r>
    </w:p>
  </w:endnote>
  <w:endnote w:type="continuationSeparator" w:id="0">
    <w:p w14:paraId="03F602E9" w14:textId="77777777" w:rsidR="00AB0807" w:rsidRDefault="00AB0807" w:rsidP="0014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04ACF" w14:textId="77777777" w:rsidR="00AB0807" w:rsidRDefault="00AB0807" w:rsidP="0014142F">
      <w:r>
        <w:separator/>
      </w:r>
    </w:p>
  </w:footnote>
  <w:footnote w:type="continuationSeparator" w:id="0">
    <w:p w14:paraId="3095E371" w14:textId="77777777" w:rsidR="00AB0807" w:rsidRDefault="00AB0807" w:rsidP="00141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4832" w14:textId="598B0CAD" w:rsidR="0014142F" w:rsidRDefault="0014142F">
    <w:pPr>
      <w:pStyle w:val="Header"/>
    </w:pPr>
    <w:r>
      <w:t>Management of GLP-1RAs in Primary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4282B"/>
    <w:multiLevelType w:val="hybridMultilevel"/>
    <w:tmpl w:val="8580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30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E3"/>
    <w:rsid w:val="00003D81"/>
    <w:rsid w:val="000053C7"/>
    <w:rsid w:val="00012446"/>
    <w:rsid w:val="00025D61"/>
    <w:rsid w:val="00027F0A"/>
    <w:rsid w:val="00036897"/>
    <w:rsid w:val="00056038"/>
    <w:rsid w:val="00060E5E"/>
    <w:rsid w:val="000777D6"/>
    <w:rsid w:val="0008012A"/>
    <w:rsid w:val="00085CF2"/>
    <w:rsid w:val="000A7B2F"/>
    <w:rsid w:val="000A7BB6"/>
    <w:rsid w:val="000B4448"/>
    <w:rsid w:val="000B6155"/>
    <w:rsid w:val="000C5EDD"/>
    <w:rsid w:val="000D0F62"/>
    <w:rsid w:val="000D6EE4"/>
    <w:rsid w:val="000F0115"/>
    <w:rsid w:val="000F6280"/>
    <w:rsid w:val="001152F7"/>
    <w:rsid w:val="00131040"/>
    <w:rsid w:val="00134628"/>
    <w:rsid w:val="0014142F"/>
    <w:rsid w:val="00161612"/>
    <w:rsid w:val="00167C94"/>
    <w:rsid w:val="001701BD"/>
    <w:rsid w:val="00172230"/>
    <w:rsid w:val="00174AE8"/>
    <w:rsid w:val="00176F12"/>
    <w:rsid w:val="00176F5A"/>
    <w:rsid w:val="001772A6"/>
    <w:rsid w:val="001A13B4"/>
    <w:rsid w:val="001A17CE"/>
    <w:rsid w:val="001C1B26"/>
    <w:rsid w:val="001D51FF"/>
    <w:rsid w:val="001D5C8D"/>
    <w:rsid w:val="001E3E61"/>
    <w:rsid w:val="001E4301"/>
    <w:rsid w:val="001E7776"/>
    <w:rsid w:val="001F0A80"/>
    <w:rsid w:val="001F5F3C"/>
    <w:rsid w:val="001F6E42"/>
    <w:rsid w:val="00205AB8"/>
    <w:rsid w:val="00225248"/>
    <w:rsid w:val="00254EB7"/>
    <w:rsid w:val="00265B4B"/>
    <w:rsid w:val="00277895"/>
    <w:rsid w:val="002913A6"/>
    <w:rsid w:val="002A44AD"/>
    <w:rsid w:val="002A53D1"/>
    <w:rsid w:val="002D6A5A"/>
    <w:rsid w:val="002D7357"/>
    <w:rsid w:val="002F3B77"/>
    <w:rsid w:val="002F7AE1"/>
    <w:rsid w:val="0030207F"/>
    <w:rsid w:val="00304D06"/>
    <w:rsid w:val="0031297D"/>
    <w:rsid w:val="00320C2C"/>
    <w:rsid w:val="003331F9"/>
    <w:rsid w:val="00343DD3"/>
    <w:rsid w:val="00377B68"/>
    <w:rsid w:val="00394AA1"/>
    <w:rsid w:val="003C65C6"/>
    <w:rsid w:val="003D43A0"/>
    <w:rsid w:val="004051ED"/>
    <w:rsid w:val="00406AA2"/>
    <w:rsid w:val="00411073"/>
    <w:rsid w:val="0043289C"/>
    <w:rsid w:val="00434C89"/>
    <w:rsid w:val="004415CC"/>
    <w:rsid w:val="00441EAD"/>
    <w:rsid w:val="00452E93"/>
    <w:rsid w:val="00461DC7"/>
    <w:rsid w:val="00477EE9"/>
    <w:rsid w:val="004D654C"/>
    <w:rsid w:val="004F0878"/>
    <w:rsid w:val="00501074"/>
    <w:rsid w:val="00503FA0"/>
    <w:rsid w:val="00515710"/>
    <w:rsid w:val="0054293D"/>
    <w:rsid w:val="005762BA"/>
    <w:rsid w:val="005818C6"/>
    <w:rsid w:val="005945FD"/>
    <w:rsid w:val="005B28F5"/>
    <w:rsid w:val="005B372A"/>
    <w:rsid w:val="005D0D2E"/>
    <w:rsid w:val="00613211"/>
    <w:rsid w:val="006134E8"/>
    <w:rsid w:val="00622B45"/>
    <w:rsid w:val="00633040"/>
    <w:rsid w:val="00640F1B"/>
    <w:rsid w:val="006465DA"/>
    <w:rsid w:val="00661697"/>
    <w:rsid w:val="00684D48"/>
    <w:rsid w:val="00694ABD"/>
    <w:rsid w:val="006A574D"/>
    <w:rsid w:val="006A7C75"/>
    <w:rsid w:val="006C5159"/>
    <w:rsid w:val="006E602B"/>
    <w:rsid w:val="007137DD"/>
    <w:rsid w:val="00714097"/>
    <w:rsid w:val="00753B2D"/>
    <w:rsid w:val="00771653"/>
    <w:rsid w:val="00790B7C"/>
    <w:rsid w:val="007929AA"/>
    <w:rsid w:val="007A1635"/>
    <w:rsid w:val="007D71D3"/>
    <w:rsid w:val="00811F03"/>
    <w:rsid w:val="00834DBC"/>
    <w:rsid w:val="00844F54"/>
    <w:rsid w:val="008A2EAC"/>
    <w:rsid w:val="008A3B5A"/>
    <w:rsid w:val="008B116F"/>
    <w:rsid w:val="009142B0"/>
    <w:rsid w:val="00922C90"/>
    <w:rsid w:val="009278D2"/>
    <w:rsid w:val="00942B41"/>
    <w:rsid w:val="009975B0"/>
    <w:rsid w:val="009A58B4"/>
    <w:rsid w:val="009B01AB"/>
    <w:rsid w:val="009C5FC7"/>
    <w:rsid w:val="009D21A6"/>
    <w:rsid w:val="009F5BE3"/>
    <w:rsid w:val="009F6CB2"/>
    <w:rsid w:val="00A307DE"/>
    <w:rsid w:val="00A367BA"/>
    <w:rsid w:val="00A42907"/>
    <w:rsid w:val="00A57F16"/>
    <w:rsid w:val="00A67BB9"/>
    <w:rsid w:val="00AB0807"/>
    <w:rsid w:val="00AD5A78"/>
    <w:rsid w:val="00AE1808"/>
    <w:rsid w:val="00AF52A5"/>
    <w:rsid w:val="00B12BE3"/>
    <w:rsid w:val="00B61003"/>
    <w:rsid w:val="00B85E49"/>
    <w:rsid w:val="00BB29BF"/>
    <w:rsid w:val="00BC58C6"/>
    <w:rsid w:val="00BD4EB6"/>
    <w:rsid w:val="00BE3297"/>
    <w:rsid w:val="00BE65BE"/>
    <w:rsid w:val="00BF5150"/>
    <w:rsid w:val="00C0120A"/>
    <w:rsid w:val="00C31310"/>
    <w:rsid w:val="00C325D7"/>
    <w:rsid w:val="00C42C82"/>
    <w:rsid w:val="00C61FD4"/>
    <w:rsid w:val="00C81D6D"/>
    <w:rsid w:val="00C831CA"/>
    <w:rsid w:val="00C83B9B"/>
    <w:rsid w:val="00C91C29"/>
    <w:rsid w:val="00C93070"/>
    <w:rsid w:val="00CB00D8"/>
    <w:rsid w:val="00CB25D5"/>
    <w:rsid w:val="00CB6607"/>
    <w:rsid w:val="00CC342D"/>
    <w:rsid w:val="00CE082A"/>
    <w:rsid w:val="00CE2613"/>
    <w:rsid w:val="00D07430"/>
    <w:rsid w:val="00D14FBF"/>
    <w:rsid w:val="00D151B1"/>
    <w:rsid w:val="00D16221"/>
    <w:rsid w:val="00D54E1D"/>
    <w:rsid w:val="00D62C3E"/>
    <w:rsid w:val="00D729E3"/>
    <w:rsid w:val="00D97B70"/>
    <w:rsid w:val="00DC616C"/>
    <w:rsid w:val="00DF00F4"/>
    <w:rsid w:val="00DF0731"/>
    <w:rsid w:val="00DF2C0A"/>
    <w:rsid w:val="00E13BAF"/>
    <w:rsid w:val="00E24698"/>
    <w:rsid w:val="00E73BC2"/>
    <w:rsid w:val="00EA50FB"/>
    <w:rsid w:val="00EA7A44"/>
    <w:rsid w:val="00EC4A1A"/>
    <w:rsid w:val="00ED1315"/>
    <w:rsid w:val="00ED6D2F"/>
    <w:rsid w:val="00EE673A"/>
    <w:rsid w:val="00EF20F7"/>
    <w:rsid w:val="00F20C7C"/>
    <w:rsid w:val="00F20D8D"/>
    <w:rsid w:val="00F507A5"/>
    <w:rsid w:val="00F73832"/>
    <w:rsid w:val="00FA3D69"/>
    <w:rsid w:val="00FC7372"/>
    <w:rsid w:val="00FD40D7"/>
    <w:rsid w:val="00FE0EE4"/>
    <w:rsid w:val="00FE2531"/>
    <w:rsid w:val="00FE4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6893"/>
  <w15:chartTrackingRefBased/>
  <w15:docId w15:val="{4FA75930-5226-1249-A7B0-9C724541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B45"/>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B12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2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2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2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2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2B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B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B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B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BE3"/>
    <w:rPr>
      <w:rFonts w:eastAsiaTheme="majorEastAsia" w:cstheme="majorBidi"/>
      <w:color w:val="272727" w:themeColor="text1" w:themeTint="D8"/>
    </w:rPr>
  </w:style>
  <w:style w:type="paragraph" w:styleId="Title">
    <w:name w:val="Title"/>
    <w:basedOn w:val="Normal"/>
    <w:next w:val="Normal"/>
    <w:link w:val="TitleChar"/>
    <w:uiPriority w:val="10"/>
    <w:qFormat/>
    <w:rsid w:val="00B12B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B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B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2BE3"/>
    <w:rPr>
      <w:i/>
      <w:iCs/>
      <w:color w:val="404040" w:themeColor="text1" w:themeTint="BF"/>
    </w:rPr>
  </w:style>
  <w:style w:type="paragraph" w:styleId="ListParagraph">
    <w:name w:val="List Paragraph"/>
    <w:basedOn w:val="Normal"/>
    <w:uiPriority w:val="34"/>
    <w:qFormat/>
    <w:rsid w:val="00B12BE3"/>
    <w:pPr>
      <w:ind w:left="720"/>
      <w:contextualSpacing/>
    </w:pPr>
  </w:style>
  <w:style w:type="character" w:styleId="IntenseEmphasis">
    <w:name w:val="Intense Emphasis"/>
    <w:basedOn w:val="DefaultParagraphFont"/>
    <w:uiPriority w:val="21"/>
    <w:qFormat/>
    <w:rsid w:val="00B12BE3"/>
    <w:rPr>
      <w:i/>
      <w:iCs/>
      <w:color w:val="0F4761" w:themeColor="accent1" w:themeShade="BF"/>
    </w:rPr>
  </w:style>
  <w:style w:type="paragraph" w:styleId="IntenseQuote">
    <w:name w:val="Intense Quote"/>
    <w:basedOn w:val="Normal"/>
    <w:next w:val="Normal"/>
    <w:link w:val="IntenseQuoteChar"/>
    <w:uiPriority w:val="30"/>
    <w:qFormat/>
    <w:rsid w:val="00B12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BE3"/>
    <w:rPr>
      <w:i/>
      <w:iCs/>
      <w:color w:val="0F4761" w:themeColor="accent1" w:themeShade="BF"/>
    </w:rPr>
  </w:style>
  <w:style w:type="character" w:styleId="IntenseReference">
    <w:name w:val="Intense Reference"/>
    <w:basedOn w:val="DefaultParagraphFont"/>
    <w:uiPriority w:val="32"/>
    <w:qFormat/>
    <w:rsid w:val="00B12BE3"/>
    <w:rPr>
      <w:b/>
      <w:bCs/>
      <w:smallCaps/>
      <w:color w:val="0F4761" w:themeColor="accent1" w:themeShade="BF"/>
      <w:spacing w:val="5"/>
    </w:rPr>
  </w:style>
  <w:style w:type="paragraph" w:styleId="NormalWeb">
    <w:name w:val="Normal (Web)"/>
    <w:basedOn w:val="Normal"/>
    <w:uiPriority w:val="99"/>
    <w:unhideWhenUsed/>
    <w:rsid w:val="00622B45"/>
    <w:pPr>
      <w:spacing w:before="100" w:beforeAutospacing="1" w:after="100" w:afterAutospacing="1"/>
    </w:pPr>
  </w:style>
  <w:style w:type="character" w:styleId="PlaceholderText">
    <w:name w:val="Placeholder Text"/>
    <w:basedOn w:val="DefaultParagraphFont"/>
    <w:uiPriority w:val="99"/>
    <w:semiHidden/>
    <w:rsid w:val="008A3B5A"/>
    <w:rPr>
      <w:color w:val="666666"/>
    </w:rPr>
  </w:style>
  <w:style w:type="character" w:styleId="Hyperlink">
    <w:name w:val="Hyperlink"/>
    <w:basedOn w:val="DefaultParagraphFont"/>
    <w:uiPriority w:val="99"/>
    <w:unhideWhenUsed/>
    <w:rsid w:val="008A3B5A"/>
    <w:rPr>
      <w:color w:val="467886" w:themeColor="hyperlink"/>
      <w:u w:val="single"/>
    </w:rPr>
  </w:style>
  <w:style w:type="paragraph" w:styleId="Revision">
    <w:name w:val="Revision"/>
    <w:hidden/>
    <w:uiPriority w:val="99"/>
    <w:semiHidden/>
    <w:rsid w:val="00254EB7"/>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9B01AB"/>
    <w:rPr>
      <w:color w:val="96607D" w:themeColor="followedHyperlink"/>
      <w:u w:val="single"/>
    </w:rPr>
  </w:style>
  <w:style w:type="character" w:styleId="CommentReference">
    <w:name w:val="annotation reference"/>
    <w:basedOn w:val="DefaultParagraphFont"/>
    <w:uiPriority w:val="99"/>
    <w:semiHidden/>
    <w:unhideWhenUsed/>
    <w:rsid w:val="00BE3297"/>
    <w:rPr>
      <w:sz w:val="16"/>
      <w:szCs w:val="16"/>
    </w:rPr>
  </w:style>
  <w:style w:type="paragraph" w:styleId="CommentText">
    <w:name w:val="annotation text"/>
    <w:basedOn w:val="Normal"/>
    <w:link w:val="CommentTextChar"/>
    <w:uiPriority w:val="99"/>
    <w:semiHidden/>
    <w:unhideWhenUsed/>
    <w:rsid w:val="00BE3297"/>
    <w:rPr>
      <w:sz w:val="20"/>
      <w:szCs w:val="20"/>
    </w:rPr>
  </w:style>
  <w:style w:type="character" w:customStyle="1" w:styleId="CommentTextChar">
    <w:name w:val="Comment Text Char"/>
    <w:basedOn w:val="DefaultParagraphFont"/>
    <w:link w:val="CommentText"/>
    <w:uiPriority w:val="99"/>
    <w:semiHidden/>
    <w:rsid w:val="00BE3297"/>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BE3297"/>
    <w:rPr>
      <w:b/>
      <w:bCs/>
    </w:rPr>
  </w:style>
  <w:style w:type="character" w:customStyle="1" w:styleId="CommentSubjectChar">
    <w:name w:val="Comment Subject Char"/>
    <w:basedOn w:val="CommentTextChar"/>
    <w:link w:val="CommentSubject"/>
    <w:uiPriority w:val="99"/>
    <w:semiHidden/>
    <w:rsid w:val="00BE3297"/>
    <w:rPr>
      <w:rFonts w:ascii="Times New Roman" w:eastAsia="Times New Roman" w:hAnsi="Times New Roman" w:cs="Times New Roman"/>
      <w:b/>
      <w:bCs/>
      <w:kern w:val="0"/>
      <w:sz w:val="20"/>
      <w:szCs w:val="20"/>
      <w:lang w:eastAsia="en-GB"/>
      <w14:ligatures w14:val="none"/>
    </w:rPr>
  </w:style>
  <w:style w:type="paragraph" w:styleId="BalloonText">
    <w:name w:val="Balloon Text"/>
    <w:basedOn w:val="Normal"/>
    <w:link w:val="BalloonTextChar"/>
    <w:uiPriority w:val="99"/>
    <w:semiHidden/>
    <w:unhideWhenUsed/>
    <w:rsid w:val="00BE3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97"/>
    <w:rPr>
      <w:rFonts w:ascii="Segoe UI" w:eastAsia="Times New Roman" w:hAnsi="Segoe UI" w:cs="Segoe UI"/>
      <w:kern w:val="0"/>
      <w:sz w:val="18"/>
      <w:szCs w:val="18"/>
      <w:lang w:eastAsia="en-GB"/>
      <w14:ligatures w14:val="none"/>
    </w:rPr>
  </w:style>
  <w:style w:type="paragraph" w:customStyle="1" w:styleId="Body">
    <w:name w:val="Body"/>
    <w:rsid w:val="00FA3D69"/>
    <w:pPr>
      <w:pBdr>
        <w:top w:val="nil"/>
        <w:left w:val="nil"/>
        <w:bottom w:val="nil"/>
        <w:right w:val="nil"/>
        <w:between w:val="nil"/>
        <w:bar w:val="nil"/>
      </w:pBdr>
    </w:pPr>
    <w:rPr>
      <w:rFonts w:ascii="Calibri" w:eastAsia="Arial Unicode MS" w:hAnsi="Calibri" w:cs="Arial Unicode MS"/>
      <w:color w:val="000000"/>
      <w:kern w:val="0"/>
      <w:u w:color="000000"/>
      <w:bdr w:val="nil"/>
      <w:lang w:val="en-IE" w:eastAsia="en-IE"/>
      <w14:textOutline w14:w="0" w14:cap="flat" w14:cmpd="sng" w14:algn="ctr">
        <w14:noFill/>
        <w14:prstDash w14:val="solid"/>
        <w14:bevel/>
      </w14:textOutline>
      <w14:ligatures w14:val="none"/>
    </w:rPr>
  </w:style>
  <w:style w:type="character" w:styleId="UnresolvedMention">
    <w:name w:val="Unresolved Mention"/>
    <w:basedOn w:val="DefaultParagraphFont"/>
    <w:uiPriority w:val="99"/>
    <w:semiHidden/>
    <w:unhideWhenUsed/>
    <w:rsid w:val="00DF2C0A"/>
    <w:rPr>
      <w:color w:val="605E5C"/>
      <w:shd w:val="clear" w:color="auto" w:fill="E1DFDD"/>
    </w:rPr>
  </w:style>
  <w:style w:type="paragraph" w:styleId="Header">
    <w:name w:val="header"/>
    <w:basedOn w:val="Normal"/>
    <w:link w:val="HeaderChar"/>
    <w:uiPriority w:val="99"/>
    <w:unhideWhenUsed/>
    <w:rsid w:val="0014142F"/>
    <w:pPr>
      <w:tabs>
        <w:tab w:val="center" w:pos="4513"/>
        <w:tab w:val="right" w:pos="9026"/>
      </w:tabs>
    </w:pPr>
  </w:style>
  <w:style w:type="character" w:customStyle="1" w:styleId="HeaderChar">
    <w:name w:val="Header Char"/>
    <w:basedOn w:val="DefaultParagraphFont"/>
    <w:link w:val="Header"/>
    <w:uiPriority w:val="99"/>
    <w:rsid w:val="0014142F"/>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14142F"/>
    <w:pPr>
      <w:tabs>
        <w:tab w:val="center" w:pos="4513"/>
        <w:tab w:val="right" w:pos="9026"/>
      </w:tabs>
    </w:pPr>
  </w:style>
  <w:style w:type="character" w:customStyle="1" w:styleId="FooterChar">
    <w:name w:val="Footer Char"/>
    <w:basedOn w:val="DefaultParagraphFont"/>
    <w:link w:val="Footer"/>
    <w:uiPriority w:val="99"/>
    <w:rsid w:val="0014142F"/>
    <w:rPr>
      <w:rFonts w:ascii="Times New Roman" w:eastAsia="Times New Roman" w:hAnsi="Times New Roman" w:cs="Times New Roman"/>
      <w:kern w:val="0"/>
      <w:lang w:eastAsia="en-GB"/>
      <w14:ligatures w14:val="none"/>
    </w:rPr>
  </w:style>
  <w:style w:type="character" w:styleId="LineNumber">
    <w:name w:val="line number"/>
    <w:basedOn w:val="DefaultParagraphFont"/>
    <w:uiPriority w:val="99"/>
    <w:semiHidden/>
    <w:unhideWhenUsed/>
    <w:rsid w:val="009F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779">
      <w:bodyDiv w:val="1"/>
      <w:marLeft w:val="0"/>
      <w:marRight w:val="0"/>
      <w:marTop w:val="0"/>
      <w:marBottom w:val="0"/>
      <w:divBdr>
        <w:top w:val="none" w:sz="0" w:space="0" w:color="auto"/>
        <w:left w:val="none" w:sz="0" w:space="0" w:color="auto"/>
        <w:bottom w:val="none" w:sz="0" w:space="0" w:color="auto"/>
        <w:right w:val="none" w:sz="0" w:space="0" w:color="auto"/>
      </w:divBdr>
      <w:divsChild>
        <w:div w:id="1547832947">
          <w:marLeft w:val="640"/>
          <w:marRight w:val="0"/>
          <w:marTop w:val="0"/>
          <w:marBottom w:val="0"/>
          <w:divBdr>
            <w:top w:val="none" w:sz="0" w:space="0" w:color="auto"/>
            <w:left w:val="none" w:sz="0" w:space="0" w:color="auto"/>
            <w:bottom w:val="none" w:sz="0" w:space="0" w:color="auto"/>
            <w:right w:val="none" w:sz="0" w:space="0" w:color="auto"/>
          </w:divBdr>
        </w:div>
        <w:div w:id="792987746">
          <w:marLeft w:val="640"/>
          <w:marRight w:val="0"/>
          <w:marTop w:val="0"/>
          <w:marBottom w:val="0"/>
          <w:divBdr>
            <w:top w:val="none" w:sz="0" w:space="0" w:color="auto"/>
            <w:left w:val="none" w:sz="0" w:space="0" w:color="auto"/>
            <w:bottom w:val="none" w:sz="0" w:space="0" w:color="auto"/>
            <w:right w:val="none" w:sz="0" w:space="0" w:color="auto"/>
          </w:divBdr>
        </w:div>
        <w:div w:id="1907565088">
          <w:marLeft w:val="640"/>
          <w:marRight w:val="0"/>
          <w:marTop w:val="0"/>
          <w:marBottom w:val="0"/>
          <w:divBdr>
            <w:top w:val="none" w:sz="0" w:space="0" w:color="auto"/>
            <w:left w:val="none" w:sz="0" w:space="0" w:color="auto"/>
            <w:bottom w:val="none" w:sz="0" w:space="0" w:color="auto"/>
            <w:right w:val="none" w:sz="0" w:space="0" w:color="auto"/>
          </w:divBdr>
        </w:div>
        <w:div w:id="1008097089">
          <w:marLeft w:val="640"/>
          <w:marRight w:val="0"/>
          <w:marTop w:val="0"/>
          <w:marBottom w:val="0"/>
          <w:divBdr>
            <w:top w:val="none" w:sz="0" w:space="0" w:color="auto"/>
            <w:left w:val="none" w:sz="0" w:space="0" w:color="auto"/>
            <w:bottom w:val="none" w:sz="0" w:space="0" w:color="auto"/>
            <w:right w:val="none" w:sz="0" w:space="0" w:color="auto"/>
          </w:divBdr>
        </w:div>
        <w:div w:id="670765475">
          <w:marLeft w:val="640"/>
          <w:marRight w:val="0"/>
          <w:marTop w:val="0"/>
          <w:marBottom w:val="0"/>
          <w:divBdr>
            <w:top w:val="none" w:sz="0" w:space="0" w:color="auto"/>
            <w:left w:val="none" w:sz="0" w:space="0" w:color="auto"/>
            <w:bottom w:val="none" w:sz="0" w:space="0" w:color="auto"/>
            <w:right w:val="none" w:sz="0" w:space="0" w:color="auto"/>
          </w:divBdr>
        </w:div>
        <w:div w:id="1515264953">
          <w:marLeft w:val="640"/>
          <w:marRight w:val="0"/>
          <w:marTop w:val="0"/>
          <w:marBottom w:val="0"/>
          <w:divBdr>
            <w:top w:val="none" w:sz="0" w:space="0" w:color="auto"/>
            <w:left w:val="none" w:sz="0" w:space="0" w:color="auto"/>
            <w:bottom w:val="none" w:sz="0" w:space="0" w:color="auto"/>
            <w:right w:val="none" w:sz="0" w:space="0" w:color="auto"/>
          </w:divBdr>
        </w:div>
        <w:div w:id="375197596">
          <w:marLeft w:val="640"/>
          <w:marRight w:val="0"/>
          <w:marTop w:val="0"/>
          <w:marBottom w:val="0"/>
          <w:divBdr>
            <w:top w:val="none" w:sz="0" w:space="0" w:color="auto"/>
            <w:left w:val="none" w:sz="0" w:space="0" w:color="auto"/>
            <w:bottom w:val="none" w:sz="0" w:space="0" w:color="auto"/>
            <w:right w:val="none" w:sz="0" w:space="0" w:color="auto"/>
          </w:divBdr>
        </w:div>
        <w:div w:id="959535187">
          <w:marLeft w:val="640"/>
          <w:marRight w:val="0"/>
          <w:marTop w:val="0"/>
          <w:marBottom w:val="0"/>
          <w:divBdr>
            <w:top w:val="none" w:sz="0" w:space="0" w:color="auto"/>
            <w:left w:val="none" w:sz="0" w:space="0" w:color="auto"/>
            <w:bottom w:val="none" w:sz="0" w:space="0" w:color="auto"/>
            <w:right w:val="none" w:sz="0" w:space="0" w:color="auto"/>
          </w:divBdr>
        </w:div>
        <w:div w:id="420879768">
          <w:marLeft w:val="640"/>
          <w:marRight w:val="0"/>
          <w:marTop w:val="0"/>
          <w:marBottom w:val="0"/>
          <w:divBdr>
            <w:top w:val="none" w:sz="0" w:space="0" w:color="auto"/>
            <w:left w:val="none" w:sz="0" w:space="0" w:color="auto"/>
            <w:bottom w:val="none" w:sz="0" w:space="0" w:color="auto"/>
            <w:right w:val="none" w:sz="0" w:space="0" w:color="auto"/>
          </w:divBdr>
        </w:div>
        <w:div w:id="1583642788">
          <w:marLeft w:val="640"/>
          <w:marRight w:val="0"/>
          <w:marTop w:val="0"/>
          <w:marBottom w:val="0"/>
          <w:divBdr>
            <w:top w:val="none" w:sz="0" w:space="0" w:color="auto"/>
            <w:left w:val="none" w:sz="0" w:space="0" w:color="auto"/>
            <w:bottom w:val="none" w:sz="0" w:space="0" w:color="auto"/>
            <w:right w:val="none" w:sz="0" w:space="0" w:color="auto"/>
          </w:divBdr>
        </w:div>
      </w:divsChild>
    </w:div>
    <w:div w:id="85932088">
      <w:bodyDiv w:val="1"/>
      <w:marLeft w:val="0"/>
      <w:marRight w:val="0"/>
      <w:marTop w:val="0"/>
      <w:marBottom w:val="0"/>
      <w:divBdr>
        <w:top w:val="none" w:sz="0" w:space="0" w:color="auto"/>
        <w:left w:val="none" w:sz="0" w:space="0" w:color="auto"/>
        <w:bottom w:val="none" w:sz="0" w:space="0" w:color="auto"/>
        <w:right w:val="none" w:sz="0" w:space="0" w:color="auto"/>
      </w:divBdr>
    </w:div>
    <w:div w:id="194853501">
      <w:bodyDiv w:val="1"/>
      <w:marLeft w:val="0"/>
      <w:marRight w:val="0"/>
      <w:marTop w:val="0"/>
      <w:marBottom w:val="0"/>
      <w:divBdr>
        <w:top w:val="none" w:sz="0" w:space="0" w:color="auto"/>
        <w:left w:val="none" w:sz="0" w:space="0" w:color="auto"/>
        <w:bottom w:val="none" w:sz="0" w:space="0" w:color="auto"/>
        <w:right w:val="none" w:sz="0" w:space="0" w:color="auto"/>
      </w:divBdr>
      <w:divsChild>
        <w:div w:id="1946232583">
          <w:marLeft w:val="640"/>
          <w:marRight w:val="0"/>
          <w:marTop w:val="0"/>
          <w:marBottom w:val="0"/>
          <w:divBdr>
            <w:top w:val="none" w:sz="0" w:space="0" w:color="auto"/>
            <w:left w:val="none" w:sz="0" w:space="0" w:color="auto"/>
            <w:bottom w:val="none" w:sz="0" w:space="0" w:color="auto"/>
            <w:right w:val="none" w:sz="0" w:space="0" w:color="auto"/>
          </w:divBdr>
        </w:div>
        <w:div w:id="143009349">
          <w:marLeft w:val="640"/>
          <w:marRight w:val="0"/>
          <w:marTop w:val="0"/>
          <w:marBottom w:val="0"/>
          <w:divBdr>
            <w:top w:val="none" w:sz="0" w:space="0" w:color="auto"/>
            <w:left w:val="none" w:sz="0" w:space="0" w:color="auto"/>
            <w:bottom w:val="none" w:sz="0" w:space="0" w:color="auto"/>
            <w:right w:val="none" w:sz="0" w:space="0" w:color="auto"/>
          </w:divBdr>
        </w:div>
        <w:div w:id="1820342895">
          <w:marLeft w:val="640"/>
          <w:marRight w:val="0"/>
          <w:marTop w:val="0"/>
          <w:marBottom w:val="0"/>
          <w:divBdr>
            <w:top w:val="none" w:sz="0" w:space="0" w:color="auto"/>
            <w:left w:val="none" w:sz="0" w:space="0" w:color="auto"/>
            <w:bottom w:val="none" w:sz="0" w:space="0" w:color="auto"/>
            <w:right w:val="none" w:sz="0" w:space="0" w:color="auto"/>
          </w:divBdr>
        </w:div>
        <w:div w:id="1666132309">
          <w:marLeft w:val="640"/>
          <w:marRight w:val="0"/>
          <w:marTop w:val="0"/>
          <w:marBottom w:val="0"/>
          <w:divBdr>
            <w:top w:val="none" w:sz="0" w:space="0" w:color="auto"/>
            <w:left w:val="none" w:sz="0" w:space="0" w:color="auto"/>
            <w:bottom w:val="none" w:sz="0" w:space="0" w:color="auto"/>
            <w:right w:val="none" w:sz="0" w:space="0" w:color="auto"/>
          </w:divBdr>
        </w:div>
        <w:div w:id="1180119920">
          <w:marLeft w:val="640"/>
          <w:marRight w:val="0"/>
          <w:marTop w:val="0"/>
          <w:marBottom w:val="0"/>
          <w:divBdr>
            <w:top w:val="none" w:sz="0" w:space="0" w:color="auto"/>
            <w:left w:val="none" w:sz="0" w:space="0" w:color="auto"/>
            <w:bottom w:val="none" w:sz="0" w:space="0" w:color="auto"/>
            <w:right w:val="none" w:sz="0" w:space="0" w:color="auto"/>
          </w:divBdr>
        </w:div>
        <w:div w:id="1716586223">
          <w:marLeft w:val="640"/>
          <w:marRight w:val="0"/>
          <w:marTop w:val="0"/>
          <w:marBottom w:val="0"/>
          <w:divBdr>
            <w:top w:val="none" w:sz="0" w:space="0" w:color="auto"/>
            <w:left w:val="none" w:sz="0" w:space="0" w:color="auto"/>
            <w:bottom w:val="none" w:sz="0" w:space="0" w:color="auto"/>
            <w:right w:val="none" w:sz="0" w:space="0" w:color="auto"/>
          </w:divBdr>
        </w:div>
        <w:div w:id="1259560967">
          <w:marLeft w:val="640"/>
          <w:marRight w:val="0"/>
          <w:marTop w:val="0"/>
          <w:marBottom w:val="0"/>
          <w:divBdr>
            <w:top w:val="none" w:sz="0" w:space="0" w:color="auto"/>
            <w:left w:val="none" w:sz="0" w:space="0" w:color="auto"/>
            <w:bottom w:val="none" w:sz="0" w:space="0" w:color="auto"/>
            <w:right w:val="none" w:sz="0" w:space="0" w:color="auto"/>
          </w:divBdr>
        </w:div>
        <w:div w:id="968821272">
          <w:marLeft w:val="640"/>
          <w:marRight w:val="0"/>
          <w:marTop w:val="0"/>
          <w:marBottom w:val="0"/>
          <w:divBdr>
            <w:top w:val="none" w:sz="0" w:space="0" w:color="auto"/>
            <w:left w:val="none" w:sz="0" w:space="0" w:color="auto"/>
            <w:bottom w:val="none" w:sz="0" w:space="0" w:color="auto"/>
            <w:right w:val="none" w:sz="0" w:space="0" w:color="auto"/>
          </w:divBdr>
        </w:div>
        <w:div w:id="1781875107">
          <w:marLeft w:val="640"/>
          <w:marRight w:val="0"/>
          <w:marTop w:val="0"/>
          <w:marBottom w:val="0"/>
          <w:divBdr>
            <w:top w:val="none" w:sz="0" w:space="0" w:color="auto"/>
            <w:left w:val="none" w:sz="0" w:space="0" w:color="auto"/>
            <w:bottom w:val="none" w:sz="0" w:space="0" w:color="auto"/>
            <w:right w:val="none" w:sz="0" w:space="0" w:color="auto"/>
          </w:divBdr>
        </w:div>
        <w:div w:id="1681274032">
          <w:marLeft w:val="640"/>
          <w:marRight w:val="0"/>
          <w:marTop w:val="0"/>
          <w:marBottom w:val="0"/>
          <w:divBdr>
            <w:top w:val="none" w:sz="0" w:space="0" w:color="auto"/>
            <w:left w:val="none" w:sz="0" w:space="0" w:color="auto"/>
            <w:bottom w:val="none" w:sz="0" w:space="0" w:color="auto"/>
            <w:right w:val="none" w:sz="0" w:space="0" w:color="auto"/>
          </w:divBdr>
        </w:div>
        <w:div w:id="360480044">
          <w:marLeft w:val="640"/>
          <w:marRight w:val="0"/>
          <w:marTop w:val="0"/>
          <w:marBottom w:val="0"/>
          <w:divBdr>
            <w:top w:val="none" w:sz="0" w:space="0" w:color="auto"/>
            <w:left w:val="none" w:sz="0" w:space="0" w:color="auto"/>
            <w:bottom w:val="none" w:sz="0" w:space="0" w:color="auto"/>
            <w:right w:val="none" w:sz="0" w:space="0" w:color="auto"/>
          </w:divBdr>
        </w:div>
        <w:div w:id="1675376348">
          <w:marLeft w:val="640"/>
          <w:marRight w:val="0"/>
          <w:marTop w:val="0"/>
          <w:marBottom w:val="0"/>
          <w:divBdr>
            <w:top w:val="none" w:sz="0" w:space="0" w:color="auto"/>
            <w:left w:val="none" w:sz="0" w:space="0" w:color="auto"/>
            <w:bottom w:val="none" w:sz="0" w:space="0" w:color="auto"/>
            <w:right w:val="none" w:sz="0" w:space="0" w:color="auto"/>
          </w:divBdr>
        </w:div>
        <w:div w:id="1175388720">
          <w:marLeft w:val="640"/>
          <w:marRight w:val="0"/>
          <w:marTop w:val="0"/>
          <w:marBottom w:val="0"/>
          <w:divBdr>
            <w:top w:val="none" w:sz="0" w:space="0" w:color="auto"/>
            <w:left w:val="none" w:sz="0" w:space="0" w:color="auto"/>
            <w:bottom w:val="none" w:sz="0" w:space="0" w:color="auto"/>
            <w:right w:val="none" w:sz="0" w:space="0" w:color="auto"/>
          </w:divBdr>
        </w:div>
        <w:div w:id="1282809525">
          <w:marLeft w:val="640"/>
          <w:marRight w:val="0"/>
          <w:marTop w:val="0"/>
          <w:marBottom w:val="0"/>
          <w:divBdr>
            <w:top w:val="none" w:sz="0" w:space="0" w:color="auto"/>
            <w:left w:val="none" w:sz="0" w:space="0" w:color="auto"/>
            <w:bottom w:val="none" w:sz="0" w:space="0" w:color="auto"/>
            <w:right w:val="none" w:sz="0" w:space="0" w:color="auto"/>
          </w:divBdr>
        </w:div>
      </w:divsChild>
    </w:div>
    <w:div w:id="276720740">
      <w:bodyDiv w:val="1"/>
      <w:marLeft w:val="0"/>
      <w:marRight w:val="0"/>
      <w:marTop w:val="0"/>
      <w:marBottom w:val="0"/>
      <w:divBdr>
        <w:top w:val="none" w:sz="0" w:space="0" w:color="auto"/>
        <w:left w:val="none" w:sz="0" w:space="0" w:color="auto"/>
        <w:bottom w:val="none" w:sz="0" w:space="0" w:color="auto"/>
        <w:right w:val="none" w:sz="0" w:space="0" w:color="auto"/>
      </w:divBdr>
      <w:divsChild>
        <w:div w:id="1218787195">
          <w:marLeft w:val="640"/>
          <w:marRight w:val="0"/>
          <w:marTop w:val="0"/>
          <w:marBottom w:val="0"/>
          <w:divBdr>
            <w:top w:val="none" w:sz="0" w:space="0" w:color="auto"/>
            <w:left w:val="none" w:sz="0" w:space="0" w:color="auto"/>
            <w:bottom w:val="none" w:sz="0" w:space="0" w:color="auto"/>
            <w:right w:val="none" w:sz="0" w:space="0" w:color="auto"/>
          </w:divBdr>
        </w:div>
        <w:div w:id="1167788775">
          <w:marLeft w:val="640"/>
          <w:marRight w:val="0"/>
          <w:marTop w:val="0"/>
          <w:marBottom w:val="0"/>
          <w:divBdr>
            <w:top w:val="none" w:sz="0" w:space="0" w:color="auto"/>
            <w:left w:val="none" w:sz="0" w:space="0" w:color="auto"/>
            <w:bottom w:val="none" w:sz="0" w:space="0" w:color="auto"/>
            <w:right w:val="none" w:sz="0" w:space="0" w:color="auto"/>
          </w:divBdr>
        </w:div>
        <w:div w:id="1078480933">
          <w:marLeft w:val="640"/>
          <w:marRight w:val="0"/>
          <w:marTop w:val="0"/>
          <w:marBottom w:val="0"/>
          <w:divBdr>
            <w:top w:val="none" w:sz="0" w:space="0" w:color="auto"/>
            <w:left w:val="none" w:sz="0" w:space="0" w:color="auto"/>
            <w:bottom w:val="none" w:sz="0" w:space="0" w:color="auto"/>
            <w:right w:val="none" w:sz="0" w:space="0" w:color="auto"/>
          </w:divBdr>
        </w:div>
        <w:div w:id="51583384">
          <w:marLeft w:val="640"/>
          <w:marRight w:val="0"/>
          <w:marTop w:val="0"/>
          <w:marBottom w:val="0"/>
          <w:divBdr>
            <w:top w:val="none" w:sz="0" w:space="0" w:color="auto"/>
            <w:left w:val="none" w:sz="0" w:space="0" w:color="auto"/>
            <w:bottom w:val="none" w:sz="0" w:space="0" w:color="auto"/>
            <w:right w:val="none" w:sz="0" w:space="0" w:color="auto"/>
          </w:divBdr>
        </w:div>
        <w:div w:id="732047231">
          <w:marLeft w:val="640"/>
          <w:marRight w:val="0"/>
          <w:marTop w:val="0"/>
          <w:marBottom w:val="0"/>
          <w:divBdr>
            <w:top w:val="none" w:sz="0" w:space="0" w:color="auto"/>
            <w:left w:val="none" w:sz="0" w:space="0" w:color="auto"/>
            <w:bottom w:val="none" w:sz="0" w:space="0" w:color="auto"/>
            <w:right w:val="none" w:sz="0" w:space="0" w:color="auto"/>
          </w:divBdr>
        </w:div>
        <w:div w:id="878055866">
          <w:marLeft w:val="640"/>
          <w:marRight w:val="0"/>
          <w:marTop w:val="0"/>
          <w:marBottom w:val="0"/>
          <w:divBdr>
            <w:top w:val="none" w:sz="0" w:space="0" w:color="auto"/>
            <w:left w:val="none" w:sz="0" w:space="0" w:color="auto"/>
            <w:bottom w:val="none" w:sz="0" w:space="0" w:color="auto"/>
            <w:right w:val="none" w:sz="0" w:space="0" w:color="auto"/>
          </w:divBdr>
        </w:div>
        <w:div w:id="2093308157">
          <w:marLeft w:val="640"/>
          <w:marRight w:val="0"/>
          <w:marTop w:val="0"/>
          <w:marBottom w:val="0"/>
          <w:divBdr>
            <w:top w:val="none" w:sz="0" w:space="0" w:color="auto"/>
            <w:left w:val="none" w:sz="0" w:space="0" w:color="auto"/>
            <w:bottom w:val="none" w:sz="0" w:space="0" w:color="auto"/>
            <w:right w:val="none" w:sz="0" w:space="0" w:color="auto"/>
          </w:divBdr>
        </w:div>
        <w:div w:id="1659456526">
          <w:marLeft w:val="640"/>
          <w:marRight w:val="0"/>
          <w:marTop w:val="0"/>
          <w:marBottom w:val="0"/>
          <w:divBdr>
            <w:top w:val="none" w:sz="0" w:space="0" w:color="auto"/>
            <w:left w:val="none" w:sz="0" w:space="0" w:color="auto"/>
            <w:bottom w:val="none" w:sz="0" w:space="0" w:color="auto"/>
            <w:right w:val="none" w:sz="0" w:space="0" w:color="auto"/>
          </w:divBdr>
        </w:div>
        <w:div w:id="15155635">
          <w:marLeft w:val="640"/>
          <w:marRight w:val="0"/>
          <w:marTop w:val="0"/>
          <w:marBottom w:val="0"/>
          <w:divBdr>
            <w:top w:val="none" w:sz="0" w:space="0" w:color="auto"/>
            <w:left w:val="none" w:sz="0" w:space="0" w:color="auto"/>
            <w:bottom w:val="none" w:sz="0" w:space="0" w:color="auto"/>
            <w:right w:val="none" w:sz="0" w:space="0" w:color="auto"/>
          </w:divBdr>
        </w:div>
        <w:div w:id="1300719227">
          <w:marLeft w:val="640"/>
          <w:marRight w:val="0"/>
          <w:marTop w:val="0"/>
          <w:marBottom w:val="0"/>
          <w:divBdr>
            <w:top w:val="none" w:sz="0" w:space="0" w:color="auto"/>
            <w:left w:val="none" w:sz="0" w:space="0" w:color="auto"/>
            <w:bottom w:val="none" w:sz="0" w:space="0" w:color="auto"/>
            <w:right w:val="none" w:sz="0" w:space="0" w:color="auto"/>
          </w:divBdr>
        </w:div>
        <w:div w:id="503395848">
          <w:marLeft w:val="640"/>
          <w:marRight w:val="0"/>
          <w:marTop w:val="0"/>
          <w:marBottom w:val="0"/>
          <w:divBdr>
            <w:top w:val="none" w:sz="0" w:space="0" w:color="auto"/>
            <w:left w:val="none" w:sz="0" w:space="0" w:color="auto"/>
            <w:bottom w:val="none" w:sz="0" w:space="0" w:color="auto"/>
            <w:right w:val="none" w:sz="0" w:space="0" w:color="auto"/>
          </w:divBdr>
        </w:div>
        <w:div w:id="558706224">
          <w:marLeft w:val="640"/>
          <w:marRight w:val="0"/>
          <w:marTop w:val="0"/>
          <w:marBottom w:val="0"/>
          <w:divBdr>
            <w:top w:val="none" w:sz="0" w:space="0" w:color="auto"/>
            <w:left w:val="none" w:sz="0" w:space="0" w:color="auto"/>
            <w:bottom w:val="none" w:sz="0" w:space="0" w:color="auto"/>
            <w:right w:val="none" w:sz="0" w:space="0" w:color="auto"/>
          </w:divBdr>
        </w:div>
        <w:div w:id="869688684">
          <w:marLeft w:val="640"/>
          <w:marRight w:val="0"/>
          <w:marTop w:val="0"/>
          <w:marBottom w:val="0"/>
          <w:divBdr>
            <w:top w:val="none" w:sz="0" w:space="0" w:color="auto"/>
            <w:left w:val="none" w:sz="0" w:space="0" w:color="auto"/>
            <w:bottom w:val="none" w:sz="0" w:space="0" w:color="auto"/>
            <w:right w:val="none" w:sz="0" w:space="0" w:color="auto"/>
          </w:divBdr>
        </w:div>
        <w:div w:id="2068529959">
          <w:marLeft w:val="640"/>
          <w:marRight w:val="0"/>
          <w:marTop w:val="0"/>
          <w:marBottom w:val="0"/>
          <w:divBdr>
            <w:top w:val="none" w:sz="0" w:space="0" w:color="auto"/>
            <w:left w:val="none" w:sz="0" w:space="0" w:color="auto"/>
            <w:bottom w:val="none" w:sz="0" w:space="0" w:color="auto"/>
            <w:right w:val="none" w:sz="0" w:space="0" w:color="auto"/>
          </w:divBdr>
        </w:div>
        <w:div w:id="950016922">
          <w:marLeft w:val="640"/>
          <w:marRight w:val="0"/>
          <w:marTop w:val="0"/>
          <w:marBottom w:val="0"/>
          <w:divBdr>
            <w:top w:val="none" w:sz="0" w:space="0" w:color="auto"/>
            <w:left w:val="none" w:sz="0" w:space="0" w:color="auto"/>
            <w:bottom w:val="none" w:sz="0" w:space="0" w:color="auto"/>
            <w:right w:val="none" w:sz="0" w:space="0" w:color="auto"/>
          </w:divBdr>
        </w:div>
      </w:divsChild>
    </w:div>
    <w:div w:id="610627003">
      <w:bodyDiv w:val="1"/>
      <w:marLeft w:val="0"/>
      <w:marRight w:val="0"/>
      <w:marTop w:val="0"/>
      <w:marBottom w:val="0"/>
      <w:divBdr>
        <w:top w:val="none" w:sz="0" w:space="0" w:color="auto"/>
        <w:left w:val="none" w:sz="0" w:space="0" w:color="auto"/>
        <w:bottom w:val="none" w:sz="0" w:space="0" w:color="auto"/>
        <w:right w:val="none" w:sz="0" w:space="0" w:color="auto"/>
      </w:divBdr>
      <w:divsChild>
        <w:div w:id="2026396018">
          <w:marLeft w:val="640"/>
          <w:marRight w:val="0"/>
          <w:marTop w:val="0"/>
          <w:marBottom w:val="0"/>
          <w:divBdr>
            <w:top w:val="none" w:sz="0" w:space="0" w:color="auto"/>
            <w:left w:val="none" w:sz="0" w:space="0" w:color="auto"/>
            <w:bottom w:val="none" w:sz="0" w:space="0" w:color="auto"/>
            <w:right w:val="none" w:sz="0" w:space="0" w:color="auto"/>
          </w:divBdr>
        </w:div>
        <w:div w:id="97723712">
          <w:marLeft w:val="640"/>
          <w:marRight w:val="0"/>
          <w:marTop w:val="0"/>
          <w:marBottom w:val="0"/>
          <w:divBdr>
            <w:top w:val="none" w:sz="0" w:space="0" w:color="auto"/>
            <w:left w:val="none" w:sz="0" w:space="0" w:color="auto"/>
            <w:bottom w:val="none" w:sz="0" w:space="0" w:color="auto"/>
            <w:right w:val="none" w:sz="0" w:space="0" w:color="auto"/>
          </w:divBdr>
        </w:div>
        <w:div w:id="1587180336">
          <w:marLeft w:val="640"/>
          <w:marRight w:val="0"/>
          <w:marTop w:val="0"/>
          <w:marBottom w:val="0"/>
          <w:divBdr>
            <w:top w:val="none" w:sz="0" w:space="0" w:color="auto"/>
            <w:left w:val="none" w:sz="0" w:space="0" w:color="auto"/>
            <w:bottom w:val="none" w:sz="0" w:space="0" w:color="auto"/>
            <w:right w:val="none" w:sz="0" w:space="0" w:color="auto"/>
          </w:divBdr>
        </w:div>
        <w:div w:id="1087725532">
          <w:marLeft w:val="640"/>
          <w:marRight w:val="0"/>
          <w:marTop w:val="0"/>
          <w:marBottom w:val="0"/>
          <w:divBdr>
            <w:top w:val="none" w:sz="0" w:space="0" w:color="auto"/>
            <w:left w:val="none" w:sz="0" w:space="0" w:color="auto"/>
            <w:bottom w:val="none" w:sz="0" w:space="0" w:color="auto"/>
            <w:right w:val="none" w:sz="0" w:space="0" w:color="auto"/>
          </w:divBdr>
        </w:div>
        <w:div w:id="1558593637">
          <w:marLeft w:val="640"/>
          <w:marRight w:val="0"/>
          <w:marTop w:val="0"/>
          <w:marBottom w:val="0"/>
          <w:divBdr>
            <w:top w:val="none" w:sz="0" w:space="0" w:color="auto"/>
            <w:left w:val="none" w:sz="0" w:space="0" w:color="auto"/>
            <w:bottom w:val="none" w:sz="0" w:space="0" w:color="auto"/>
            <w:right w:val="none" w:sz="0" w:space="0" w:color="auto"/>
          </w:divBdr>
        </w:div>
        <w:div w:id="846747536">
          <w:marLeft w:val="640"/>
          <w:marRight w:val="0"/>
          <w:marTop w:val="0"/>
          <w:marBottom w:val="0"/>
          <w:divBdr>
            <w:top w:val="none" w:sz="0" w:space="0" w:color="auto"/>
            <w:left w:val="none" w:sz="0" w:space="0" w:color="auto"/>
            <w:bottom w:val="none" w:sz="0" w:space="0" w:color="auto"/>
            <w:right w:val="none" w:sz="0" w:space="0" w:color="auto"/>
          </w:divBdr>
        </w:div>
        <w:div w:id="923419661">
          <w:marLeft w:val="640"/>
          <w:marRight w:val="0"/>
          <w:marTop w:val="0"/>
          <w:marBottom w:val="0"/>
          <w:divBdr>
            <w:top w:val="none" w:sz="0" w:space="0" w:color="auto"/>
            <w:left w:val="none" w:sz="0" w:space="0" w:color="auto"/>
            <w:bottom w:val="none" w:sz="0" w:space="0" w:color="auto"/>
            <w:right w:val="none" w:sz="0" w:space="0" w:color="auto"/>
          </w:divBdr>
        </w:div>
        <w:div w:id="1603798516">
          <w:marLeft w:val="640"/>
          <w:marRight w:val="0"/>
          <w:marTop w:val="0"/>
          <w:marBottom w:val="0"/>
          <w:divBdr>
            <w:top w:val="none" w:sz="0" w:space="0" w:color="auto"/>
            <w:left w:val="none" w:sz="0" w:space="0" w:color="auto"/>
            <w:bottom w:val="none" w:sz="0" w:space="0" w:color="auto"/>
            <w:right w:val="none" w:sz="0" w:space="0" w:color="auto"/>
          </w:divBdr>
        </w:div>
        <w:div w:id="311177762">
          <w:marLeft w:val="640"/>
          <w:marRight w:val="0"/>
          <w:marTop w:val="0"/>
          <w:marBottom w:val="0"/>
          <w:divBdr>
            <w:top w:val="none" w:sz="0" w:space="0" w:color="auto"/>
            <w:left w:val="none" w:sz="0" w:space="0" w:color="auto"/>
            <w:bottom w:val="none" w:sz="0" w:space="0" w:color="auto"/>
            <w:right w:val="none" w:sz="0" w:space="0" w:color="auto"/>
          </w:divBdr>
        </w:div>
        <w:div w:id="327487878">
          <w:marLeft w:val="640"/>
          <w:marRight w:val="0"/>
          <w:marTop w:val="0"/>
          <w:marBottom w:val="0"/>
          <w:divBdr>
            <w:top w:val="none" w:sz="0" w:space="0" w:color="auto"/>
            <w:left w:val="none" w:sz="0" w:space="0" w:color="auto"/>
            <w:bottom w:val="none" w:sz="0" w:space="0" w:color="auto"/>
            <w:right w:val="none" w:sz="0" w:space="0" w:color="auto"/>
          </w:divBdr>
        </w:div>
        <w:div w:id="168375350">
          <w:marLeft w:val="640"/>
          <w:marRight w:val="0"/>
          <w:marTop w:val="0"/>
          <w:marBottom w:val="0"/>
          <w:divBdr>
            <w:top w:val="none" w:sz="0" w:space="0" w:color="auto"/>
            <w:left w:val="none" w:sz="0" w:space="0" w:color="auto"/>
            <w:bottom w:val="none" w:sz="0" w:space="0" w:color="auto"/>
            <w:right w:val="none" w:sz="0" w:space="0" w:color="auto"/>
          </w:divBdr>
        </w:div>
        <w:div w:id="668556576">
          <w:marLeft w:val="640"/>
          <w:marRight w:val="0"/>
          <w:marTop w:val="0"/>
          <w:marBottom w:val="0"/>
          <w:divBdr>
            <w:top w:val="none" w:sz="0" w:space="0" w:color="auto"/>
            <w:left w:val="none" w:sz="0" w:space="0" w:color="auto"/>
            <w:bottom w:val="none" w:sz="0" w:space="0" w:color="auto"/>
            <w:right w:val="none" w:sz="0" w:space="0" w:color="auto"/>
          </w:divBdr>
        </w:div>
        <w:div w:id="1811558928">
          <w:marLeft w:val="640"/>
          <w:marRight w:val="0"/>
          <w:marTop w:val="0"/>
          <w:marBottom w:val="0"/>
          <w:divBdr>
            <w:top w:val="none" w:sz="0" w:space="0" w:color="auto"/>
            <w:left w:val="none" w:sz="0" w:space="0" w:color="auto"/>
            <w:bottom w:val="none" w:sz="0" w:space="0" w:color="auto"/>
            <w:right w:val="none" w:sz="0" w:space="0" w:color="auto"/>
          </w:divBdr>
        </w:div>
        <w:div w:id="1769153865">
          <w:marLeft w:val="640"/>
          <w:marRight w:val="0"/>
          <w:marTop w:val="0"/>
          <w:marBottom w:val="0"/>
          <w:divBdr>
            <w:top w:val="none" w:sz="0" w:space="0" w:color="auto"/>
            <w:left w:val="none" w:sz="0" w:space="0" w:color="auto"/>
            <w:bottom w:val="none" w:sz="0" w:space="0" w:color="auto"/>
            <w:right w:val="none" w:sz="0" w:space="0" w:color="auto"/>
          </w:divBdr>
        </w:div>
        <w:div w:id="507915000">
          <w:marLeft w:val="640"/>
          <w:marRight w:val="0"/>
          <w:marTop w:val="0"/>
          <w:marBottom w:val="0"/>
          <w:divBdr>
            <w:top w:val="none" w:sz="0" w:space="0" w:color="auto"/>
            <w:left w:val="none" w:sz="0" w:space="0" w:color="auto"/>
            <w:bottom w:val="none" w:sz="0" w:space="0" w:color="auto"/>
            <w:right w:val="none" w:sz="0" w:space="0" w:color="auto"/>
          </w:divBdr>
        </w:div>
      </w:divsChild>
    </w:div>
    <w:div w:id="616303122">
      <w:bodyDiv w:val="1"/>
      <w:marLeft w:val="0"/>
      <w:marRight w:val="0"/>
      <w:marTop w:val="0"/>
      <w:marBottom w:val="0"/>
      <w:divBdr>
        <w:top w:val="none" w:sz="0" w:space="0" w:color="auto"/>
        <w:left w:val="none" w:sz="0" w:space="0" w:color="auto"/>
        <w:bottom w:val="none" w:sz="0" w:space="0" w:color="auto"/>
        <w:right w:val="none" w:sz="0" w:space="0" w:color="auto"/>
      </w:divBdr>
      <w:divsChild>
        <w:div w:id="1244145576">
          <w:marLeft w:val="640"/>
          <w:marRight w:val="0"/>
          <w:marTop w:val="0"/>
          <w:marBottom w:val="0"/>
          <w:divBdr>
            <w:top w:val="none" w:sz="0" w:space="0" w:color="auto"/>
            <w:left w:val="none" w:sz="0" w:space="0" w:color="auto"/>
            <w:bottom w:val="none" w:sz="0" w:space="0" w:color="auto"/>
            <w:right w:val="none" w:sz="0" w:space="0" w:color="auto"/>
          </w:divBdr>
        </w:div>
        <w:div w:id="146166861">
          <w:marLeft w:val="640"/>
          <w:marRight w:val="0"/>
          <w:marTop w:val="0"/>
          <w:marBottom w:val="0"/>
          <w:divBdr>
            <w:top w:val="none" w:sz="0" w:space="0" w:color="auto"/>
            <w:left w:val="none" w:sz="0" w:space="0" w:color="auto"/>
            <w:bottom w:val="none" w:sz="0" w:space="0" w:color="auto"/>
            <w:right w:val="none" w:sz="0" w:space="0" w:color="auto"/>
          </w:divBdr>
        </w:div>
        <w:div w:id="263537106">
          <w:marLeft w:val="640"/>
          <w:marRight w:val="0"/>
          <w:marTop w:val="0"/>
          <w:marBottom w:val="0"/>
          <w:divBdr>
            <w:top w:val="none" w:sz="0" w:space="0" w:color="auto"/>
            <w:left w:val="none" w:sz="0" w:space="0" w:color="auto"/>
            <w:bottom w:val="none" w:sz="0" w:space="0" w:color="auto"/>
            <w:right w:val="none" w:sz="0" w:space="0" w:color="auto"/>
          </w:divBdr>
        </w:div>
        <w:div w:id="881021234">
          <w:marLeft w:val="640"/>
          <w:marRight w:val="0"/>
          <w:marTop w:val="0"/>
          <w:marBottom w:val="0"/>
          <w:divBdr>
            <w:top w:val="none" w:sz="0" w:space="0" w:color="auto"/>
            <w:left w:val="none" w:sz="0" w:space="0" w:color="auto"/>
            <w:bottom w:val="none" w:sz="0" w:space="0" w:color="auto"/>
            <w:right w:val="none" w:sz="0" w:space="0" w:color="auto"/>
          </w:divBdr>
        </w:div>
        <w:div w:id="2072269151">
          <w:marLeft w:val="640"/>
          <w:marRight w:val="0"/>
          <w:marTop w:val="0"/>
          <w:marBottom w:val="0"/>
          <w:divBdr>
            <w:top w:val="none" w:sz="0" w:space="0" w:color="auto"/>
            <w:left w:val="none" w:sz="0" w:space="0" w:color="auto"/>
            <w:bottom w:val="none" w:sz="0" w:space="0" w:color="auto"/>
            <w:right w:val="none" w:sz="0" w:space="0" w:color="auto"/>
          </w:divBdr>
        </w:div>
        <w:div w:id="656306528">
          <w:marLeft w:val="640"/>
          <w:marRight w:val="0"/>
          <w:marTop w:val="0"/>
          <w:marBottom w:val="0"/>
          <w:divBdr>
            <w:top w:val="none" w:sz="0" w:space="0" w:color="auto"/>
            <w:left w:val="none" w:sz="0" w:space="0" w:color="auto"/>
            <w:bottom w:val="none" w:sz="0" w:space="0" w:color="auto"/>
            <w:right w:val="none" w:sz="0" w:space="0" w:color="auto"/>
          </w:divBdr>
        </w:div>
        <w:div w:id="1311640847">
          <w:marLeft w:val="640"/>
          <w:marRight w:val="0"/>
          <w:marTop w:val="0"/>
          <w:marBottom w:val="0"/>
          <w:divBdr>
            <w:top w:val="none" w:sz="0" w:space="0" w:color="auto"/>
            <w:left w:val="none" w:sz="0" w:space="0" w:color="auto"/>
            <w:bottom w:val="none" w:sz="0" w:space="0" w:color="auto"/>
            <w:right w:val="none" w:sz="0" w:space="0" w:color="auto"/>
          </w:divBdr>
        </w:div>
        <w:div w:id="1234899559">
          <w:marLeft w:val="640"/>
          <w:marRight w:val="0"/>
          <w:marTop w:val="0"/>
          <w:marBottom w:val="0"/>
          <w:divBdr>
            <w:top w:val="none" w:sz="0" w:space="0" w:color="auto"/>
            <w:left w:val="none" w:sz="0" w:space="0" w:color="auto"/>
            <w:bottom w:val="none" w:sz="0" w:space="0" w:color="auto"/>
            <w:right w:val="none" w:sz="0" w:space="0" w:color="auto"/>
          </w:divBdr>
        </w:div>
        <w:div w:id="1907764283">
          <w:marLeft w:val="640"/>
          <w:marRight w:val="0"/>
          <w:marTop w:val="0"/>
          <w:marBottom w:val="0"/>
          <w:divBdr>
            <w:top w:val="none" w:sz="0" w:space="0" w:color="auto"/>
            <w:left w:val="none" w:sz="0" w:space="0" w:color="auto"/>
            <w:bottom w:val="none" w:sz="0" w:space="0" w:color="auto"/>
            <w:right w:val="none" w:sz="0" w:space="0" w:color="auto"/>
          </w:divBdr>
        </w:div>
        <w:div w:id="1405681956">
          <w:marLeft w:val="640"/>
          <w:marRight w:val="0"/>
          <w:marTop w:val="0"/>
          <w:marBottom w:val="0"/>
          <w:divBdr>
            <w:top w:val="none" w:sz="0" w:space="0" w:color="auto"/>
            <w:left w:val="none" w:sz="0" w:space="0" w:color="auto"/>
            <w:bottom w:val="none" w:sz="0" w:space="0" w:color="auto"/>
            <w:right w:val="none" w:sz="0" w:space="0" w:color="auto"/>
          </w:divBdr>
        </w:div>
        <w:div w:id="898056524">
          <w:marLeft w:val="640"/>
          <w:marRight w:val="0"/>
          <w:marTop w:val="0"/>
          <w:marBottom w:val="0"/>
          <w:divBdr>
            <w:top w:val="none" w:sz="0" w:space="0" w:color="auto"/>
            <w:left w:val="none" w:sz="0" w:space="0" w:color="auto"/>
            <w:bottom w:val="none" w:sz="0" w:space="0" w:color="auto"/>
            <w:right w:val="none" w:sz="0" w:space="0" w:color="auto"/>
          </w:divBdr>
        </w:div>
        <w:div w:id="1895726709">
          <w:marLeft w:val="640"/>
          <w:marRight w:val="0"/>
          <w:marTop w:val="0"/>
          <w:marBottom w:val="0"/>
          <w:divBdr>
            <w:top w:val="none" w:sz="0" w:space="0" w:color="auto"/>
            <w:left w:val="none" w:sz="0" w:space="0" w:color="auto"/>
            <w:bottom w:val="none" w:sz="0" w:space="0" w:color="auto"/>
            <w:right w:val="none" w:sz="0" w:space="0" w:color="auto"/>
          </w:divBdr>
        </w:div>
        <w:div w:id="238515871">
          <w:marLeft w:val="640"/>
          <w:marRight w:val="0"/>
          <w:marTop w:val="0"/>
          <w:marBottom w:val="0"/>
          <w:divBdr>
            <w:top w:val="none" w:sz="0" w:space="0" w:color="auto"/>
            <w:left w:val="none" w:sz="0" w:space="0" w:color="auto"/>
            <w:bottom w:val="none" w:sz="0" w:space="0" w:color="auto"/>
            <w:right w:val="none" w:sz="0" w:space="0" w:color="auto"/>
          </w:divBdr>
        </w:div>
      </w:divsChild>
    </w:div>
    <w:div w:id="627005664">
      <w:bodyDiv w:val="1"/>
      <w:marLeft w:val="0"/>
      <w:marRight w:val="0"/>
      <w:marTop w:val="0"/>
      <w:marBottom w:val="0"/>
      <w:divBdr>
        <w:top w:val="none" w:sz="0" w:space="0" w:color="auto"/>
        <w:left w:val="none" w:sz="0" w:space="0" w:color="auto"/>
        <w:bottom w:val="none" w:sz="0" w:space="0" w:color="auto"/>
        <w:right w:val="none" w:sz="0" w:space="0" w:color="auto"/>
      </w:divBdr>
      <w:divsChild>
        <w:div w:id="2062173029">
          <w:marLeft w:val="640"/>
          <w:marRight w:val="0"/>
          <w:marTop w:val="0"/>
          <w:marBottom w:val="0"/>
          <w:divBdr>
            <w:top w:val="none" w:sz="0" w:space="0" w:color="auto"/>
            <w:left w:val="none" w:sz="0" w:space="0" w:color="auto"/>
            <w:bottom w:val="none" w:sz="0" w:space="0" w:color="auto"/>
            <w:right w:val="none" w:sz="0" w:space="0" w:color="auto"/>
          </w:divBdr>
        </w:div>
        <w:div w:id="1793936822">
          <w:marLeft w:val="640"/>
          <w:marRight w:val="0"/>
          <w:marTop w:val="0"/>
          <w:marBottom w:val="0"/>
          <w:divBdr>
            <w:top w:val="none" w:sz="0" w:space="0" w:color="auto"/>
            <w:left w:val="none" w:sz="0" w:space="0" w:color="auto"/>
            <w:bottom w:val="none" w:sz="0" w:space="0" w:color="auto"/>
            <w:right w:val="none" w:sz="0" w:space="0" w:color="auto"/>
          </w:divBdr>
        </w:div>
        <w:div w:id="1546911933">
          <w:marLeft w:val="640"/>
          <w:marRight w:val="0"/>
          <w:marTop w:val="0"/>
          <w:marBottom w:val="0"/>
          <w:divBdr>
            <w:top w:val="none" w:sz="0" w:space="0" w:color="auto"/>
            <w:left w:val="none" w:sz="0" w:space="0" w:color="auto"/>
            <w:bottom w:val="none" w:sz="0" w:space="0" w:color="auto"/>
            <w:right w:val="none" w:sz="0" w:space="0" w:color="auto"/>
          </w:divBdr>
        </w:div>
        <w:div w:id="746658912">
          <w:marLeft w:val="640"/>
          <w:marRight w:val="0"/>
          <w:marTop w:val="0"/>
          <w:marBottom w:val="0"/>
          <w:divBdr>
            <w:top w:val="none" w:sz="0" w:space="0" w:color="auto"/>
            <w:left w:val="none" w:sz="0" w:space="0" w:color="auto"/>
            <w:bottom w:val="none" w:sz="0" w:space="0" w:color="auto"/>
            <w:right w:val="none" w:sz="0" w:space="0" w:color="auto"/>
          </w:divBdr>
        </w:div>
        <w:div w:id="1299647040">
          <w:marLeft w:val="640"/>
          <w:marRight w:val="0"/>
          <w:marTop w:val="0"/>
          <w:marBottom w:val="0"/>
          <w:divBdr>
            <w:top w:val="none" w:sz="0" w:space="0" w:color="auto"/>
            <w:left w:val="none" w:sz="0" w:space="0" w:color="auto"/>
            <w:bottom w:val="none" w:sz="0" w:space="0" w:color="auto"/>
            <w:right w:val="none" w:sz="0" w:space="0" w:color="auto"/>
          </w:divBdr>
        </w:div>
        <w:div w:id="591551692">
          <w:marLeft w:val="640"/>
          <w:marRight w:val="0"/>
          <w:marTop w:val="0"/>
          <w:marBottom w:val="0"/>
          <w:divBdr>
            <w:top w:val="none" w:sz="0" w:space="0" w:color="auto"/>
            <w:left w:val="none" w:sz="0" w:space="0" w:color="auto"/>
            <w:bottom w:val="none" w:sz="0" w:space="0" w:color="auto"/>
            <w:right w:val="none" w:sz="0" w:space="0" w:color="auto"/>
          </w:divBdr>
        </w:div>
        <w:div w:id="1818186127">
          <w:marLeft w:val="640"/>
          <w:marRight w:val="0"/>
          <w:marTop w:val="0"/>
          <w:marBottom w:val="0"/>
          <w:divBdr>
            <w:top w:val="none" w:sz="0" w:space="0" w:color="auto"/>
            <w:left w:val="none" w:sz="0" w:space="0" w:color="auto"/>
            <w:bottom w:val="none" w:sz="0" w:space="0" w:color="auto"/>
            <w:right w:val="none" w:sz="0" w:space="0" w:color="auto"/>
          </w:divBdr>
        </w:div>
        <w:div w:id="1173496490">
          <w:marLeft w:val="640"/>
          <w:marRight w:val="0"/>
          <w:marTop w:val="0"/>
          <w:marBottom w:val="0"/>
          <w:divBdr>
            <w:top w:val="none" w:sz="0" w:space="0" w:color="auto"/>
            <w:left w:val="none" w:sz="0" w:space="0" w:color="auto"/>
            <w:bottom w:val="none" w:sz="0" w:space="0" w:color="auto"/>
            <w:right w:val="none" w:sz="0" w:space="0" w:color="auto"/>
          </w:divBdr>
        </w:div>
        <w:div w:id="1878200558">
          <w:marLeft w:val="640"/>
          <w:marRight w:val="0"/>
          <w:marTop w:val="0"/>
          <w:marBottom w:val="0"/>
          <w:divBdr>
            <w:top w:val="none" w:sz="0" w:space="0" w:color="auto"/>
            <w:left w:val="none" w:sz="0" w:space="0" w:color="auto"/>
            <w:bottom w:val="none" w:sz="0" w:space="0" w:color="auto"/>
            <w:right w:val="none" w:sz="0" w:space="0" w:color="auto"/>
          </w:divBdr>
        </w:div>
        <w:div w:id="245193785">
          <w:marLeft w:val="640"/>
          <w:marRight w:val="0"/>
          <w:marTop w:val="0"/>
          <w:marBottom w:val="0"/>
          <w:divBdr>
            <w:top w:val="none" w:sz="0" w:space="0" w:color="auto"/>
            <w:left w:val="none" w:sz="0" w:space="0" w:color="auto"/>
            <w:bottom w:val="none" w:sz="0" w:space="0" w:color="auto"/>
            <w:right w:val="none" w:sz="0" w:space="0" w:color="auto"/>
          </w:divBdr>
        </w:div>
        <w:div w:id="1194339555">
          <w:marLeft w:val="640"/>
          <w:marRight w:val="0"/>
          <w:marTop w:val="0"/>
          <w:marBottom w:val="0"/>
          <w:divBdr>
            <w:top w:val="none" w:sz="0" w:space="0" w:color="auto"/>
            <w:left w:val="none" w:sz="0" w:space="0" w:color="auto"/>
            <w:bottom w:val="none" w:sz="0" w:space="0" w:color="auto"/>
            <w:right w:val="none" w:sz="0" w:space="0" w:color="auto"/>
          </w:divBdr>
        </w:div>
      </w:divsChild>
    </w:div>
    <w:div w:id="816922728">
      <w:bodyDiv w:val="1"/>
      <w:marLeft w:val="0"/>
      <w:marRight w:val="0"/>
      <w:marTop w:val="0"/>
      <w:marBottom w:val="0"/>
      <w:divBdr>
        <w:top w:val="none" w:sz="0" w:space="0" w:color="auto"/>
        <w:left w:val="none" w:sz="0" w:space="0" w:color="auto"/>
        <w:bottom w:val="none" w:sz="0" w:space="0" w:color="auto"/>
        <w:right w:val="none" w:sz="0" w:space="0" w:color="auto"/>
      </w:divBdr>
      <w:divsChild>
        <w:div w:id="1788160495">
          <w:marLeft w:val="640"/>
          <w:marRight w:val="0"/>
          <w:marTop w:val="0"/>
          <w:marBottom w:val="0"/>
          <w:divBdr>
            <w:top w:val="none" w:sz="0" w:space="0" w:color="auto"/>
            <w:left w:val="none" w:sz="0" w:space="0" w:color="auto"/>
            <w:bottom w:val="none" w:sz="0" w:space="0" w:color="auto"/>
            <w:right w:val="none" w:sz="0" w:space="0" w:color="auto"/>
          </w:divBdr>
        </w:div>
        <w:div w:id="869336735">
          <w:marLeft w:val="640"/>
          <w:marRight w:val="0"/>
          <w:marTop w:val="0"/>
          <w:marBottom w:val="0"/>
          <w:divBdr>
            <w:top w:val="none" w:sz="0" w:space="0" w:color="auto"/>
            <w:left w:val="none" w:sz="0" w:space="0" w:color="auto"/>
            <w:bottom w:val="none" w:sz="0" w:space="0" w:color="auto"/>
            <w:right w:val="none" w:sz="0" w:space="0" w:color="auto"/>
          </w:divBdr>
        </w:div>
        <w:div w:id="111093721">
          <w:marLeft w:val="640"/>
          <w:marRight w:val="0"/>
          <w:marTop w:val="0"/>
          <w:marBottom w:val="0"/>
          <w:divBdr>
            <w:top w:val="none" w:sz="0" w:space="0" w:color="auto"/>
            <w:left w:val="none" w:sz="0" w:space="0" w:color="auto"/>
            <w:bottom w:val="none" w:sz="0" w:space="0" w:color="auto"/>
            <w:right w:val="none" w:sz="0" w:space="0" w:color="auto"/>
          </w:divBdr>
        </w:div>
        <w:div w:id="1419131803">
          <w:marLeft w:val="640"/>
          <w:marRight w:val="0"/>
          <w:marTop w:val="0"/>
          <w:marBottom w:val="0"/>
          <w:divBdr>
            <w:top w:val="none" w:sz="0" w:space="0" w:color="auto"/>
            <w:left w:val="none" w:sz="0" w:space="0" w:color="auto"/>
            <w:bottom w:val="none" w:sz="0" w:space="0" w:color="auto"/>
            <w:right w:val="none" w:sz="0" w:space="0" w:color="auto"/>
          </w:divBdr>
        </w:div>
        <w:div w:id="909458066">
          <w:marLeft w:val="640"/>
          <w:marRight w:val="0"/>
          <w:marTop w:val="0"/>
          <w:marBottom w:val="0"/>
          <w:divBdr>
            <w:top w:val="none" w:sz="0" w:space="0" w:color="auto"/>
            <w:left w:val="none" w:sz="0" w:space="0" w:color="auto"/>
            <w:bottom w:val="none" w:sz="0" w:space="0" w:color="auto"/>
            <w:right w:val="none" w:sz="0" w:space="0" w:color="auto"/>
          </w:divBdr>
        </w:div>
        <w:div w:id="1127434569">
          <w:marLeft w:val="640"/>
          <w:marRight w:val="0"/>
          <w:marTop w:val="0"/>
          <w:marBottom w:val="0"/>
          <w:divBdr>
            <w:top w:val="none" w:sz="0" w:space="0" w:color="auto"/>
            <w:left w:val="none" w:sz="0" w:space="0" w:color="auto"/>
            <w:bottom w:val="none" w:sz="0" w:space="0" w:color="auto"/>
            <w:right w:val="none" w:sz="0" w:space="0" w:color="auto"/>
          </w:divBdr>
        </w:div>
        <w:div w:id="2146003738">
          <w:marLeft w:val="640"/>
          <w:marRight w:val="0"/>
          <w:marTop w:val="0"/>
          <w:marBottom w:val="0"/>
          <w:divBdr>
            <w:top w:val="none" w:sz="0" w:space="0" w:color="auto"/>
            <w:left w:val="none" w:sz="0" w:space="0" w:color="auto"/>
            <w:bottom w:val="none" w:sz="0" w:space="0" w:color="auto"/>
            <w:right w:val="none" w:sz="0" w:space="0" w:color="auto"/>
          </w:divBdr>
        </w:div>
        <w:div w:id="655302320">
          <w:marLeft w:val="640"/>
          <w:marRight w:val="0"/>
          <w:marTop w:val="0"/>
          <w:marBottom w:val="0"/>
          <w:divBdr>
            <w:top w:val="none" w:sz="0" w:space="0" w:color="auto"/>
            <w:left w:val="none" w:sz="0" w:space="0" w:color="auto"/>
            <w:bottom w:val="none" w:sz="0" w:space="0" w:color="auto"/>
            <w:right w:val="none" w:sz="0" w:space="0" w:color="auto"/>
          </w:divBdr>
        </w:div>
        <w:div w:id="1611670414">
          <w:marLeft w:val="640"/>
          <w:marRight w:val="0"/>
          <w:marTop w:val="0"/>
          <w:marBottom w:val="0"/>
          <w:divBdr>
            <w:top w:val="none" w:sz="0" w:space="0" w:color="auto"/>
            <w:left w:val="none" w:sz="0" w:space="0" w:color="auto"/>
            <w:bottom w:val="none" w:sz="0" w:space="0" w:color="auto"/>
            <w:right w:val="none" w:sz="0" w:space="0" w:color="auto"/>
          </w:divBdr>
        </w:div>
        <w:div w:id="1139498172">
          <w:marLeft w:val="640"/>
          <w:marRight w:val="0"/>
          <w:marTop w:val="0"/>
          <w:marBottom w:val="0"/>
          <w:divBdr>
            <w:top w:val="none" w:sz="0" w:space="0" w:color="auto"/>
            <w:left w:val="none" w:sz="0" w:space="0" w:color="auto"/>
            <w:bottom w:val="none" w:sz="0" w:space="0" w:color="auto"/>
            <w:right w:val="none" w:sz="0" w:space="0" w:color="auto"/>
          </w:divBdr>
        </w:div>
        <w:div w:id="273755482">
          <w:marLeft w:val="640"/>
          <w:marRight w:val="0"/>
          <w:marTop w:val="0"/>
          <w:marBottom w:val="0"/>
          <w:divBdr>
            <w:top w:val="none" w:sz="0" w:space="0" w:color="auto"/>
            <w:left w:val="none" w:sz="0" w:space="0" w:color="auto"/>
            <w:bottom w:val="none" w:sz="0" w:space="0" w:color="auto"/>
            <w:right w:val="none" w:sz="0" w:space="0" w:color="auto"/>
          </w:divBdr>
        </w:div>
        <w:div w:id="909851802">
          <w:marLeft w:val="640"/>
          <w:marRight w:val="0"/>
          <w:marTop w:val="0"/>
          <w:marBottom w:val="0"/>
          <w:divBdr>
            <w:top w:val="none" w:sz="0" w:space="0" w:color="auto"/>
            <w:left w:val="none" w:sz="0" w:space="0" w:color="auto"/>
            <w:bottom w:val="none" w:sz="0" w:space="0" w:color="auto"/>
            <w:right w:val="none" w:sz="0" w:space="0" w:color="auto"/>
          </w:divBdr>
        </w:div>
        <w:div w:id="644314616">
          <w:marLeft w:val="640"/>
          <w:marRight w:val="0"/>
          <w:marTop w:val="0"/>
          <w:marBottom w:val="0"/>
          <w:divBdr>
            <w:top w:val="none" w:sz="0" w:space="0" w:color="auto"/>
            <w:left w:val="none" w:sz="0" w:space="0" w:color="auto"/>
            <w:bottom w:val="none" w:sz="0" w:space="0" w:color="auto"/>
            <w:right w:val="none" w:sz="0" w:space="0" w:color="auto"/>
          </w:divBdr>
        </w:div>
        <w:div w:id="1729917993">
          <w:marLeft w:val="640"/>
          <w:marRight w:val="0"/>
          <w:marTop w:val="0"/>
          <w:marBottom w:val="0"/>
          <w:divBdr>
            <w:top w:val="none" w:sz="0" w:space="0" w:color="auto"/>
            <w:left w:val="none" w:sz="0" w:space="0" w:color="auto"/>
            <w:bottom w:val="none" w:sz="0" w:space="0" w:color="auto"/>
            <w:right w:val="none" w:sz="0" w:space="0" w:color="auto"/>
          </w:divBdr>
        </w:div>
      </w:divsChild>
    </w:div>
    <w:div w:id="891959564">
      <w:bodyDiv w:val="1"/>
      <w:marLeft w:val="0"/>
      <w:marRight w:val="0"/>
      <w:marTop w:val="0"/>
      <w:marBottom w:val="0"/>
      <w:divBdr>
        <w:top w:val="none" w:sz="0" w:space="0" w:color="auto"/>
        <w:left w:val="none" w:sz="0" w:space="0" w:color="auto"/>
        <w:bottom w:val="none" w:sz="0" w:space="0" w:color="auto"/>
        <w:right w:val="none" w:sz="0" w:space="0" w:color="auto"/>
      </w:divBdr>
      <w:divsChild>
        <w:div w:id="1288855854">
          <w:marLeft w:val="640"/>
          <w:marRight w:val="0"/>
          <w:marTop w:val="0"/>
          <w:marBottom w:val="0"/>
          <w:divBdr>
            <w:top w:val="none" w:sz="0" w:space="0" w:color="auto"/>
            <w:left w:val="none" w:sz="0" w:space="0" w:color="auto"/>
            <w:bottom w:val="none" w:sz="0" w:space="0" w:color="auto"/>
            <w:right w:val="none" w:sz="0" w:space="0" w:color="auto"/>
          </w:divBdr>
        </w:div>
        <w:div w:id="314844878">
          <w:marLeft w:val="640"/>
          <w:marRight w:val="0"/>
          <w:marTop w:val="0"/>
          <w:marBottom w:val="0"/>
          <w:divBdr>
            <w:top w:val="none" w:sz="0" w:space="0" w:color="auto"/>
            <w:left w:val="none" w:sz="0" w:space="0" w:color="auto"/>
            <w:bottom w:val="none" w:sz="0" w:space="0" w:color="auto"/>
            <w:right w:val="none" w:sz="0" w:space="0" w:color="auto"/>
          </w:divBdr>
        </w:div>
        <w:div w:id="554125134">
          <w:marLeft w:val="640"/>
          <w:marRight w:val="0"/>
          <w:marTop w:val="0"/>
          <w:marBottom w:val="0"/>
          <w:divBdr>
            <w:top w:val="none" w:sz="0" w:space="0" w:color="auto"/>
            <w:left w:val="none" w:sz="0" w:space="0" w:color="auto"/>
            <w:bottom w:val="none" w:sz="0" w:space="0" w:color="auto"/>
            <w:right w:val="none" w:sz="0" w:space="0" w:color="auto"/>
          </w:divBdr>
        </w:div>
        <w:div w:id="1869836055">
          <w:marLeft w:val="640"/>
          <w:marRight w:val="0"/>
          <w:marTop w:val="0"/>
          <w:marBottom w:val="0"/>
          <w:divBdr>
            <w:top w:val="none" w:sz="0" w:space="0" w:color="auto"/>
            <w:left w:val="none" w:sz="0" w:space="0" w:color="auto"/>
            <w:bottom w:val="none" w:sz="0" w:space="0" w:color="auto"/>
            <w:right w:val="none" w:sz="0" w:space="0" w:color="auto"/>
          </w:divBdr>
        </w:div>
        <w:div w:id="716202931">
          <w:marLeft w:val="640"/>
          <w:marRight w:val="0"/>
          <w:marTop w:val="0"/>
          <w:marBottom w:val="0"/>
          <w:divBdr>
            <w:top w:val="none" w:sz="0" w:space="0" w:color="auto"/>
            <w:left w:val="none" w:sz="0" w:space="0" w:color="auto"/>
            <w:bottom w:val="none" w:sz="0" w:space="0" w:color="auto"/>
            <w:right w:val="none" w:sz="0" w:space="0" w:color="auto"/>
          </w:divBdr>
        </w:div>
        <w:div w:id="1023477860">
          <w:marLeft w:val="640"/>
          <w:marRight w:val="0"/>
          <w:marTop w:val="0"/>
          <w:marBottom w:val="0"/>
          <w:divBdr>
            <w:top w:val="none" w:sz="0" w:space="0" w:color="auto"/>
            <w:left w:val="none" w:sz="0" w:space="0" w:color="auto"/>
            <w:bottom w:val="none" w:sz="0" w:space="0" w:color="auto"/>
            <w:right w:val="none" w:sz="0" w:space="0" w:color="auto"/>
          </w:divBdr>
        </w:div>
        <w:div w:id="390345181">
          <w:marLeft w:val="640"/>
          <w:marRight w:val="0"/>
          <w:marTop w:val="0"/>
          <w:marBottom w:val="0"/>
          <w:divBdr>
            <w:top w:val="none" w:sz="0" w:space="0" w:color="auto"/>
            <w:left w:val="none" w:sz="0" w:space="0" w:color="auto"/>
            <w:bottom w:val="none" w:sz="0" w:space="0" w:color="auto"/>
            <w:right w:val="none" w:sz="0" w:space="0" w:color="auto"/>
          </w:divBdr>
        </w:div>
        <w:div w:id="408699178">
          <w:marLeft w:val="640"/>
          <w:marRight w:val="0"/>
          <w:marTop w:val="0"/>
          <w:marBottom w:val="0"/>
          <w:divBdr>
            <w:top w:val="none" w:sz="0" w:space="0" w:color="auto"/>
            <w:left w:val="none" w:sz="0" w:space="0" w:color="auto"/>
            <w:bottom w:val="none" w:sz="0" w:space="0" w:color="auto"/>
            <w:right w:val="none" w:sz="0" w:space="0" w:color="auto"/>
          </w:divBdr>
        </w:div>
        <w:div w:id="209727725">
          <w:marLeft w:val="640"/>
          <w:marRight w:val="0"/>
          <w:marTop w:val="0"/>
          <w:marBottom w:val="0"/>
          <w:divBdr>
            <w:top w:val="none" w:sz="0" w:space="0" w:color="auto"/>
            <w:left w:val="none" w:sz="0" w:space="0" w:color="auto"/>
            <w:bottom w:val="none" w:sz="0" w:space="0" w:color="auto"/>
            <w:right w:val="none" w:sz="0" w:space="0" w:color="auto"/>
          </w:divBdr>
        </w:div>
        <w:div w:id="404648287">
          <w:marLeft w:val="640"/>
          <w:marRight w:val="0"/>
          <w:marTop w:val="0"/>
          <w:marBottom w:val="0"/>
          <w:divBdr>
            <w:top w:val="none" w:sz="0" w:space="0" w:color="auto"/>
            <w:left w:val="none" w:sz="0" w:space="0" w:color="auto"/>
            <w:bottom w:val="none" w:sz="0" w:space="0" w:color="auto"/>
            <w:right w:val="none" w:sz="0" w:space="0" w:color="auto"/>
          </w:divBdr>
        </w:div>
        <w:div w:id="297615918">
          <w:marLeft w:val="640"/>
          <w:marRight w:val="0"/>
          <w:marTop w:val="0"/>
          <w:marBottom w:val="0"/>
          <w:divBdr>
            <w:top w:val="none" w:sz="0" w:space="0" w:color="auto"/>
            <w:left w:val="none" w:sz="0" w:space="0" w:color="auto"/>
            <w:bottom w:val="none" w:sz="0" w:space="0" w:color="auto"/>
            <w:right w:val="none" w:sz="0" w:space="0" w:color="auto"/>
          </w:divBdr>
        </w:div>
      </w:divsChild>
    </w:div>
    <w:div w:id="995693684">
      <w:bodyDiv w:val="1"/>
      <w:marLeft w:val="0"/>
      <w:marRight w:val="0"/>
      <w:marTop w:val="0"/>
      <w:marBottom w:val="0"/>
      <w:divBdr>
        <w:top w:val="none" w:sz="0" w:space="0" w:color="auto"/>
        <w:left w:val="none" w:sz="0" w:space="0" w:color="auto"/>
        <w:bottom w:val="none" w:sz="0" w:space="0" w:color="auto"/>
        <w:right w:val="none" w:sz="0" w:space="0" w:color="auto"/>
      </w:divBdr>
      <w:divsChild>
        <w:div w:id="210768432">
          <w:marLeft w:val="640"/>
          <w:marRight w:val="0"/>
          <w:marTop w:val="0"/>
          <w:marBottom w:val="0"/>
          <w:divBdr>
            <w:top w:val="none" w:sz="0" w:space="0" w:color="auto"/>
            <w:left w:val="none" w:sz="0" w:space="0" w:color="auto"/>
            <w:bottom w:val="none" w:sz="0" w:space="0" w:color="auto"/>
            <w:right w:val="none" w:sz="0" w:space="0" w:color="auto"/>
          </w:divBdr>
        </w:div>
        <w:div w:id="726760938">
          <w:marLeft w:val="640"/>
          <w:marRight w:val="0"/>
          <w:marTop w:val="0"/>
          <w:marBottom w:val="0"/>
          <w:divBdr>
            <w:top w:val="none" w:sz="0" w:space="0" w:color="auto"/>
            <w:left w:val="none" w:sz="0" w:space="0" w:color="auto"/>
            <w:bottom w:val="none" w:sz="0" w:space="0" w:color="auto"/>
            <w:right w:val="none" w:sz="0" w:space="0" w:color="auto"/>
          </w:divBdr>
        </w:div>
        <w:div w:id="468597472">
          <w:marLeft w:val="640"/>
          <w:marRight w:val="0"/>
          <w:marTop w:val="0"/>
          <w:marBottom w:val="0"/>
          <w:divBdr>
            <w:top w:val="none" w:sz="0" w:space="0" w:color="auto"/>
            <w:left w:val="none" w:sz="0" w:space="0" w:color="auto"/>
            <w:bottom w:val="none" w:sz="0" w:space="0" w:color="auto"/>
            <w:right w:val="none" w:sz="0" w:space="0" w:color="auto"/>
          </w:divBdr>
        </w:div>
        <w:div w:id="1276710965">
          <w:marLeft w:val="640"/>
          <w:marRight w:val="0"/>
          <w:marTop w:val="0"/>
          <w:marBottom w:val="0"/>
          <w:divBdr>
            <w:top w:val="none" w:sz="0" w:space="0" w:color="auto"/>
            <w:left w:val="none" w:sz="0" w:space="0" w:color="auto"/>
            <w:bottom w:val="none" w:sz="0" w:space="0" w:color="auto"/>
            <w:right w:val="none" w:sz="0" w:space="0" w:color="auto"/>
          </w:divBdr>
        </w:div>
        <w:div w:id="2031445460">
          <w:marLeft w:val="640"/>
          <w:marRight w:val="0"/>
          <w:marTop w:val="0"/>
          <w:marBottom w:val="0"/>
          <w:divBdr>
            <w:top w:val="none" w:sz="0" w:space="0" w:color="auto"/>
            <w:left w:val="none" w:sz="0" w:space="0" w:color="auto"/>
            <w:bottom w:val="none" w:sz="0" w:space="0" w:color="auto"/>
            <w:right w:val="none" w:sz="0" w:space="0" w:color="auto"/>
          </w:divBdr>
        </w:div>
        <w:div w:id="1006902943">
          <w:marLeft w:val="640"/>
          <w:marRight w:val="0"/>
          <w:marTop w:val="0"/>
          <w:marBottom w:val="0"/>
          <w:divBdr>
            <w:top w:val="none" w:sz="0" w:space="0" w:color="auto"/>
            <w:left w:val="none" w:sz="0" w:space="0" w:color="auto"/>
            <w:bottom w:val="none" w:sz="0" w:space="0" w:color="auto"/>
            <w:right w:val="none" w:sz="0" w:space="0" w:color="auto"/>
          </w:divBdr>
        </w:div>
        <w:div w:id="1759861015">
          <w:marLeft w:val="640"/>
          <w:marRight w:val="0"/>
          <w:marTop w:val="0"/>
          <w:marBottom w:val="0"/>
          <w:divBdr>
            <w:top w:val="none" w:sz="0" w:space="0" w:color="auto"/>
            <w:left w:val="none" w:sz="0" w:space="0" w:color="auto"/>
            <w:bottom w:val="none" w:sz="0" w:space="0" w:color="auto"/>
            <w:right w:val="none" w:sz="0" w:space="0" w:color="auto"/>
          </w:divBdr>
        </w:div>
        <w:div w:id="1687444323">
          <w:marLeft w:val="640"/>
          <w:marRight w:val="0"/>
          <w:marTop w:val="0"/>
          <w:marBottom w:val="0"/>
          <w:divBdr>
            <w:top w:val="none" w:sz="0" w:space="0" w:color="auto"/>
            <w:left w:val="none" w:sz="0" w:space="0" w:color="auto"/>
            <w:bottom w:val="none" w:sz="0" w:space="0" w:color="auto"/>
            <w:right w:val="none" w:sz="0" w:space="0" w:color="auto"/>
          </w:divBdr>
        </w:div>
        <w:div w:id="475418394">
          <w:marLeft w:val="640"/>
          <w:marRight w:val="0"/>
          <w:marTop w:val="0"/>
          <w:marBottom w:val="0"/>
          <w:divBdr>
            <w:top w:val="none" w:sz="0" w:space="0" w:color="auto"/>
            <w:left w:val="none" w:sz="0" w:space="0" w:color="auto"/>
            <w:bottom w:val="none" w:sz="0" w:space="0" w:color="auto"/>
            <w:right w:val="none" w:sz="0" w:space="0" w:color="auto"/>
          </w:divBdr>
        </w:div>
        <w:div w:id="1514951732">
          <w:marLeft w:val="640"/>
          <w:marRight w:val="0"/>
          <w:marTop w:val="0"/>
          <w:marBottom w:val="0"/>
          <w:divBdr>
            <w:top w:val="none" w:sz="0" w:space="0" w:color="auto"/>
            <w:left w:val="none" w:sz="0" w:space="0" w:color="auto"/>
            <w:bottom w:val="none" w:sz="0" w:space="0" w:color="auto"/>
            <w:right w:val="none" w:sz="0" w:space="0" w:color="auto"/>
          </w:divBdr>
        </w:div>
        <w:div w:id="1350835850">
          <w:marLeft w:val="640"/>
          <w:marRight w:val="0"/>
          <w:marTop w:val="0"/>
          <w:marBottom w:val="0"/>
          <w:divBdr>
            <w:top w:val="none" w:sz="0" w:space="0" w:color="auto"/>
            <w:left w:val="none" w:sz="0" w:space="0" w:color="auto"/>
            <w:bottom w:val="none" w:sz="0" w:space="0" w:color="auto"/>
            <w:right w:val="none" w:sz="0" w:space="0" w:color="auto"/>
          </w:divBdr>
        </w:div>
        <w:div w:id="1750930715">
          <w:marLeft w:val="640"/>
          <w:marRight w:val="0"/>
          <w:marTop w:val="0"/>
          <w:marBottom w:val="0"/>
          <w:divBdr>
            <w:top w:val="none" w:sz="0" w:space="0" w:color="auto"/>
            <w:left w:val="none" w:sz="0" w:space="0" w:color="auto"/>
            <w:bottom w:val="none" w:sz="0" w:space="0" w:color="auto"/>
            <w:right w:val="none" w:sz="0" w:space="0" w:color="auto"/>
          </w:divBdr>
        </w:div>
        <w:div w:id="1302924135">
          <w:marLeft w:val="640"/>
          <w:marRight w:val="0"/>
          <w:marTop w:val="0"/>
          <w:marBottom w:val="0"/>
          <w:divBdr>
            <w:top w:val="none" w:sz="0" w:space="0" w:color="auto"/>
            <w:left w:val="none" w:sz="0" w:space="0" w:color="auto"/>
            <w:bottom w:val="none" w:sz="0" w:space="0" w:color="auto"/>
            <w:right w:val="none" w:sz="0" w:space="0" w:color="auto"/>
          </w:divBdr>
        </w:div>
        <w:div w:id="890461157">
          <w:marLeft w:val="640"/>
          <w:marRight w:val="0"/>
          <w:marTop w:val="0"/>
          <w:marBottom w:val="0"/>
          <w:divBdr>
            <w:top w:val="none" w:sz="0" w:space="0" w:color="auto"/>
            <w:left w:val="none" w:sz="0" w:space="0" w:color="auto"/>
            <w:bottom w:val="none" w:sz="0" w:space="0" w:color="auto"/>
            <w:right w:val="none" w:sz="0" w:space="0" w:color="auto"/>
          </w:divBdr>
        </w:div>
      </w:divsChild>
    </w:div>
    <w:div w:id="1020006838">
      <w:bodyDiv w:val="1"/>
      <w:marLeft w:val="0"/>
      <w:marRight w:val="0"/>
      <w:marTop w:val="0"/>
      <w:marBottom w:val="0"/>
      <w:divBdr>
        <w:top w:val="none" w:sz="0" w:space="0" w:color="auto"/>
        <w:left w:val="none" w:sz="0" w:space="0" w:color="auto"/>
        <w:bottom w:val="none" w:sz="0" w:space="0" w:color="auto"/>
        <w:right w:val="none" w:sz="0" w:space="0" w:color="auto"/>
      </w:divBdr>
      <w:divsChild>
        <w:div w:id="655643876">
          <w:marLeft w:val="640"/>
          <w:marRight w:val="0"/>
          <w:marTop w:val="0"/>
          <w:marBottom w:val="0"/>
          <w:divBdr>
            <w:top w:val="none" w:sz="0" w:space="0" w:color="auto"/>
            <w:left w:val="none" w:sz="0" w:space="0" w:color="auto"/>
            <w:bottom w:val="none" w:sz="0" w:space="0" w:color="auto"/>
            <w:right w:val="none" w:sz="0" w:space="0" w:color="auto"/>
          </w:divBdr>
        </w:div>
        <w:div w:id="345637456">
          <w:marLeft w:val="640"/>
          <w:marRight w:val="0"/>
          <w:marTop w:val="0"/>
          <w:marBottom w:val="0"/>
          <w:divBdr>
            <w:top w:val="none" w:sz="0" w:space="0" w:color="auto"/>
            <w:left w:val="none" w:sz="0" w:space="0" w:color="auto"/>
            <w:bottom w:val="none" w:sz="0" w:space="0" w:color="auto"/>
            <w:right w:val="none" w:sz="0" w:space="0" w:color="auto"/>
          </w:divBdr>
        </w:div>
        <w:div w:id="694160087">
          <w:marLeft w:val="640"/>
          <w:marRight w:val="0"/>
          <w:marTop w:val="0"/>
          <w:marBottom w:val="0"/>
          <w:divBdr>
            <w:top w:val="none" w:sz="0" w:space="0" w:color="auto"/>
            <w:left w:val="none" w:sz="0" w:space="0" w:color="auto"/>
            <w:bottom w:val="none" w:sz="0" w:space="0" w:color="auto"/>
            <w:right w:val="none" w:sz="0" w:space="0" w:color="auto"/>
          </w:divBdr>
        </w:div>
        <w:div w:id="1853259419">
          <w:marLeft w:val="640"/>
          <w:marRight w:val="0"/>
          <w:marTop w:val="0"/>
          <w:marBottom w:val="0"/>
          <w:divBdr>
            <w:top w:val="none" w:sz="0" w:space="0" w:color="auto"/>
            <w:left w:val="none" w:sz="0" w:space="0" w:color="auto"/>
            <w:bottom w:val="none" w:sz="0" w:space="0" w:color="auto"/>
            <w:right w:val="none" w:sz="0" w:space="0" w:color="auto"/>
          </w:divBdr>
        </w:div>
        <w:div w:id="2016028914">
          <w:marLeft w:val="640"/>
          <w:marRight w:val="0"/>
          <w:marTop w:val="0"/>
          <w:marBottom w:val="0"/>
          <w:divBdr>
            <w:top w:val="none" w:sz="0" w:space="0" w:color="auto"/>
            <w:left w:val="none" w:sz="0" w:space="0" w:color="auto"/>
            <w:bottom w:val="none" w:sz="0" w:space="0" w:color="auto"/>
            <w:right w:val="none" w:sz="0" w:space="0" w:color="auto"/>
          </w:divBdr>
        </w:div>
        <w:div w:id="713233718">
          <w:marLeft w:val="640"/>
          <w:marRight w:val="0"/>
          <w:marTop w:val="0"/>
          <w:marBottom w:val="0"/>
          <w:divBdr>
            <w:top w:val="none" w:sz="0" w:space="0" w:color="auto"/>
            <w:left w:val="none" w:sz="0" w:space="0" w:color="auto"/>
            <w:bottom w:val="none" w:sz="0" w:space="0" w:color="auto"/>
            <w:right w:val="none" w:sz="0" w:space="0" w:color="auto"/>
          </w:divBdr>
        </w:div>
        <w:div w:id="470906739">
          <w:marLeft w:val="640"/>
          <w:marRight w:val="0"/>
          <w:marTop w:val="0"/>
          <w:marBottom w:val="0"/>
          <w:divBdr>
            <w:top w:val="none" w:sz="0" w:space="0" w:color="auto"/>
            <w:left w:val="none" w:sz="0" w:space="0" w:color="auto"/>
            <w:bottom w:val="none" w:sz="0" w:space="0" w:color="auto"/>
            <w:right w:val="none" w:sz="0" w:space="0" w:color="auto"/>
          </w:divBdr>
        </w:div>
        <w:div w:id="705762886">
          <w:marLeft w:val="640"/>
          <w:marRight w:val="0"/>
          <w:marTop w:val="0"/>
          <w:marBottom w:val="0"/>
          <w:divBdr>
            <w:top w:val="none" w:sz="0" w:space="0" w:color="auto"/>
            <w:left w:val="none" w:sz="0" w:space="0" w:color="auto"/>
            <w:bottom w:val="none" w:sz="0" w:space="0" w:color="auto"/>
            <w:right w:val="none" w:sz="0" w:space="0" w:color="auto"/>
          </w:divBdr>
        </w:div>
        <w:div w:id="1191411668">
          <w:marLeft w:val="640"/>
          <w:marRight w:val="0"/>
          <w:marTop w:val="0"/>
          <w:marBottom w:val="0"/>
          <w:divBdr>
            <w:top w:val="none" w:sz="0" w:space="0" w:color="auto"/>
            <w:left w:val="none" w:sz="0" w:space="0" w:color="auto"/>
            <w:bottom w:val="none" w:sz="0" w:space="0" w:color="auto"/>
            <w:right w:val="none" w:sz="0" w:space="0" w:color="auto"/>
          </w:divBdr>
        </w:div>
        <w:div w:id="1603954563">
          <w:marLeft w:val="640"/>
          <w:marRight w:val="0"/>
          <w:marTop w:val="0"/>
          <w:marBottom w:val="0"/>
          <w:divBdr>
            <w:top w:val="none" w:sz="0" w:space="0" w:color="auto"/>
            <w:left w:val="none" w:sz="0" w:space="0" w:color="auto"/>
            <w:bottom w:val="none" w:sz="0" w:space="0" w:color="auto"/>
            <w:right w:val="none" w:sz="0" w:space="0" w:color="auto"/>
          </w:divBdr>
        </w:div>
        <w:div w:id="1015576769">
          <w:marLeft w:val="640"/>
          <w:marRight w:val="0"/>
          <w:marTop w:val="0"/>
          <w:marBottom w:val="0"/>
          <w:divBdr>
            <w:top w:val="none" w:sz="0" w:space="0" w:color="auto"/>
            <w:left w:val="none" w:sz="0" w:space="0" w:color="auto"/>
            <w:bottom w:val="none" w:sz="0" w:space="0" w:color="auto"/>
            <w:right w:val="none" w:sz="0" w:space="0" w:color="auto"/>
          </w:divBdr>
        </w:div>
        <w:div w:id="768891851">
          <w:marLeft w:val="640"/>
          <w:marRight w:val="0"/>
          <w:marTop w:val="0"/>
          <w:marBottom w:val="0"/>
          <w:divBdr>
            <w:top w:val="none" w:sz="0" w:space="0" w:color="auto"/>
            <w:left w:val="none" w:sz="0" w:space="0" w:color="auto"/>
            <w:bottom w:val="none" w:sz="0" w:space="0" w:color="auto"/>
            <w:right w:val="none" w:sz="0" w:space="0" w:color="auto"/>
          </w:divBdr>
        </w:div>
        <w:div w:id="1555581425">
          <w:marLeft w:val="640"/>
          <w:marRight w:val="0"/>
          <w:marTop w:val="0"/>
          <w:marBottom w:val="0"/>
          <w:divBdr>
            <w:top w:val="none" w:sz="0" w:space="0" w:color="auto"/>
            <w:left w:val="none" w:sz="0" w:space="0" w:color="auto"/>
            <w:bottom w:val="none" w:sz="0" w:space="0" w:color="auto"/>
            <w:right w:val="none" w:sz="0" w:space="0" w:color="auto"/>
          </w:divBdr>
        </w:div>
        <w:div w:id="1856074735">
          <w:marLeft w:val="640"/>
          <w:marRight w:val="0"/>
          <w:marTop w:val="0"/>
          <w:marBottom w:val="0"/>
          <w:divBdr>
            <w:top w:val="none" w:sz="0" w:space="0" w:color="auto"/>
            <w:left w:val="none" w:sz="0" w:space="0" w:color="auto"/>
            <w:bottom w:val="none" w:sz="0" w:space="0" w:color="auto"/>
            <w:right w:val="none" w:sz="0" w:space="0" w:color="auto"/>
          </w:divBdr>
        </w:div>
        <w:div w:id="1331592465">
          <w:marLeft w:val="640"/>
          <w:marRight w:val="0"/>
          <w:marTop w:val="0"/>
          <w:marBottom w:val="0"/>
          <w:divBdr>
            <w:top w:val="none" w:sz="0" w:space="0" w:color="auto"/>
            <w:left w:val="none" w:sz="0" w:space="0" w:color="auto"/>
            <w:bottom w:val="none" w:sz="0" w:space="0" w:color="auto"/>
            <w:right w:val="none" w:sz="0" w:space="0" w:color="auto"/>
          </w:divBdr>
        </w:div>
      </w:divsChild>
    </w:div>
    <w:div w:id="1259288238">
      <w:bodyDiv w:val="1"/>
      <w:marLeft w:val="0"/>
      <w:marRight w:val="0"/>
      <w:marTop w:val="0"/>
      <w:marBottom w:val="0"/>
      <w:divBdr>
        <w:top w:val="none" w:sz="0" w:space="0" w:color="auto"/>
        <w:left w:val="none" w:sz="0" w:space="0" w:color="auto"/>
        <w:bottom w:val="none" w:sz="0" w:space="0" w:color="auto"/>
        <w:right w:val="none" w:sz="0" w:space="0" w:color="auto"/>
      </w:divBdr>
      <w:divsChild>
        <w:div w:id="684937441">
          <w:marLeft w:val="640"/>
          <w:marRight w:val="0"/>
          <w:marTop w:val="0"/>
          <w:marBottom w:val="0"/>
          <w:divBdr>
            <w:top w:val="none" w:sz="0" w:space="0" w:color="auto"/>
            <w:left w:val="none" w:sz="0" w:space="0" w:color="auto"/>
            <w:bottom w:val="none" w:sz="0" w:space="0" w:color="auto"/>
            <w:right w:val="none" w:sz="0" w:space="0" w:color="auto"/>
          </w:divBdr>
        </w:div>
        <w:div w:id="1684628358">
          <w:marLeft w:val="640"/>
          <w:marRight w:val="0"/>
          <w:marTop w:val="0"/>
          <w:marBottom w:val="0"/>
          <w:divBdr>
            <w:top w:val="none" w:sz="0" w:space="0" w:color="auto"/>
            <w:left w:val="none" w:sz="0" w:space="0" w:color="auto"/>
            <w:bottom w:val="none" w:sz="0" w:space="0" w:color="auto"/>
            <w:right w:val="none" w:sz="0" w:space="0" w:color="auto"/>
          </w:divBdr>
        </w:div>
        <w:div w:id="1468426543">
          <w:marLeft w:val="640"/>
          <w:marRight w:val="0"/>
          <w:marTop w:val="0"/>
          <w:marBottom w:val="0"/>
          <w:divBdr>
            <w:top w:val="none" w:sz="0" w:space="0" w:color="auto"/>
            <w:left w:val="none" w:sz="0" w:space="0" w:color="auto"/>
            <w:bottom w:val="none" w:sz="0" w:space="0" w:color="auto"/>
            <w:right w:val="none" w:sz="0" w:space="0" w:color="auto"/>
          </w:divBdr>
        </w:div>
        <w:div w:id="367029015">
          <w:marLeft w:val="640"/>
          <w:marRight w:val="0"/>
          <w:marTop w:val="0"/>
          <w:marBottom w:val="0"/>
          <w:divBdr>
            <w:top w:val="none" w:sz="0" w:space="0" w:color="auto"/>
            <w:left w:val="none" w:sz="0" w:space="0" w:color="auto"/>
            <w:bottom w:val="none" w:sz="0" w:space="0" w:color="auto"/>
            <w:right w:val="none" w:sz="0" w:space="0" w:color="auto"/>
          </w:divBdr>
        </w:div>
        <w:div w:id="1726642922">
          <w:marLeft w:val="640"/>
          <w:marRight w:val="0"/>
          <w:marTop w:val="0"/>
          <w:marBottom w:val="0"/>
          <w:divBdr>
            <w:top w:val="none" w:sz="0" w:space="0" w:color="auto"/>
            <w:left w:val="none" w:sz="0" w:space="0" w:color="auto"/>
            <w:bottom w:val="none" w:sz="0" w:space="0" w:color="auto"/>
            <w:right w:val="none" w:sz="0" w:space="0" w:color="auto"/>
          </w:divBdr>
        </w:div>
        <w:div w:id="1361738184">
          <w:marLeft w:val="640"/>
          <w:marRight w:val="0"/>
          <w:marTop w:val="0"/>
          <w:marBottom w:val="0"/>
          <w:divBdr>
            <w:top w:val="none" w:sz="0" w:space="0" w:color="auto"/>
            <w:left w:val="none" w:sz="0" w:space="0" w:color="auto"/>
            <w:bottom w:val="none" w:sz="0" w:space="0" w:color="auto"/>
            <w:right w:val="none" w:sz="0" w:space="0" w:color="auto"/>
          </w:divBdr>
        </w:div>
        <w:div w:id="358749030">
          <w:marLeft w:val="640"/>
          <w:marRight w:val="0"/>
          <w:marTop w:val="0"/>
          <w:marBottom w:val="0"/>
          <w:divBdr>
            <w:top w:val="none" w:sz="0" w:space="0" w:color="auto"/>
            <w:left w:val="none" w:sz="0" w:space="0" w:color="auto"/>
            <w:bottom w:val="none" w:sz="0" w:space="0" w:color="auto"/>
            <w:right w:val="none" w:sz="0" w:space="0" w:color="auto"/>
          </w:divBdr>
        </w:div>
        <w:div w:id="1031951072">
          <w:marLeft w:val="640"/>
          <w:marRight w:val="0"/>
          <w:marTop w:val="0"/>
          <w:marBottom w:val="0"/>
          <w:divBdr>
            <w:top w:val="none" w:sz="0" w:space="0" w:color="auto"/>
            <w:left w:val="none" w:sz="0" w:space="0" w:color="auto"/>
            <w:bottom w:val="none" w:sz="0" w:space="0" w:color="auto"/>
            <w:right w:val="none" w:sz="0" w:space="0" w:color="auto"/>
          </w:divBdr>
        </w:div>
        <w:div w:id="930699669">
          <w:marLeft w:val="640"/>
          <w:marRight w:val="0"/>
          <w:marTop w:val="0"/>
          <w:marBottom w:val="0"/>
          <w:divBdr>
            <w:top w:val="none" w:sz="0" w:space="0" w:color="auto"/>
            <w:left w:val="none" w:sz="0" w:space="0" w:color="auto"/>
            <w:bottom w:val="none" w:sz="0" w:space="0" w:color="auto"/>
            <w:right w:val="none" w:sz="0" w:space="0" w:color="auto"/>
          </w:divBdr>
        </w:div>
        <w:div w:id="279729475">
          <w:marLeft w:val="640"/>
          <w:marRight w:val="0"/>
          <w:marTop w:val="0"/>
          <w:marBottom w:val="0"/>
          <w:divBdr>
            <w:top w:val="none" w:sz="0" w:space="0" w:color="auto"/>
            <w:left w:val="none" w:sz="0" w:space="0" w:color="auto"/>
            <w:bottom w:val="none" w:sz="0" w:space="0" w:color="auto"/>
            <w:right w:val="none" w:sz="0" w:space="0" w:color="auto"/>
          </w:divBdr>
        </w:div>
        <w:div w:id="2028099603">
          <w:marLeft w:val="640"/>
          <w:marRight w:val="0"/>
          <w:marTop w:val="0"/>
          <w:marBottom w:val="0"/>
          <w:divBdr>
            <w:top w:val="none" w:sz="0" w:space="0" w:color="auto"/>
            <w:left w:val="none" w:sz="0" w:space="0" w:color="auto"/>
            <w:bottom w:val="none" w:sz="0" w:space="0" w:color="auto"/>
            <w:right w:val="none" w:sz="0" w:space="0" w:color="auto"/>
          </w:divBdr>
        </w:div>
        <w:div w:id="1703431848">
          <w:marLeft w:val="640"/>
          <w:marRight w:val="0"/>
          <w:marTop w:val="0"/>
          <w:marBottom w:val="0"/>
          <w:divBdr>
            <w:top w:val="none" w:sz="0" w:space="0" w:color="auto"/>
            <w:left w:val="none" w:sz="0" w:space="0" w:color="auto"/>
            <w:bottom w:val="none" w:sz="0" w:space="0" w:color="auto"/>
            <w:right w:val="none" w:sz="0" w:space="0" w:color="auto"/>
          </w:divBdr>
        </w:div>
        <w:div w:id="1050499384">
          <w:marLeft w:val="640"/>
          <w:marRight w:val="0"/>
          <w:marTop w:val="0"/>
          <w:marBottom w:val="0"/>
          <w:divBdr>
            <w:top w:val="none" w:sz="0" w:space="0" w:color="auto"/>
            <w:left w:val="none" w:sz="0" w:space="0" w:color="auto"/>
            <w:bottom w:val="none" w:sz="0" w:space="0" w:color="auto"/>
            <w:right w:val="none" w:sz="0" w:space="0" w:color="auto"/>
          </w:divBdr>
        </w:div>
      </w:divsChild>
    </w:div>
    <w:div w:id="1325671486">
      <w:bodyDiv w:val="1"/>
      <w:marLeft w:val="0"/>
      <w:marRight w:val="0"/>
      <w:marTop w:val="0"/>
      <w:marBottom w:val="0"/>
      <w:divBdr>
        <w:top w:val="none" w:sz="0" w:space="0" w:color="auto"/>
        <w:left w:val="none" w:sz="0" w:space="0" w:color="auto"/>
        <w:bottom w:val="none" w:sz="0" w:space="0" w:color="auto"/>
        <w:right w:val="none" w:sz="0" w:space="0" w:color="auto"/>
      </w:divBdr>
      <w:divsChild>
        <w:div w:id="1397624173">
          <w:marLeft w:val="640"/>
          <w:marRight w:val="0"/>
          <w:marTop w:val="0"/>
          <w:marBottom w:val="0"/>
          <w:divBdr>
            <w:top w:val="none" w:sz="0" w:space="0" w:color="auto"/>
            <w:left w:val="none" w:sz="0" w:space="0" w:color="auto"/>
            <w:bottom w:val="none" w:sz="0" w:space="0" w:color="auto"/>
            <w:right w:val="none" w:sz="0" w:space="0" w:color="auto"/>
          </w:divBdr>
        </w:div>
        <w:div w:id="168372799">
          <w:marLeft w:val="640"/>
          <w:marRight w:val="0"/>
          <w:marTop w:val="0"/>
          <w:marBottom w:val="0"/>
          <w:divBdr>
            <w:top w:val="none" w:sz="0" w:space="0" w:color="auto"/>
            <w:left w:val="none" w:sz="0" w:space="0" w:color="auto"/>
            <w:bottom w:val="none" w:sz="0" w:space="0" w:color="auto"/>
            <w:right w:val="none" w:sz="0" w:space="0" w:color="auto"/>
          </w:divBdr>
        </w:div>
        <w:div w:id="2014720410">
          <w:marLeft w:val="640"/>
          <w:marRight w:val="0"/>
          <w:marTop w:val="0"/>
          <w:marBottom w:val="0"/>
          <w:divBdr>
            <w:top w:val="none" w:sz="0" w:space="0" w:color="auto"/>
            <w:left w:val="none" w:sz="0" w:space="0" w:color="auto"/>
            <w:bottom w:val="none" w:sz="0" w:space="0" w:color="auto"/>
            <w:right w:val="none" w:sz="0" w:space="0" w:color="auto"/>
          </w:divBdr>
        </w:div>
        <w:div w:id="1008753977">
          <w:marLeft w:val="640"/>
          <w:marRight w:val="0"/>
          <w:marTop w:val="0"/>
          <w:marBottom w:val="0"/>
          <w:divBdr>
            <w:top w:val="none" w:sz="0" w:space="0" w:color="auto"/>
            <w:left w:val="none" w:sz="0" w:space="0" w:color="auto"/>
            <w:bottom w:val="none" w:sz="0" w:space="0" w:color="auto"/>
            <w:right w:val="none" w:sz="0" w:space="0" w:color="auto"/>
          </w:divBdr>
        </w:div>
        <w:div w:id="1900094053">
          <w:marLeft w:val="640"/>
          <w:marRight w:val="0"/>
          <w:marTop w:val="0"/>
          <w:marBottom w:val="0"/>
          <w:divBdr>
            <w:top w:val="none" w:sz="0" w:space="0" w:color="auto"/>
            <w:left w:val="none" w:sz="0" w:space="0" w:color="auto"/>
            <w:bottom w:val="none" w:sz="0" w:space="0" w:color="auto"/>
            <w:right w:val="none" w:sz="0" w:space="0" w:color="auto"/>
          </w:divBdr>
        </w:div>
        <w:div w:id="1519352159">
          <w:marLeft w:val="640"/>
          <w:marRight w:val="0"/>
          <w:marTop w:val="0"/>
          <w:marBottom w:val="0"/>
          <w:divBdr>
            <w:top w:val="none" w:sz="0" w:space="0" w:color="auto"/>
            <w:left w:val="none" w:sz="0" w:space="0" w:color="auto"/>
            <w:bottom w:val="none" w:sz="0" w:space="0" w:color="auto"/>
            <w:right w:val="none" w:sz="0" w:space="0" w:color="auto"/>
          </w:divBdr>
        </w:div>
        <w:div w:id="44112224">
          <w:marLeft w:val="640"/>
          <w:marRight w:val="0"/>
          <w:marTop w:val="0"/>
          <w:marBottom w:val="0"/>
          <w:divBdr>
            <w:top w:val="none" w:sz="0" w:space="0" w:color="auto"/>
            <w:left w:val="none" w:sz="0" w:space="0" w:color="auto"/>
            <w:bottom w:val="none" w:sz="0" w:space="0" w:color="auto"/>
            <w:right w:val="none" w:sz="0" w:space="0" w:color="auto"/>
          </w:divBdr>
        </w:div>
        <w:div w:id="1720476996">
          <w:marLeft w:val="640"/>
          <w:marRight w:val="0"/>
          <w:marTop w:val="0"/>
          <w:marBottom w:val="0"/>
          <w:divBdr>
            <w:top w:val="none" w:sz="0" w:space="0" w:color="auto"/>
            <w:left w:val="none" w:sz="0" w:space="0" w:color="auto"/>
            <w:bottom w:val="none" w:sz="0" w:space="0" w:color="auto"/>
            <w:right w:val="none" w:sz="0" w:space="0" w:color="auto"/>
          </w:divBdr>
        </w:div>
        <w:div w:id="979309943">
          <w:marLeft w:val="640"/>
          <w:marRight w:val="0"/>
          <w:marTop w:val="0"/>
          <w:marBottom w:val="0"/>
          <w:divBdr>
            <w:top w:val="none" w:sz="0" w:space="0" w:color="auto"/>
            <w:left w:val="none" w:sz="0" w:space="0" w:color="auto"/>
            <w:bottom w:val="none" w:sz="0" w:space="0" w:color="auto"/>
            <w:right w:val="none" w:sz="0" w:space="0" w:color="auto"/>
          </w:divBdr>
        </w:div>
        <w:div w:id="1072889962">
          <w:marLeft w:val="640"/>
          <w:marRight w:val="0"/>
          <w:marTop w:val="0"/>
          <w:marBottom w:val="0"/>
          <w:divBdr>
            <w:top w:val="none" w:sz="0" w:space="0" w:color="auto"/>
            <w:left w:val="none" w:sz="0" w:space="0" w:color="auto"/>
            <w:bottom w:val="none" w:sz="0" w:space="0" w:color="auto"/>
            <w:right w:val="none" w:sz="0" w:space="0" w:color="auto"/>
          </w:divBdr>
        </w:div>
        <w:div w:id="1880387668">
          <w:marLeft w:val="640"/>
          <w:marRight w:val="0"/>
          <w:marTop w:val="0"/>
          <w:marBottom w:val="0"/>
          <w:divBdr>
            <w:top w:val="none" w:sz="0" w:space="0" w:color="auto"/>
            <w:left w:val="none" w:sz="0" w:space="0" w:color="auto"/>
            <w:bottom w:val="none" w:sz="0" w:space="0" w:color="auto"/>
            <w:right w:val="none" w:sz="0" w:space="0" w:color="auto"/>
          </w:divBdr>
        </w:div>
      </w:divsChild>
    </w:div>
    <w:div w:id="1502313831">
      <w:bodyDiv w:val="1"/>
      <w:marLeft w:val="0"/>
      <w:marRight w:val="0"/>
      <w:marTop w:val="0"/>
      <w:marBottom w:val="0"/>
      <w:divBdr>
        <w:top w:val="none" w:sz="0" w:space="0" w:color="auto"/>
        <w:left w:val="none" w:sz="0" w:space="0" w:color="auto"/>
        <w:bottom w:val="none" w:sz="0" w:space="0" w:color="auto"/>
        <w:right w:val="none" w:sz="0" w:space="0" w:color="auto"/>
      </w:divBdr>
    </w:div>
    <w:div w:id="1546527857">
      <w:bodyDiv w:val="1"/>
      <w:marLeft w:val="0"/>
      <w:marRight w:val="0"/>
      <w:marTop w:val="0"/>
      <w:marBottom w:val="0"/>
      <w:divBdr>
        <w:top w:val="none" w:sz="0" w:space="0" w:color="auto"/>
        <w:left w:val="none" w:sz="0" w:space="0" w:color="auto"/>
        <w:bottom w:val="none" w:sz="0" w:space="0" w:color="auto"/>
        <w:right w:val="none" w:sz="0" w:space="0" w:color="auto"/>
      </w:divBdr>
      <w:divsChild>
        <w:div w:id="23101304">
          <w:marLeft w:val="640"/>
          <w:marRight w:val="0"/>
          <w:marTop w:val="0"/>
          <w:marBottom w:val="0"/>
          <w:divBdr>
            <w:top w:val="none" w:sz="0" w:space="0" w:color="auto"/>
            <w:left w:val="none" w:sz="0" w:space="0" w:color="auto"/>
            <w:bottom w:val="none" w:sz="0" w:space="0" w:color="auto"/>
            <w:right w:val="none" w:sz="0" w:space="0" w:color="auto"/>
          </w:divBdr>
        </w:div>
        <w:div w:id="191699105">
          <w:marLeft w:val="640"/>
          <w:marRight w:val="0"/>
          <w:marTop w:val="0"/>
          <w:marBottom w:val="0"/>
          <w:divBdr>
            <w:top w:val="none" w:sz="0" w:space="0" w:color="auto"/>
            <w:left w:val="none" w:sz="0" w:space="0" w:color="auto"/>
            <w:bottom w:val="none" w:sz="0" w:space="0" w:color="auto"/>
            <w:right w:val="none" w:sz="0" w:space="0" w:color="auto"/>
          </w:divBdr>
        </w:div>
        <w:div w:id="1840149687">
          <w:marLeft w:val="640"/>
          <w:marRight w:val="0"/>
          <w:marTop w:val="0"/>
          <w:marBottom w:val="0"/>
          <w:divBdr>
            <w:top w:val="none" w:sz="0" w:space="0" w:color="auto"/>
            <w:left w:val="none" w:sz="0" w:space="0" w:color="auto"/>
            <w:bottom w:val="none" w:sz="0" w:space="0" w:color="auto"/>
            <w:right w:val="none" w:sz="0" w:space="0" w:color="auto"/>
          </w:divBdr>
        </w:div>
        <w:div w:id="1000348331">
          <w:marLeft w:val="640"/>
          <w:marRight w:val="0"/>
          <w:marTop w:val="0"/>
          <w:marBottom w:val="0"/>
          <w:divBdr>
            <w:top w:val="none" w:sz="0" w:space="0" w:color="auto"/>
            <w:left w:val="none" w:sz="0" w:space="0" w:color="auto"/>
            <w:bottom w:val="none" w:sz="0" w:space="0" w:color="auto"/>
            <w:right w:val="none" w:sz="0" w:space="0" w:color="auto"/>
          </w:divBdr>
        </w:div>
        <w:div w:id="2107578305">
          <w:marLeft w:val="640"/>
          <w:marRight w:val="0"/>
          <w:marTop w:val="0"/>
          <w:marBottom w:val="0"/>
          <w:divBdr>
            <w:top w:val="none" w:sz="0" w:space="0" w:color="auto"/>
            <w:left w:val="none" w:sz="0" w:space="0" w:color="auto"/>
            <w:bottom w:val="none" w:sz="0" w:space="0" w:color="auto"/>
            <w:right w:val="none" w:sz="0" w:space="0" w:color="auto"/>
          </w:divBdr>
        </w:div>
        <w:div w:id="581572326">
          <w:marLeft w:val="640"/>
          <w:marRight w:val="0"/>
          <w:marTop w:val="0"/>
          <w:marBottom w:val="0"/>
          <w:divBdr>
            <w:top w:val="none" w:sz="0" w:space="0" w:color="auto"/>
            <w:left w:val="none" w:sz="0" w:space="0" w:color="auto"/>
            <w:bottom w:val="none" w:sz="0" w:space="0" w:color="auto"/>
            <w:right w:val="none" w:sz="0" w:space="0" w:color="auto"/>
          </w:divBdr>
        </w:div>
        <w:div w:id="1059672978">
          <w:marLeft w:val="640"/>
          <w:marRight w:val="0"/>
          <w:marTop w:val="0"/>
          <w:marBottom w:val="0"/>
          <w:divBdr>
            <w:top w:val="none" w:sz="0" w:space="0" w:color="auto"/>
            <w:left w:val="none" w:sz="0" w:space="0" w:color="auto"/>
            <w:bottom w:val="none" w:sz="0" w:space="0" w:color="auto"/>
            <w:right w:val="none" w:sz="0" w:space="0" w:color="auto"/>
          </w:divBdr>
        </w:div>
        <w:div w:id="1007904874">
          <w:marLeft w:val="640"/>
          <w:marRight w:val="0"/>
          <w:marTop w:val="0"/>
          <w:marBottom w:val="0"/>
          <w:divBdr>
            <w:top w:val="none" w:sz="0" w:space="0" w:color="auto"/>
            <w:left w:val="none" w:sz="0" w:space="0" w:color="auto"/>
            <w:bottom w:val="none" w:sz="0" w:space="0" w:color="auto"/>
            <w:right w:val="none" w:sz="0" w:space="0" w:color="auto"/>
          </w:divBdr>
        </w:div>
        <w:div w:id="1545559377">
          <w:marLeft w:val="640"/>
          <w:marRight w:val="0"/>
          <w:marTop w:val="0"/>
          <w:marBottom w:val="0"/>
          <w:divBdr>
            <w:top w:val="none" w:sz="0" w:space="0" w:color="auto"/>
            <w:left w:val="none" w:sz="0" w:space="0" w:color="auto"/>
            <w:bottom w:val="none" w:sz="0" w:space="0" w:color="auto"/>
            <w:right w:val="none" w:sz="0" w:space="0" w:color="auto"/>
          </w:divBdr>
        </w:div>
        <w:div w:id="491720328">
          <w:marLeft w:val="640"/>
          <w:marRight w:val="0"/>
          <w:marTop w:val="0"/>
          <w:marBottom w:val="0"/>
          <w:divBdr>
            <w:top w:val="none" w:sz="0" w:space="0" w:color="auto"/>
            <w:left w:val="none" w:sz="0" w:space="0" w:color="auto"/>
            <w:bottom w:val="none" w:sz="0" w:space="0" w:color="auto"/>
            <w:right w:val="none" w:sz="0" w:space="0" w:color="auto"/>
          </w:divBdr>
        </w:div>
      </w:divsChild>
    </w:div>
    <w:div w:id="1553925285">
      <w:bodyDiv w:val="1"/>
      <w:marLeft w:val="0"/>
      <w:marRight w:val="0"/>
      <w:marTop w:val="0"/>
      <w:marBottom w:val="0"/>
      <w:divBdr>
        <w:top w:val="none" w:sz="0" w:space="0" w:color="auto"/>
        <w:left w:val="none" w:sz="0" w:space="0" w:color="auto"/>
        <w:bottom w:val="none" w:sz="0" w:space="0" w:color="auto"/>
        <w:right w:val="none" w:sz="0" w:space="0" w:color="auto"/>
      </w:divBdr>
      <w:divsChild>
        <w:div w:id="1298605194">
          <w:marLeft w:val="640"/>
          <w:marRight w:val="0"/>
          <w:marTop w:val="0"/>
          <w:marBottom w:val="0"/>
          <w:divBdr>
            <w:top w:val="none" w:sz="0" w:space="0" w:color="auto"/>
            <w:left w:val="none" w:sz="0" w:space="0" w:color="auto"/>
            <w:bottom w:val="none" w:sz="0" w:space="0" w:color="auto"/>
            <w:right w:val="none" w:sz="0" w:space="0" w:color="auto"/>
          </w:divBdr>
        </w:div>
        <w:div w:id="933671">
          <w:marLeft w:val="640"/>
          <w:marRight w:val="0"/>
          <w:marTop w:val="0"/>
          <w:marBottom w:val="0"/>
          <w:divBdr>
            <w:top w:val="none" w:sz="0" w:space="0" w:color="auto"/>
            <w:left w:val="none" w:sz="0" w:space="0" w:color="auto"/>
            <w:bottom w:val="none" w:sz="0" w:space="0" w:color="auto"/>
            <w:right w:val="none" w:sz="0" w:space="0" w:color="auto"/>
          </w:divBdr>
        </w:div>
        <w:div w:id="1489638345">
          <w:marLeft w:val="640"/>
          <w:marRight w:val="0"/>
          <w:marTop w:val="0"/>
          <w:marBottom w:val="0"/>
          <w:divBdr>
            <w:top w:val="none" w:sz="0" w:space="0" w:color="auto"/>
            <w:left w:val="none" w:sz="0" w:space="0" w:color="auto"/>
            <w:bottom w:val="none" w:sz="0" w:space="0" w:color="auto"/>
            <w:right w:val="none" w:sz="0" w:space="0" w:color="auto"/>
          </w:divBdr>
        </w:div>
        <w:div w:id="350228389">
          <w:marLeft w:val="640"/>
          <w:marRight w:val="0"/>
          <w:marTop w:val="0"/>
          <w:marBottom w:val="0"/>
          <w:divBdr>
            <w:top w:val="none" w:sz="0" w:space="0" w:color="auto"/>
            <w:left w:val="none" w:sz="0" w:space="0" w:color="auto"/>
            <w:bottom w:val="none" w:sz="0" w:space="0" w:color="auto"/>
            <w:right w:val="none" w:sz="0" w:space="0" w:color="auto"/>
          </w:divBdr>
        </w:div>
        <w:div w:id="1542982844">
          <w:marLeft w:val="640"/>
          <w:marRight w:val="0"/>
          <w:marTop w:val="0"/>
          <w:marBottom w:val="0"/>
          <w:divBdr>
            <w:top w:val="none" w:sz="0" w:space="0" w:color="auto"/>
            <w:left w:val="none" w:sz="0" w:space="0" w:color="auto"/>
            <w:bottom w:val="none" w:sz="0" w:space="0" w:color="auto"/>
            <w:right w:val="none" w:sz="0" w:space="0" w:color="auto"/>
          </w:divBdr>
        </w:div>
        <w:div w:id="911503338">
          <w:marLeft w:val="640"/>
          <w:marRight w:val="0"/>
          <w:marTop w:val="0"/>
          <w:marBottom w:val="0"/>
          <w:divBdr>
            <w:top w:val="none" w:sz="0" w:space="0" w:color="auto"/>
            <w:left w:val="none" w:sz="0" w:space="0" w:color="auto"/>
            <w:bottom w:val="none" w:sz="0" w:space="0" w:color="auto"/>
            <w:right w:val="none" w:sz="0" w:space="0" w:color="auto"/>
          </w:divBdr>
        </w:div>
        <w:div w:id="827592308">
          <w:marLeft w:val="640"/>
          <w:marRight w:val="0"/>
          <w:marTop w:val="0"/>
          <w:marBottom w:val="0"/>
          <w:divBdr>
            <w:top w:val="none" w:sz="0" w:space="0" w:color="auto"/>
            <w:left w:val="none" w:sz="0" w:space="0" w:color="auto"/>
            <w:bottom w:val="none" w:sz="0" w:space="0" w:color="auto"/>
            <w:right w:val="none" w:sz="0" w:space="0" w:color="auto"/>
          </w:divBdr>
        </w:div>
        <w:div w:id="1099332698">
          <w:marLeft w:val="640"/>
          <w:marRight w:val="0"/>
          <w:marTop w:val="0"/>
          <w:marBottom w:val="0"/>
          <w:divBdr>
            <w:top w:val="none" w:sz="0" w:space="0" w:color="auto"/>
            <w:left w:val="none" w:sz="0" w:space="0" w:color="auto"/>
            <w:bottom w:val="none" w:sz="0" w:space="0" w:color="auto"/>
            <w:right w:val="none" w:sz="0" w:space="0" w:color="auto"/>
          </w:divBdr>
        </w:div>
        <w:div w:id="421342892">
          <w:marLeft w:val="640"/>
          <w:marRight w:val="0"/>
          <w:marTop w:val="0"/>
          <w:marBottom w:val="0"/>
          <w:divBdr>
            <w:top w:val="none" w:sz="0" w:space="0" w:color="auto"/>
            <w:left w:val="none" w:sz="0" w:space="0" w:color="auto"/>
            <w:bottom w:val="none" w:sz="0" w:space="0" w:color="auto"/>
            <w:right w:val="none" w:sz="0" w:space="0" w:color="auto"/>
          </w:divBdr>
        </w:div>
        <w:div w:id="1514106056">
          <w:marLeft w:val="640"/>
          <w:marRight w:val="0"/>
          <w:marTop w:val="0"/>
          <w:marBottom w:val="0"/>
          <w:divBdr>
            <w:top w:val="none" w:sz="0" w:space="0" w:color="auto"/>
            <w:left w:val="none" w:sz="0" w:space="0" w:color="auto"/>
            <w:bottom w:val="none" w:sz="0" w:space="0" w:color="auto"/>
            <w:right w:val="none" w:sz="0" w:space="0" w:color="auto"/>
          </w:divBdr>
        </w:div>
        <w:div w:id="2016615039">
          <w:marLeft w:val="640"/>
          <w:marRight w:val="0"/>
          <w:marTop w:val="0"/>
          <w:marBottom w:val="0"/>
          <w:divBdr>
            <w:top w:val="none" w:sz="0" w:space="0" w:color="auto"/>
            <w:left w:val="none" w:sz="0" w:space="0" w:color="auto"/>
            <w:bottom w:val="none" w:sz="0" w:space="0" w:color="auto"/>
            <w:right w:val="none" w:sz="0" w:space="0" w:color="auto"/>
          </w:divBdr>
        </w:div>
        <w:div w:id="510292324">
          <w:marLeft w:val="640"/>
          <w:marRight w:val="0"/>
          <w:marTop w:val="0"/>
          <w:marBottom w:val="0"/>
          <w:divBdr>
            <w:top w:val="none" w:sz="0" w:space="0" w:color="auto"/>
            <w:left w:val="none" w:sz="0" w:space="0" w:color="auto"/>
            <w:bottom w:val="none" w:sz="0" w:space="0" w:color="auto"/>
            <w:right w:val="none" w:sz="0" w:space="0" w:color="auto"/>
          </w:divBdr>
        </w:div>
        <w:div w:id="712660686">
          <w:marLeft w:val="640"/>
          <w:marRight w:val="0"/>
          <w:marTop w:val="0"/>
          <w:marBottom w:val="0"/>
          <w:divBdr>
            <w:top w:val="none" w:sz="0" w:space="0" w:color="auto"/>
            <w:left w:val="none" w:sz="0" w:space="0" w:color="auto"/>
            <w:bottom w:val="none" w:sz="0" w:space="0" w:color="auto"/>
            <w:right w:val="none" w:sz="0" w:space="0" w:color="auto"/>
          </w:divBdr>
        </w:div>
      </w:divsChild>
    </w:div>
    <w:div w:id="1754354854">
      <w:bodyDiv w:val="1"/>
      <w:marLeft w:val="0"/>
      <w:marRight w:val="0"/>
      <w:marTop w:val="0"/>
      <w:marBottom w:val="0"/>
      <w:divBdr>
        <w:top w:val="none" w:sz="0" w:space="0" w:color="auto"/>
        <w:left w:val="none" w:sz="0" w:space="0" w:color="auto"/>
        <w:bottom w:val="none" w:sz="0" w:space="0" w:color="auto"/>
        <w:right w:val="none" w:sz="0" w:space="0" w:color="auto"/>
      </w:divBdr>
      <w:divsChild>
        <w:div w:id="1180654326">
          <w:marLeft w:val="640"/>
          <w:marRight w:val="0"/>
          <w:marTop w:val="0"/>
          <w:marBottom w:val="0"/>
          <w:divBdr>
            <w:top w:val="none" w:sz="0" w:space="0" w:color="auto"/>
            <w:left w:val="none" w:sz="0" w:space="0" w:color="auto"/>
            <w:bottom w:val="none" w:sz="0" w:space="0" w:color="auto"/>
            <w:right w:val="none" w:sz="0" w:space="0" w:color="auto"/>
          </w:divBdr>
        </w:div>
        <w:div w:id="1199464903">
          <w:marLeft w:val="640"/>
          <w:marRight w:val="0"/>
          <w:marTop w:val="0"/>
          <w:marBottom w:val="0"/>
          <w:divBdr>
            <w:top w:val="none" w:sz="0" w:space="0" w:color="auto"/>
            <w:left w:val="none" w:sz="0" w:space="0" w:color="auto"/>
            <w:bottom w:val="none" w:sz="0" w:space="0" w:color="auto"/>
            <w:right w:val="none" w:sz="0" w:space="0" w:color="auto"/>
          </w:divBdr>
        </w:div>
        <w:div w:id="1503547830">
          <w:marLeft w:val="640"/>
          <w:marRight w:val="0"/>
          <w:marTop w:val="0"/>
          <w:marBottom w:val="0"/>
          <w:divBdr>
            <w:top w:val="none" w:sz="0" w:space="0" w:color="auto"/>
            <w:left w:val="none" w:sz="0" w:space="0" w:color="auto"/>
            <w:bottom w:val="none" w:sz="0" w:space="0" w:color="auto"/>
            <w:right w:val="none" w:sz="0" w:space="0" w:color="auto"/>
          </w:divBdr>
        </w:div>
        <w:div w:id="2107604982">
          <w:marLeft w:val="640"/>
          <w:marRight w:val="0"/>
          <w:marTop w:val="0"/>
          <w:marBottom w:val="0"/>
          <w:divBdr>
            <w:top w:val="none" w:sz="0" w:space="0" w:color="auto"/>
            <w:left w:val="none" w:sz="0" w:space="0" w:color="auto"/>
            <w:bottom w:val="none" w:sz="0" w:space="0" w:color="auto"/>
            <w:right w:val="none" w:sz="0" w:space="0" w:color="auto"/>
          </w:divBdr>
        </w:div>
        <w:div w:id="1827165181">
          <w:marLeft w:val="640"/>
          <w:marRight w:val="0"/>
          <w:marTop w:val="0"/>
          <w:marBottom w:val="0"/>
          <w:divBdr>
            <w:top w:val="none" w:sz="0" w:space="0" w:color="auto"/>
            <w:left w:val="none" w:sz="0" w:space="0" w:color="auto"/>
            <w:bottom w:val="none" w:sz="0" w:space="0" w:color="auto"/>
            <w:right w:val="none" w:sz="0" w:space="0" w:color="auto"/>
          </w:divBdr>
        </w:div>
        <w:div w:id="1066104578">
          <w:marLeft w:val="640"/>
          <w:marRight w:val="0"/>
          <w:marTop w:val="0"/>
          <w:marBottom w:val="0"/>
          <w:divBdr>
            <w:top w:val="none" w:sz="0" w:space="0" w:color="auto"/>
            <w:left w:val="none" w:sz="0" w:space="0" w:color="auto"/>
            <w:bottom w:val="none" w:sz="0" w:space="0" w:color="auto"/>
            <w:right w:val="none" w:sz="0" w:space="0" w:color="auto"/>
          </w:divBdr>
        </w:div>
        <w:div w:id="460421682">
          <w:marLeft w:val="640"/>
          <w:marRight w:val="0"/>
          <w:marTop w:val="0"/>
          <w:marBottom w:val="0"/>
          <w:divBdr>
            <w:top w:val="none" w:sz="0" w:space="0" w:color="auto"/>
            <w:left w:val="none" w:sz="0" w:space="0" w:color="auto"/>
            <w:bottom w:val="none" w:sz="0" w:space="0" w:color="auto"/>
            <w:right w:val="none" w:sz="0" w:space="0" w:color="auto"/>
          </w:divBdr>
        </w:div>
        <w:div w:id="128743290">
          <w:marLeft w:val="640"/>
          <w:marRight w:val="0"/>
          <w:marTop w:val="0"/>
          <w:marBottom w:val="0"/>
          <w:divBdr>
            <w:top w:val="none" w:sz="0" w:space="0" w:color="auto"/>
            <w:left w:val="none" w:sz="0" w:space="0" w:color="auto"/>
            <w:bottom w:val="none" w:sz="0" w:space="0" w:color="auto"/>
            <w:right w:val="none" w:sz="0" w:space="0" w:color="auto"/>
          </w:divBdr>
        </w:div>
        <w:div w:id="866407600">
          <w:marLeft w:val="640"/>
          <w:marRight w:val="0"/>
          <w:marTop w:val="0"/>
          <w:marBottom w:val="0"/>
          <w:divBdr>
            <w:top w:val="none" w:sz="0" w:space="0" w:color="auto"/>
            <w:left w:val="none" w:sz="0" w:space="0" w:color="auto"/>
            <w:bottom w:val="none" w:sz="0" w:space="0" w:color="auto"/>
            <w:right w:val="none" w:sz="0" w:space="0" w:color="auto"/>
          </w:divBdr>
        </w:div>
        <w:div w:id="1399742525">
          <w:marLeft w:val="640"/>
          <w:marRight w:val="0"/>
          <w:marTop w:val="0"/>
          <w:marBottom w:val="0"/>
          <w:divBdr>
            <w:top w:val="none" w:sz="0" w:space="0" w:color="auto"/>
            <w:left w:val="none" w:sz="0" w:space="0" w:color="auto"/>
            <w:bottom w:val="none" w:sz="0" w:space="0" w:color="auto"/>
            <w:right w:val="none" w:sz="0" w:space="0" w:color="auto"/>
          </w:divBdr>
        </w:div>
        <w:div w:id="763189375">
          <w:marLeft w:val="640"/>
          <w:marRight w:val="0"/>
          <w:marTop w:val="0"/>
          <w:marBottom w:val="0"/>
          <w:divBdr>
            <w:top w:val="none" w:sz="0" w:space="0" w:color="auto"/>
            <w:left w:val="none" w:sz="0" w:space="0" w:color="auto"/>
            <w:bottom w:val="none" w:sz="0" w:space="0" w:color="auto"/>
            <w:right w:val="none" w:sz="0" w:space="0" w:color="auto"/>
          </w:divBdr>
        </w:div>
        <w:div w:id="1532843680">
          <w:marLeft w:val="640"/>
          <w:marRight w:val="0"/>
          <w:marTop w:val="0"/>
          <w:marBottom w:val="0"/>
          <w:divBdr>
            <w:top w:val="none" w:sz="0" w:space="0" w:color="auto"/>
            <w:left w:val="none" w:sz="0" w:space="0" w:color="auto"/>
            <w:bottom w:val="none" w:sz="0" w:space="0" w:color="auto"/>
            <w:right w:val="none" w:sz="0" w:space="0" w:color="auto"/>
          </w:divBdr>
        </w:div>
      </w:divsChild>
    </w:div>
    <w:div w:id="1791513868">
      <w:bodyDiv w:val="1"/>
      <w:marLeft w:val="0"/>
      <w:marRight w:val="0"/>
      <w:marTop w:val="0"/>
      <w:marBottom w:val="0"/>
      <w:divBdr>
        <w:top w:val="none" w:sz="0" w:space="0" w:color="auto"/>
        <w:left w:val="none" w:sz="0" w:space="0" w:color="auto"/>
        <w:bottom w:val="none" w:sz="0" w:space="0" w:color="auto"/>
        <w:right w:val="none" w:sz="0" w:space="0" w:color="auto"/>
      </w:divBdr>
      <w:divsChild>
        <w:div w:id="1550796871">
          <w:marLeft w:val="640"/>
          <w:marRight w:val="0"/>
          <w:marTop w:val="0"/>
          <w:marBottom w:val="0"/>
          <w:divBdr>
            <w:top w:val="none" w:sz="0" w:space="0" w:color="auto"/>
            <w:left w:val="none" w:sz="0" w:space="0" w:color="auto"/>
            <w:bottom w:val="none" w:sz="0" w:space="0" w:color="auto"/>
            <w:right w:val="none" w:sz="0" w:space="0" w:color="auto"/>
          </w:divBdr>
        </w:div>
        <w:div w:id="1363701548">
          <w:marLeft w:val="640"/>
          <w:marRight w:val="0"/>
          <w:marTop w:val="0"/>
          <w:marBottom w:val="0"/>
          <w:divBdr>
            <w:top w:val="none" w:sz="0" w:space="0" w:color="auto"/>
            <w:left w:val="none" w:sz="0" w:space="0" w:color="auto"/>
            <w:bottom w:val="none" w:sz="0" w:space="0" w:color="auto"/>
            <w:right w:val="none" w:sz="0" w:space="0" w:color="auto"/>
          </w:divBdr>
        </w:div>
        <w:div w:id="855853371">
          <w:marLeft w:val="640"/>
          <w:marRight w:val="0"/>
          <w:marTop w:val="0"/>
          <w:marBottom w:val="0"/>
          <w:divBdr>
            <w:top w:val="none" w:sz="0" w:space="0" w:color="auto"/>
            <w:left w:val="none" w:sz="0" w:space="0" w:color="auto"/>
            <w:bottom w:val="none" w:sz="0" w:space="0" w:color="auto"/>
            <w:right w:val="none" w:sz="0" w:space="0" w:color="auto"/>
          </w:divBdr>
        </w:div>
        <w:div w:id="1002587719">
          <w:marLeft w:val="640"/>
          <w:marRight w:val="0"/>
          <w:marTop w:val="0"/>
          <w:marBottom w:val="0"/>
          <w:divBdr>
            <w:top w:val="none" w:sz="0" w:space="0" w:color="auto"/>
            <w:left w:val="none" w:sz="0" w:space="0" w:color="auto"/>
            <w:bottom w:val="none" w:sz="0" w:space="0" w:color="auto"/>
            <w:right w:val="none" w:sz="0" w:space="0" w:color="auto"/>
          </w:divBdr>
        </w:div>
        <w:div w:id="2100903187">
          <w:marLeft w:val="640"/>
          <w:marRight w:val="0"/>
          <w:marTop w:val="0"/>
          <w:marBottom w:val="0"/>
          <w:divBdr>
            <w:top w:val="none" w:sz="0" w:space="0" w:color="auto"/>
            <w:left w:val="none" w:sz="0" w:space="0" w:color="auto"/>
            <w:bottom w:val="none" w:sz="0" w:space="0" w:color="auto"/>
            <w:right w:val="none" w:sz="0" w:space="0" w:color="auto"/>
          </w:divBdr>
        </w:div>
        <w:div w:id="1990278566">
          <w:marLeft w:val="640"/>
          <w:marRight w:val="0"/>
          <w:marTop w:val="0"/>
          <w:marBottom w:val="0"/>
          <w:divBdr>
            <w:top w:val="none" w:sz="0" w:space="0" w:color="auto"/>
            <w:left w:val="none" w:sz="0" w:space="0" w:color="auto"/>
            <w:bottom w:val="none" w:sz="0" w:space="0" w:color="auto"/>
            <w:right w:val="none" w:sz="0" w:space="0" w:color="auto"/>
          </w:divBdr>
        </w:div>
        <w:div w:id="1958096884">
          <w:marLeft w:val="640"/>
          <w:marRight w:val="0"/>
          <w:marTop w:val="0"/>
          <w:marBottom w:val="0"/>
          <w:divBdr>
            <w:top w:val="none" w:sz="0" w:space="0" w:color="auto"/>
            <w:left w:val="none" w:sz="0" w:space="0" w:color="auto"/>
            <w:bottom w:val="none" w:sz="0" w:space="0" w:color="auto"/>
            <w:right w:val="none" w:sz="0" w:space="0" w:color="auto"/>
          </w:divBdr>
        </w:div>
        <w:div w:id="1850563159">
          <w:marLeft w:val="640"/>
          <w:marRight w:val="0"/>
          <w:marTop w:val="0"/>
          <w:marBottom w:val="0"/>
          <w:divBdr>
            <w:top w:val="none" w:sz="0" w:space="0" w:color="auto"/>
            <w:left w:val="none" w:sz="0" w:space="0" w:color="auto"/>
            <w:bottom w:val="none" w:sz="0" w:space="0" w:color="auto"/>
            <w:right w:val="none" w:sz="0" w:space="0" w:color="auto"/>
          </w:divBdr>
        </w:div>
        <w:div w:id="1779527346">
          <w:marLeft w:val="640"/>
          <w:marRight w:val="0"/>
          <w:marTop w:val="0"/>
          <w:marBottom w:val="0"/>
          <w:divBdr>
            <w:top w:val="none" w:sz="0" w:space="0" w:color="auto"/>
            <w:left w:val="none" w:sz="0" w:space="0" w:color="auto"/>
            <w:bottom w:val="none" w:sz="0" w:space="0" w:color="auto"/>
            <w:right w:val="none" w:sz="0" w:space="0" w:color="auto"/>
          </w:divBdr>
        </w:div>
        <w:div w:id="765535840">
          <w:marLeft w:val="640"/>
          <w:marRight w:val="0"/>
          <w:marTop w:val="0"/>
          <w:marBottom w:val="0"/>
          <w:divBdr>
            <w:top w:val="none" w:sz="0" w:space="0" w:color="auto"/>
            <w:left w:val="none" w:sz="0" w:space="0" w:color="auto"/>
            <w:bottom w:val="none" w:sz="0" w:space="0" w:color="auto"/>
            <w:right w:val="none" w:sz="0" w:space="0" w:color="auto"/>
          </w:divBdr>
        </w:div>
        <w:div w:id="230577109">
          <w:marLeft w:val="640"/>
          <w:marRight w:val="0"/>
          <w:marTop w:val="0"/>
          <w:marBottom w:val="0"/>
          <w:divBdr>
            <w:top w:val="none" w:sz="0" w:space="0" w:color="auto"/>
            <w:left w:val="none" w:sz="0" w:space="0" w:color="auto"/>
            <w:bottom w:val="none" w:sz="0" w:space="0" w:color="auto"/>
            <w:right w:val="none" w:sz="0" w:space="0" w:color="auto"/>
          </w:divBdr>
        </w:div>
        <w:div w:id="176695490">
          <w:marLeft w:val="640"/>
          <w:marRight w:val="0"/>
          <w:marTop w:val="0"/>
          <w:marBottom w:val="0"/>
          <w:divBdr>
            <w:top w:val="none" w:sz="0" w:space="0" w:color="auto"/>
            <w:left w:val="none" w:sz="0" w:space="0" w:color="auto"/>
            <w:bottom w:val="none" w:sz="0" w:space="0" w:color="auto"/>
            <w:right w:val="none" w:sz="0" w:space="0" w:color="auto"/>
          </w:divBdr>
        </w:div>
        <w:div w:id="1200315834">
          <w:marLeft w:val="640"/>
          <w:marRight w:val="0"/>
          <w:marTop w:val="0"/>
          <w:marBottom w:val="0"/>
          <w:divBdr>
            <w:top w:val="none" w:sz="0" w:space="0" w:color="auto"/>
            <w:left w:val="none" w:sz="0" w:space="0" w:color="auto"/>
            <w:bottom w:val="none" w:sz="0" w:space="0" w:color="auto"/>
            <w:right w:val="none" w:sz="0" w:space="0" w:color="auto"/>
          </w:divBdr>
        </w:div>
      </w:divsChild>
    </w:div>
    <w:div w:id="1837264301">
      <w:bodyDiv w:val="1"/>
      <w:marLeft w:val="0"/>
      <w:marRight w:val="0"/>
      <w:marTop w:val="0"/>
      <w:marBottom w:val="0"/>
      <w:divBdr>
        <w:top w:val="none" w:sz="0" w:space="0" w:color="auto"/>
        <w:left w:val="none" w:sz="0" w:space="0" w:color="auto"/>
        <w:bottom w:val="none" w:sz="0" w:space="0" w:color="auto"/>
        <w:right w:val="none" w:sz="0" w:space="0" w:color="auto"/>
      </w:divBdr>
      <w:divsChild>
        <w:div w:id="1092970223">
          <w:marLeft w:val="640"/>
          <w:marRight w:val="0"/>
          <w:marTop w:val="0"/>
          <w:marBottom w:val="0"/>
          <w:divBdr>
            <w:top w:val="none" w:sz="0" w:space="0" w:color="auto"/>
            <w:left w:val="none" w:sz="0" w:space="0" w:color="auto"/>
            <w:bottom w:val="none" w:sz="0" w:space="0" w:color="auto"/>
            <w:right w:val="none" w:sz="0" w:space="0" w:color="auto"/>
          </w:divBdr>
        </w:div>
        <w:div w:id="447892999">
          <w:marLeft w:val="640"/>
          <w:marRight w:val="0"/>
          <w:marTop w:val="0"/>
          <w:marBottom w:val="0"/>
          <w:divBdr>
            <w:top w:val="none" w:sz="0" w:space="0" w:color="auto"/>
            <w:left w:val="none" w:sz="0" w:space="0" w:color="auto"/>
            <w:bottom w:val="none" w:sz="0" w:space="0" w:color="auto"/>
            <w:right w:val="none" w:sz="0" w:space="0" w:color="auto"/>
          </w:divBdr>
        </w:div>
        <w:div w:id="1592158008">
          <w:marLeft w:val="640"/>
          <w:marRight w:val="0"/>
          <w:marTop w:val="0"/>
          <w:marBottom w:val="0"/>
          <w:divBdr>
            <w:top w:val="none" w:sz="0" w:space="0" w:color="auto"/>
            <w:left w:val="none" w:sz="0" w:space="0" w:color="auto"/>
            <w:bottom w:val="none" w:sz="0" w:space="0" w:color="auto"/>
            <w:right w:val="none" w:sz="0" w:space="0" w:color="auto"/>
          </w:divBdr>
        </w:div>
        <w:div w:id="1308243624">
          <w:marLeft w:val="640"/>
          <w:marRight w:val="0"/>
          <w:marTop w:val="0"/>
          <w:marBottom w:val="0"/>
          <w:divBdr>
            <w:top w:val="none" w:sz="0" w:space="0" w:color="auto"/>
            <w:left w:val="none" w:sz="0" w:space="0" w:color="auto"/>
            <w:bottom w:val="none" w:sz="0" w:space="0" w:color="auto"/>
            <w:right w:val="none" w:sz="0" w:space="0" w:color="auto"/>
          </w:divBdr>
        </w:div>
        <w:div w:id="1774282866">
          <w:marLeft w:val="640"/>
          <w:marRight w:val="0"/>
          <w:marTop w:val="0"/>
          <w:marBottom w:val="0"/>
          <w:divBdr>
            <w:top w:val="none" w:sz="0" w:space="0" w:color="auto"/>
            <w:left w:val="none" w:sz="0" w:space="0" w:color="auto"/>
            <w:bottom w:val="none" w:sz="0" w:space="0" w:color="auto"/>
            <w:right w:val="none" w:sz="0" w:space="0" w:color="auto"/>
          </w:divBdr>
        </w:div>
        <w:div w:id="1783645251">
          <w:marLeft w:val="640"/>
          <w:marRight w:val="0"/>
          <w:marTop w:val="0"/>
          <w:marBottom w:val="0"/>
          <w:divBdr>
            <w:top w:val="none" w:sz="0" w:space="0" w:color="auto"/>
            <w:left w:val="none" w:sz="0" w:space="0" w:color="auto"/>
            <w:bottom w:val="none" w:sz="0" w:space="0" w:color="auto"/>
            <w:right w:val="none" w:sz="0" w:space="0" w:color="auto"/>
          </w:divBdr>
        </w:div>
        <w:div w:id="1179151833">
          <w:marLeft w:val="640"/>
          <w:marRight w:val="0"/>
          <w:marTop w:val="0"/>
          <w:marBottom w:val="0"/>
          <w:divBdr>
            <w:top w:val="none" w:sz="0" w:space="0" w:color="auto"/>
            <w:left w:val="none" w:sz="0" w:space="0" w:color="auto"/>
            <w:bottom w:val="none" w:sz="0" w:space="0" w:color="auto"/>
            <w:right w:val="none" w:sz="0" w:space="0" w:color="auto"/>
          </w:divBdr>
        </w:div>
        <w:div w:id="659848385">
          <w:marLeft w:val="640"/>
          <w:marRight w:val="0"/>
          <w:marTop w:val="0"/>
          <w:marBottom w:val="0"/>
          <w:divBdr>
            <w:top w:val="none" w:sz="0" w:space="0" w:color="auto"/>
            <w:left w:val="none" w:sz="0" w:space="0" w:color="auto"/>
            <w:bottom w:val="none" w:sz="0" w:space="0" w:color="auto"/>
            <w:right w:val="none" w:sz="0" w:space="0" w:color="auto"/>
          </w:divBdr>
        </w:div>
        <w:div w:id="1399746478">
          <w:marLeft w:val="640"/>
          <w:marRight w:val="0"/>
          <w:marTop w:val="0"/>
          <w:marBottom w:val="0"/>
          <w:divBdr>
            <w:top w:val="none" w:sz="0" w:space="0" w:color="auto"/>
            <w:left w:val="none" w:sz="0" w:space="0" w:color="auto"/>
            <w:bottom w:val="none" w:sz="0" w:space="0" w:color="auto"/>
            <w:right w:val="none" w:sz="0" w:space="0" w:color="auto"/>
          </w:divBdr>
        </w:div>
        <w:div w:id="965544336">
          <w:marLeft w:val="640"/>
          <w:marRight w:val="0"/>
          <w:marTop w:val="0"/>
          <w:marBottom w:val="0"/>
          <w:divBdr>
            <w:top w:val="none" w:sz="0" w:space="0" w:color="auto"/>
            <w:left w:val="none" w:sz="0" w:space="0" w:color="auto"/>
            <w:bottom w:val="none" w:sz="0" w:space="0" w:color="auto"/>
            <w:right w:val="none" w:sz="0" w:space="0" w:color="auto"/>
          </w:divBdr>
        </w:div>
        <w:div w:id="1616786983">
          <w:marLeft w:val="640"/>
          <w:marRight w:val="0"/>
          <w:marTop w:val="0"/>
          <w:marBottom w:val="0"/>
          <w:divBdr>
            <w:top w:val="none" w:sz="0" w:space="0" w:color="auto"/>
            <w:left w:val="none" w:sz="0" w:space="0" w:color="auto"/>
            <w:bottom w:val="none" w:sz="0" w:space="0" w:color="auto"/>
            <w:right w:val="none" w:sz="0" w:space="0" w:color="auto"/>
          </w:divBdr>
        </w:div>
        <w:div w:id="1675454750">
          <w:marLeft w:val="640"/>
          <w:marRight w:val="0"/>
          <w:marTop w:val="0"/>
          <w:marBottom w:val="0"/>
          <w:divBdr>
            <w:top w:val="none" w:sz="0" w:space="0" w:color="auto"/>
            <w:left w:val="none" w:sz="0" w:space="0" w:color="auto"/>
            <w:bottom w:val="none" w:sz="0" w:space="0" w:color="auto"/>
            <w:right w:val="none" w:sz="0" w:space="0" w:color="auto"/>
          </w:divBdr>
        </w:div>
        <w:div w:id="196937816">
          <w:marLeft w:val="640"/>
          <w:marRight w:val="0"/>
          <w:marTop w:val="0"/>
          <w:marBottom w:val="0"/>
          <w:divBdr>
            <w:top w:val="none" w:sz="0" w:space="0" w:color="auto"/>
            <w:left w:val="none" w:sz="0" w:space="0" w:color="auto"/>
            <w:bottom w:val="none" w:sz="0" w:space="0" w:color="auto"/>
            <w:right w:val="none" w:sz="0" w:space="0" w:color="auto"/>
          </w:divBdr>
        </w:div>
        <w:div w:id="1457942162">
          <w:marLeft w:val="640"/>
          <w:marRight w:val="0"/>
          <w:marTop w:val="0"/>
          <w:marBottom w:val="0"/>
          <w:divBdr>
            <w:top w:val="none" w:sz="0" w:space="0" w:color="auto"/>
            <w:left w:val="none" w:sz="0" w:space="0" w:color="auto"/>
            <w:bottom w:val="none" w:sz="0" w:space="0" w:color="auto"/>
            <w:right w:val="none" w:sz="0" w:space="0" w:color="auto"/>
          </w:divBdr>
        </w:div>
        <w:div w:id="1514487919">
          <w:marLeft w:val="640"/>
          <w:marRight w:val="0"/>
          <w:marTop w:val="0"/>
          <w:marBottom w:val="0"/>
          <w:divBdr>
            <w:top w:val="none" w:sz="0" w:space="0" w:color="auto"/>
            <w:left w:val="none" w:sz="0" w:space="0" w:color="auto"/>
            <w:bottom w:val="none" w:sz="0" w:space="0" w:color="auto"/>
            <w:right w:val="none" w:sz="0" w:space="0" w:color="auto"/>
          </w:divBdr>
        </w:div>
      </w:divsChild>
    </w:div>
    <w:div w:id="2114469173">
      <w:bodyDiv w:val="1"/>
      <w:marLeft w:val="0"/>
      <w:marRight w:val="0"/>
      <w:marTop w:val="0"/>
      <w:marBottom w:val="0"/>
      <w:divBdr>
        <w:top w:val="none" w:sz="0" w:space="0" w:color="auto"/>
        <w:left w:val="none" w:sz="0" w:space="0" w:color="auto"/>
        <w:bottom w:val="none" w:sz="0" w:space="0" w:color="auto"/>
        <w:right w:val="none" w:sz="0" w:space="0" w:color="auto"/>
      </w:divBdr>
      <w:divsChild>
        <w:div w:id="2094082579">
          <w:marLeft w:val="640"/>
          <w:marRight w:val="0"/>
          <w:marTop w:val="0"/>
          <w:marBottom w:val="0"/>
          <w:divBdr>
            <w:top w:val="none" w:sz="0" w:space="0" w:color="auto"/>
            <w:left w:val="none" w:sz="0" w:space="0" w:color="auto"/>
            <w:bottom w:val="none" w:sz="0" w:space="0" w:color="auto"/>
            <w:right w:val="none" w:sz="0" w:space="0" w:color="auto"/>
          </w:divBdr>
        </w:div>
        <w:div w:id="293830480">
          <w:marLeft w:val="640"/>
          <w:marRight w:val="0"/>
          <w:marTop w:val="0"/>
          <w:marBottom w:val="0"/>
          <w:divBdr>
            <w:top w:val="none" w:sz="0" w:space="0" w:color="auto"/>
            <w:left w:val="none" w:sz="0" w:space="0" w:color="auto"/>
            <w:bottom w:val="none" w:sz="0" w:space="0" w:color="auto"/>
            <w:right w:val="none" w:sz="0" w:space="0" w:color="auto"/>
          </w:divBdr>
        </w:div>
        <w:div w:id="2016957583">
          <w:marLeft w:val="640"/>
          <w:marRight w:val="0"/>
          <w:marTop w:val="0"/>
          <w:marBottom w:val="0"/>
          <w:divBdr>
            <w:top w:val="none" w:sz="0" w:space="0" w:color="auto"/>
            <w:left w:val="none" w:sz="0" w:space="0" w:color="auto"/>
            <w:bottom w:val="none" w:sz="0" w:space="0" w:color="auto"/>
            <w:right w:val="none" w:sz="0" w:space="0" w:color="auto"/>
          </w:divBdr>
        </w:div>
        <w:div w:id="527329821">
          <w:marLeft w:val="640"/>
          <w:marRight w:val="0"/>
          <w:marTop w:val="0"/>
          <w:marBottom w:val="0"/>
          <w:divBdr>
            <w:top w:val="none" w:sz="0" w:space="0" w:color="auto"/>
            <w:left w:val="none" w:sz="0" w:space="0" w:color="auto"/>
            <w:bottom w:val="none" w:sz="0" w:space="0" w:color="auto"/>
            <w:right w:val="none" w:sz="0" w:space="0" w:color="auto"/>
          </w:divBdr>
        </w:div>
        <w:div w:id="519586910">
          <w:marLeft w:val="640"/>
          <w:marRight w:val="0"/>
          <w:marTop w:val="0"/>
          <w:marBottom w:val="0"/>
          <w:divBdr>
            <w:top w:val="none" w:sz="0" w:space="0" w:color="auto"/>
            <w:left w:val="none" w:sz="0" w:space="0" w:color="auto"/>
            <w:bottom w:val="none" w:sz="0" w:space="0" w:color="auto"/>
            <w:right w:val="none" w:sz="0" w:space="0" w:color="auto"/>
          </w:divBdr>
        </w:div>
        <w:div w:id="475533502">
          <w:marLeft w:val="640"/>
          <w:marRight w:val="0"/>
          <w:marTop w:val="0"/>
          <w:marBottom w:val="0"/>
          <w:divBdr>
            <w:top w:val="none" w:sz="0" w:space="0" w:color="auto"/>
            <w:left w:val="none" w:sz="0" w:space="0" w:color="auto"/>
            <w:bottom w:val="none" w:sz="0" w:space="0" w:color="auto"/>
            <w:right w:val="none" w:sz="0" w:space="0" w:color="auto"/>
          </w:divBdr>
        </w:div>
        <w:div w:id="835925132">
          <w:marLeft w:val="640"/>
          <w:marRight w:val="0"/>
          <w:marTop w:val="0"/>
          <w:marBottom w:val="0"/>
          <w:divBdr>
            <w:top w:val="none" w:sz="0" w:space="0" w:color="auto"/>
            <w:left w:val="none" w:sz="0" w:space="0" w:color="auto"/>
            <w:bottom w:val="none" w:sz="0" w:space="0" w:color="auto"/>
            <w:right w:val="none" w:sz="0" w:space="0" w:color="auto"/>
          </w:divBdr>
        </w:div>
        <w:div w:id="83040233">
          <w:marLeft w:val="640"/>
          <w:marRight w:val="0"/>
          <w:marTop w:val="0"/>
          <w:marBottom w:val="0"/>
          <w:divBdr>
            <w:top w:val="none" w:sz="0" w:space="0" w:color="auto"/>
            <w:left w:val="none" w:sz="0" w:space="0" w:color="auto"/>
            <w:bottom w:val="none" w:sz="0" w:space="0" w:color="auto"/>
            <w:right w:val="none" w:sz="0" w:space="0" w:color="auto"/>
          </w:divBdr>
        </w:div>
        <w:div w:id="1907035592">
          <w:marLeft w:val="640"/>
          <w:marRight w:val="0"/>
          <w:marTop w:val="0"/>
          <w:marBottom w:val="0"/>
          <w:divBdr>
            <w:top w:val="none" w:sz="0" w:space="0" w:color="auto"/>
            <w:left w:val="none" w:sz="0" w:space="0" w:color="auto"/>
            <w:bottom w:val="none" w:sz="0" w:space="0" w:color="auto"/>
            <w:right w:val="none" w:sz="0" w:space="0" w:color="auto"/>
          </w:divBdr>
        </w:div>
        <w:div w:id="600576604">
          <w:marLeft w:val="640"/>
          <w:marRight w:val="0"/>
          <w:marTop w:val="0"/>
          <w:marBottom w:val="0"/>
          <w:divBdr>
            <w:top w:val="none" w:sz="0" w:space="0" w:color="auto"/>
            <w:left w:val="none" w:sz="0" w:space="0" w:color="auto"/>
            <w:bottom w:val="none" w:sz="0" w:space="0" w:color="auto"/>
            <w:right w:val="none" w:sz="0" w:space="0" w:color="auto"/>
          </w:divBdr>
        </w:div>
        <w:div w:id="2005014511">
          <w:marLeft w:val="640"/>
          <w:marRight w:val="0"/>
          <w:marTop w:val="0"/>
          <w:marBottom w:val="0"/>
          <w:divBdr>
            <w:top w:val="none" w:sz="0" w:space="0" w:color="auto"/>
            <w:left w:val="none" w:sz="0" w:space="0" w:color="auto"/>
            <w:bottom w:val="none" w:sz="0" w:space="0" w:color="auto"/>
            <w:right w:val="none" w:sz="0" w:space="0" w:color="auto"/>
          </w:divBdr>
        </w:div>
        <w:div w:id="79286951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ce.dobbie@kc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A0983B0C409849B120A2C0C80F4EE6"/>
        <w:category>
          <w:name w:val="General"/>
          <w:gallery w:val="placeholder"/>
        </w:category>
        <w:types>
          <w:type w:val="bbPlcHdr"/>
        </w:types>
        <w:behaviors>
          <w:behavior w:val="content"/>
        </w:behaviors>
        <w:guid w:val="{FF2B71D5-0E16-0F43-BB4C-9368DC40E5C5}"/>
      </w:docPartPr>
      <w:docPartBody>
        <w:p w:rsidR="009F5603" w:rsidRDefault="0023168E" w:rsidP="0023168E">
          <w:pPr>
            <w:pStyle w:val="D6A0983B0C409849B120A2C0C80F4EE6"/>
          </w:pPr>
          <w:r w:rsidRPr="00E420DA">
            <w:rPr>
              <w:rStyle w:val="PlaceholderText"/>
            </w:rPr>
            <w:t>Click or tap here to enter text.</w:t>
          </w:r>
        </w:p>
      </w:docPartBody>
    </w:docPart>
    <w:docPart>
      <w:docPartPr>
        <w:name w:val="705514F0F26DA04C928B36375882E813"/>
        <w:category>
          <w:name w:val="General"/>
          <w:gallery w:val="placeholder"/>
        </w:category>
        <w:types>
          <w:type w:val="bbPlcHdr"/>
        </w:types>
        <w:behaviors>
          <w:behavior w:val="content"/>
        </w:behaviors>
        <w:guid w:val="{DD88CD07-0AE8-C54E-A16E-5EFD185CD8E0}"/>
      </w:docPartPr>
      <w:docPartBody>
        <w:p w:rsidR="009F5603" w:rsidRDefault="0023168E" w:rsidP="0023168E">
          <w:pPr>
            <w:pStyle w:val="705514F0F26DA04C928B36375882E813"/>
          </w:pPr>
          <w:r w:rsidRPr="00E420D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9D29408-ECC8-8B42-A6EB-58AFB6B9231B}"/>
      </w:docPartPr>
      <w:docPartBody>
        <w:p w:rsidR="009F5603" w:rsidRDefault="0023168E">
          <w:r w:rsidRPr="00587AC6">
            <w:rPr>
              <w:rStyle w:val="PlaceholderText"/>
            </w:rPr>
            <w:t>Click or tap here to enter text.</w:t>
          </w:r>
        </w:p>
      </w:docPartBody>
    </w:docPart>
    <w:docPart>
      <w:docPartPr>
        <w:name w:val="08D96023B787BC49A5A19CA0DA95E6A6"/>
        <w:category>
          <w:name w:val="General"/>
          <w:gallery w:val="placeholder"/>
        </w:category>
        <w:types>
          <w:type w:val="bbPlcHdr"/>
        </w:types>
        <w:behaviors>
          <w:behavior w:val="content"/>
        </w:behaviors>
        <w:guid w:val="{BA54CBBB-AAD8-8B43-9FA9-4A9E12433EFE}"/>
      </w:docPartPr>
      <w:docPartBody>
        <w:p w:rsidR="009F5603" w:rsidRDefault="0023168E" w:rsidP="0023168E">
          <w:pPr>
            <w:pStyle w:val="08D96023B787BC49A5A19CA0DA95E6A6"/>
          </w:pPr>
          <w:r w:rsidRPr="00E420DA">
            <w:rPr>
              <w:rStyle w:val="PlaceholderText"/>
            </w:rPr>
            <w:t>Click or tap here to enter text.</w:t>
          </w:r>
        </w:p>
      </w:docPartBody>
    </w:docPart>
    <w:docPart>
      <w:docPartPr>
        <w:name w:val="0ECA34065137394D895E297F7826B914"/>
        <w:category>
          <w:name w:val="General"/>
          <w:gallery w:val="placeholder"/>
        </w:category>
        <w:types>
          <w:type w:val="bbPlcHdr"/>
        </w:types>
        <w:behaviors>
          <w:behavior w:val="content"/>
        </w:behaviors>
        <w:guid w:val="{B877E427-4946-FB4E-8419-EDD8853625DE}"/>
      </w:docPartPr>
      <w:docPartBody>
        <w:p w:rsidR="009F5603" w:rsidRDefault="0023168E" w:rsidP="0023168E">
          <w:pPr>
            <w:pStyle w:val="0ECA34065137394D895E297F7826B914"/>
          </w:pPr>
          <w:r w:rsidRPr="00E420DA">
            <w:rPr>
              <w:rStyle w:val="PlaceholderText"/>
            </w:rPr>
            <w:t>Click or tap here to enter text.</w:t>
          </w:r>
        </w:p>
      </w:docPartBody>
    </w:docPart>
    <w:docPart>
      <w:docPartPr>
        <w:name w:val="0EEF0C6F9BFC3B4694F549813524E236"/>
        <w:category>
          <w:name w:val="General"/>
          <w:gallery w:val="placeholder"/>
        </w:category>
        <w:types>
          <w:type w:val="bbPlcHdr"/>
        </w:types>
        <w:behaviors>
          <w:behavior w:val="content"/>
        </w:behaviors>
        <w:guid w:val="{956F1722-F889-2941-B92E-292253576FD9}"/>
      </w:docPartPr>
      <w:docPartBody>
        <w:p w:rsidR="009F5603" w:rsidRDefault="0023168E" w:rsidP="0023168E">
          <w:pPr>
            <w:pStyle w:val="0EEF0C6F9BFC3B4694F549813524E236"/>
          </w:pPr>
          <w:r w:rsidRPr="00587AC6">
            <w:rPr>
              <w:rStyle w:val="PlaceholderText"/>
            </w:rPr>
            <w:t>Click or tap here to enter text.</w:t>
          </w:r>
        </w:p>
      </w:docPartBody>
    </w:docPart>
    <w:docPart>
      <w:docPartPr>
        <w:name w:val="CB76B2BA52453F48858C28DA41056205"/>
        <w:category>
          <w:name w:val="General"/>
          <w:gallery w:val="placeholder"/>
        </w:category>
        <w:types>
          <w:type w:val="bbPlcHdr"/>
        </w:types>
        <w:behaviors>
          <w:behavior w:val="content"/>
        </w:behaviors>
        <w:guid w:val="{560DF98A-A9AE-9E4A-9469-B14E319A80D2}"/>
      </w:docPartPr>
      <w:docPartBody>
        <w:p w:rsidR="009F5603" w:rsidRDefault="0023168E" w:rsidP="0023168E">
          <w:pPr>
            <w:pStyle w:val="CB76B2BA52453F48858C28DA41056205"/>
          </w:pPr>
          <w:r w:rsidRPr="00587AC6">
            <w:rPr>
              <w:rStyle w:val="PlaceholderText"/>
            </w:rPr>
            <w:t>Click or tap here to enter text.</w:t>
          </w:r>
        </w:p>
      </w:docPartBody>
    </w:docPart>
    <w:docPart>
      <w:docPartPr>
        <w:name w:val="80950834A91472499342C39DDF6820C2"/>
        <w:category>
          <w:name w:val="General"/>
          <w:gallery w:val="placeholder"/>
        </w:category>
        <w:types>
          <w:type w:val="bbPlcHdr"/>
        </w:types>
        <w:behaviors>
          <w:behavior w:val="content"/>
        </w:behaviors>
        <w:guid w:val="{0A93971B-061F-234B-898D-9951CA00E510}"/>
      </w:docPartPr>
      <w:docPartBody>
        <w:p w:rsidR="009F5603" w:rsidRDefault="0023168E" w:rsidP="0023168E">
          <w:pPr>
            <w:pStyle w:val="80950834A91472499342C39DDF6820C2"/>
          </w:pPr>
          <w:r w:rsidRPr="00E420DA">
            <w:rPr>
              <w:rStyle w:val="PlaceholderText"/>
            </w:rPr>
            <w:t>Click or tap here to enter text.</w:t>
          </w:r>
        </w:p>
      </w:docPartBody>
    </w:docPart>
    <w:docPart>
      <w:docPartPr>
        <w:name w:val="3C6081E0B1F25C44BE5E95424BCDE80A"/>
        <w:category>
          <w:name w:val="General"/>
          <w:gallery w:val="placeholder"/>
        </w:category>
        <w:types>
          <w:type w:val="bbPlcHdr"/>
        </w:types>
        <w:behaviors>
          <w:behavior w:val="content"/>
        </w:behaviors>
        <w:guid w:val="{98BACFE8-9966-9640-9D40-34EE52AA0B85}"/>
      </w:docPartPr>
      <w:docPartBody>
        <w:p w:rsidR="0078329B" w:rsidRDefault="00BA29F2" w:rsidP="00BA29F2">
          <w:pPr>
            <w:pStyle w:val="3C6081E0B1F25C44BE5E95424BCDE80A"/>
          </w:pPr>
          <w:r w:rsidRPr="00587AC6">
            <w:rPr>
              <w:rStyle w:val="PlaceholderText"/>
            </w:rPr>
            <w:t>Click or tap here to enter text.</w:t>
          </w:r>
        </w:p>
      </w:docPartBody>
    </w:docPart>
    <w:docPart>
      <w:docPartPr>
        <w:name w:val="59D720107E2F9647B49ED9AEB136B741"/>
        <w:category>
          <w:name w:val="General"/>
          <w:gallery w:val="placeholder"/>
        </w:category>
        <w:types>
          <w:type w:val="bbPlcHdr"/>
        </w:types>
        <w:behaviors>
          <w:behavior w:val="content"/>
        </w:behaviors>
        <w:guid w:val="{C972FAC6-766A-C742-8E23-8A1F3865ABA4}"/>
      </w:docPartPr>
      <w:docPartBody>
        <w:p w:rsidR="00304455" w:rsidRDefault="00C42D3A" w:rsidP="00C42D3A">
          <w:pPr>
            <w:pStyle w:val="59D720107E2F9647B49ED9AEB136B741"/>
          </w:pPr>
          <w:r w:rsidRPr="00587A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8E"/>
    <w:rsid w:val="00031997"/>
    <w:rsid w:val="00060E5E"/>
    <w:rsid w:val="000C6D21"/>
    <w:rsid w:val="001701BD"/>
    <w:rsid w:val="00174AE8"/>
    <w:rsid w:val="00205AB8"/>
    <w:rsid w:val="0023168E"/>
    <w:rsid w:val="00273C53"/>
    <w:rsid w:val="00273D79"/>
    <w:rsid w:val="002C4D5A"/>
    <w:rsid w:val="00304455"/>
    <w:rsid w:val="00371118"/>
    <w:rsid w:val="00371E43"/>
    <w:rsid w:val="00382A8A"/>
    <w:rsid w:val="003E6E87"/>
    <w:rsid w:val="00417726"/>
    <w:rsid w:val="004440A2"/>
    <w:rsid w:val="00446055"/>
    <w:rsid w:val="004523DC"/>
    <w:rsid w:val="00517DFC"/>
    <w:rsid w:val="005762BA"/>
    <w:rsid w:val="005B28F5"/>
    <w:rsid w:val="0078329B"/>
    <w:rsid w:val="007F6012"/>
    <w:rsid w:val="00872C6A"/>
    <w:rsid w:val="008818DA"/>
    <w:rsid w:val="0089031D"/>
    <w:rsid w:val="00952AE1"/>
    <w:rsid w:val="009F5603"/>
    <w:rsid w:val="00A57F16"/>
    <w:rsid w:val="00AD5A78"/>
    <w:rsid w:val="00B2600B"/>
    <w:rsid w:val="00B47065"/>
    <w:rsid w:val="00BA29F2"/>
    <w:rsid w:val="00BC12CC"/>
    <w:rsid w:val="00C26685"/>
    <w:rsid w:val="00C42D3A"/>
    <w:rsid w:val="00C6552D"/>
    <w:rsid w:val="00CA437E"/>
    <w:rsid w:val="00CC342D"/>
    <w:rsid w:val="00CE082A"/>
    <w:rsid w:val="00CE222B"/>
    <w:rsid w:val="00D00DB2"/>
    <w:rsid w:val="00DE580A"/>
    <w:rsid w:val="00E31355"/>
    <w:rsid w:val="00E73BC2"/>
    <w:rsid w:val="00F507A5"/>
    <w:rsid w:val="00F7427A"/>
    <w:rsid w:val="00FD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D3A"/>
    <w:rPr>
      <w:color w:val="666666"/>
    </w:rPr>
  </w:style>
  <w:style w:type="paragraph" w:customStyle="1" w:styleId="D6A0983B0C409849B120A2C0C80F4EE6">
    <w:name w:val="D6A0983B0C409849B120A2C0C80F4EE6"/>
    <w:rsid w:val="0023168E"/>
  </w:style>
  <w:style w:type="paragraph" w:customStyle="1" w:styleId="705514F0F26DA04C928B36375882E813">
    <w:name w:val="705514F0F26DA04C928B36375882E813"/>
    <w:rsid w:val="0023168E"/>
  </w:style>
  <w:style w:type="paragraph" w:customStyle="1" w:styleId="08D96023B787BC49A5A19CA0DA95E6A6">
    <w:name w:val="08D96023B787BC49A5A19CA0DA95E6A6"/>
    <w:rsid w:val="0023168E"/>
  </w:style>
  <w:style w:type="paragraph" w:customStyle="1" w:styleId="0ECA34065137394D895E297F7826B914">
    <w:name w:val="0ECA34065137394D895E297F7826B914"/>
    <w:rsid w:val="0023168E"/>
  </w:style>
  <w:style w:type="paragraph" w:customStyle="1" w:styleId="0EEF0C6F9BFC3B4694F549813524E236">
    <w:name w:val="0EEF0C6F9BFC3B4694F549813524E236"/>
    <w:rsid w:val="0023168E"/>
  </w:style>
  <w:style w:type="paragraph" w:customStyle="1" w:styleId="CB76B2BA52453F48858C28DA41056205">
    <w:name w:val="CB76B2BA52453F48858C28DA41056205"/>
    <w:rsid w:val="0023168E"/>
  </w:style>
  <w:style w:type="paragraph" w:customStyle="1" w:styleId="80950834A91472499342C39DDF6820C2">
    <w:name w:val="80950834A91472499342C39DDF6820C2"/>
    <w:rsid w:val="0023168E"/>
  </w:style>
  <w:style w:type="paragraph" w:customStyle="1" w:styleId="3C6081E0B1F25C44BE5E95424BCDE80A">
    <w:name w:val="3C6081E0B1F25C44BE5E95424BCDE80A"/>
    <w:rsid w:val="00BA29F2"/>
  </w:style>
  <w:style w:type="paragraph" w:customStyle="1" w:styleId="59D720107E2F9647B49ED9AEB136B741">
    <w:name w:val="59D720107E2F9647B49ED9AEB136B741"/>
    <w:rsid w:val="00C42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2F6AE82-4F7B-E847-A032-73BE6F66FA32}">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98d8fc1c-fb2a-4ced-9b91-9ca0272f2e44&quot;,&quot;properties&quot;:{&quot;noteIndex&quot;:0},&quot;isEdited&quot;:false,&quot;manualOverride&quot;:{&quot;isManuallyOverridden&quot;:false,&quot;citeprocText&quot;:&quot;[1]&quot;,&quot;manualOverrideText&quot;:&quot;&quot;},&quot;citationTag&quot;:&quot;MENDELEY_CITATION_v3_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&quot;,&quot;citationItems&quot;:[{&quot;id&quot;:&quot;b409450e-e5b4-383b-9efa-78616765e0fd&quot;,&quot;itemData&quot;:{&quot;type&quot;:&quot;article-journal&quot;,&quot;id&quot;:&quot;b409450e-e5b4-383b-9efa-78616765e0fd&quot;,&quot;title&quot;:&quot;Once-Weekly Semaglutide in Adults with Overweight or Obesity&quot;,&quot;author&quot;:[{&quot;family&quot;:&quot;Wilding&quot;,&quot;given&quot;:&quot;John P H&quot;,&quot;parse-names&quot;:false,&quot;dropping-particle&quot;:&quot;&quot;,&quot;non-dropping-particle&quot;:&quot;&quot;},{&quot;family&quot;:&quot;Batterham&quot;,&quot;given&quot;:&quot;Rachel L&quot;,&quot;parse-names&quot;:false,&quot;dropping-particle&quot;:&quot;&quot;,&quot;non-dropping-particle&quot;:&quot;&quot;},{&quot;family&quot;:&quot;Calanna&quot;,&quot;given&quot;:&quot;Salvatore&quot;,&quot;parse-names&quot;:false,&quot;dropping-particle&quot;:&quot;&quot;,&quot;non-dropping-particle&quot;:&quot;&quot;},{&quot;family&quot;:&quot;Davies&quot;,&quot;given&quot;:&quot;Melanie&quot;,&quot;parse-names&quot;:false,&quot;dropping-particle&quot;:&quot;&quot;,&quot;non-dropping-particle&quot;:&quot;&quot;},{&quot;family&quot;:&quot;Gaal&quot;,&quot;given&quot;:&quot;Luc F&quot;,&quot;parse-names&quot;:false,&quot;dropping-particle&quot;:&quot;&quot;,&quot;non-dropping-particle&quot;:&quot;Van&quot;},{&quot;family&quot;:&quot;Lingvay&quot;,&quot;given&quot;:&quot;Ildiko&quot;,&quot;parse-names&quot;:false,&quot;dropping-particle&quot;:&quot;&quot;,&quot;non-dropping-particle&quot;:&quot;&quot;},{&quot;family&quot;:&quot;McGowan&quot;,&quot;given&quot;:&quot;Barbara M&quot;,&quot;parse-names&quot;:false,&quot;dropping-particle&quot;:&quot;&quot;,&quot;non-dropping-particle&quot;:&quot;&quot;},{&quot;family&quot;:&quot;Rosenstock&quot;,&quot;given&quot;:&quot;Julio&quot;,&quot;parse-names&quot;:false,&quot;dropping-particle&quot;:&quot;&quot;,&quot;non-dropping-particle&quot;:&quot;&quot;},{&quot;family&quot;:&quot;Tran&quot;,&quot;given&quot;:&quot;Marie T D&quot;,&quot;parse-names&quot;:false,&quot;dropping-particle&quot;:&quot;&quot;,&quot;non-dropping-particle&quot;:&quot;&quot;},{&quot;family&quot;:&quot;Wadden&quot;,&quot;given&quot;:&quot;Thomas A&quot;,&quot;parse-names&quot;:false,&quot;dropping-particle&quot;:&quot;&quot;,&quot;non-dropping-particle&quot;:&quot;&quot;},{&quot;family&quot;:&quot;Wharton&quot;,&quot;given&quot;:&quot;Sean&quot;,&quot;parse-names&quot;:false,&quot;dropping-particle&quot;:&quot;&quot;,&quot;non-dropping-particle&quot;:&quot;&quot;},{&quot;family&quot;:&quot;Yokote&quot;,&quot;given&quot;:&quot;Koutaro&quot;,&quot;parse-names&quot;:false,&quot;dropping-particle&quot;:&quot;&quot;,&quot;non-dropping-particle&quot;:&quot;&quot;},{&quot;family&quot;:&quot;Zeuthen&quot;,&quot;given&quot;:&quot;Niels&quot;,&quot;parse-names&quot;:false,&quot;dropping-particle&quot;:&quot;&quot;,&quot;non-dropping-particle&quot;:&quot;&quot;},{&quot;family&quot;:&quot;Kushner&quot;,&quot;given&quot;:&quot;Robert F&quot;,&quot;parse-names&quot;:false,&quot;dropping-particle&quot;:&quot;&quot;,&quot;non-dropping-particle&quot;:&quot;&quot;}],&quot;container-title&quot;:&quot;New England Journal of Medicine&quot;,&quot;DOI&quot;:&quot;10.1056/NEJMoa2032183&quot;,&quot;URL&quot;:&quot;https://doi.org/10.1056/NEJMoa2032183&quot;,&quot;issued&quot;:{&quot;date-parts&quot;:[[2021]]},&quot;page&quot;:&quot;989-1002&quot;,&quot;issue&quot;:&quot;11&quot;,&quot;volume&quot;:&quot;384&quot;,&quot;container-title-short&quot;:&quot;&quot;},&quot;isTemporary&quot;:false}]},{&quot;citationID&quot;:&quot;MENDELEY_CITATION_9315d79b-4c7f-448f-aef9-89431ce27cf8&quot;,&quot;properties&quot;:{&quot;noteIndex&quot;:0},&quot;isEdited&quot;:false,&quot;manualOverride&quot;:{&quot;isManuallyOverridden&quot;:false,&quot;citeprocText&quot;:&quot;[2]&quot;,&quot;manualOverrideText&quot;:&quot;&quot;},&quot;citationTag&quot;:&quot;MENDELEY_CITATION_v3_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&quot;,&quot;citationItems&quot;:[{&quot;id&quot;:&quot;a936ed66-bbd6-3f56-a466-918dc1c83666&quot;,&quot;itemData&quot;:{&quot;type&quot;:&quot;article-journal&quot;,&quot;id&quot;:&quot;a936ed66-bbd6-3f56-a466-918dc1c83666&quot;,&quot;title&quot;:&quot;GLP-1 receptor agonists for individualized treatment of type 2 diabetes mellitus&quot;,&quot;author&quot;:[{&quot;family&quot;:&quot;Meier&quot;,&quot;given&quot;:&quot;Juris J&quot;,&quot;parse-names&quot;:false,&quot;dropping-particle&quot;:&quot;&quot;,&quot;non-dropping-particle&quot;:&quot;&quot;}],&quot;container-title&quot;:&quot;Nature Reviews Endocrinology&quot;,&quot;container-title-short&quot;:&quot;Nat Rev Endocrinol&quot;,&quot;DOI&quot;:&quot;10.1038/nrendo.2012.140&quot;,&quot;ISSN&quot;:&quot;1759-5037&quot;,&quot;URL&quot;:&quot;https://doi.org/10.1038/nrendo.2012.140&quot;,&quot;issued&quot;:{&quot;date-parts&quot;:[[2012]]},&quot;page&quot;:&quot;728-742&quot;,&quot;abstract&quot;:&quot;In this Review, the possibilities for utilizing GLP-1 receptor agonists in individualized treatment for type 2 diabetes mellitus are discussed. The currently available compounds are evaluated in terms of their efficacy, duration of action and adverse effects. The feasibility of selecting a treatment option on the basis of an individual's clinical parameters and requirements is also touched upon.&quot;,&quot;issue&quot;:&quot;12&quot;,&quot;volume&quot;:&quot;8&quot;},&quot;isTemporary&quot;:false}]},{&quot;citationID&quot;:&quot;MENDELEY_CITATION_cfe51dda-583b-464b-a6ed-7482f90ebaf6&quot;,&quot;properties&quot;:{&quot;noteIndex&quot;:0},&quot;isEdited&quot;:false,&quot;manualOverride&quot;:{&quot;isManuallyOverridden&quot;:false,&quot;citeprocText&quot;:&quot;[3]&quot;,&quot;manualOverrideText&quot;:&quot;&quot;},&quot;citationTag&quot;:&quot;MENDELEY_CITATION_v3_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&quot;,&quot;citationItems&quot;:[{&quot;id&quot;:&quot;5e5e624a-0cd8-3263-841f-5ce6681dcdb3&quot;,&quot;itemData&quot;:{&quot;type&quot;:&quot;report&quot;,&quot;id&quot;:&quot;5e5e624a-0cd8-3263-841f-5ce6681dcdb3&quot;,&quot;title&quot;:&quot;Digital technologies for delivering multidisciplinary weight-management services: early value assessment&quot;,&quot;author&quot;:[{&quot;family&quot;:&quot;National Institute for Health and Care Excellence (NICE)&quot;,&quot;given&quot;:&quot;&quot;,&quot;parse-names&quot;:false,&quot;dropping-particle&quot;:&quot;&quot;,&quot;non-dropping-particle&quot;:&quot;&quot;}],&quot;URL&quot;:&quot;www.nice.org.uk/guidance/hte14&quot;,&quot;issued&quot;:{&quot;date-parts&quot;:[[2023]]},&quot;container-title-short&quot;:&quot;&quot;},&quot;isTemporary&quot;:false}]},{&quot;citationID&quot;:&quot;MENDELEY_CITATION_3105405e-320b-4609-b7b5-306852a74a4f&quot;,&quot;properties&quot;:{&quot;noteIndex&quot;:0},&quot;isEdited&quot;:false,&quot;manualOverride&quot;:{&quot;isManuallyOverridden&quot;:false,&quot;citeprocText&quot;:&quot;[4]&quot;,&quot;manualOverrideText&quot;:&quot;&quot;},&quot;citationTag&quot;:&quot;MENDELEY_CITATION_v3_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&quot;,&quot;citationItems&quot;:[{&quot;id&quot;:&quot;50cf86a6-8e0e-3d40-8c41-c62079fb95b0&quot;,&quot;itemData&quot;:{&quot;type&quot;:&quot;article-journal&quot;,&quot;id&quot;:&quot;50cf86a6-8e0e-3d40-8c41-c62079fb95b0&quot;,&quot;title&quot;:&quot;Semaglutide for managing overweight and obesity&quot;,&quot;author&quot;:[{&quot;family&quot;:&quot;NICE&quot;,&quot;given&quot;:&quot;&quot;,&quot;parse-names&quot;:false,&quot;dropping-particle&quot;:&quot;&quot;,&quot;non-dropping-particle&quot;:&quot;&quot;}],&quot;container-title&quot;:&quot;Ta875&quot;,&quot;issued&quot;:{&quot;date-parts&quot;:[[2023]]},&quot;issue&quot;:&quot;March&quot;,&quot;container-title-short&quot;:&quot;&quot;},&quot;isTemporary&quot;:false}]},{&quot;citationID&quot;:&quot;MENDELEY_CITATION_4652bd6b-1980-4d94-b454-ebc3ff26b5f7&quot;,&quot;properties&quot;:{&quot;noteIndex&quot;:0},&quot;isEdited&quot;:false,&quot;manualOverride&quot;:{&quot;isManuallyOverridden&quot;:false,&quot;citeprocText&quot;:&quot;[5]&quot;,&quot;manualOverrideText&quot;:&quot;&quot;},&quot;citationTag&quot;:&quot;MENDELEY_CITATION_v3_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&quot;,&quot;citationItems&quot;:[{&quot;id&quot;:&quot;332c617e-2fa3-34ff-98b9-7601514b4f4a&quot;,&quot;itemData&quot;:{&quot;type&quot;:&quot;report&quot;,&quot;id&quot;:&quot;332c617e-2fa3-34ff-98b9-7601514b4f4a&quot;,&quot;title&quot;:&quot;Tirzepatide for managing overweight and obesity&quot;,&quot;author&quot;:[{&quot;family&quot;:&quot;National Institute of Clinical Excellence&quot;,&quot;given&quot;:&quot;&quot;,&quot;parse-names&quot;:false,&quot;dropping-particle&quot;:&quot;&quot;,&quot;non-dropping-particle&quot;:&quot;&quot;}],&quot;URL&quot;:&quot;www.nice.org.uk/guidance/ta1026&quot;,&quot;issued&quot;:{&quot;date-parts&quot;:[[2024]]},&quot;container-title-short&quot;:&quot;&quot;},&quot;isTemporary&quot;:false}]},{&quot;citationID&quot;:&quot;MENDELEY_CITATION_09bdfdb2-3061-4cf8-975a-e039383eb4bd&quot;,&quot;properties&quot;:{&quot;noteIndex&quot;:0},&quot;isEdited&quot;:false,&quot;manualOverride&quot;:{&quot;isManuallyOverridden&quot;:false,&quot;citeprocText&quot;:&quot;[6]&quot;,&quot;manualOverrideText&quot;:&quot;&quot;},&quot;citationTag&quot;:&quot;MENDELEY_CITATION_v3_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&quot;,&quot;citationItems&quot;:[{&quot;id&quot;:&quot;f15a7218-9040-32fb-a724-e49aba2b0e26&quot;,&quot;itemData&quot;:{&quot;type&quot;:&quot;report&quot;,&quot;id&quot;:&quot;f15a7218-9040-32fb-a724-e49aba2b0e26&quot;,&quot;title&quot;:&quot;Obesity: identification, assessment and management Clinical guideline&quot;,&quot;URL&quot;:&quot;www.nice.org.uk/guidance/cg189&quot;,&quot;issued&quot;:{&quot;date-parts&quot;:[[2014]]},&quot;container-title-short&quot;:&quot;&quot;},&quot;isTemporary&quot;:false}]},{&quot;citationID&quot;:&quot;MENDELEY_CITATION_2d198493-34c6-49f1-8456-0dfd6a6d5222&quot;,&quot;properties&quot;:{&quot;noteIndex&quot;:0},&quot;isEdited&quot;:false,&quot;manualOverride&quot;:{&quot;isManuallyOverridden&quot;:false,&quot;citeprocText&quot;:&quot;[7]&quot;,&quot;manualOverrideText&quot;:&quot;&quot;},&quot;citationTag&quot;:&quot;MENDELEY_CITATION_v3_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&quot;,&quot;citationItems&quot;:[{&quot;id&quot;:&quot;146d9b8a-cc68-35e9-92c6-c8d51a63f5aa&quot;,&quot;itemData&quot;:{&quot;type&quot;:&quot;article-journal&quot;,&quot;id&quot;:&quot;146d9b8a-cc68-35e9-92c6-c8d51a63f5aa&quot;,&quot;title&quot;:&quot;The GLP-1 journey: from discovery science to therapeutic impact&quot;,&quot;author&quot;:[{&quot;family&quot;:&quot;Drucker&quot;,&quot;given&quot;:&quot;Daniel J.&quot;,&quot;parse-names&quot;:false,&quot;dropping-particle&quot;:&quot;&quot;,&quot;non-dropping-particle&quot;:&quot;&quot;}],&quot;container-title&quot;:&quot;Journal of Clinical Investigation&quot;,&quot;DOI&quot;:&quot;10.1172/JCI175634&quot;,&quot;ISSN&quot;:&quot;15588238&quot;,&quot;PMID&quot;:&quot;38226625&quot;,&quot;issued&quot;:{&quot;date-parts&quot;:[[2024,1,16]]},&quot;publisher&quot;:&quot;American Society for Clinical Investigation&quot;,&quot;issue&quot;:&quot;2&quot;,&quot;volume&quot;:&quot;134&quot;,&quot;container-title-short&quot;:&quot;&quot;},&quot;isTemporary&quot;:false}]},{&quot;citationID&quot;:&quot;MENDELEY_CITATION_d8100fea-d375-4d19-9c0a-147bfbe3b19f&quot;,&quot;properties&quot;:{&quot;noteIndex&quot;:0},&quot;isEdited&quot;:false,&quot;manualOverride&quot;:{&quot;isManuallyOverridden&quot;:false,&quot;citeprocText&quot;:&quot;[8]&quot;,&quot;manualOverrideText&quot;:&quot;&quot;},&quot;citationTag&quot;:&quot;MENDELEY_CITATION_v3_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&quot;,&quot;citationItems&quot;:[{&quot;id&quot;:&quot;396ee06c-89ec-3d0d-ae9e-25d505259ca6&quot;,&quot;itemData&quot;:{&quot;type&quot;:&quot;article&quot;,&quot;id&quot;:&quot;396ee06c-89ec-3d0d-ae9e-25d505259ca6&quot;,&quot;title&quot;:&quot;Double burden of malnutrition in persons with obesity&quot;,&quot;author&quot;:[{&quot;family&quot;:&quot;Barazzoni&quot;,&quot;given&quot;:&quot;Rocco&quot;,&quot;parse-names&quot;:false,&quot;dropping-particle&quot;:&quot;&quot;,&quot;non-dropping-particle&quot;:&quot;&quot;},{&quot;family&quot;:&quot;Gortan Cappellari&quot;,&quot;given&quot;:&quot;Gianluca&quot;,&quot;parse-names&quot;:false,&quot;dropping-particle&quot;:&quot;&quot;,&quot;non-dropping-particle&quot;:&quot;&quot;}],&quot;container-title&quot;:&quot;Reviews in Endocrine and Metabolic Disorders&quot;,&quot;container-title-short&quot;:&quot;Rev Endocr Metab Disord&quot;,&quot;DOI&quot;:&quot;10.1007/s11154-020-09578-1&quot;,&quot;ISSN&quot;:&quot;15732606&quot;,&quot;PMID&quot;:&quot;32766943&quot;,&quot;issued&quot;:{&quot;date-parts&quot;:[[2020,9,1]]},&quot;page&quot;:&quot;307-313&quot;,&quot;abstract&quot;:&quot;A paradoxical double challenge has emerged in the last decades with respect to nutrition and nutrition-related clinical conditions. Hunger-related undernutrition continues to represent an unacceptable burden, although its prevalence has been encouragingly reduced worldwide. On the other hand, the prevalence of overweight and obesity, defined as fat excess accumulation with negative impact on individual health, has dramatically increased due to increasingly pervasive obesogenic lifestyle changes. Undernutrition and obesity may coexist in world regions, Countries and even smaller communities and households, being referred to as double burden of malnutrition. It is however important to point out that fat accumulation and obesity may also induce additional nutritional derangements in affected individuals, both directly through metabolic and body composition changes and indirectly through acute and chronic diseases with negative impact on nutritional status. In the current narrative review, associations between fat accumulation in obesity and malnutrition features as well as their known causes will be reviewed and summarized. These include risk of loss of skeletal muscle mass and function (sarcopenia) that may allow for malnutrition diagnosis also in overweight and obese individuals, thereby introducing a new clinically relevant perspective to the obesity-related double burden of malnutrition concept.&quot;,&quot;publisher&quot;:&quot;Springer&quot;,&quot;issue&quot;:&quot;3&quot;,&quot;volume&quot;:&quot;21&quot;},&quot;isTemporary&quot;:false}]},{&quot;citationID&quot;:&quot;MENDELEY_CITATION_afcce7c5-b8ee-4220-9e5e-28c7b76e5968&quot;,&quot;properties&quot;:{&quot;noteIndex&quot;:0},&quot;isEdited&quot;:false,&quot;manualOverride&quot;:{&quot;isManuallyOverridden&quot;:false,&quot;citeprocText&quot;:&quot;[9]&quot;,&quot;manualOverrideText&quot;:&quot;&quot;},&quot;citationTag&quot;:&quot;MENDELEY_CITATION_v3_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&quot;,&quot;citationItems&quot;:[{&quot;id&quot;:&quot;3839d8b0-28f8-3f81-ad01-86250d48d61d&quot;,&quot;itemData&quot;:{&quot;type&quot;:&quot;article&quot;,&quot;id&quot;:&quot;3839d8b0-28f8-3f81-ad01-86250d48d61d&quot;,&quot;title&quot;:&quot;Managing the gastrointestinal side effects of GLP-1 receptor agonists in obesity: recommendations for clinical practice&quot;,&quot;author&quot;:[{&quot;family&quot;:&quot;Wharton&quot;,&quot;given&quot;:&quot;Sean&quot;,&quot;parse-names&quot;:false,&quot;dropping-particle&quot;:&quot;&quot;,&quot;non-dropping-particle&quot;:&quot;&quot;},{&quot;family&quot;:&quot;Davies&quot;,&quot;given&quot;:&quot;Melanie&quot;,&quot;parse-names&quot;:false,&quot;dropping-particle&quot;:&quot;&quot;,&quot;non-dropping-particle&quot;:&quot;&quot;},{&quot;family&quot;:&quot;Dicker&quot;,&quot;given&quot;:&quot;Dror&quot;,&quot;parse-names&quot;:false,&quot;dropping-particle&quot;:&quot;&quot;,&quot;non-dropping-particle&quot;:&quot;&quot;},{&quot;family&quot;:&quot;Lingvay&quot;,&quot;given&quot;:&quot;Ildiko&quot;,&quot;parse-names&quot;:false,&quot;dropping-particle&quot;:&quot;&quot;,&quot;non-dropping-particle&quot;:&quot;&quot;},{&quot;family&quot;:&quot;Mosenzon&quot;,&quot;given&quot;:&quot;Ofri&quot;,&quot;parse-names&quot;:false,&quot;dropping-particle&quot;:&quot;&quot;,&quot;non-dropping-particle&quot;:&quot;&quot;},{&quot;family&quot;:&quot;Rubino&quot;,&quot;given&quot;:&quot;Domenica M.&quot;,&quot;parse-names&quot;:false,&quot;dropping-particle&quot;:&quot;&quot;,&quot;non-dropping-particle&quot;:&quot;&quot;},{&quot;family&quot;:&quot;Pedersen&quot;,&quot;given&quot;:&quot;Sue D.&quot;,&quot;parse-names&quot;:false,&quot;dropping-particle&quot;:&quot;&quot;,&quot;non-dropping-particle&quot;:&quot;&quot;}],&quot;container-title&quot;:&quot;Postgraduate Medicine&quot;,&quot;container-title-short&quot;:&quot;Postgrad Med&quot;,&quot;DOI&quot;:&quot;10.1080/00325481.2021.2002616&quot;,&quot;ISSN&quot;:&quot;19419260&quot;,&quot;PMID&quot;:&quot;34775881&quot;,&quot;issued&quot;:{&quot;date-parts&quot;:[[2022]]},&quot;page&quot;:&quot;14-19&quot;,&quot;abstract&quot;:&quot;Glucagon-like peptide-1 receptor agonists (GLP-1RAs) are well established in clinical practice for the treatment of type 2 diabetes, and are approved and recommended for weight management in overweight or obesity. Gastrointestinal side effects are well known as the most common adverse effects of these agents and represent a potential barrier for use, particularly at higher doses. Drawing on both published evidence and our collective clinical experience, we aim to guide practitioners through managing these side effects with a view to optimizing therapeutic outcomes with GLP-1RAs.&quot;,&quot;publisher&quot;:&quot;Taylor and Francis Ltd.&quot;,&quot;issue&quot;:&quot;1&quot;,&quot;volume&quot;:&quot;134&quot;},&quot;isTemporary&quot;:false}]},{&quot;citationID&quot;:&quot;MENDELEY_CITATION_f38a12e2-5aae-4248-8e62-24af11824c9f&quot;,&quot;properties&quot;:{&quot;noteIndex&quot;:0},&quot;isEdited&quot;:false,&quot;manualOverride&quot;:{&quot;isManuallyOverridden&quot;:false,&quot;citeprocText&quot;:&quot;[10]&quot;,&quot;manualOverrideText&quot;:&quot;&quot;},&quot;citationTag&quot;:&quot;MENDELEY_CITATION_v3_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&quot;,&quot;citationItems&quot;:[{&quot;id&quot;:&quot;6c368b9f-3218-3552-a41f-3283cb24240b&quot;,&quot;itemData&quot;:{&quot;type&quot;:&quot;article-journal&quot;,&quot;id&quot;:&quot;6c368b9f-3218-3552-a41f-3283cb24240b&quot;,&quot;title&quot;:&quot;Association of semaglutide with risk of suicidal ideation in a real-world cohort&quot;,&quot;author&quot;:[{&quot;family&quot;:&quot;Wang&quot;,&quot;given&quot;:&quot;William&quot;,&quot;parse-names&quot;:false,&quot;dropping-particle&quot;:&quot;&quot;,&quot;non-dropping-particle&quot;:&quot;&quot;},{&quot;family&quot;:&quot;Volkow&quot;,&quot;given&quot;:&quot;Nora D.&quot;,&quot;parse-names&quot;:false,&quot;dropping-particle&quot;:&quot;&quot;,&quot;non-dropping-particle&quot;:&quot;&quot;},{&quot;family&quot;:&quot;Berger&quot;,&quot;given&quot;:&quot;Nathan A.&quot;,&quot;parse-names&quot;:false,&quot;dropping-particle&quot;:&quot;&quot;,&quot;non-dropping-particle&quot;:&quot;&quot;},{&quot;family&quot;:&quot;Davis&quot;,&quot;given&quot;:&quot;Pamela B.&quot;,&quot;parse-names&quot;:false,&quot;dropping-particle&quot;:&quot;&quot;,&quot;non-dropping-particle&quot;:&quot;&quot;},{&quot;family&quot;:&quot;Kaelber&quot;,&quot;given&quot;:&quot;David C.&quot;,&quot;parse-names&quot;:false,&quot;dropping-particle&quot;:&quot;&quot;,&quot;non-dropping-particle&quot;:&quot;&quot;},{&quot;family&quot;:&quot;Xu&quot;,&quot;given&quot;:&quot;Rong&quot;,&quot;parse-names&quot;:false,&quot;dropping-particle&quot;:&quot;&quot;,&quot;non-dropping-particle&quot;:&quot;&quot;}],&quot;container-title&quot;:&quot;Nature Medicine&quot;,&quot;container-title-short&quot;:&quot;Nat Med&quot;,&quot;DOI&quot;:&quot;10.1038/s41591-023-02672-2&quot;,&quot;ISSN&quot;:&quot;1546170X&quot;,&quot;PMID&quot;:&quot;38182782&quot;,&quot;issued&quot;:{&quot;date-parts&quot;:[[2024,1,1]]},&quot;page&quot;:&quot;168-176&quot;,&quot;abstract&quot;:&quot;Concerns over reports of suicidal ideation associated with semaglutide treatment, a glucagon-like peptide 1 receptor (GLP1R) agonist medication for type 2 diabetes (T2DM) and obesity, has led to investigations by European regulatory agencies. In this retrospective cohort study of electronic health records from the TriNetX Analytics Network, we aimed to assess the associations of semaglutide with suicidal ideation compared to non-GLP1R agonist anti-obesity or anti-diabetes medications. The hazard ratios (HRs) and 95% confidence intervals (CIs) of incident and recurrent suicidal ideation were calculated for the 6-month follow-up by comparing propensity score-matched patient groups. The study population included 240,618 patients with overweight or obesity who were prescribed semaglutide or non-GLP1R agonist anti-obesity medications, with the findings replicated in 1,589,855 patients with T2DM. In patients with overweight or obesity (mean age 50.1 years, 72.6% female), semaglutide compared with non-GLP1R agonist anti-obesity medications was associated with lower risk for incident (HR = 0.27, 95% CI = 0.200.32–0.600.36) and recurrent (HR = 0.44, 95% CI = 0.32–0.60) suicidal ideation, consistent across sex, age and ethnicity stratification. Similar findings were replicated in patients with T2DM (mean age 57.5 years, 49.2% female). Our findings do not support higher risks of suicidal ideation with semaglutide compared with non-GLP1R agonist anti-obesity or anti-diabetes medications.&quot;,&quot;publisher&quot;:&quot;Nature Research&quot;,&quot;issue&quot;:&quot;1&quot;,&quot;volume&quot;:&quot;30&quot;},&quot;isTemporary&quot;:false}]},{&quot;citationID&quot;:&quot;MENDELEY_CITATION_a2ab911d-598f-4811-83e2-602ca6c7132b&quot;,&quot;properties&quot;:{&quot;noteIndex&quot;:0},&quot;isEdited&quot;:false,&quot;manualOverride&quot;:{&quot;isManuallyOverridden&quot;:false,&quot;citeprocText&quot;:&quot;[11]&quot;,&quot;manualOverrideText&quot;:&quot;&quot;},&quot;citationTag&quot;:&quot;MENDELEY_CITATION_v3_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&quot;,&quot;citationItems&quot;:[{&quot;id&quot;:&quot;a108d45f-1753-3730-aff6-f7c1749b62c6&quot;,&quot;itemData&quot;:{&quot;type&quot;:&quot;article&quot;,&quot;id&quot;:&quot;a108d45f-1753-3730-aff6-f7c1749b62c6&quot;,&quot;title&quot;:&quot;Effects of GLP-1 agonists and SGLT2 inhibitors during pregnancy and lactation on offspring outcomes: a systematic review of the evidence&quot;,&quot;author&quot;:[{&quot;family&quot;:&quot;Muller&quot;,&quot;given&quot;:&quot;Dion R.P.&quot;,&quot;parse-names&quot;:false,&quot;dropping-particle&quot;:&quot;&quot;,&quot;non-dropping-particle&quot;:&quot;&quot;},{&quot;family&quot;:&quot;Stenvers&quot;,&quot;given&quot;:&quot;Dirk J.&quot;,&quot;parse-names&quot;:false,&quot;dropping-particle&quot;:&quot;&quot;,&quot;non-dropping-particle&quot;:&quot;&quot;},{&quot;family&quot;:&quot;Malekzadeh&quot;,&quot;given&quot;:&quot;Arjan&quot;,&quot;parse-names&quot;:false,&quot;dropping-particle&quot;:&quot;&quot;,&quot;non-dropping-particle&quot;:&quot;&quot;},{&quot;family&quot;:&quot;Holleman&quot;,&quot;given&quot;:&quot;Frederik&quot;,&quot;parse-names&quot;:false,&quot;dropping-particle&quot;:&quot;&quot;,&quot;non-dropping-particle&quot;:&quot;&quot;},{&quot;family&quot;:&quot;Painter&quot;,&quot;given&quot;:&quot;Rebecca C.&quot;,&quot;parse-names&quot;:false,&quot;dropping-particle&quot;:&quot;&quot;,&quot;non-dropping-particle&quot;:&quot;&quot;},{&quot;family&quot;:&quot;Siegelaar&quot;,&quot;given&quot;:&quot;Sarah E.&quot;,&quot;parse-names&quot;:false,&quot;dropping-particle&quot;:&quot;&quot;,&quot;non-dropping-particle&quot;:&quot;&quot;}],&quot;container-title&quot;:&quot;Frontiers in Endocrinology&quot;,&quot;container-title-short&quot;:&quot;Front Endocrinol (Lausanne)&quot;,&quot;DOI&quot;:&quot;10.3389/fendo.2023.1215356&quot;,&quot;ISSN&quot;:&quot;16642392&quot;,&quot;issued&quot;:{&quot;date-parts&quot;:[[2023]]},&quot;abstract&quot;:&quot;Aims/hypothesis: Glucagon-like peptide 1 (GLP-1) agonists and sodium-glucose co-transporter-2 (SGLT2) inhibitors are novel drugs which have recently seen rapid uptake in the treatment of type 2 diabetes and obesity. The paucity of data regarding their safety during pregnancy and lactation causes a dilemma for the physician. The aim of the present study was to systematically review all available data on the offspring effects of GLP-1 agonists and SGLT2 inhibitors during pregnancy and lactation. Methods: We systematically searched PubMed, clinicaltrials.gov, FDA and EMA product information on GLP-1 agonists and SGLT2 inhibitors in pregnancy and lactation from inception up to 19 April 2022 without language restrictions. We approached both the Netherlands Pharmacovigilance Centre Lareb on January 17th 2023 and the Teratology Information Service (TIS) of Switzerland on February 6th 2023. Eligible studies investigating the safety (including congenital anomalies, fetal growth, perinatal demise) in animals or humans, or reporting the degree of transfer of these drugs to the fetus, breast milk or breastfed neonate. Two reviewers independently assessed and selected studies for inclusion and subsequently resolved discrepancies by discussion. Results: We included 39 records (n=9 theoretical; based on drug properties, n=7 human; n=23 animal, including 76 human offspring, and an unknown number of animal offspring as these numbers could not be retrieved from the FDA and EMA product information). In animal studies, GLP1-agonists were associated with reduced fetal weight and/or growth, delayed ossification and skeletal variants, usually associated with a reduction in maternal weight gain and decreased food consumption. Exendin-4 (GLP1-agonist) was not transported across the maternal-fetal placental interface. In human studies, exenatide (GLP1-agonist) showed a fetal-to-maternal peptide concentration ratio of ≤ 0.017 in ex vivo human placental perfusion in a single placenta. Liraglutide (GLP1-agonist) showed no significant maternal to fetal transfer at least 3.5 hours after maternal exposure in a human study with one subject. In animal studies, GLP-1 agonists were excreted in breast milk; human data on excretion were not available. In animal studies, SGLT2 inhibitors were generally safe during the first trimester but exposure during postnatal day 21 to 90 in juvenile rats, a period coinciding with the late second and third trimester of human renal development, caused dilatation of the renal pelvis and tubules. Human data consisted of a pharmaceutical database of inadvertent pregnancies during SGLT2 inhibitor use, which found an increase in miscarriages and congenital malformations. In animal studies SGLT2 inhibitors were excreted in breast milk and affected neonatal growth, but human data are not available. Conclusion/interpretation: We found evidence for adverse offspring effects of GLP-1 agonists and SGLT2 inhibitors also in human studies. Our findings broadly support the advice to discontinue GLP-1 agonists and SGLT2 inhibitors during pregnancy and lactation, and also support the ongoing registration of pregnancy outcomes in pharmacological databases since the amount of available data is scarce and mostly limited to animal studies. Registration: https://www.crd.york.ac.uk/prospero/display_record.php?RecordID=219877.&quot;,&quot;publisher&quot;:&quot;Frontiers Media SA&quot;,&quot;volume&quot;:&quot;14&quot;},&quot;isTemporary&quot;:false}]},{&quot;citationID&quot;:&quot;MENDELEY_CITATION_a8e62027-b420-40b9-ac15-9c91eddb942b&quot;,&quot;properties&quot;:{&quot;noteIndex&quot;:0},&quot;isEdited&quot;:false,&quot;manualOverride&quot;:{&quot;isManuallyOverridden&quot;:false,&quot;citeprocText&quot;:&quot;[12]&quot;,&quot;manualOverrideText&quot;:&quot;&quot;},&quot;citationTag&quot;:&quot;MENDELEY_CITATION_v3_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&quot;,&quot;citationItems&quot;:[{&quot;id&quot;:&quot;c3945339-0300-3bdc-808a-c4a9c68052cf&quot;,&quot;itemData&quot;:{&quot;type&quot;:&quot;article-journal&quot;,&quot;id&quot;:&quot;c3945339-0300-3bdc-808a-c4a9c68052cf&quot;,&quot;title&quot;:&quot;Effects of GLP1RAs on pregnancy rate and menstrual cyclicity in women with polycystic ovary syndrome: a meta-analysis and systematic review&quot;,&quot;author&quot;:[{&quot;family&quot;:&quot;Zhou&quot;,&quot;given&quot;:&quot;Lingling&quot;,&quot;parse-names&quot;:false,&quot;dropping-particle&quot;:&quot;&quot;,&quot;non-dropping-particle&quot;:&quot;&quot;},{&quot;family&quot;:&quot;Qu&quot;,&quot;given&quot;:&quot;Huanjia&quot;,&quot;parse-names&quot;:false,&quot;dropping-particle&quot;:&quot;&quot;,&quot;non-dropping-particle&quot;:&quot;&quot;},{&quot;family&quot;:&quot;Yang&quot;,&quot;given&quot;:&quot;Lu&quot;,&quot;parse-names&quot;:false,&quot;dropping-particle&quot;:&quot;&quot;,&quot;non-dropping-particle&quot;:&quot;&quot;},{&quot;family&quot;:&quot;Shou&quot;,&quot;given&quot;:&quot;Lan&quot;,&quot;parse-names&quot;:false,&quot;dropping-particle&quot;:&quot;&quot;,&quot;non-dropping-particle&quot;:&quot;&quot;}],&quot;container-title&quot;:&quot;BMC Endocrine Disorders&quot;,&quot;container-title-short&quot;:&quot;BMC Endocr Disord&quot;,&quot;DOI&quot;:&quot;10.1186/s12902-023-01500-5&quot;,&quot;ISSN&quot;:&quot;14726823&quot;,&quot;PMID&quot;:&quot;37940910&quot;,&quot;issued&quot;:{&quot;date-parts&quot;:[[2023,12,1]]},&quot;abstract&quot;:&quot;Purpose: This study was aimed to assess the effectiveness of Glucagon-like peptide 1 receptor agonists on pregnancy rate, menses, anthropometric and hormonal parameters in PCOS patients. Methods: We conducted searches of the published literature in PubMed, EMBASE, Cochrane Library, Web of Science up to September 2022. Data from randomized controlled trials were obtained to assess the effects of GLP1RAs in PCOS women. Weighted mean difference, standardized mean difference, and risks ratio were employed for effect size estimation using a random-effects model. Results: A total of 840 patients with 469 individuals in GLP1RAs group and 371 individuals in control group from 11 RCTs were included. GLP1RAs usage was associated with an improvement in natural pregnancy rate (RR: 1.72, 95% CI 1.22 to 2.43, P = 0.002, I 2 = 0%) and menstrual regularity (SMD: 1.72, 95% CI 0.60 to 2.85, P &lt; 0.001, I 2 = 95.6%). There were no statistically significant differences in total pregnancy rate, IVF pregnancy rate between two groups, but total PR elevated in a short time after GLP1RAs as shown in subgroup analysis. Randomization to GLP1RAs treatment was associated with great improvement in HOMA-IR, BMI, WC, SHBG and a slight reduction in TT compared to control group. A decrease in TBF was seen in European population. GLP1RAs monotherapy was not superior to metformin when it came to fT, DHEAS, FAI. Conclusions: Prescription of GLP1RAs improves natural pregnancy rate, menstrual cyclicity and insulin sensitivity, anthropometrics, hormonal indexes in PCOS women.&quot;,&quot;publisher&quot;:&quot;BioMed Central Ltd&quot;,&quot;issue&quot;:&quot;1&quot;,&quot;volume&quot;:&quot;23&quot;},&quot;isTemporary&quot;:false}]},{&quot;citationID&quot;:&quot;MENDELEY_CITATION_796294b8-35b1-49bc-bd6c-d64a8a674c6e&quot;,&quot;properties&quot;:{&quot;noteIndex&quot;:0},&quot;isEdited&quot;:false,&quot;manualOverride&quot;:{&quot;isManuallyOverridden&quot;:false,&quot;citeprocText&quot;:&quot;[13]&quot;,&quot;manualOverrideText&quot;:&quot;&quot;},&quot;citationTag&quot;:&quot;MENDELEY_CITATION_v3_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&quot;,&quot;citationItems&quot;:[{&quot;id&quot;:&quot;fa9d406c-33e5-35e8-9cc7-8679672e5f83&quot;,&quot;itemData&quot;:{&quot;type&quot;:&quot;article-journal&quot;,&quot;id&quot;:&quot;fa9d406c-33e5-35e8-9cc7-8679672e5f83&quot;,&quot;title&quot;:&quot;Glucagon-Like Peptide-1 Receptor Agonists and Thyroid Cancer: A Narrative Review&quot;,&quot;author&quot;:[{&quot;family&quot;:&quot;Espinosa De Ycaza&quot;,&quot;given&quot;:&quot;Ana E&quot;,&quot;parse-names&quot;:false,&quot;dropping-particle&quot;:&quot;&quot;,&quot;non-dropping-particle&quot;:&quot;&quot;},{&quot;family&quot;:&quot;Brito&quot;,&quot;given&quot;:&quot;Juan P&quot;,&quot;parse-names&quot;:false,&quot;dropping-particle&quot;:&quot;&quot;,&quot;non-dropping-particle&quot;:&quot;&quot;},{&quot;family&quot;:&quot;McCoy&quot;,&quot;given&quot;:&quot;Rozalina G&quot;,&quot;parse-names&quot;:false,&quot;dropping-particle&quot;:&quot;&quot;,&quot;non-dropping-particle&quot;:&quot;&quot;},{&quot;family&quot;:&quot;Shao&quot;,&quot;given&quot;:&quot;Hui&quot;,&quot;parse-names&quot;:false,&quot;dropping-particle&quot;:&quot;&quot;,&quot;non-dropping-particle&quot;:&quot;&quot;},{&quot;family&quot;:&quot;Singh Ospina&quot;,&quot;given&quot;:&quot;Naykky&quot;,&quot;parse-names&quot;:false,&quot;dropping-particle&quot;:&quot;&quot;,&quot;non-dropping-particle&quot;:&quot;&quot;}],&quot;container-title&quot;:&quot;Thyroid®&quot;,&quot;DOI&quot;:&quot;10.1089/thy.2023.0530&quot;,&quot;ISSN&quot;:&quot;1050-7256&quot;,&quot;URL&quot;:&quot;https://doi.org/10.1089/thy.2023.0530&quot;,&quot;issued&quot;:{&quot;date-parts&quot;:[[2024,2,12]]},&quot;page&quot;:&quot;403-418&quot;,&quot;abstract&quot;:&quot;Background: Glucagon-like peptide-1 receptor agonists (GLP-1 RAs) are highly effective medications for the treatment of type 2 diabetes and obesity. Pharmacological studies in rodents support an association between the use of GLP-1 RAs and the development of medullary thyroid cancer (MTC) resulting in a black box warning for these agents in patients at risk for this condition. Yet, the association between GLP-1 RAs and non-MTC remains controversial. Excessive worry about unproven thyroid cancer risk might lead to underutilizing GLP-1 RAs in patients who could otherwise experience substantial benefits. Unwarranted concerns about thyroid cancer could lead to unnecessary thyroid cancer screening and harms from overdiagnosis. Summary: The body of evidence assessing the association between GLP-1 RA use and thyroid cancer spans a wide range of methodologies, including basic and translational research investigating biological plausibility; randomized trials assessing clinical efficacy and providing the strongest evidence for causality; observational studies providing real-life outcome evaluation in larger populations but with limited evaluation of covariates or dependable outcome definitions; and pharmacovigilance studies that provide postmarketing assessments of a safety signal but do not address causality. There is biological plausibility supporting an association between GLP-1 RA and MTC in rodents, which is less clear for non-MTC in humans. Clinical evidence from randomized trials and associated meta-analysis suggest thyroid cancer as a rare event making effect estimates imprecise but without conclusive and consistent evidence of increase risk in those receiving GLP-1 RA. Observational studies at higher risk of bias also show low event rates for thyroid cancer, with effect estimates that are inconsistent among different studies. Pharmacovigilance studies consistently show a signal of increased reporting of thyroid cancer in patients treated with GLP-1 RA. Conclusions: Evidence from randomized controlled trials indicates occurrence of thyroid cancer is infrequent in individuals exposed to GLP-1 RA. Observational studies at higher risk of bias yield inconsistent results. Overall there is no conclusive evidence of elevated thyroid cancer risk. These findings can help clinicians when addressing patient's concerns about a potential yet unproven link between GLP-1 RA therapy and thyroid cancer.&quot;,&quot;publisher&quot;:&quot;Mary Ann Liebert, Inc., publishers&quot;,&quot;issue&quot;:&quot;4&quot;,&quot;volume&quot;:&quot;34&quot;,&quot;container-title-short&quot;:&quot;&quot;},&quot;isTemporary&quot;:false}]},{&quot;citationID&quot;:&quot;MENDELEY_CITATION_8a9bc81a-893f-4dd3-848e-052df2b814f3&quot;,&quot;properties&quot;:{&quot;noteIndex&quot;:0},&quot;isEdited&quot;:false,&quot;manualOverride&quot;:{&quot;isManuallyOverridden&quot;:false,&quot;citeprocText&quot;:&quot;[14]&quot;,&quot;manualOverrideText&quot;:&quot;&quot;},&quot;citationTag&quot;:&quot;MENDELEY_CITATION_v3_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&quot;,&quot;citationItems&quot;:[{&quot;id&quot;:&quot;e1cff716-7a7b-3169-b570-03d64aca590b&quot;,&quot;itemData&quot;:{&quot;type&quot;:&quot;article-journal&quot;,&quot;id&quot;:&quot;e1cff716-7a7b-3169-b570-03d64aca590b&quot;,&quot;title&quot;:&quot;ASA Consensus-based Guidance on Preoperative Management of Patients on Glucagon-like Peptide-1 Receptor Agonists&quot;,&quot;author&quot;:[{&quot;family&quot;:&quot;Ushakumari&quot;,&quot;given&quot;:&quot;Deepu S&quot;,&quot;parse-names&quot;:false,&quot;dropping-particle&quot;:&quot;&quot;,&quot;non-dropping-particle&quot;:&quot;&quot;},{&quot;family&quot;:&quot;Sladen&quot;,&quot;given&quot;:&quot;Robert N&quot;,&quot;parse-names&quot;:false,&quot;dropping-particle&quot;:&quot;&quot;,&quot;non-dropping-particle&quot;:&quot;&quot;}],&quot;container-title&quot;:&quot;Anesthesiology&quot;,&quot;container-title-short&quot;:&quot;Anesthesiology&quot;,&quot;DOI&quot;:&quot;10.1097/ALN.0000000000004776&quot;,&quot;ISSN&quot;:&quot;0003-3022&quot;,&quot;URL&quot;:&quot;https://doi.org/10.1097/ALN.0000000000004776&quot;,&quot;issued&quot;:{&quot;date-parts&quot;:[[2024,2,1]]},&quot;page&quot;:&quot;346-348&quot;,&quot;issue&quot;:&quot;2&quot;,&quot;volume&quot;:&quot;140&quot;},&quot;isTemporary&quot;:false}]},{&quot;citationID&quot;:&quot;MENDELEY_CITATION_452b730d-2053-4659-929a-598d4b1eea41&quot;,&quot;properties&quot;:{&quot;noteIndex&quot;:0},&quot;isEdited&quot;:false,&quot;manualOverride&quot;:{&quot;isManuallyOverridden&quot;:false,&quot;citeprocText&quot;:&quot;[15]&quot;,&quot;manualOverrideText&quot;:&quot;&quot;},&quot;citationTag&quot;:&quot;MENDELEY_CITATION_v3_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&quot;,&quot;citationItems&quot;:[{&quot;id&quot;:&quot;fcd1c2f3-6848-387e-968c-a728c86ed319&quot;,&quot;itemData&quot;:{&quot;type&quot;:&quot;article-journal&quot;,&quot;id&quot;:&quot;fcd1c2f3-6848-387e-968c-a728c86ed319&quot;,&quot;title&quot;:&quot;Risk of Nonarteritic Anterior Ischemic Optic Neuropathy in Patients Prescribed Semaglutide.&quot;,&quot;author&quot;:[{&quot;family&quot;:&quot;Hathaway&quot;,&quot;given&quot;:&quot;Jimena Tatiana&quot;,&quot;parse-names&quot;:false,&quot;dropping-particle&quot;:&quot;&quot;,&quot;non-dropping-particle&quot;:&quot;&quot;},{&quot;family&quot;:&quot;Shah&quot;,&quot;given&quot;:&quot;Madhura P&quot;,&quot;parse-names&quot;:false,&quot;dropping-particle&quot;:&quot;&quot;,&quot;non-dropping-particle&quot;:&quot;&quot;},{&quot;family&quot;:&quot;Hathaway&quot;,&quot;given&quot;:&quot;David B&quot;,&quot;parse-names&quot;:false,&quot;dropping-particle&quot;:&quot;&quot;,&quot;non-dropping-particle&quot;:&quot;&quot;},{&quot;family&quot;:&quot;Zekavat&quot;,&quot;given&quot;:&quot;Seyedeh Maryam&quot;,&quot;parse-names&quot;:false,&quot;dropping-particle&quot;:&quot;&quot;,&quot;non-dropping-particle&quot;:&quot;&quot;},{&quot;family&quot;:&quot;Krasniqi&quot;,&quot;given&quot;:&quot;Drenushe&quot;,&quot;parse-names&quot;:false,&quot;dropping-particle&quot;:&quot;&quot;,&quot;non-dropping-particle&quot;:&quot;&quot;},{&quot;family&quot;:&quot;Gittinger&quot;,&quot;given&quot;:&quot;John W&quot;,&quot;parse-names&quot;:false,&quot;dropping-particle&quot;:&quot;&quot;,&quot;non-dropping-particle&quot;:&quot;&quot;},{&quot;family&quot;:&quot;Cestari&quot;,&quot;given&quot;:&quot;Dean&quot;,&quot;parse-names&quot;:false,&quot;dropping-particle&quot;:&quot;&quot;,&quot;non-dropping-particle&quot;:&quot;&quot;},{&quot;family&quot;:&quot;Mallery&quot;,&quot;given&quot;:&quot;Robert&quot;,&quot;parse-names&quot;:false,&quot;dropping-particle&quot;:&quot;&quot;,&quot;non-dropping-particle&quot;:&quot;&quot;},{&quot;family&quot;:&quot;Abbasi&quot;,&quot;given&quot;:&quot;Bardia&quot;,&quot;parse-names&quot;:false,&quot;dropping-particle&quot;:&quot;&quot;,&quot;non-dropping-particle&quot;:&quot;&quot;},{&quot;family&quot;:&quot;Bouffard&quot;,&quot;given&quot;:&quot;Marc&quot;,&quot;parse-names&quot;:false,&quot;dropping-particle&quot;:&quot;&quot;,&quot;non-dropping-particle&quot;:&quot;&quot;},{&quot;family&quot;:&quot;Chwalisz&quot;,&quot;given&quot;:&quot;Bart K&quot;,&quot;parse-names&quot;:false,&quot;dropping-particle&quot;:&quot;&quot;,&quot;non-dropping-particle&quot;:&quot;&quot;},{&quot;family&quot;:&quot;Estrela&quot;,&quot;given&quot;:&quot;Tais&quot;,&quot;parse-names&quot;:false,&quot;dropping-particle&quot;:&quot;&quot;,&quot;non-dropping-particle&quot;:&quot;&quot;},{&quot;family&quot;:&quot;Rizzo&quot;,&quot;given&quot;:&quot;Joseph F&quot;,&quot;parse-names&quot;:false,&quot;dropping-particle&quot;:&quot;&quot;,&quot;non-dropping-particle&quot;:&quot;&quot;}],&quot;container-title&quot;:&quot;JAMA ophthalmology&quot;,&quot;container-title-short&quot;:&quot;JAMA Ophthalmol&quot;,&quot;DOI&quot;:&quot;10.1001/jamaophthalmol.2024.2296&quot;,&quot;ISSN&quot;:&quot;2168-6173&quot;,&quot;PMID&quot;:&quot;38958939&quot;,&quot;URL&quot;:&quot;http://www.ncbi.nlm.nih.gov/pubmed/38958939&quot;,&quot;issued&quot;:{&quot;date-parts&quot;:[[2024,7,3]]},&quot;abstract&quot;:&quot;IMPORTANCE Anecdotal experience raised the possibility that semaglutide, a glucagon-like peptide 1 receptor agonist (GLP-1 RA) with rapidly increasing use, is associated with nonarteritic anterior ischemic optic neuropathy (NAION). OBJECTIVE To investigate whether there is an association between semaglutide and risk of NAION. DESIGN, SETTING, AND PARTICIPANTS In a retrospective matched cohort study using data from a centralized data registry of patients evaluated by neuro-ophthalmologists at 1 academic institution from December 1, 2017, through November 30, 2023, a search for International Statistical Classification of Diseases and Related Health Problems, Tenth Revision code H47.01 (ischemic optic neuropathy) and text search yielded 16 827 patients with no history of NAION. Propensity matching was used to assess whether prescribed semaglutide was associated with NAION in patients with type 2 diabetes (T2D) or overweight/obesity, in each case accounting for covarying factors (sex, age, systemic hypertension, T2D, obstructive sleep apnea, obesity, hyperlipidemia, and coronary artery disease) and contraindications for use of semaglutide. The cumulative incidence of NAION was determined with the Kaplan-Meier method and a Cox proportional hazards regression model adjusted for potential confounding comorbidities. Data were analyzed from December 1, 2017, through November 30, 2023. EXPOSURES Prescriptions for semaglutide vs non-GLP-1 RA medications to manage either T2D or weight. MAIN OUTCOMES AND MEASURES Cumulative incidence and hazard ratio of NAION. RESULTS Among 16 827 patients, 710 had T2D (194 prescribed semaglutide; 516 prescribed non-GLP-1 RA antidiabetic medications; median [IQR] age, 59 [49-68] years; 369 [52%] female) and 979 were overweight or obese (361 prescribed semaglutide; 618 prescribed non-GLP-1 RA weight-loss medications; median [IQR] age, 47 [32-59] years; 708 [72%] female). In the population with T2D, 17 NAION events occurred in patients prescribed semaglutide vs 6 in the non-GLP-1 RA antidiabetes cohort. The cumulative incidence of NAION for the semaglutide and non-GLP-1 RA cohorts over 36 months was 8.9% (95% CI, 4.5%-13.1%) and 1.8% (95% CI, 0%-3.5%), respectively. A Cox proportional hazards regression model showed higher risk of NAION for patients receiving semaglutide (hazard ratio [HR], 4.28; 95% CI, 1.62-11.29); P &lt; .001). In the population of patients who were overweight or obese, 20 NAION events occurred in the prescribed semaglutide cohort vs 3 in the non-GLP-1 RA cohort. The cumulative incidence of NAION for the semaglutide vs non-GLP-1 RA cohorts over 36 months was 6.7% (95% CI, 3.6%-9.7%) and 0.8% (95% CI, 0%-1.8%), respectively. A Cox proportional hazards regression model showed a higher risk of NAION for patients prescribed semaglutide (HR, 7.64; 95% CI, 2.21-26.36; P &lt; .001). CONCLUSIONS AND RELEVANCE This study's findings suggest an association between semaglutide and NAION. As this was an observational study, future study is required to assess causality.&quot;},&quot;isTemporary&quot;:false}]},{&quot;citationID&quot;:&quot;MENDELEY_CITATION_71b2b3f0-4023-405c-b371-e539758fd9ef&quot;,&quot;properties&quot;:{&quot;noteIndex&quot;:0},&quot;isEdited&quot;:false,&quot;manualOverride&quot;:{&quot;isManuallyOverridden&quot;:false,&quot;citeprocText&quot;:&quot;[9]&quot;,&quot;manualOverrideText&quot;:&quot;&quot;},&quot;citationTag&quot;:&quot;MENDELEY_CITATION_v3_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&quot;,&quot;citationItems&quot;:[{&quot;id&quot;:&quot;3839d8b0-28f8-3f81-ad01-86250d48d61d&quot;,&quot;itemData&quot;:{&quot;type&quot;:&quot;article&quot;,&quot;id&quot;:&quot;3839d8b0-28f8-3f81-ad01-86250d48d61d&quot;,&quot;title&quot;:&quot;Managing the gastrointestinal side effects of GLP-1 receptor agonists in obesity: recommendations for clinical practice&quot;,&quot;author&quot;:[{&quot;family&quot;:&quot;Wharton&quot;,&quot;given&quot;:&quot;Sean&quot;,&quot;parse-names&quot;:false,&quot;dropping-particle&quot;:&quot;&quot;,&quot;non-dropping-particle&quot;:&quot;&quot;},{&quot;family&quot;:&quot;Davies&quot;,&quot;given&quot;:&quot;Melanie&quot;,&quot;parse-names&quot;:false,&quot;dropping-particle&quot;:&quot;&quot;,&quot;non-dropping-particle&quot;:&quot;&quot;},{&quot;family&quot;:&quot;Dicker&quot;,&quot;given&quot;:&quot;Dror&quot;,&quot;parse-names&quot;:false,&quot;dropping-particle&quot;:&quot;&quot;,&quot;non-dropping-particle&quot;:&quot;&quot;},{&quot;family&quot;:&quot;Lingvay&quot;,&quot;given&quot;:&quot;Ildiko&quot;,&quot;parse-names&quot;:false,&quot;dropping-particle&quot;:&quot;&quot;,&quot;non-dropping-particle&quot;:&quot;&quot;},{&quot;family&quot;:&quot;Mosenzon&quot;,&quot;given&quot;:&quot;Ofri&quot;,&quot;parse-names&quot;:false,&quot;dropping-particle&quot;:&quot;&quot;,&quot;non-dropping-particle&quot;:&quot;&quot;},{&quot;family&quot;:&quot;Rubino&quot;,&quot;given&quot;:&quot;Domenica M.&quot;,&quot;parse-names&quot;:false,&quot;dropping-particle&quot;:&quot;&quot;,&quot;non-dropping-particle&quot;:&quot;&quot;},{&quot;family&quot;:&quot;Pedersen&quot;,&quot;given&quot;:&quot;Sue D.&quot;,&quot;parse-names&quot;:false,&quot;dropping-particle&quot;:&quot;&quot;,&quot;non-dropping-particle&quot;:&quot;&quot;}],&quot;container-title&quot;:&quot;Postgraduate Medicine&quot;,&quot;container-title-short&quot;:&quot;Postgrad Med&quot;,&quot;DOI&quot;:&quot;10.1080/00325481.2021.2002616&quot;,&quot;ISSN&quot;:&quot;19419260&quot;,&quot;PMID&quot;:&quot;34775881&quot;,&quot;issued&quot;:{&quot;date-parts&quot;:[[2022]]},&quot;page&quot;:&quot;14-19&quot;,&quot;abstract&quot;:&quot;Glucagon-like peptide-1 receptor agonists (GLP-1RAs) are well established in clinical practice for the treatment of type 2 diabetes, and are approved and recommended for weight management in overweight or obesity. Gastrointestinal side effects are well known as the most common adverse effects of these agents and represent a potential barrier for use, particularly at higher doses. Drawing on both published evidence and our collective clinical experience, we aim to guide practitioners through managing these side effects with a view to optimizing therapeutic outcomes with GLP-1RAs.&quot;,&quot;publisher&quot;:&quot;Taylor and Francis Ltd.&quot;,&quot;issue&quot;:&quot;1&quot;,&quot;volume&quot;:&quot;134&quot;},&quot;isTemporar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C55A7F5A-24D3-2444-8AA4-4CC1C1C0C455}">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FC200-7CE3-4961-9869-FBCBF2F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Dobbie</dc:creator>
  <cp:keywords/>
  <dc:description/>
  <cp:lastModifiedBy>Laurence Dobbie</cp:lastModifiedBy>
  <cp:revision>15</cp:revision>
  <dcterms:created xsi:type="dcterms:W3CDTF">2025-04-04T16:27:00Z</dcterms:created>
  <dcterms:modified xsi:type="dcterms:W3CDTF">2025-05-16T08:15:00Z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documentId_894</vt:lpwstr>
  </property>
  <property fmtid="{D5CDD505-2E9C-101B-9397-08002B2CF9AE}" pid="3" name="grammarly_documentContext">
    <vt:lpwstr>{"goals":[],"domain":"general","emotions":[],"dialect":"british"}</vt:lpwstr>
  </property>
</Properties>
</file>