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1D6E2"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741D666D"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26EF6AFF"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49E874CE"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75D5D734"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27ADD3F6"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52A957C3"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4598B40C"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0E4012E5"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4B218932" w14:textId="77777777" w:rsidR="00E70677" w:rsidRPr="00A056BE" w:rsidRDefault="00E70677" w:rsidP="00073BFB">
      <w:pPr>
        <w:spacing w:line="240" w:lineRule="auto"/>
        <w:contextualSpacing/>
        <w:jc w:val="both"/>
        <w:rPr>
          <w:rFonts w:ascii="Times New Roman" w:eastAsia="Times New Roman" w:hAnsi="Times New Roman" w:cs="Times New Roman"/>
          <w:b/>
          <w:bCs/>
          <w:sz w:val="24"/>
          <w:szCs w:val="24"/>
          <w:lang w:val="en-US"/>
        </w:rPr>
      </w:pPr>
    </w:p>
    <w:p w14:paraId="1280671B" w14:textId="77777777" w:rsidR="001A0280" w:rsidRDefault="001A0280" w:rsidP="00073BFB">
      <w:pPr>
        <w:spacing w:line="240" w:lineRule="auto"/>
        <w:contextualSpacing/>
        <w:jc w:val="center"/>
        <w:rPr>
          <w:rFonts w:ascii="Times New Roman" w:eastAsia="Times New Roman" w:hAnsi="Times New Roman" w:cs="Times New Roman"/>
          <w:b/>
          <w:bCs/>
          <w:sz w:val="24"/>
          <w:szCs w:val="24"/>
          <w:lang w:val="en-US"/>
        </w:rPr>
      </w:pPr>
      <w:bookmarkStart w:id="0" w:name="OLE_LINK3"/>
    </w:p>
    <w:p w14:paraId="1BA49EB0" w14:textId="77777777" w:rsidR="001A0280" w:rsidRDefault="001A0280" w:rsidP="00073BFB">
      <w:pPr>
        <w:spacing w:line="240" w:lineRule="auto"/>
        <w:contextualSpacing/>
        <w:jc w:val="center"/>
        <w:rPr>
          <w:rFonts w:ascii="Times New Roman" w:eastAsia="Times New Roman" w:hAnsi="Times New Roman" w:cs="Times New Roman"/>
          <w:b/>
          <w:bCs/>
          <w:sz w:val="24"/>
          <w:szCs w:val="24"/>
          <w:lang w:val="en-US"/>
        </w:rPr>
      </w:pPr>
    </w:p>
    <w:p w14:paraId="68D4F1D3" w14:textId="77777777" w:rsidR="001A0280" w:rsidRDefault="001A0280" w:rsidP="00073BFB">
      <w:pPr>
        <w:spacing w:line="240" w:lineRule="auto"/>
        <w:contextualSpacing/>
        <w:jc w:val="center"/>
        <w:rPr>
          <w:rFonts w:ascii="Times New Roman" w:eastAsia="Times New Roman" w:hAnsi="Times New Roman" w:cs="Times New Roman"/>
          <w:b/>
          <w:bCs/>
          <w:sz w:val="24"/>
          <w:szCs w:val="24"/>
          <w:lang w:val="en-US"/>
        </w:rPr>
      </w:pPr>
    </w:p>
    <w:p w14:paraId="6E068174" w14:textId="77777777" w:rsidR="001A0280" w:rsidRDefault="001A0280" w:rsidP="00073BFB">
      <w:pPr>
        <w:spacing w:line="240" w:lineRule="auto"/>
        <w:contextualSpacing/>
        <w:jc w:val="center"/>
        <w:rPr>
          <w:rFonts w:ascii="Times New Roman" w:eastAsia="Times New Roman" w:hAnsi="Times New Roman" w:cs="Times New Roman"/>
          <w:b/>
          <w:bCs/>
          <w:sz w:val="24"/>
          <w:szCs w:val="24"/>
          <w:lang w:val="en-US"/>
        </w:rPr>
      </w:pPr>
    </w:p>
    <w:p w14:paraId="6342102B" w14:textId="77777777" w:rsidR="001A0280" w:rsidRDefault="001A0280" w:rsidP="00073BFB">
      <w:pPr>
        <w:spacing w:line="240" w:lineRule="auto"/>
        <w:contextualSpacing/>
        <w:jc w:val="center"/>
        <w:rPr>
          <w:rFonts w:ascii="Times New Roman" w:eastAsia="Times New Roman" w:hAnsi="Times New Roman" w:cs="Times New Roman"/>
          <w:b/>
          <w:bCs/>
          <w:sz w:val="24"/>
          <w:szCs w:val="24"/>
          <w:lang w:val="en-US"/>
        </w:rPr>
      </w:pPr>
    </w:p>
    <w:p w14:paraId="74755E14" w14:textId="77777777" w:rsidR="001A0280" w:rsidRDefault="001A0280" w:rsidP="00073BFB">
      <w:pPr>
        <w:spacing w:line="240" w:lineRule="auto"/>
        <w:contextualSpacing/>
        <w:jc w:val="center"/>
        <w:rPr>
          <w:rFonts w:ascii="Times New Roman" w:eastAsia="Times New Roman" w:hAnsi="Times New Roman" w:cs="Times New Roman"/>
          <w:b/>
          <w:bCs/>
          <w:sz w:val="24"/>
          <w:szCs w:val="24"/>
          <w:lang w:val="en-US"/>
        </w:rPr>
      </w:pPr>
    </w:p>
    <w:p w14:paraId="0564203A" w14:textId="77777777" w:rsidR="001A0280" w:rsidRDefault="001A0280" w:rsidP="00073BFB">
      <w:pPr>
        <w:spacing w:line="240" w:lineRule="auto"/>
        <w:contextualSpacing/>
        <w:jc w:val="center"/>
        <w:rPr>
          <w:rFonts w:ascii="Times New Roman" w:eastAsia="Times New Roman" w:hAnsi="Times New Roman" w:cs="Times New Roman"/>
          <w:b/>
          <w:bCs/>
          <w:sz w:val="24"/>
          <w:szCs w:val="24"/>
          <w:lang w:val="en-US"/>
        </w:rPr>
      </w:pPr>
    </w:p>
    <w:p w14:paraId="27CB0BB6" w14:textId="77777777" w:rsidR="001A0280" w:rsidRDefault="001A0280" w:rsidP="00073BFB">
      <w:pPr>
        <w:spacing w:line="240" w:lineRule="auto"/>
        <w:contextualSpacing/>
        <w:jc w:val="center"/>
        <w:rPr>
          <w:rFonts w:ascii="Times New Roman" w:eastAsia="Times New Roman" w:hAnsi="Times New Roman" w:cs="Times New Roman"/>
          <w:b/>
          <w:bCs/>
          <w:sz w:val="24"/>
          <w:szCs w:val="24"/>
          <w:lang w:val="en-US"/>
        </w:rPr>
      </w:pPr>
    </w:p>
    <w:p w14:paraId="6099313B" w14:textId="594AE19B" w:rsidR="00E70677" w:rsidRPr="00A056BE" w:rsidRDefault="00E70677" w:rsidP="00073BFB">
      <w:pPr>
        <w:spacing w:line="240" w:lineRule="auto"/>
        <w:contextualSpacing/>
        <w:jc w:val="center"/>
        <w:rPr>
          <w:rFonts w:ascii="Times New Roman" w:eastAsia="Times New Roman" w:hAnsi="Times New Roman" w:cs="Times New Roman"/>
          <w:b/>
          <w:bCs/>
          <w:sz w:val="24"/>
          <w:szCs w:val="24"/>
          <w:lang w:val="en-US"/>
        </w:rPr>
      </w:pPr>
      <w:r w:rsidRPr="00A056BE">
        <w:rPr>
          <w:rFonts w:ascii="Times New Roman" w:eastAsia="Times New Roman" w:hAnsi="Times New Roman" w:cs="Times New Roman"/>
          <w:b/>
          <w:bCs/>
          <w:sz w:val="24"/>
          <w:szCs w:val="24"/>
          <w:lang w:val="en-US"/>
        </w:rPr>
        <w:t xml:space="preserve">Novel metaphor processing in dyslexia: </w:t>
      </w:r>
      <w:r w:rsidR="001A0280">
        <w:rPr>
          <w:rFonts w:ascii="Times New Roman" w:eastAsia="Times New Roman" w:hAnsi="Times New Roman" w:cs="Times New Roman"/>
          <w:b/>
          <w:bCs/>
          <w:sz w:val="24"/>
          <w:szCs w:val="24"/>
          <w:lang w:val="en-US"/>
        </w:rPr>
        <w:t>A</w:t>
      </w:r>
      <w:r w:rsidRPr="00A056BE">
        <w:rPr>
          <w:rFonts w:ascii="Times New Roman" w:eastAsia="Times New Roman" w:hAnsi="Times New Roman" w:cs="Times New Roman"/>
          <w:b/>
          <w:bCs/>
          <w:sz w:val="24"/>
          <w:szCs w:val="24"/>
          <w:lang w:val="en-US"/>
        </w:rPr>
        <w:t xml:space="preserve"> visual world eye-tracking study</w:t>
      </w:r>
    </w:p>
    <w:bookmarkEnd w:id="0"/>
    <w:p w14:paraId="70029E1D" w14:textId="77777777" w:rsidR="00E70677" w:rsidRPr="00A056BE" w:rsidRDefault="00E70677" w:rsidP="00073BFB">
      <w:pPr>
        <w:spacing w:line="240" w:lineRule="auto"/>
        <w:contextualSpacing/>
        <w:jc w:val="center"/>
        <w:rPr>
          <w:rFonts w:ascii="Times New Roman" w:hAnsi="Times New Roman" w:cs="Times New Roman"/>
          <w:sz w:val="24"/>
          <w:szCs w:val="24"/>
          <w:lang w:val="en-US"/>
        </w:rPr>
      </w:pPr>
    </w:p>
    <w:p w14:paraId="73DB6A22" w14:textId="495999CB" w:rsidR="00E70677" w:rsidRPr="00A056BE" w:rsidRDefault="00E70677" w:rsidP="00073BFB">
      <w:pPr>
        <w:spacing w:line="240" w:lineRule="auto"/>
        <w:jc w:val="both"/>
        <w:rPr>
          <w:rFonts w:ascii="Times New Roman" w:hAnsi="Times New Roman" w:cs="Times New Roman"/>
          <w:bCs/>
          <w:sz w:val="24"/>
          <w:szCs w:val="24"/>
          <w:lang w:val="en-US"/>
        </w:rPr>
      </w:pPr>
      <w:r w:rsidRPr="00A056BE">
        <w:rPr>
          <w:rFonts w:ascii="Times New Roman" w:hAnsi="Times New Roman" w:cs="Times New Roman"/>
          <w:bCs/>
          <w:sz w:val="24"/>
          <w:szCs w:val="24"/>
          <w:lang w:val="en-US"/>
        </w:rPr>
        <w:br w:type="page"/>
      </w:r>
    </w:p>
    <w:p w14:paraId="43838A72" w14:textId="77777777" w:rsidR="00E70677" w:rsidRPr="00A056BE" w:rsidRDefault="00E70677" w:rsidP="00073BFB">
      <w:pPr>
        <w:spacing w:line="240" w:lineRule="auto"/>
        <w:contextualSpacing/>
        <w:jc w:val="both"/>
        <w:rPr>
          <w:rFonts w:ascii="Times New Roman" w:hAnsi="Times New Roman" w:cs="Times New Roman"/>
          <w:b/>
          <w:sz w:val="24"/>
          <w:szCs w:val="24"/>
          <w:lang w:val="en-US"/>
        </w:rPr>
      </w:pPr>
      <w:r w:rsidRPr="00A056BE">
        <w:rPr>
          <w:rFonts w:ascii="Times New Roman" w:hAnsi="Times New Roman" w:cs="Times New Roman"/>
          <w:b/>
          <w:sz w:val="24"/>
          <w:szCs w:val="24"/>
          <w:lang w:val="en-US"/>
        </w:rPr>
        <w:lastRenderedPageBreak/>
        <w:t>Abstract</w:t>
      </w:r>
    </w:p>
    <w:p w14:paraId="165BA1A0" w14:textId="670B3F16" w:rsidR="00AB3AB9" w:rsidRPr="00C23CB5" w:rsidRDefault="00DE069D" w:rsidP="00F57A6B">
      <w:pPr>
        <w:pStyle w:val="Abstracttext"/>
        <w:spacing w:line="240" w:lineRule="auto"/>
        <w:ind w:left="0"/>
        <w:contextualSpacing/>
        <w:rPr>
          <w:sz w:val="24"/>
          <w:szCs w:val="24"/>
        </w:rPr>
      </w:pPr>
      <w:r>
        <w:rPr>
          <w:sz w:val="24"/>
          <w:szCs w:val="24"/>
        </w:rPr>
        <w:t xml:space="preserve">Metaphor comprehension </w:t>
      </w:r>
      <w:r w:rsidRPr="00DB66F0">
        <w:rPr>
          <w:sz w:val="24"/>
          <w:szCs w:val="24"/>
          <w:lang w:val="en-GB"/>
        </w:rPr>
        <w:t xml:space="preserve">has been investigated in neurodevelopmental disorders, but studies devoted to adults </w:t>
      </w:r>
      <w:r>
        <w:rPr>
          <w:sz w:val="24"/>
          <w:szCs w:val="24"/>
          <w:lang w:val="en-GB"/>
        </w:rPr>
        <w:t xml:space="preserve">with dyslexia </w:t>
      </w:r>
      <w:r w:rsidRPr="00DB66F0">
        <w:rPr>
          <w:sz w:val="24"/>
          <w:szCs w:val="24"/>
          <w:lang w:val="en-GB"/>
        </w:rPr>
        <w:t>are few and present inconsistent results.</w:t>
      </w:r>
      <w:r>
        <w:rPr>
          <w:sz w:val="24"/>
          <w:szCs w:val="24"/>
          <w:lang w:val="en-GB"/>
        </w:rPr>
        <w:t xml:space="preserve"> </w:t>
      </w:r>
      <w:r w:rsidRPr="00171B1C">
        <w:rPr>
          <w:sz w:val="24"/>
          <w:szCs w:val="24"/>
          <w:lang w:val="en-GB"/>
        </w:rPr>
        <w:t xml:space="preserve">The </w:t>
      </w:r>
      <w:r>
        <w:rPr>
          <w:sz w:val="24"/>
          <w:szCs w:val="24"/>
          <w:lang w:val="en-GB"/>
        </w:rPr>
        <w:t>present</w:t>
      </w:r>
      <w:r w:rsidRPr="00171B1C">
        <w:rPr>
          <w:sz w:val="24"/>
          <w:szCs w:val="24"/>
          <w:lang w:val="en-GB"/>
        </w:rPr>
        <w:t xml:space="preserve"> study sought to investigate how </w:t>
      </w:r>
      <w:r>
        <w:rPr>
          <w:sz w:val="24"/>
          <w:szCs w:val="24"/>
          <w:lang w:val="en-GB"/>
        </w:rPr>
        <w:t>adults with dyslexia</w:t>
      </w:r>
      <w:r w:rsidRPr="00171B1C">
        <w:rPr>
          <w:sz w:val="24"/>
          <w:szCs w:val="24"/>
          <w:lang w:val="en-GB"/>
        </w:rPr>
        <w:t xml:space="preserve"> process novel metaphors.</w:t>
      </w:r>
      <w:r>
        <w:rPr>
          <w:sz w:val="24"/>
          <w:szCs w:val="24"/>
          <w:lang w:val="en-GB"/>
        </w:rPr>
        <w:t xml:space="preserve"> Individual differences </w:t>
      </w:r>
      <w:r w:rsidR="001A0280">
        <w:rPr>
          <w:sz w:val="24"/>
          <w:szCs w:val="24"/>
          <w:lang w:val="en-GB"/>
        </w:rPr>
        <w:t>i</w:t>
      </w:r>
      <w:r>
        <w:rPr>
          <w:sz w:val="24"/>
          <w:szCs w:val="24"/>
          <w:lang w:val="en-GB"/>
        </w:rPr>
        <w:t xml:space="preserve">n vocabulary, working memory, and Theory of Mind were </w:t>
      </w:r>
      <w:r w:rsidR="001A0280">
        <w:rPr>
          <w:sz w:val="24"/>
          <w:szCs w:val="24"/>
          <w:lang w:val="en-GB"/>
        </w:rPr>
        <w:t xml:space="preserve">also </w:t>
      </w:r>
      <w:r>
        <w:rPr>
          <w:sz w:val="24"/>
          <w:szCs w:val="24"/>
          <w:lang w:val="en-GB"/>
        </w:rPr>
        <w:t xml:space="preserve">assessed. </w:t>
      </w:r>
      <w:r w:rsidRPr="00D56E7C">
        <w:rPr>
          <w:sz w:val="24"/>
          <w:szCs w:val="24"/>
          <w:lang w:val="en-GB"/>
        </w:rPr>
        <w:t xml:space="preserve">An online metaphor comprehension task based on the Visual World Paradigm was carried out with eye-tracking. Metaphors and corresponding literal sentences were aurally presented in isolation, and participants were asked to select </w:t>
      </w:r>
      <w:r w:rsidR="00985EAA">
        <w:rPr>
          <w:sz w:val="24"/>
          <w:szCs w:val="24"/>
          <w:lang w:val="en-GB"/>
        </w:rPr>
        <w:t>a</w:t>
      </w:r>
      <w:r w:rsidRPr="00D56E7C">
        <w:rPr>
          <w:sz w:val="24"/>
          <w:szCs w:val="24"/>
          <w:lang w:val="en-GB"/>
        </w:rPr>
        <w:t xml:space="preserve"> picture that best corresponded to </w:t>
      </w:r>
      <w:r w:rsidR="001A0280">
        <w:rPr>
          <w:sz w:val="24"/>
          <w:szCs w:val="24"/>
          <w:lang w:val="en-GB"/>
        </w:rPr>
        <w:t>the sentence</w:t>
      </w:r>
      <w:r w:rsidRPr="00D56E7C">
        <w:rPr>
          <w:sz w:val="24"/>
          <w:szCs w:val="24"/>
          <w:lang w:val="en-GB"/>
        </w:rPr>
        <w:t xml:space="preserve"> they heard.</w:t>
      </w:r>
      <w:r>
        <w:rPr>
          <w:sz w:val="24"/>
          <w:szCs w:val="24"/>
        </w:rPr>
        <w:t xml:space="preserve"> Our results </w:t>
      </w:r>
      <w:r w:rsidRPr="00C23CB5">
        <w:rPr>
          <w:sz w:val="24"/>
          <w:szCs w:val="24"/>
        </w:rPr>
        <w:t>indicate</w:t>
      </w:r>
      <w:r w:rsidR="001A0280">
        <w:rPr>
          <w:sz w:val="24"/>
          <w:szCs w:val="24"/>
        </w:rPr>
        <w:t>d</w:t>
      </w:r>
      <w:r w:rsidRPr="00C23CB5">
        <w:rPr>
          <w:sz w:val="24"/>
          <w:szCs w:val="24"/>
        </w:rPr>
        <w:t xml:space="preserve"> that </w:t>
      </w:r>
      <w:r w:rsidR="00AB3AB9" w:rsidRPr="00AB3AB9">
        <w:rPr>
          <w:sz w:val="24"/>
          <w:szCs w:val="24"/>
        </w:rPr>
        <w:t xml:space="preserve">participants with dyslexia </w:t>
      </w:r>
      <w:r w:rsidR="00985EAA">
        <w:rPr>
          <w:sz w:val="24"/>
          <w:szCs w:val="24"/>
        </w:rPr>
        <w:t>chose</w:t>
      </w:r>
      <w:r w:rsidR="00AB3AB9" w:rsidRPr="00AB3AB9">
        <w:rPr>
          <w:sz w:val="24"/>
          <w:szCs w:val="24"/>
        </w:rPr>
        <w:t xml:space="preserve"> metaphor </w:t>
      </w:r>
      <w:r w:rsidR="00985EAA">
        <w:rPr>
          <w:sz w:val="24"/>
          <w:szCs w:val="24"/>
        </w:rPr>
        <w:t>interpretations</w:t>
      </w:r>
      <w:r w:rsidR="00AB3AB9" w:rsidRPr="00AB3AB9">
        <w:rPr>
          <w:sz w:val="24"/>
          <w:szCs w:val="24"/>
        </w:rPr>
        <w:t xml:space="preserve"> at </w:t>
      </w:r>
      <w:r w:rsidR="00985EAA">
        <w:rPr>
          <w:sz w:val="24"/>
          <w:szCs w:val="24"/>
        </w:rPr>
        <w:t xml:space="preserve">a similar </w:t>
      </w:r>
      <w:r w:rsidR="00AB3AB9" w:rsidRPr="00AB3AB9">
        <w:rPr>
          <w:sz w:val="24"/>
          <w:szCs w:val="24"/>
        </w:rPr>
        <w:t xml:space="preserve">rate </w:t>
      </w:r>
      <w:r w:rsidR="00985EAA">
        <w:rPr>
          <w:sz w:val="24"/>
          <w:szCs w:val="24"/>
        </w:rPr>
        <w:t>as did</w:t>
      </w:r>
      <w:r w:rsidR="00AB3AB9" w:rsidRPr="00AB3AB9">
        <w:rPr>
          <w:sz w:val="24"/>
          <w:szCs w:val="24"/>
        </w:rPr>
        <w:t xml:space="preserve"> the control group. However, online processing data indicated generally slower response times, with a particular delay in processing metaphorical utterances. Eye movement analys</w:t>
      </w:r>
      <w:r w:rsidR="00985EAA">
        <w:rPr>
          <w:sz w:val="24"/>
          <w:szCs w:val="24"/>
        </w:rPr>
        <w:t>e</w:t>
      </w:r>
      <w:r w:rsidR="00AB3AB9" w:rsidRPr="00AB3AB9">
        <w:rPr>
          <w:sz w:val="24"/>
          <w:szCs w:val="24"/>
        </w:rPr>
        <w:t>s provided further insights into the underlying nature of the processing slowdowns, highlighting specific challenges encountered by individuals with dyslexia when interpreting figurative language.</w:t>
      </w:r>
    </w:p>
    <w:p w14:paraId="7A12CDDF" w14:textId="77777777" w:rsidR="00E70677" w:rsidRPr="00A056BE" w:rsidRDefault="00E70677" w:rsidP="00073BFB">
      <w:pPr>
        <w:pStyle w:val="Abstracttext"/>
        <w:spacing w:line="240" w:lineRule="auto"/>
        <w:ind w:left="0"/>
        <w:contextualSpacing/>
        <w:rPr>
          <w:sz w:val="24"/>
          <w:szCs w:val="24"/>
        </w:rPr>
      </w:pPr>
    </w:p>
    <w:p w14:paraId="3E70D4C7" w14:textId="0E803E80" w:rsidR="00E70677" w:rsidRPr="00A056BE" w:rsidRDefault="00E70677" w:rsidP="00073BFB">
      <w:pPr>
        <w:spacing w:line="240" w:lineRule="auto"/>
        <w:contextualSpacing/>
        <w:jc w:val="both"/>
        <w:rPr>
          <w:rFonts w:ascii="Times New Roman" w:hAnsi="Times New Roman" w:cs="Times New Roman"/>
          <w:sz w:val="24"/>
          <w:szCs w:val="24"/>
          <w:lang w:val="en-US"/>
        </w:rPr>
      </w:pPr>
      <w:r w:rsidRPr="00A056BE">
        <w:rPr>
          <w:rFonts w:ascii="Times New Roman" w:hAnsi="Times New Roman" w:cs="Times New Roman"/>
          <w:b/>
          <w:bCs/>
          <w:i/>
          <w:iCs/>
          <w:sz w:val="24"/>
          <w:szCs w:val="24"/>
          <w:lang w:val="en-US"/>
        </w:rPr>
        <w:t>Keywords</w:t>
      </w:r>
      <w:r w:rsidRPr="00A056BE">
        <w:rPr>
          <w:rFonts w:ascii="Times New Roman" w:hAnsi="Times New Roman" w:cs="Times New Roman"/>
          <w:b/>
          <w:bCs/>
          <w:sz w:val="24"/>
          <w:szCs w:val="24"/>
          <w:lang w:val="en-US"/>
        </w:rPr>
        <w:t>:</w:t>
      </w:r>
      <w:r w:rsidRPr="00A056BE">
        <w:rPr>
          <w:rFonts w:ascii="Times New Roman" w:hAnsi="Times New Roman" w:cs="Times New Roman"/>
          <w:sz w:val="24"/>
          <w:szCs w:val="24"/>
          <w:lang w:val="en-US"/>
        </w:rPr>
        <w:t xml:space="preserve"> developmental dyslexia, Visual World Paradigm, eye</w:t>
      </w:r>
      <w:r w:rsidR="00935EEE" w:rsidRPr="00A056BE">
        <w:rPr>
          <w:rFonts w:ascii="Times New Roman" w:hAnsi="Times New Roman" w:cs="Times New Roman"/>
          <w:sz w:val="24"/>
          <w:szCs w:val="24"/>
          <w:lang w:val="en-US"/>
        </w:rPr>
        <w:t>-</w:t>
      </w:r>
      <w:r w:rsidRPr="00A056BE">
        <w:rPr>
          <w:rFonts w:ascii="Times New Roman" w:hAnsi="Times New Roman" w:cs="Times New Roman"/>
          <w:sz w:val="24"/>
          <w:szCs w:val="24"/>
          <w:lang w:val="en-US"/>
        </w:rPr>
        <w:t>tracking, metaphor processing, individual differences</w:t>
      </w:r>
    </w:p>
    <w:p w14:paraId="760F894F" w14:textId="77777777" w:rsidR="00E70677" w:rsidRPr="00A056BE" w:rsidRDefault="00E70677" w:rsidP="00073BFB">
      <w:pPr>
        <w:spacing w:after="0" w:line="240" w:lineRule="auto"/>
        <w:rPr>
          <w:rFonts w:ascii="Times New Roman" w:hAnsi="Times New Roman" w:cs="Times New Roman"/>
          <w:sz w:val="24"/>
          <w:szCs w:val="24"/>
          <w:lang w:val="en-US"/>
        </w:rPr>
      </w:pPr>
      <w:r w:rsidRPr="00A056BE">
        <w:rPr>
          <w:rFonts w:ascii="Times New Roman" w:hAnsi="Times New Roman" w:cs="Times New Roman"/>
          <w:sz w:val="24"/>
          <w:szCs w:val="24"/>
          <w:lang w:val="en-US"/>
        </w:rPr>
        <w:br w:type="page"/>
      </w:r>
    </w:p>
    <w:p w14:paraId="07DD39C1" w14:textId="77777777" w:rsidR="00E70677" w:rsidRPr="00A056BE" w:rsidRDefault="00E70677" w:rsidP="00073BFB">
      <w:pPr>
        <w:spacing w:after="0" w:line="240" w:lineRule="auto"/>
        <w:contextualSpacing/>
        <w:jc w:val="both"/>
        <w:rPr>
          <w:rFonts w:ascii="Times New Roman" w:hAnsi="Times New Roman" w:cs="Times New Roman"/>
          <w:b/>
          <w:bCs/>
          <w:sz w:val="24"/>
          <w:szCs w:val="24"/>
          <w:lang w:val="en-US"/>
        </w:rPr>
      </w:pPr>
      <w:r w:rsidRPr="00A056BE">
        <w:rPr>
          <w:rFonts w:ascii="Times New Roman" w:hAnsi="Times New Roman" w:cs="Times New Roman"/>
          <w:b/>
          <w:bCs/>
          <w:sz w:val="24"/>
          <w:szCs w:val="24"/>
          <w:lang w:val="en-US"/>
        </w:rPr>
        <w:lastRenderedPageBreak/>
        <w:t>1. Introduction</w:t>
      </w:r>
    </w:p>
    <w:p w14:paraId="2E638DDD" w14:textId="77777777" w:rsidR="00E70677" w:rsidRPr="00A056BE" w:rsidRDefault="00E70677" w:rsidP="00073BFB">
      <w:pPr>
        <w:spacing w:after="0" w:line="240" w:lineRule="auto"/>
        <w:contextualSpacing/>
        <w:jc w:val="both"/>
        <w:rPr>
          <w:rFonts w:ascii="Times New Roman" w:hAnsi="Times New Roman" w:cs="Times New Roman"/>
          <w:sz w:val="24"/>
          <w:szCs w:val="24"/>
          <w:lang w:val="en-US"/>
        </w:rPr>
      </w:pPr>
    </w:p>
    <w:p w14:paraId="4534146E" w14:textId="77777777" w:rsidR="001A0280" w:rsidRPr="00A056BE" w:rsidRDefault="001A0280" w:rsidP="001A0280">
      <w:pPr>
        <w:spacing w:after="0" w:line="240" w:lineRule="auto"/>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 xml:space="preserve">Metaphors have been widely studied in different fields, and linguists, psychologists, and philosophers have advanced many alternative hypotheses on how people understand them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{"citationID":"dsxY2uSj","properties":{"formattedCitation":"(Bowdle &amp; Gentner, 2005; Gentner &amp; Clement, 1988; Glucksberg &amp; Keysar, 1990; Lakoff &amp; Johnson, 1980; Ortony, 1979)","plainCitation":"(Bowdle &amp; Gentner, 2005; Gentner &amp; Clement, 1988; Glucksberg &amp; Keysar, 1990; Lakoff &amp; Johnson, 1980; Ortony, 1979)","dontUpdate":true,"noteIndex":0},"citationItems":[{"id":1834,"uris":["http://zotero.org/users/10108531/items/SJ4K73VY"],"itemData":{"id":1834,"type":"article-journal","abstract":"A central question in metaphor research is how metaphors establish mappings between concepts from different domains. The authors propose an evolutionary path based on structure-mapping theory. This hypothesis--the career of metaphor--postulates a shift in mode of mapping from comparison to categorization as metaphors are conventionalized. Moreover, as demonstrated by 3 experiments, this processing shift is reflected in the very language that people use to make figurative assertions. The career of metaphor hypothesis offers a unified theoretical framework that can resolve the debate between comparison and categorization models of metaphor. This account further suggests that whether metaphors are processed directly or indirectly, and whether they operate at the level of individual concepts or entire conceptual domains, will depend both on their degree of conventionality and on their linguistic form. (PsycINFO Database Record (c) 2016 APA, all rights reserved)","container-title":"Psychological Review","DOI":"10.1037/0033-295X.112.1.193","ISSN":"1939-1471","note":"publisher-place: US\npublisher: American Psychological Association","page":"193-216","source":"APA PsycNet","title":"The Career of Metaphor","volume":"112","author":[{"family":"Bowdle","given":"Brian F."},{"family":"Gentner","given":"Dedre"}],"issued":{"date-parts":[["2005"]]}}},{"id":1851,"uris":["http://zotero.org/users/10108531/items/K5VGKC5I"],"itemData":{"id":1851,"type":"chapter","abstract":"This chapter reviews three theoretical approaches to analogy and metaphor in increasing order of the complexity of their representational assumptions. Analogies discard object descriptions and preserve a relational structure. Mere-appearance matches preserve object attributes and discard a relational structure. Literal similarity matches preserve both relational structure and object descriptions. The chapter presents a propositional representation in which nodes or constants represent concepts treated as wholes and explain that predicates, when applied to the nodes, express propositions about the concepts. Structure mapping assumes that the comprehension of metaphors involves the processing of complex representational structures and that the matching process is sensitive to distinctions about a predicate structure. The chapter presents experiments that contrast salience imbalance and structure mapping. Structure mapping and salience imbalance make different predictions about the way people derive the meaning of a metaphor from the prior representations of its terms. People seek interpretations of metaphors that preserve relations from the base and drop object attributes.","container-title":"Psychology of Learning and Motivation","language":"en","note":"DOI: 10.1016/S0079-7421(08)60044-4","page":"307-358","publisher":"Academic Press","source":"ScienceDirect","title":"Evidence for Relational Selectivity in the Interpretation of Analogy and Metaphor","URL":"https://www.sciencedirect.com/science/article/pii/S0079742108600444","volume":"22","author":[{"family":"Gentner","given":"Dedre"},{"family":"Clement","given":"Catherine"}],"editor":[{"family":"Bower","given":"Gordon H."}],"accessed":{"date-parts":[["2022",10,1]]},"issued":{"date-parts":[["1988",1,1]]}}},{"id":1841,"uris":["http://zotero.org/users/10108531/items/HSMF6BCN"],"itemData":{"id":1841,"type":"article-journal","abstract":"Traditionally, metaphors such as \"my job is a jail\" have been treated as implicit similes (i.e., this metaphor would be treated as if it were a comparison statement, \"my job is like a jail\"). A. Tversky's (1977) account of similarity is applied to such nonliteral similarity expressions, and is shown to apply as readily to nonliteral comparisons as to literal comparisons. But treating metaphors as comparison statements fails to account for certain important phenomena, including metaphoricity itself (the judgment that a comparison statement is nonliteral). We argue that metaphors are exactly what they appear to be: class-inclusion assertions, in which the topic of the metaphor (e.g., \"my job\") is assigned to a diagnostic category (e.g., entities that confine one against one's will, are unpleasant, are difficult to escape from). In such assertions, the metaphor vehicle (e.g., \"jail\") refers to that category, and at the same time is a prototypical exemplar of that category. This account of metaphor provides a basis for a theory of metaphor comprehension, and also clarifies why people use metaphors instead of similes. (PsycINFO Database Record (c) 2016 APA, all rights reserved)","container-title":"Psychological Review","DOI":"10.1037/0033-295X.97.1.3","ISSN":"1939-1471","note":"publisher-place: US\npublisher: American Psychological Association","page":"3-18","source":"APA PsycNet","title":"Understanding metaphorical comparisons: Beyond similarity","title-short":"Understanding metaphorical comparisons","volume":"97","author":[{"family":"Glucksberg","given":"Sam"},{"family":"Keysar","given":"Boaz"}],"issued":{"date-parts":[["1990"]]}}},{"id":1839,"uris":["http://zotero.org/users/10108531/items/H6UIHHKC"],"itemData":{"id":1839,"type":"book","abstract":"The now-classic Metaphors We Live By changed our understanding of metaphor and its role in language and the mind. Metaphor, the authors explain, is a fundamental mechanism of mind, one that allows us to use what we know about our physical and social experience to provide understanding of countless other subjects. Because such metaphors structure our most basic understandings of our experience, they are \"metaphors we live by\"—metaphors that can shape our perceptions and actions without our ever noticing them.  In this updated edition of Lakoff and Johnson's influential book, the authors supply an afterword surveying how their theory of metaphor has developed within the cognitive sciences to become central to the contemporary understanding of how we think and how we express our thoughts in language.","ISBN":"978-0-226-47099-3","language":"en","note":"Google-Books-ID: r6nOYYtxzUoC","number-of-pages":"292","publisher":"University of Chicago Press","source":"Google Books","title":"Metaphors We Live By","author":[{"family":"Lakoff","given":"George"},{"family":"Johnson","given":"Mark"}],"issued":{"date-parts":[["1980"]]}}},{"id":1836,"uris":["http://zotero.org/users/10108531/items/F3ZVUXYT"],"itemData":{"id":1836,"type":"article-journal","abstract":"Previous theories of similarity have restricted themselves to judgments of what might be called literal similarity. The argument presented here is that a complete account of similarity needs also to be sensitive to nonliteralness, or metaphoricity, an aspect of similarity statements that is most evident in similes but that actually underlies metaphorical language in general. The claim that metaphoricity can be represented in terms of the relative degrees of salience of matching (or matchable) attributes of the 2 terms in a comparison is advanced. A modification of A. Tversky's (1977) account of similarity is proposed, and its implications for similarity statements and for the psychological processes involved in their comprehension are discussed. It is argued that the general account of similarity proposed, including as it does nonliteral similarity, can form not only the basis of a theory of metaphor but can also give a credible account of the relationship between metaphor, analogy, and similarity. (39 ref) (PsycINFO Database Record (c) 2016 APA, all rights reserved)","container-title":"Psychological Review","DOI":"10.1037/0033-295X.86.3.161","ISSN":"1939-1471","note":"publisher-place: US\npublisher: American Psychological Association","page":"161-180","source":"APA PsycNet","title":"Beyond literal similarity","volume":"86","author":[{"family":"Ortony","given":"Andrew"}],"issued":{"date-parts":[["1979"]]}}}],"schema":"https://github.com/citation-style-language/schema/raw/master/csl-citation.json"}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(Bowdle and Gentner, 2005; Gentner and Clement, 1988; Glucksberg and Keysar, 1990; Lakoff and Johnson, 1980; Ortony, 1979)</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According to the view first outlined by Aristotle, and then developed in modern times by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{"citationID":"TG7yvxVG","properties":{"formattedCitation":"(Black, 1962; Gentner &amp; Clement, 1988; Tourangeau &amp; Sternberg, 1982, 1982; Trick &amp; Katz, 1986)","plainCitation":"(Black, 1962; Gentner &amp; Clement, 1988; Tourangeau &amp; Sternberg, 1982, 1982; Trick &amp; Katz, 1986)","dontUpdate":true,"noteIndex":0},"citationItems":[{"id":1843,"uris":["http://zotero.org/users/10108531/items/EQ3XIIAI"],"itemData":{"id":1843,"type":"book","abstract":"Although the range is wide (philosophy of language, logic, philosophy of science) in this collection of essays, there is a certain unity of treatment arising from the author's steady interest in using \"linguistic analysisto cast some new light on old problems, such as the nature of logic, causation, and induction.","ISBN":"978-1-5017-4132-6","language":"en","note":"DOI: 10.7591/9781501741326\ncontainer-title: Models and Metaphors","publisher":"Cornell University Press","source":"www.degruyter.com","title":"Models and Metaphors: Studies in Language and Philosophy","title-short":"Models and Metaphors","URL":"https://www.degruyter.com/document/doi/10.7591/9781501741326/html","author":[{"family":"Black","given":"Max"}],"accessed":{"date-parts":[["2022",10,1]]},"issued":{"date-parts":[["1962"]]}}},{"id":1851,"uris":["http://zotero.org/users/10108531/items/K5VGKC5I"],"itemData":{"id":1851,"type":"chapter","abstract":"This chapter reviews three theoretical approaches to analogy and metaphor in increasing order of the complexity of their representational assumptions. Analogies discard object descriptions and preserve a relational structure. Mere-appearance matches preserve object attributes and discard a relational structure. Literal similarity matches preserve both relational structure and object descriptions. The chapter presents a propositional representation in which nodes or constants represent concepts treated as wholes and explain that predicates, when applied to the nodes, express propositions about the concepts. Structure mapping assumes that the comprehension of metaphors involves the processing of complex representational structures and that the matching process is sensitive to distinctions about a predicate structure. The chapter presents experiments that contrast salience imbalance and structure mapping. Structure mapping and salience imbalance make different predictions about the way people derive the meaning of a metaphor from the prior representations of its terms. People seek interpretations of metaphors that preserve relations from the base and drop object attributes.","container-title":"Psychology of Learning and Motivation","language":"en","note":"DOI: 10.1016/S0079-7421(08)60044-4","page":"307-358","publisher":"Academic Press","source":"ScienceDirect","title":"Evidence for Relational Selectivity in the Interpretation of Analogy and Metaphor","URL":"https://www.sciencedirect.com/science/article/pii/S0079742108600444","volume":"22","author":[{"family":"Gentner","given":"Dedre"},{"family":"Clement","given":"Catherine"}],"editor":[{"family":"Bower","given":"Gordon H."}],"accessed":{"date-parts":[["2022",10,1]]},"issued":{"date-parts":[["1988",1,1]]}}},{"id":1847,"uris":["http://zotero.org/users/10108531/items/ZG684S7G"],"itemData":{"id":1847,"type":"article-journal","abstract":"We consider three theories that have dominated discussions of metaphor. One view is that metaphors make comparisons, the basis for the comparison being the features (or categories) that the terms of the metaphor share. The second view is that metaphors involve an anomaly. The third view is that metaphors are ‘interactive’, producing a new way of seeing the terms. We propose a new theory—the domains-interaction view—that draws on elements of all three earlier views, but borrows especially from the interaction view. We consider the implications of our theory for three questions: What are metaphors? How are they understood? What makes a good metaphor? We argue that metaphors correlate two systems of concepts from different domains. The best metaphors involve two diverse domains (more distance between domains making for better metaphors) and close correspondence between the terms within those domains. We call the degree of correspondence within-domain similarity. Metaphors are interpreted in several stages: the terms of the metaphor are encoded; the domains involved are inferred; the structures to be seen as parallel are found; the correspondences between these structures are ‘mapped’ or constructed; the terms of the metaphor are compared. If the terms are not seen to match or occupy analogous roles in their different domains, then the metaphor may be reinterpreted. The evidence on all this is tentative but supports our view. We review two studies (Tourangeau and Sternberg, 1981) that support the hypothesis that distance within domain relates negatively to aptness, whereas distance between domains relates positively. Several studies on comprehension tend to disconfirm the comparison theory's notion that the tenor and vehicle necessarily share features. Tenor and vehicle also appear to have asymmetrical roles in the interpretive process.\nRésumé\nOn considère trois théories qui ont dominé les discussions sur les metaphores. Dans la première on soutient que les métaphores fond des comparaisons dont les bases sont les traits (ou catégories) que les termes de la métaphore partagent. Dans la seconde les métaphores impliquent une anomalie. Dans la troisième les métaphores sont vues comme ‘interactives’ et produisant une nouvelle façon de voir les termes. Nous proposons une nouvelle théorie: le point de vue interaction-domaine qui s'appuie sur certains éléments des trois points de vue précédents mais plus particulièrement sur l'interaction. Nous considérons les implications de notre théorie sur trois points: Que sont les métaphores? Comment sont-elles comprises? Qu'est ce qui fait une bonne métaphore? Nous pensons que les métaphores corrèlent deux systèmes de concepts de domaines différents. Les meilleures métaphores impliquent deux domaines différents (plus la distance entre ces domaines est grande plus les métaphores sont bonnes) et une correspondance proche entre les termes à l'intérieur de ces domaines. Nous appellons le degré de correspondance similarité d'intra domaine. Les métaphores sont interprétées à différents stades: encodage des termes de la métaphore, inférence des domaines impliqués découverte des structures parallèles, ‘projection’ ou construction des correspondances entre ces structures puis comparaison des termes de la métaphore. Si l'on ne consière pas les termes comme appariés ou ayant des rôles analogues dans les domaines différents, la métaphore doit être reinterprétée. Les preuves de ceci en sont encore au stade expérimental mais vont dans notre sens. Nous passons en revue deux études (Tourangeau et Sternberg, 1981) qui appuient l'hypothèse que la distance à l'intérieur des domaines est négativement reliée à l'adéquation tandis que la distance entre les domaines est reliée positivement. Plusieurs études de compréhension vom à l'encontre de la notion théorique de comparaison impliquant que le contenu et le véhicule partagent nécessairement des traits. La signification et le véhicule semblent blent avoir plutôt des rôles symétriques dans le processus d'interprétation.","container-title":"Cognition","DOI":"10.1016/0010-0277(82)90016-6","ISSN":"0010-0277","issue":"3","journalAbbreviation":"Cognition","language":"en","page":"203-244","source":"ScienceDirect","title":"Understanding and appreciating metaphors","volume":"11","author":[{"family":"Tourangeau","given":"Roger"},{"family":"Sternberg","given":"Robert J."}],"issued":{"date-parts":[["1982",5,1]]}}},{"id":1847,"uris":["http://zotero.org/users/10108531/items/ZG684S7G"],"itemData":{"id":1847,"type":"article-journal","abstract":"We consider three theories that have dominated discussions of metaphor. One view is that metaphors make comparisons, the basis for the comparison being the features (or categories) that the terms of the metaphor share. The second view is that metaphors involve an anomaly. The third view is that metaphors are ‘interactive’, producing a new way of seeing the terms. We propose a new theory—the domains-interaction view—that draws on elements of all three earlier views, but borrows especially from the interaction view. We consider the implications of our theory for three questions: What are metaphors? How are they understood? What makes a good metaphor? We argue that metaphors correlate two systems of concepts from different domains. The best metaphors involve two diverse domains (more distance between domains making for better metaphors) and close correspondence between the terms within those domains. We call the degree of correspondence within-domain similarity. Metaphors are interpreted in several stages: the terms of the metaphor are encoded; the domains involved are inferred; the structures to be seen as parallel are found; the correspondences between these structures are ‘mapped’ or constructed; the terms of the metaphor are compared. If the terms are not seen to match or occupy analogous roles in their different domains, then the metaphor may be reinterpreted. The evidence on all this is tentative but supports our view. We review two studies (Tourangeau and Sternberg, 1981) that support the hypothesis that distance within domain relates negatively to aptness, whereas distance between domains relates positively. Several studies on comprehension tend to disconfirm the comparison theory's notion that the tenor and vehicle necessarily share features. Tenor and vehicle also appear to have asymmetrical roles in the interpretive process.\nRésumé\nOn considère trois théories qui ont dominé les discussions sur les metaphores. Dans la première on soutient que les métaphores fond des comparaisons dont les bases sont les traits (ou catégories) que les termes de la métaphore partagent. Dans la seconde les métaphores impliquent une anomalie. Dans la troisième les métaphores sont vues comme ‘interactives’ et produisant une nouvelle façon de voir les termes. Nous proposons une nouvelle théorie: le point de vue interaction-domaine qui s'appuie sur certains éléments des trois points de vue précédents mais plus particulièrement sur l'interaction. Nous considérons les implications de notre théorie sur trois points: Que sont les métaphores? Comment sont-elles comprises? Qu'est ce qui fait une bonne métaphore? Nous pensons que les métaphores corrèlent deux systèmes de concepts de domaines différents. Les meilleures métaphores impliquent deux domaines différents (plus la distance entre ces domaines est grande plus les métaphores sont bonnes) et une correspondance proche entre les termes à l'intérieur de ces domaines. Nous appellons le degré de correspondance similarité d'intra domaine. Les métaphores sont interprétées à différents stades: encodage des termes de la métaphore, inférence des domaines impliqués découverte des structures parallèles, ‘projection’ ou construction des correspondances entre ces structures puis comparaison des termes de la métaphore. Si l'on ne consière pas les termes comme appariés ou ayant des rôles analogues dans les domaines différents, la métaphore doit être reinterprétée. Les preuves de ceci en sont encore au stade expérimental mais vont dans notre sens. Nous passons en revue deux études (Tourangeau et Sternberg, 1981) qui appuient l'hypothèse que la distance à l'intérieur des domaines est négativement reliée à l'adéquation tandis que la distance entre les domaines est reliée positivement. Plusieurs études de compréhension vom à l'encontre de la notion théorique de comparaison impliquant que le contenu et le véhicule partagent nécessairement des traits. La signification et le véhicule semblent blent avoir plutôt des rôles symétriques dans le processus d'interprétation.","container-title":"Cognition","DOI":"10.1016/0010-0277(82)90016-6","ISSN":"0010-0277","issue":"3","journalAbbreviation":"Cognition","language":"en","page":"203-244","source":"ScienceDirect","title":"Understanding and appreciating metaphors","volume":"11","author":[{"family":"Tourangeau","given":"Roger"},{"family":"Sternberg","given":"Robert J."}],"issued":{"date-parts":[["1982",5,1]]}}},{"id":1853,"uris":["http://zotero.org/users/10108531/items/DEJKZF8B"],"itemData":{"id":1853,"type":"article-journal","abstract":"Tourangeau and Sternberg (1981) proposed a sophisticated model to explain how people comprehend and appreciate metaphors of the form \"Robert Redford is the peacock of actors.\" Out study conceptually extended this work by incorporating methodological improvements that permit the examination of individual differences. It was discovered that metaphors comparing terms with high dissimilarity between respective categories (between-domain distance) were best understood and appreciated. This relation was especially marked for participants of higher analogic reasoning ability, even when vocabulary differences were partialed out. Metaphors with high dissimilarity between topic and vehicle on factors that distinguish between category members (within-domain distance) were given low comprehension and appreciation ratings. Analogic reasoning exhibited only minimal effects here. The results are generally consistent with the Tourangeau and Sternberg model, although some inconsistent findings were observed. Slight modifications and more general theoretical problems with the model are discussed.","container-title":"Metaphor and Symbolic Activity","DOI":"10.1207/s15327868ms0103_3","ISSN":"0885-7253","issue":"3","note":"publisher: Routledge\n_eprint: https://doi.org/10.1207/s15327868ms0103_3","page":"185-213","source":"Taylor and Francis+NEJM","title":"The Domain Interaction Approach to Metaphor Processing: Relating Individual Differences and Metaphor Characteristics","title-short":"The Domain Interaction Approach to Metaphor Processing","volume":"1","author":[{"family":"Trick","given":"Lana"},{"family":"Katz","given":"Albert N."}],"issued":{"date-parts":[["1986",9,1]]}}}],"schema":"https://github.com/citation-style-language/schema/raw/master/csl-citation.json"}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Black (1962), Gentner and Clement (1988), Tourangeau and Sternberg (1982, 1982), Trick and Katz (1986)</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understanding metaphor requires the identification and mapping of relevant analogies between a topic and a vehicle. Alternatively, the view proposed by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{"citationID":"EMIEtAxL","properties":{"formattedCitation":"(Glucksberg &amp; Keysar, 1990)","plainCitation":"(Glucksberg &amp; Keysar, 1990)","dontUpdate":true,"noteIndex":0},"citationItems":[{"id":1841,"uris":["http://zotero.org/users/10108531/items/HSMF6BCN"],"itemData":{"id":1841,"type":"article-journal","abstract":"Traditionally, metaphors such as \"my job is a jail\" have been treated as implicit similes (i.e., this metaphor would be treated as if it were a comparison statement, \"my job is like a jail\"). A. Tversky's (1977) account of similarity is applied to such nonliteral similarity expressions, and is shown to apply as readily to nonliteral comparisons as to literal comparisons. But treating metaphors as comparison statements fails to account for certain important phenomena, including metaphoricity itself (the judgment that a comparison statement is nonliteral). We argue that metaphors are exactly what they appear to be: class-inclusion assertions, in which the topic of the metaphor (e.g., \"my job\") is assigned to a diagnostic category (e.g., entities that confine one against one's will, are unpleasant, are difficult to escape from). In such assertions, the metaphor vehicle (e.g., \"jail\") refers to that category, and at the same time is a prototypical exemplar of that category. This account of metaphor provides a basis for a theory of metaphor comprehension, and also clarifies why people use metaphors instead of similes. (PsycINFO Database Record (c) 2016 APA, all rights reserved)","container-title":"Psychological Review","DOI":"10.1037/0033-295X.97.1.3","ISSN":"1939-1471","note":"publisher-place: US\npublisher: American Psychological Association","page":"3-18","source":"APA PsycNet","title":"Understanding metaphorical comparisons: Beyond similarity","title-short":"Understanding metaphorical comparisons","volume":"97","author":[{"family":"Glucksberg","given":"Sam"},{"family":"Keysar","given":"Boaz"}],"issued":{"date-parts":[["1990"]]}}}],"schema":"https://github.com/citation-style-language/schema/raw/master/csl-citation.json"}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Glucksberg and Keysar (1990)</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claimed that the process of understanding metaphors requires a class-inclusion assertion. This means that in a metaphor like </w:t>
      </w:r>
      <w:r w:rsidRPr="00A056BE">
        <w:rPr>
          <w:rFonts w:ascii="Times New Roman" w:hAnsi="Times New Roman" w:cs="Times New Roman"/>
          <w:i/>
          <w:iCs/>
          <w:sz w:val="24"/>
          <w:szCs w:val="24"/>
          <w:lang w:val="en-US"/>
        </w:rPr>
        <w:t>personality is an iceberg</w:t>
      </w:r>
      <w:r w:rsidRPr="00A056BE">
        <w:rPr>
          <w:rFonts w:ascii="Times New Roman" w:hAnsi="Times New Roman" w:cs="Times New Roman"/>
          <w:sz w:val="24"/>
          <w:szCs w:val="24"/>
          <w:lang w:val="en-US"/>
        </w:rPr>
        <w:t xml:space="preserve">, the typical properties of </w:t>
      </w:r>
      <w:r w:rsidRPr="00A056BE">
        <w:rPr>
          <w:rFonts w:ascii="Times New Roman" w:hAnsi="Times New Roman" w:cs="Times New Roman"/>
          <w:i/>
          <w:iCs/>
          <w:sz w:val="24"/>
          <w:szCs w:val="24"/>
          <w:lang w:val="en-US"/>
        </w:rPr>
        <w:t>iceberg</w:t>
      </w:r>
      <w:r w:rsidRPr="00A056BE">
        <w:rPr>
          <w:rFonts w:ascii="Times New Roman" w:hAnsi="Times New Roman" w:cs="Times New Roman"/>
          <w:sz w:val="24"/>
          <w:szCs w:val="24"/>
          <w:lang w:val="en-US"/>
        </w:rPr>
        <w:t xml:space="preserve"> (e.g., “being only partially visible”) create a broader ad hoc category that can be attributed to </w:t>
      </w:r>
      <w:r w:rsidRPr="00A056BE">
        <w:rPr>
          <w:rFonts w:ascii="Times New Roman" w:hAnsi="Times New Roman" w:cs="Times New Roman"/>
          <w:i/>
          <w:iCs/>
          <w:sz w:val="24"/>
          <w:szCs w:val="24"/>
          <w:lang w:val="en-US"/>
        </w:rPr>
        <w:t>personality</w:t>
      </w:r>
      <w:r w:rsidRPr="00A056BE">
        <w:rPr>
          <w:rFonts w:ascii="Times New Roman" w:hAnsi="Times New Roman" w:cs="Times New Roman"/>
          <w:sz w:val="24"/>
          <w:szCs w:val="24"/>
          <w:lang w:val="en-US"/>
        </w:rPr>
        <w:t xml:space="preserve">. In this way, </w:t>
      </w:r>
      <w:r w:rsidRPr="00A056BE">
        <w:rPr>
          <w:rFonts w:ascii="Times New Roman" w:hAnsi="Times New Roman" w:cs="Times New Roman"/>
          <w:i/>
          <w:iCs/>
          <w:sz w:val="24"/>
          <w:szCs w:val="24"/>
          <w:lang w:val="en-US"/>
        </w:rPr>
        <w:t xml:space="preserve">iceberg </w:t>
      </w:r>
      <w:r w:rsidRPr="00A056BE">
        <w:rPr>
          <w:rFonts w:ascii="Times New Roman" w:hAnsi="Times New Roman" w:cs="Times New Roman"/>
          <w:sz w:val="24"/>
          <w:szCs w:val="24"/>
          <w:lang w:val="en-US"/>
        </w:rPr>
        <w:t xml:space="preserve">takes on a more abstract meaning compared to its more specific concrete meaning (e.g., “being hard, cold, and composed of ice”). However, despite decades of research, no agreement has been reached on whether metaphor comprehension relies on analogy, categorization, or a mix of both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{"citationID":"hWq1aRXW","properties":{"formattedCitation":"(Di Paola et al., 2020; Holyoak &amp; Stamenkovi\\uc0\\u263{}, 2018; Patterson, 2016)","plainCitation":"(Di Paola et al., 2020; Holyoak &amp; Stamenković, 2018; Patterson, 2016)","noteIndex":0},"citationItems":[{"id":107,"uris":["http://zotero.org/users/10108531/items/SB33HKQC"],"itemData":{"id":107,"type":"article-journal","abstract":"Metaphor understanding is traditionally thought to emerge late in childhood. Although recent findings suggest that even pre-schoolers can understand metaphor in more age appropriate paradigms, it is still unclear which skills scaffold the development of metaphorical abilities. Metaphor comprehension is a complex process relying on multiple cognitive abilities with different developmental paths, such as Alternative Naming (i.e., accepting two labels for the same referent) and Analogy Perception (i.e., detecting similarities across objects). These two abilities may prove crucial to explain the development of metaphoric competence because difficulties in one or both of them may impose additional demands linked to children's general cognitive development. This might contribute to slow down the development of metaphor understanding. This study aims at teasing apart the contribution of Alternative Naming and Analogy Perception in the development of metaphor understanding. Using a unified picture-matching paradigm, we tested 3- and 4-year-olds in three tasks: Metaphor Comprehension, Alternative Naming and Analogy Perception. Results reveal that children with better alternative naming and analogical abilities show a better performance in the metaphor task, suggesting that both Alternative Naming and Analogy Perception play a role in the development of metaphoric competence.","container-title":"Journal of Pragmatics","DOI":"10.1016/j.pragma.2019.08.008","ISSN":"03782166","note":"publisher: Elsevier B.V.","page":"235-251","title":"Metaphorical developing minds: The role of multiple factors in the development of metaphor comprehension","volume":"156","author":[{"family":"Di Paola","given":"Simona"},{"family":"Domaneschi","given":"Filippo"},{"family":"Pouscoulous","given":"Nausicaa"}],"issued":{"date-parts":[["2020",1,1]]}}},{"id":1870,"uris":["http://zotero.org/users/10108531/items/KHF6WAJD"],"itemData":{"id":1870,"type":"article-journal","abstract":"We review psychological research bearing on major theories of metaphor comprehension. A broad survey of behavioral studies is coupled with findings from recent meta-analyses of neuroimaging studies of metaphor processing. We identify three broad theoretical positions that have been the foci of research efforts: analogy, categorization, and conceptual mapping. The first two of these emphasize relatively well-specified information-processing models; the third links metaphor comprehension to embodied cognition. Our review evaluates the evidence that has been taken as support for each view, and then critically examines studies that bear on competing hypotheses derived from opposing theories. Finally, we discuss issues that future research on metaphor should address. In particular, we call for greater consideration of the pragmatic functions of metaphor in context, of its emotional impact, and of its links to literary interpretation. We suggest ways in which mechanisms based on analogy and conceptual combination might be integrated to create a richer conception of metaphor understanding. (PsycINFO Database Record (c) 2018 APA, all rights reserved)","container-title":"Psychological Bulletin","DOI":"10.1037/bul0000145","ISSN":"1939-1455","note":"publisher-place: US\npublisher: American Psychological Association","page":"641-671","source":"APA PsycNet","title":"Metaphor comprehension: A critical review of theories and evidence","title-short":"Metaphor comprehension","volume":"144","author":[{"family":"Holyoak","given":"Keith J."},{"family":"Stamenković","given":"Dušan"}],"issued":{"date-parts":[["2018"]]}}},{"id":1867,"uris":["http://zotero.org/users/10108531/items/ILFKZZW2"],"itemData":{"id":1867,"type":"article-journal","abstract":"This paper addresses the issues with current systems of categorisation and measurement of linguistic metaphoricity, which have coloured most research into the area to-date. The paper discusses the role of metaphor as a form of creative language and a deviation from more linguistic norms and conventionalities. Two current theories are discussed as providing alternatives to metaphor identification approaches. These are Hanks’ (Int J Lexicogr 17:3, 2004) Theory of Norms and Exploitations and Hoey’s (Lexical priming and the properties of text, 2003) Theory of Lexical Priming. It is proposed that the theory of lexical priming can be adopted to provide an explanation of linguistic norms and exploitations involved in metaphoric language. Finally, the paper provides a brief corpus analysis of the verb to kindle found in a corpus of Nineteenth Century writings. The analysis will focus upon evidence of linguistic and secondary meaning primings within concordance lines.","container-title":"Journal of Psycholinguistic Research","DOI":"10.1007/s10936-014-9343-1","ISSN":"1573-6555","issue":"2","journalAbbreviation":"J Psycholinguist Res","language":"en","page":"237-258","source":"Springer Link","title":"The Analysis of Metaphor: To What Extent Can the Theory of Lexical Priming Help Our Understanding of Metaphor Usage and Comprehension?","title-short":"The Analysis of Metaphor","volume":"45","author":[{"family":"Patterson","given":"Katie J."}],"issued":{"date-parts":[["2016",4,1]]}}}],"schema":"https://github.com/citation-style-language/schema/raw/master/csl-citation.json"}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sz w:val="24"/>
          <w:lang w:val="en-US"/>
        </w:rPr>
        <w:t>(Di Paola et al., 2020; Holyoak &amp; Stamenković, 2018; Patterson, 2016)</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but it is clear that some characteristics of the metaphor may have an influence on the way in which we process them. Several studies identify different processes depending on the features of the metaphor itself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{"citationID":"l5WyrTzf","properties":{"formattedCitation":"(Dulcinati et al., 2014)","plainCitation":"(Dulcinati et al., 2014)","dontUpdate":true,"noteIndex":0},"citationItems":[{"id":1767,"uris":["http://zotero.org/users/10108531/items/6J8GHPSN"],"itemData":{"id":1767,"type":"article-journal","abstract":"According to the ‘career of metaphor’ hypothesis (Bowdle &amp; Gentner, 2005) metaphor interpretation shifts from a comparison process to a categorization process when the metaphor vehicle becomes conventional, and little importance is given to the conventionality of the topicvehicle pairing (i.e., metaphor familiarity). In this study, we used a form-preference paradigm to investigate whether highly familiar and conventional metaphors are preferred in the categorization form. We manipulated conventionality and familiarity and we controlled for aptness. Results did not show clear effects of conventionality or familiarity while they confirmed previous findings that aptness is an important predictor of form preference. An additional post-hoc analysis on the role of dominance (i.e., relative frequency) of metaphorical versus literal uses of the vehicle in the form-preference task suggests that this factor plays a key role on this task.","language":"en","page":"17","source":"Zotero","title":"Processing metaphor: The role of conventionality, familiarity and dominance","author":[{"family":"Dulcinati","given":"Giulio"},{"family":"Mazzarella","given":"Diana"},{"family":"Pouscoulous","given":"Nausicaa"}],"issued":{"date-parts":[["2014"]]}}}],"schema":"https://github.com/citation-style-language/schema/raw/master/csl-citation.json"}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Dulcinati et al., 2014)</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For instance, metaphors can be placed on a continuum based on how frequently one has already encountered them in life. This scale ranges from novel metaphors, which have never been or rarely heard before, to conventional metaphors, which have been frequently encountered. Analogy processes seem to be mainly employed for novel metaphors, while categorization is applied to more conventional metaphors (</w:t>
      </w:r>
      <w:proofErr w:type="spellStart"/>
      <w:r w:rsidRPr="00A056BE">
        <w:rPr>
          <w:rFonts w:ascii="Times New Roman" w:hAnsi="Times New Roman" w:cs="Times New Roman"/>
          <w:sz w:val="24"/>
          <w:szCs w:val="24"/>
          <w:lang w:val="en-US"/>
        </w:rPr>
        <w:t>Bowdle</w:t>
      </w:r>
      <w:proofErr w:type="spellEnd"/>
      <w:r w:rsidRPr="00A056BE">
        <w:rPr>
          <w:rFonts w:ascii="Times New Roman" w:hAnsi="Times New Roman" w:cs="Times New Roman"/>
          <w:sz w:val="24"/>
          <w:szCs w:val="24"/>
          <w:lang w:val="en-US"/>
        </w:rPr>
        <w:t xml:space="preserve"> &amp; </w:t>
      </w:r>
      <w:proofErr w:type="spellStart"/>
      <w:r w:rsidRPr="00A056BE">
        <w:rPr>
          <w:rFonts w:ascii="Times New Roman" w:hAnsi="Times New Roman" w:cs="Times New Roman"/>
          <w:sz w:val="24"/>
          <w:szCs w:val="24"/>
          <w:lang w:val="en-US"/>
        </w:rPr>
        <w:t>Gentner</w:t>
      </w:r>
      <w:proofErr w:type="spellEnd"/>
      <w:r w:rsidRPr="00A056BE">
        <w:rPr>
          <w:rFonts w:ascii="Times New Roman" w:hAnsi="Times New Roman" w:cs="Times New Roman"/>
          <w:sz w:val="24"/>
          <w:szCs w:val="24"/>
          <w:lang w:val="en-US"/>
        </w:rPr>
        <w:t xml:space="preserve">, 2005). Moreover, a more sustained effort has been detected during the processing of novel metaphors, as they involve the formulation of new meanings instead of retrieving previously known metaphorical meanings from memory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ZOTERO_TEMP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(Columbus et al., 2015)</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Several studies highlighted that novel figurative meanings undergo a more intensive computational comparison process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{"citationID":"4dou1Z54","properties":{"formattedCitation":"(Goldstein et al., 2012; Lai &amp; Curran, 2013; Mashal, 2013)","plainCitation":"(Goldstein et al., 2012; Lai &amp; Curran, 2013; Mashal, 2013)","noteIndex":0},"citationItems":[{"id":3806,"uris":["http://zotero.org/users/10108531/items/LG3UN9WZ"],"itemData":{"id":3806,"type":"article-journal","container-title":"Brain and language","issue":"2","note":"publisher: Elsevier","page":"137–142","source":"Google Scholar","title":"Killing a novel metaphor and reviving a dead one: ERP correlates of metaphor conventionalization","title-short":"Killing a novel metaphor and reviving a dead one","volume":"123","author":[{"family":"Goldstein","given":"Abraham"},{"family":"Arzouan","given":"Yossi"},{"family":"Faust","given":"Miriam"}],"issued":{"date-parts":[["2012"]]}}},{"id":3808,"uris":["http://zotero.org/users/10108531/items/PA9UZXS2"],"itemData":{"id":3808,"type":"article-journal","container-title":"Brain and Language","issue":"3","note":"publisher: Elsevier","page":"484–496","source":"Google Scholar","title":"ERP evidence for conceptual mappings and comparison processes during the comprehension of conventional and novel metaphors","volume":"127","author":[{"family":"Lai","given":"Vicky Tzuyin"},{"family":"Curran","given":"Tim"}],"issued":{"date-parts":[["2013"]]}}},{"id":278,"uris":["http://zotero.org/users/10108531/items/FI58HETV"],"itemData":{"id":278,"type":"article-journal","abstract":"Comprehension of unfamiliar metaphors (mercy blanket) is an effortful cognitive process that requires the formation of a novel metaphoric mapping between two disparate domains during which irrelevant properties have to be suppressed. The present study aims to examine the relationship between the comprehension of both unfamiliar and familiar metaphors and working memory. Three experiments were conducted: a comprehension task (Experiment 1), a recognition task (Experiments 2a and 2b), and a free recall task (Experiment 3). In the first experiment comprehension of both unfamiliar and familiar metaphors correlated with digit span backward but not with digit span forward. Results of the second experiment revealed that unfamiliar metaphors induced a higher rate of semantic errors relative to phonological errors, whereas familiar metaphors induced the same number of phonological and semantic errors. The third experiment confirmed that unfamiliar metaphors were harder to recall than were familiar metaphors. These findings show that working memory capacity may be involved in the computation of unfamiliar metaphoric interpretations, and more specifically in the process of suppressing irrelevant information via the central executive. Familiar metaphor recognition may rely on either phonological codes that are maintained in the phonological loop or on semantic processing that involves long term storage.","container-title":"Language and Cognition","DOI":"10.1515/langcog-2013-0024","ISSN":"1866-9808","issue":"4","note":"Citation Key: Mashal2013","page":"409-436","title":"The role of working memory in the comprehension of unfamiliar and familiar metaphors","volume":"5","author":[{"family":"Mashal","given":"Nira"}],"issued":{"date-parts":[["2013"]]}}}],"schema":"https://github.com/citation-style-language/schema/raw/master/csl-citation.json"}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(Goldstein et al., 2012; Lai &amp; Curran, 2013; Mashal, 2013)</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that results in slower reading and reaction times compared to more conventional and familiar meanings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{"citationID":"O8XG2olx","properties":{"formattedCitation":"(Blasko &amp; Briihl, 1997; Blasko &amp; Connine, 1993; Lai &amp; Curran, 2013; Mashal &amp; Faust, 2009)","plainCitation":"(Blasko &amp; Briihl, 1997; Blasko &amp; Connine, 1993; Lai &amp; Curran, 2013; Mashal &amp; Faust, 2009)","noteIndex":0},"citationItems":[{"id":3551,"uris":["http://zotero.org/users/10108531/items/6TB2JT5J"],"itemData":{"id":3551,"type":"article-journal","container-title":"Metaphor and Symbol","DOI":"10.1207/s15327868ms1204_4","ISSN":"1092-6488, 1532-7868","issue":"4","journalAbbreviation":"Metaphor and Symbol","language":"en","page":"261-285","source":"DOI.org (Crossref)","title":"Reading and Recall of Metaphorical Sentences: Effects of Familiarity and Context","title-short":"Reading and Recall of Metaphorical Sentences","volume":"12","author":[{"family":"Blasko","given":"Dawn G."},{"family":"Briihl","given":"Deborah S."}],"issued":{"date-parts":[["1997",12]]}}},{"id":1988,"uris":["http://zotero.org/users/10108531/items/RRYHPVLU"],"itemData":{"id":1988,"type":"article-journal","abstract":"A cross-modal priming paradigm was used to examine the comprehension of metaphors varying in familiarity and aptness. In Experiments 1 and 2 high-familiar metaphors showed availability of the figurative meaning, but low-familiar (LF) metaphors did not. In Experiment 3, only LF metaphors that had been rated highly apt showed evidence of figurative activation. Experiment 4 showed evidence of figurative activation for most LF and moderate-apt metaphors. The locus of activation was investigated in Experiment 5 in which the individual words of the metaphor (topic and vehicle) served as primes. Neither topic nor vehicle showed evidence of priming the metaphor target, suggesting that activation of the metaphorical target in Experiments 1-4 was not caused by lexical activation of the words within the metaphors, but rather was due to activation of emergent properties of the metaphorical phrase.","container-title":"Journal of Experimental Psychology. Learning, Memory, and Cognition","DOI":"10.1037//0278-7393.19.2.295","ISSN":"0278-7393","issue":"2","journalAbbreviation":"J Exp Psychol Learn Mem Cogn","language":"eng","note":"PMID: 7681095","page":"295-308","source":"PubMed","title":"Effects of familiarity and aptness on metaphor processing","volume":"19","author":[{"family":"Blasko","given":"D. G."},{"family":"Connine","given":"C. M."}],"issued":{"date-parts":[["1993",3]]}}},{"id":3808,"uris":["http://zotero.org/users/10108531/items/PA9UZXS2"],"itemData":{"id":3808,"type":"article-journal","container-title":"Brain and Language","issue":"3","note":"publisher: Elsevier","page":"484–496","source":"Google Scholar","title":"ERP evidence for conceptual mappings and comparison processes during the comprehension of conventional and novel metaphors","volume":"127","author":[{"family":"Lai","given":"Vicky Tzuyin"},{"family":"Curran","given":"Tim"}],"issued":{"date-parts":[["2013"]]}}},{"id":3774,"uris":["http://zotero.org/users/10108531/items/U565NDP8"],"itemData":{"id":3774,"type":"article-journal","container-title":"Laterality: Asymmetries of Body, Brain and Cognition","DOI":"10.1080/13576500902734645","ISSN":"1357-650X, 1464-0678","issue":"6","journalAbbreviation":"Laterality: Asymmetries of Body, Brain and Cognition","language":"en","page":"573-589","source":"DOI.org (Crossref)","title":"Conventionalisation of novel metaphors: A shift in hemispheric asymmetry","title-short":"Conventionalisation of novel metaphors","volume":"14","author":[{"family":"Mashal","given":"N."},{"family":"Faust","given":"M."}],"issued":{"date-parts":[["2009",11]]}}}],"schema":"https://github.com/citation-style-language/schema/raw/master/csl-citation.json"}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(Blasko &amp; Briihl, 1997; Blasko &amp; Connine, 1993; Lai &amp; Curran, 2013; Mashal &amp; Faust, 2009)</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w:t>
      </w:r>
    </w:p>
    <w:p w14:paraId="7A009F7E" w14:textId="77777777" w:rsidR="001A0280" w:rsidRPr="00A056BE" w:rsidRDefault="001A0280" w:rsidP="001A0280">
      <w:pPr>
        <w:spacing w:after="0" w:line="240" w:lineRule="auto"/>
        <w:ind w:firstLine="720"/>
        <w:contextualSpacing/>
        <w:jc w:val="both"/>
        <w:rPr>
          <w:rFonts w:ascii="Times New Roman" w:hAnsi="Times New Roman" w:cs="Times New Roman"/>
          <w:sz w:val="24"/>
          <w:szCs w:val="24"/>
        </w:rPr>
      </w:pPr>
      <w:r w:rsidRPr="00A056BE">
        <w:rPr>
          <w:rFonts w:ascii="Times New Roman" w:hAnsi="Times New Roman" w:cs="Times New Roman"/>
          <w:sz w:val="24"/>
          <w:szCs w:val="24"/>
          <w:lang w:val="en-US"/>
        </w:rPr>
        <w:t>These processes not only depend on features of the metaphor itself, but also to the individual differences required to process and understand metaphors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{"citationID":"6lthv9UC","properties":{"formattedCitation":"(Stamenkovi\\uc0\\u263{} et al., 2019)","plainCitation":"(Stamenković et al., 2019)","dontUpdate":true,"noteIndex":0},"citationItems":[{"id":90,"uris":["http://zotero.org/users/10108531/items/JL264RJ8"],"itemData":{"id":90,"type":"article-journal","abstract":"The nature of the mental processes involved in metaphor comprehension has been the focus of debate, with controversy focusing on the relative role of general analogical reasoning versus language-specific conceptual combination. In the present set of studies, we take an individual-differences approach to examine the comprehension of a variety of metaphors, some taken from literary sources, using several types of comprehension tests. In a series of metaphor-comprehension studies with college students, we measured both fluid intelligence (using the nonverbal Raven's Progressive Matrices test) and crystalized verbal intelligence (using a new Semantic Similarities Test as well as the Vocabulary subscale of the Wechsler Adult Intelligence Scale). Previous work has shown that measures of fluid intelligence are closely linked to individual differences in analogical reasoning, whereas measures of crystalized verbal intelligence are linked to language-specific abilities. We found that each measure had a dissociable predictive relationship to metaphor comprehension. The pattern of individual differences indicated that crystalized intelligence influences metaphor comprehension across a broad range of metaphor types, whereas individual differences in fluid intelligence mainly impact comprehension of more cognitively complex metaphors, such as those that arise in literary sources.","container-title":"Journal of Memory and Language","DOI":"10.1016/j.jml.2018.12.003","ISSN":"0749596X","issue":"December 2018","page":"108-118","title":"Metaphor comprehension: An individual-differences approach","volume":"105","author":[{"family":"Stamenković","given":"Dušan"},{"family":"Ichien","given":"Nicholas"},{"family":"Holyoak","given":"Keith J."}],"issued":{"date-parts":[["2019"]]}}}],"schema":"https://github.com/citation-style-language/schema/raw/master/csl-citation.json"}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sz w:val="24"/>
          <w:lang w:val="en-US"/>
        </w:rPr>
        <w:t>Stamenković et al., 2019</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Figurative language comprehension is not a constant process between individuals. On one hand, a person should have sufficient prior knowledge and linguistic competence to understand a metaphor; Event Related Brain Potentials (ERPs) studies demonstrated that metaphor comprehension goes through an early phase of lexical effort, followed by inferential operations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{"citationID":"7IcLgvpP","properties":{"formattedCitation":"(Bambini et al., 2016; Weiland et al., 2014)","plainCitation":"(Bambini et al., 2016; Weiland et al., 2014)","noteIndex":0},"citationItems":[{"id":2474,"uris":["http://zotero.org/users/10108531/items/BHKTSTSG"],"itemData":{"id":2474,"type":"article-journal","abstract":"A large body of electrophysiological literature showed that metaphor comprehension elicits two different event-related brain potential responses, namely the so-called N400 and P600 components. Yet most of these studies test metaphor in isolation while in natural conversation metaphors do not come out of the blue but embedded in linguistic and extra-linguistic context. This study aimed at assessing the role of context in the metaphor comprehension process. We recorded EEG activity while participants were presented with metaphors and equivalent literal expressions in a minimal context (Experiment 1) and in a supportive context where the word expressing the ground between the metaphor's topic and vehicle was made explicit (Experiment 2). The N400 effect was visible only in minimal context, whereas the P600 was visible both in the absence and in the presence of contextual cues. These findings suggest that the N400 observed for metaphor is related to contextual aspects, possibly indexing contextual expectations on upcoming words that guide lexical access and retrieval, while the P600 seems to reflect truly pragmatic interpretative processes needed to make sense of a metaphor and derive the speaker's meaning, also in the presence of contextual cues. In sum, previous information in the linguistic context biases toward a metaphorical interpretation but does not suppress interpretative pragmatic mechanisms to establish the intended meaning.","container-title":"Frontiers in Psychology","ISSN":"1664-1078","source":"Frontiers","title":"Disentangling Metaphor from Context: An ERP Study","title-short":"Disentangling Metaphor from Context","URL":"https://www.frontiersin.org/articles/10.3389/fpsyg.2016.00559","volume":"7","author":[{"family":"Bambini","given":"Valentina"},{"family":"Bertini","given":"Chiara"},{"family":"Schaeken","given":"Walter"},{"family":"Stella","given":"Alessandra"},{"family":"Di Russo","given":"Francesco"}],"accessed":{"date-parts":[["2023",2,15]]},"issued":{"date-parts":[["2016"]]}}},{"id":2476,"uris":["http://zotero.org/users/10108531/items/QMBERLNW"],"itemData":{"id":2476,"type":"article-journal","abstract":"The role of literal meaning during the construction of meaning that goes beyond pure literal composition was investigated by combining cross-modal masked priming and ERPs. This experimental design was chosen to compare two conflicting theoretical positions on this topic. The indirect access account claims that literal aspects are processed first, and additional meaning components are computed only if no satisfactory interpretation is reached. In contrast, the direct access approach argues that figurative aspects can be accessed immediately. We presented metaphors (These lawyers are hyenas, Experiment 1a and 1b) and producer-for-product metonymies (The boy read Böll, Experiment 2a and 2b) with and without a prime word that was semantically relevant to the literal meaning of the target word (furry and talented, respectively). In the presentation without priming, metaphors revealed a biphasic N400-Late Positivity pattern, while metonymies showed an N400 only. We interpret the findings within a two-phase language architecture where contextual expectations guide initial access (N400) and precede pragmatic adjustment resulting in reconceptualization (Late Positivity). With masked priming, the N400-difference was reduced for metaphors and vanished for metonymies. This speaks against the direct access view that predicts a facilitating effect for the literal condition only and hence would predict the N400-difference to increase. The results are more consistent with indirect access accounts that argue for facilitation effects for both conditions and consequently for consistent or even smaller N400-amplitude differences. This combined masked priming ERP paradigm therefore yields new insights into the role of literal meaning in the online composition of figurative language.","container-title":"Frontiers in Human Neuroscience","ISSN":"1662-5161","source":"Frontiers","title":"The role of literal meaning in figurative language comprehension: evidence from masked priming ERP","title-short":"The role of literal meaning in figurative language comprehension","URL":"https://www.frontiersin.org/articles/10.3389/fnhum.2014.00583","volume":"8","author":[{"family":"Weiland","given":"Hanna"},{"family":"Bambini","given":"Valentina"},{"family":"Schumacher","given":"Petra B."}],"accessed":{"date-parts":[["2023",2,15]]},"issued":{"date-parts":[["2014"]]}}}],"schema":"https://github.com/citation-style-language/schema/raw/master/csl-citation.json"}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(Bambini et al., 2016; Weiland et al., 2014)</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To understand a metaphor, individuals are required to perceive similarities between two entities</w:t>
      </w:r>
      <w:r>
        <w:rPr>
          <w:rFonts w:ascii="Times New Roman" w:hAnsi="Times New Roman" w:cs="Times New Roman"/>
          <w:sz w:val="24"/>
          <w:szCs w:val="24"/>
          <w:lang w:val="en-US"/>
        </w:rPr>
        <w:t>,</w:t>
      </w:r>
      <w:r w:rsidRPr="00A056BE">
        <w:rPr>
          <w:rFonts w:ascii="Times New Roman" w:hAnsi="Times New Roman" w:cs="Times New Roman"/>
          <w:sz w:val="24"/>
          <w:szCs w:val="24"/>
          <w:lang w:val="en-US"/>
        </w:rPr>
        <w:t xml:space="preserve"> which are typically regarded as distinct, often involving features that are not the most salient in either entity. Therefore, one must possess enough world knowledge and sufficiently broad semantic representations to grasp the intended comparison (</w:t>
      </w:r>
      <w:r w:rsidRPr="00A056BE">
        <w:rPr>
          <w:rFonts w:ascii="Times New Roman" w:hAnsi="Times New Roman" w:cs="Times New Roman"/>
          <w:sz w:val="24"/>
          <w:szCs w:val="24"/>
          <w:lang w:val="it-IT"/>
        </w:rPr>
        <w:fldChar w:fldCharType="begin"/>
      </w:r>
      <w:r w:rsidRPr="00A056BE">
        <w:rPr>
          <w:rFonts w:ascii="Times New Roman" w:hAnsi="Times New Roman" w:cs="Times New Roman"/>
          <w:sz w:val="24"/>
          <w:szCs w:val="24"/>
          <w:lang w:val="en-US"/>
        </w:rPr>
        <w:instrText xml:space="preserve"> ADDIN ZOTERO_ITEM CSL_CITATION {"citationID":"LFmcubNG","properties":{"formattedCitation":"(Evans &amp; Gamble, 1988)","plainCitation":"(Evans &amp; Gamble, 1988)","dontUpdate":true,"noteIndex":0},"citationItems":[{"id":3608,"uris":["http://zotero.org/users/10108531/items/TVX5PB59"],"itemData":{"id":3608,"type":"article-journal","container-title":"Journal of Child Language","issue":"2","note":"publisher: Cambridge University Press","page":"435–449","source":"Google Scholar","title":"Attribute saliency and metaphor interpretation in school-age children","volume":"15","author":[{"family":"Evans","given":"Mary Ann"},{"family":"Gamble","given":"Dianna Lynn"}],"issued":{"date-parts":[["1988"]]}}}],"schema":"https://github.com/citation-style-language/schema/raw/master/csl-citation.json"} </w:instrText>
      </w:r>
      <w:r w:rsidRPr="00A056BE">
        <w:rPr>
          <w:rFonts w:ascii="Times New Roman" w:hAnsi="Times New Roman" w:cs="Times New Roman"/>
          <w:sz w:val="24"/>
          <w:szCs w:val="24"/>
          <w:lang w:val="it-IT"/>
        </w:rPr>
        <w:fldChar w:fldCharType="separate"/>
      </w:r>
      <w:r w:rsidRPr="00A056BE">
        <w:rPr>
          <w:rFonts w:ascii="Times New Roman" w:hAnsi="Times New Roman" w:cs="Times New Roman"/>
          <w:sz w:val="24"/>
          <w:szCs w:val="24"/>
          <w:lang w:val="en-US"/>
        </w:rPr>
        <w:t>Evans &amp; Gamble, 1988)</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{"citationID":"C2vwooqT","properties":{"formattedCitation":"(Kazmerski et al., 2003)","plainCitation":"(Kazmerski et al., 2003)","dontUpdate":true,"noteIndex":0},"citationItems":[{"id":127,"uris":["http://zotero.org/users/10108531/items/QE2QGCMC"],"itemData":{"id":127,"type":"article-journal","abstract":"In two experiments, we examined individual differences in metaphor processing. In Experiment 1, the subjects judged the literal truth of literal, metaphorical, and scrambled sentences. Overall, metaphors were more difficult to judge as false, in comparison with scrambled controls, suggesting that the metaphorical meaning was being processed automatically. However, there were individual differences in that high-IQ subjects showed more interference. These effects were reflected in ERP amplitude differences at the onset of N400 and after the response. In Experiment 2, the subjects completed IQ tests and a series of working memory tests and then rated and interpreted the same set of metaphors. The results showed that IQ was correlated with working memory capacity and that low-IQ subjects had similar ratings but poorer quality interpretations than did high-IQ subjects. The results were most consistent with a constraint satisfaction approach to metaphor comprehension.","container-title":"Memory and Cognition","DOI":"10.3758/BF03196107","ISSN":"0090502X","issue":"5","note":"PMID: 12956233","page":"673-689","title":"ERP and behavioral evidence of individual differences in metaphor comprehension","volume":"31","author":[{"family":"Kazmerski","given":"Victoria A."},{"family":"Blasko","given":"Dawn G."},{"family":"Dessalegn","given":"Banchiamlack G."}],"issued":{"date-parts":[["2003"]]}}}],"schema":"https://github.com/citation-style-language/schema/raw/master/csl-citation.json"}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sz w:val="24"/>
          <w:szCs w:val="24"/>
          <w:lang w:val="en-US"/>
        </w:rPr>
        <w:t>Kazmerski et al. (2003)</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reported that vocabulary skills predicted the quality of metaphor interpretation, and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{"citationID":"INVZ6hU2","properties":{"formattedCitation":"(D. L. Chiappe &amp; Chiappe, 2007)","plainCitation":"(D. L. Chiappe &amp; Chiappe, 2007)","dontUpdate":true,"noteIndex":0},"citationItems":[{"id":1934,"uris":["http://zotero.org/users/10108531/items/6D7DHD7E"],"itemData":{"id":1934,"type":"article-journal","abstract":"The following tested Kintsch’s [Kintsch, W. (2000). Metaphor comprehension: a computational theory. Psychonomic Bulletin &amp; Review, 7, 257–266 and Kintsch, W. (2001). Predication. Cognitive Science, 25, 173–202] Predication Model, which predicts that working memory capacity is an important factor in metaphor processing. In support of his model, Experiment 1 found high working memory individuals generated better interpretations of metaphors with greater speed than did low-span individuals. Stroop performance and inhibition errors also correlated with speed and quality of interpretations. Experiment 2 found high working memory individuals produced more apt metaphors than did low-span individuals. Experiment 3 found that Digit Span Reverse predicted quality of metaphors produced better than the Digit Span Forward, the latter requiring less inhibitory control. In both Experiments 2 and 3, working memory functions were found to explain unique variance in the quality of metaphors produced, independently of measures of vocabulary knowledge and print exposure. Taken together, the results show that both general verbal knowledge and working memory functions make unique contributions to metaphor processing.","container-title":"Journal of Memory and Language","DOI":"10.1016/j.jml.2006.11.006","ISSN":"0749-596X","issue":"2","journalAbbreviation":"Journal of Memory and Language","language":"en","page":"172-188","source":"ScienceDirect","title":"The role of working memory in metaphor production and comprehension","volume":"56","author":[{"family":"Chiappe","given":"Dan L."},{"family":"Chiappe","given":"Penny"}],"issued":{"date-parts":[["2007",2,1]]}}}],"schema":"https://github.com/citation-style-language/schema/raw/master/csl-citation.json"}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sz w:val="24"/>
          <w:szCs w:val="24"/>
          <w:lang w:val="en-US"/>
        </w:rPr>
        <w:t>Chiappe &amp; Chiappe (2007)</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identified a predictive relationship between vocabulary knowledge and the quality of metaphor production. In both studies, </w:t>
      </w:r>
      <w:r>
        <w:rPr>
          <w:rFonts w:ascii="Times New Roman" w:hAnsi="Times New Roman" w:cs="Times New Roman"/>
          <w:sz w:val="24"/>
          <w:szCs w:val="24"/>
          <w:lang w:val="en-US"/>
        </w:rPr>
        <w:t xml:space="preserve">the </w:t>
      </w:r>
      <w:r w:rsidRPr="00A056BE">
        <w:rPr>
          <w:rFonts w:ascii="Times New Roman" w:hAnsi="Times New Roman" w:cs="Times New Roman"/>
          <w:sz w:val="24"/>
          <w:szCs w:val="24"/>
          <w:lang w:val="en-US"/>
        </w:rPr>
        <w:t xml:space="preserve">authors also found that working memory had a role in metaphor comprehension. Mapping common features may depend on active manipulation of complex multi-component structures, and thus, place high load on executive control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{"citationID":"ZsfxpDQr","properties":{"formattedCitation":"(Cho et al., 2007; Menashe et al., 2020; Waltz et al., 2000)","plainCitation":"(Cho et al., 2007; Menashe et al., 2020; Waltz et al., 2000)","noteIndex":0},"citationItems":[{"id":1856,"uris":["http://zotero.org/users/10108531/items/5LVRSB84"],"itemData":{"id":1856,"type":"article-journal","abstract":"We report a series of experiments using a pictorial analogy task designed to manipulate relational integration, interference resolution, and active maintenance simultaneously. The difficulty of the problems was varied in terms of the number of relations to be integrated, the need for interference resolution, and the duration of maintenance required to correctly solve the analogy. The participants showed decreases in performance when integrating multiple relations, as compared with a single relation, and when interference resolution was required in solving the analogy. When the participants were required to integrate multiple relations while simultaneously engaged in interference resolution, performance was worse, as compared with problems that incorporated either of these features alone. Maintenance of information across delays in the range of 1–4.5 sec led to greater decrements in visual memory, as compared with analogical reasoning. Misleading information caused interference when it had been necessarily attended to and maintained in working memory and, hence, had to be actively suppressed. However, sources of conflict within information that had not been attended to or encoded into working memory did not interfere with the ongoing controlled information processing required for relational integration. The findings provide evidence that relational integration and interference resolution depend on shared cognitive resources in working memory during analogical reasoning.","container-title":"Memory &amp; Cognition","DOI":"10.3758/BF03193614","ISSN":"1532-5946","issue":"6","journalAbbreviation":"Memory &amp; Cognition","language":"en","page":"1445-1455","source":"Springer Link","title":"Analogical reasoning in working memory: Resources shared among relational integration, interference resolution, and maintenance","title-short":"Analogical reasoning in working memory","volume":"35","author":[{"family":"Cho","given":"Soohyun"},{"family":"Holyoak","given":"Keith J."},{"family":"Cannon","given":"Tyrone D."}],"issued":{"date-parts":[["2007",9,1]]}}},{"id":84,"uris":["http://zotero.org/users/10108531/items/4HD5ND59"],"itemData":{"id":84,"type":"article-journal","abstract":"Metaphoric language is one of the most common expressions of creative cognition in everyday life. However, the cognitive mechanisms underlying metaphor generation remain largely unexplained. In this study, we aimed to investigate the relationship between various cognitive functions and both novel and conventional metaphor generation. Ninety-five undergraduate students were administered a metaphor generation task that assesses novel and conventional metaphor generation, along with a battery of different cognitive measures: vocabulary; divergent thinking (Tel Aviv Creativity Test), working memory (WM) via digit span tests, executive functions (EFs) using the Behavioral Rating Inventory of Executive Function (BRIEF) questionnaire, and selective attention (lateralized global-local digit task). Results of a path analysis indicated that – whereas only selective attention contributed to conventional metaphor generation – selective attention, divergent thinking, and EFs contributed to novel metaphor generation beyond vocabulary and WM. Thus, the results indicate that although both novel and conventional metaphor generation are linked to attentional resources and inhibitory control, the greater creativity inherent in novel metaphor generation appears to reflect a more complex set of cognitive processes than conventional metaphor generation.","container-title":"Neuropsychologia","DOI":"10.1016/j.neuropsychologia.2020.107458","ISSN":"18733514","note":"PMID: 32275968\npublisher: Elsevier Ltd","title":"Elucidating the role of selective attention, divergent thinking, language abilities, and executive functions in metaphor generation","volume":"142","author":[{"family":"Menashe","given":"Shay"},{"family":"Leshem","given":"Rotem"},{"family":"Heruti","given":"Vered"},{"family":"Kasirer","given":"Anat"},{"family":"Yair","given":"Tami"},{"family":"Mashal","given":"Nira"}],"issued":{"date-parts":[["2020",5,1]]}}},{"id":1854,"uris":["http://zotero.org/users/10108531/items/JDJT46BN"],"itemData":{"id":1854,"type":"article-journal","abstract":"The impact of a working-memory load on analogical mapping was examined in two experiments, using a dual-task paradigm. In Experiment 1, we used a phonological working-memory load; in Experiment 2, we used a phonological working-memory load and an executive working-memory load. The subjects were required to identify correspondences between visual scenes, either for single objects or for three objects simultaneously. The results indicated that the imposition of either a phonological or an executive working-memory load decreased the frequency with which the subjects identified correspondences between scenes based on relations and increased the frequency with which they identified correspondences based on object attributes. The frequency with which subjects made relational mappings was increased by the instruction to find correspondences for multiple objects in a scene simultaneously, rather than for just one. These results indicate that mapping on the basis of relations places greater demands on both modality-specific buffers and executive components of working memory than does mapping on the basis of object attributes.","container-title":"Memory &amp; Cognition","DOI":"10.3758/BF03211821","ISSN":"1532-5946","issue":"7","journalAbbreviation":"Memory &amp; Cognition","language":"en","page":"1205-1212","source":"Springer Link","title":"The role of working memory in analogical mapping","volume":"28","author":[{"family":"Waltz","given":"James A."},{"family":"Lau","given":"Albert"},{"family":"Grewal","given":"Sara K."},{"family":"Holyoak","given":"Keith J."}],"issued":{"date-parts":[["2000",10,1]]}}}],"schema":"https://github.com/citation-style-language/schema/raw/master/csl-citation.json"}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(Cho et al., 2007; Menashe et al., 2020; Waltz et al., 2000)</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that is, cognitive skills such as planning, working memory, and selective attention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{"citationID":"cFxFr2dI","properties":{"formattedCitation":"(Miyake et al., 2000)","plainCitation":"(Miyake et al., 2000)","noteIndex":0},"citationItems":[{"id":3098,"uris":["http://zotero.org/users/10108531/items/LWXJM98T"],"itemData":{"id":3098,"type":"article-journal","container-title":"Cognitive Psychology","DOI":"10.1006/cogp.1999.0734","ISSN":"00100285","issue":"1","journalAbbreviation":"Cognitive Psychology","language":"en","page":"49-100","source":"DOI.org (Crossref)","title":"The Unity and Diversity of Executive Functions and Their Contributions to Complex “Frontal Lobe” Tasks: A Latent Variable Analysis","title-short":"The Unity and Diversity of Executive Functions and Their Contributions to Complex “Frontal Lobe” Tasks","volume":"41","author":[{"family":"Miyake","given":"Akira"},{"family":"Friedman","given":"Naomi P."},{"family":"Emerson","given":"Michael J."},{"family":"Witzki","given":"Alexander H."},{"family":"Howerter","given":"Amy"},{"family":"Wager","given":"Tor D."}],"issued":{"date-parts":[["2000",8]]}}}],"schema":"https://github.com/citation-style-language/schema/raw/master/csl-citation.json"}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(Miyake et al., 2000)</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Previous research indicates that people with higher working memory or inhibition skills show quicker and better interpretation of metaphorical expressions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{"citationID":"7nBAZaZs","properties":{"formattedCitation":"(Blasko, 1999; Chiappe &amp; Chiappe, 2007; Olkoniemi et al., 2016; Pierce et al., 2010)","plainCitation":"(Blasko, 1999; Chiappe &amp; Chiappe, 2007; Olkoniemi et al., 2016; Pierce et al., 2010)","dontUpdate":true,"noteIndex":0},"citationItems":[{"id":57,"uris":["http://zotero.org/users/10108531/items/CWYJ28K8"],"itemData":{"id":57,"type":"article-journal","abstract":"In recent years there has been an upsurge of interest in figurative language. Much of this work has focussed on tests of the 'standard pragmatic model of metaphor' in which metaphor is seen as a special process which can only occur after a defect is found in the default literal processing. This view has been largely refuted, and current thinking sees metaphor as much more central to language and cognition. This paper explores how the characteristics of metaphor may interact with the characteristics of the comprehender in metaphor understanding. © 1999 Elsevier Science B.V. All rights reserved.","container-title":"Journal of Pragmatics","DOI":"10.1016/S0378-2166(99)00009-0","ISSN":"03782166","issue":"12","page":"1675-1683","title":"Only the tip of the iceberg: Who understands what about metaphor?","volume":"31","author":[{"family":"Blasko","given":"Dawn G."}],"issued":{"date-parts":[["1999"]]}}},{"id":1934,"uris":["http://zotero.org/users/10108531/items/6D7DHD7E"],"itemData":{"id":1934,"type":"article-journal","abstract":"The following tested Kintsch’s [Kintsch, W. (2000). Metaphor comprehension: a computational theory. Psychonomic Bulletin &amp; Review, 7, 257–266 and Kintsch, W. (2001). Predication. Cognitive Science, 25, 173–202] Predication Model, which predicts that working memory capacity is an important factor in metaphor processing. In support of his model, Experiment 1 found high working memory individuals generated better interpretations of metaphors with greater speed than did low-span individuals. Stroop performance and inhibition errors also correlated with speed and quality of interpretations. Experiment 2 found high working memory individuals produced more apt metaphors than did low-span individuals. Experiment 3 found that Digit Span Reverse predicted quality of metaphors produced better than the Digit Span Forward, the latter requiring less inhibitory control. In both Experiments 2 and 3, working memory functions were found to explain unique variance in the quality of metaphors produced, independently of measures of vocabulary knowledge and print exposure. Taken together, the results show that both general verbal knowledge and working memory functions make unique contributions to metaphor processing.","container-title":"Journal of Memory and Language","DOI":"10.1016/j.jml.2006.11.006","ISSN":"0749-596X","issue":"2","journalAbbreviation":"Journal of Memory and Language","language":"en","page":"172-188","source":"ScienceDirect","title":"The role of working memory in metaphor production and comprehension","volume":"56","author":[{"family":"Chiappe","given":"Dan L."},{"family":"Chiappe","given":"Penny"}],"issued":{"date-parts":[["2007",2,1]]}}},{"id":270,"uris":["http://zotero.org/users/10108531/items/CMTT87JY"],"itemData":{"id":270,"type":"article-journal","abstract":"The present study examined individual differences in the processing of different forms of figurative language. Sixty participants read sarcastic, metaphorical, and literal sentences embedded in story contexts while their eye movements were recorded, and responded to a text memory and an inference question after each story. Individual differences in working memory capacity (WMC), need for cognition (NFC), and cognitive-affective processing were measured. The results showed that the processing of metaphors was characterized by slow-down during first-pass reading of the utterances, whereas sarcasm produced mainly delayed effects in the eye movement records. Sarcastic utterances were also harder to comprehend than literal or metaphorical utterances as indicated by poorer performance in responses to inference questions. Individual differences in general cognitive factors (WMC and NFC) were related to the processing of metaphors, whereas individual differences in both general cognitive factors (WMC) as well as processing of emotional information were related to the processing of sarcasm. The results indicate that different forms of figurative language pose different cognitive demands to the reader, and show that reader characteristics play a prominent role in figurative language comprehension.","container-title":"Journal of Experimental Psychology: Learning Memory and Cognition","DOI":"10.1037/xlm0000176","ISSN":"02787393","issue":"3","note":"PMID: 26371496","page":"433-450","title":"Individual differences in the processing of written sarcasm and metaphor: Evidence from eye movements","volume":"42","author":[{"family":"Olkoniemi","given":"Henri"},{"family":"Ranta","given":"Henri"},{"family":"Kaakinen","given":"Johanna K."}],"issued":{"date-parts":[["2016"]]}}},{"id":245,"uris":["http://zotero.org/users/10108531/items/YTKH5RLH"],"itemData":{"id":245,"type":"article-journal","abstract":"Participants took longer to judge that metaphors (e.g., an insult is a razor, memory is a warehouse) were literally false than to judge that scrambled sentences (e.g., an insult is a warehouse) were false. This result is the metaphor interference effect (MIE). It demonstrates that metaphor processing is automatic. In this experiment, we found that the magnitude of the MIE is predicted by working memory (WM) capacity, with higher WM yielding a smaller MIE. This suggests that although metaphor comprehension is automatic, the early processing of metaphors is controllable by executive mechanisms. We relate our results to Kintsch's (2000, 2001) predication model. Specifically, we suggest that mechanisms of WM influence metaphor processing by affecting the effectiveness of the construction-integration process that identifies common properties between topics and vehicles. WM also influences the speed with which meanings are identified as literal or figurative. © 2010 The Psychonomic Society, Inc.","container-title":"Psychonomic Bulletin and Review","DOI":"10.3758/PBR.17.3.400","ISSN":"15315320","issue":"3","page":"400-404","title":"The role of working memory in the metaphor interference effect","volume":"17","author":[{"family":"Pierce","given":"Russell S."},{"family":"MacLaren","given":"Rick"},{"family":"Chiappe","given":"Dan L."}],"issued":{"date-parts":[["2010"]]}}}],"schema":"https://github.com/citation-style-language/schema/raw/master/csl-citation.json"}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(Blasko, 1999; Chiappe &amp; Chiappe, 2007; Olkoniemi et al., 2016; Pierce et al., 2010)</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The role of executive control seems to be particularly relevant for novel metaphors.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{"citationID":"VvvzyC3c","properties":{"formattedCitation":"(Mashal, 2013)","plainCitation":"(Mashal, 2013)","dontUpdate":true,"noteIndex":0},"citationItems":[{"id":278,"uris":["http://zotero.org/users/10108531/items/FI58HETV"],"itemData":{"id":278,"type":"article-journal","abstract":"Comprehension of unfamiliar metaphors (mercy blanket) is an effortful cognitive process that requires the formation of a novel metaphoric mapping between two disparate domains during which irrelevant properties have to be suppressed. The present study aims to examine the relationship between the comprehension of both unfamiliar and familiar metaphors and working memory. Three experiments were conducted: a comprehension task (Experiment 1), a recognition task (Experiments 2a and 2b), and a free recall task (Experiment 3). In the first experiment comprehension of both unfamiliar and familiar metaphors correlated with digit span backward but not with digit span forward. Results of the second experiment revealed that unfamiliar metaphors induced a higher rate of semantic errors relative to phonological errors, whereas familiar metaphors induced the same number of phonological and semantic errors. The third experiment confirmed that unfamiliar metaphors were harder to recall than were familiar metaphors. These findings show that working memory capacity may be involved in the computation of unfamiliar metaphoric interpretations, and more specifically in the process of suppressing irrelevant information via the central executive. Familiar metaphor recognition may rely on either phonological codes that are maintained in the phonological loop or on semantic processing that involves long term storage.","container-title":"Language and Cognition","DOI":"10.1515/langcog-2013-0024","ISSN":"1866-9808","issue":"4","note":"Citation Key: Mashal2013","page":"409-436","title":"The role of working memory in the comprehension of unfamiliar and familiar metaphors","volume":"5","author":[{"family":"Mashal","given":"Nira"}],"issued":{"date-parts":[["2013"]]}}}],"schema":"https://github.com/citation-style-language/schema/raw/master/csl-citation.json"}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Mashal (2013)</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found that people with larger backwards digit spans had better recognition, comprehension, and recall of unfamiliar metaphors compared to unrelated word pairs.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{"citationID":"OD4cK8Vl","properties":{"formattedCitation":"(Columbus et al., 2015)","plainCitation":"(Columbus et al., 2015)","dontUpdate":true,"noteIndex":0},"citationItems":[{"id":3788,"uris":["http://zotero.org/users/10108531/items/2MV6WHR5"],"itemData":{"id":3788,"type":"article-journal","abstract":"Metaphors are common elements of language that allow us to creatively stretch the limits of word meaning. However, metaphors vary in their degree of novelty, which determines whether people must create new meanings on-line or retrieve previously known metaphorical meanings from memory. Such variations affect the degree to which general cognitive capacities such as executive control are required for successful comprehension. We investigated whether individual differences in executive control relate to metaphor processing using eye movement measures of reading. Thirty-nine participants read sentences including metaphors or idioms, another form of ﬁgurative language that is more likely to rely on meaning retrieval. They also completed the AX-CPT, a domain-general executive control task. In Experiment 1, we examined sentences containing metaphorical or literal uses of verbs, presented with or without prior context. In Experiment 2, we examined sentences containing idioms or literal phrases for the same participants to determine whether the link to executive control was qualitatively similar or different to Experiment 1. When metaphors were low familiar, all people read verbs used as metaphors more slowly than verbs used literally (this difference was smaller for high familiar metaphors). Executive control capacity modulated this pattern in that high executive control readers spent more time reading verbs when a prior context forced a particular interpretation (metaphorical or literal), and they had faster total metaphor reading times when there was a prior context. Interestingly, executive control did not relate to idiom processing for the same readers. Here, all readers had faster total reading times for high familiar idioms than literal phrases. Thus, executive control relates to metaphor but not idiom processing for these readers, and for the particular metaphor and idiom reading manipulations presented.","container-title":"Frontiers in Human Neuroscience","DOI":"10.3389/fnhum.2014.01057","ISSN":"1662-5161","journalAbbreviation":"Front. Hum. Neurosci.","language":"en","source":"DOI.org (Crossref)","title":"Individual differences in executive control relate to metaphor processing: an eye movement study of sentence reading","title-short":"Individual differences in executive control relate to metaphor processing","URL":"http://journal.frontiersin.org/article/10.3389/fnhum.2014.01057/abstract","volume":"8","author":[{"family":"Columbus","given":"Georgie"},{"family":"Sheikh","given":"Naveed A."},{"family":"CÃ´tÃ©-Lecaldare","given":"Marilena"},{"family":"HÃ¤user","given":"Katja"},{"family":"Baum","given":"Shari R."},{"family":"Titone","given":"Debra"}],"accessed":{"date-parts":[["2023",12,13]]},"issued":{"date-parts":[["2015",1,13]]}}}],"schema":"https://github.com/citation-style-language/schema/raw/master/csl-citation.json"}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Columbus et al. (2015)</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recorded the eye </w:t>
      </w:r>
      <w:r w:rsidRPr="00A056BE">
        <w:rPr>
          <w:rFonts w:ascii="Times New Roman" w:hAnsi="Times New Roman" w:cs="Times New Roman"/>
          <w:sz w:val="24"/>
          <w:szCs w:val="24"/>
          <w:lang w:val="en-US"/>
        </w:rPr>
        <w:lastRenderedPageBreak/>
        <w:t>movements of participants, while they were reading sentences</w:t>
      </w:r>
      <w:r>
        <w:rPr>
          <w:rFonts w:ascii="Times New Roman" w:hAnsi="Times New Roman" w:cs="Times New Roman"/>
          <w:sz w:val="24"/>
          <w:szCs w:val="24"/>
          <w:lang w:val="en-US"/>
        </w:rPr>
        <w:t>,</w:t>
      </w:r>
      <w:r w:rsidRPr="00A056BE">
        <w:rPr>
          <w:rFonts w:ascii="Times New Roman" w:hAnsi="Times New Roman" w:cs="Times New Roman"/>
          <w:sz w:val="24"/>
          <w:szCs w:val="24"/>
          <w:lang w:val="en-US"/>
        </w:rPr>
        <w:t xml:space="preserve"> including metaphors or idioms (e.g., highly conventional figurative expressions). First, they confirmed that familiarity modulated reading times, with less familiar metaphors requiring more time. Interestingly, executive functions were correlated to metaphors but not to idioms. Moreover, high and low executive control readers differed in the time in which they used contextual clues to interpret a verb used metaphorically on the first pass: those with higher executive control made more immediate semantic integration, while those with lower executive control did later, showing a delayed meaning disambiguation. </w:t>
      </w:r>
    </w:p>
    <w:p w14:paraId="04F39552" w14:textId="77777777" w:rsidR="001A0280" w:rsidRPr="00A056BE" w:rsidRDefault="001A0280" w:rsidP="001A0280">
      <w:pPr>
        <w:spacing w:after="0" w:line="240" w:lineRule="auto"/>
        <w:ind w:firstLine="720"/>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Research conducted so far present</w:t>
      </w:r>
      <w:r>
        <w:rPr>
          <w:rFonts w:ascii="Times New Roman" w:hAnsi="Times New Roman" w:cs="Times New Roman"/>
          <w:sz w:val="24"/>
          <w:szCs w:val="24"/>
          <w:lang w:val="en-US"/>
        </w:rPr>
        <w:t>s</w:t>
      </w:r>
      <w:r w:rsidRPr="00A056BE">
        <w:rPr>
          <w:rFonts w:ascii="Times New Roman" w:hAnsi="Times New Roman" w:cs="Times New Roman"/>
          <w:sz w:val="24"/>
          <w:szCs w:val="24"/>
          <w:lang w:val="en-US"/>
        </w:rPr>
        <w:t xml:space="preserve"> a heterogeneous picture, showing that metaphor comprehension differs depending on specific conditions, such as the type of metaphor and individual differences. Specifically, novel metaphors seem to require different processes compared to more familiar ones, tapping into executive control and vocabulary knowledge. This is particularly relevant when it comes to disorders that affect cognitive and linguistic functions, as in the case of dyslexia.   </w:t>
      </w:r>
    </w:p>
    <w:p w14:paraId="0FB417AD" w14:textId="77777777" w:rsidR="001A0280" w:rsidRPr="00A056BE" w:rsidRDefault="001A0280" w:rsidP="001A0280">
      <w:pPr>
        <w:spacing w:after="0" w:line="240" w:lineRule="auto"/>
        <w:ind w:firstLine="720"/>
        <w:contextualSpacing/>
        <w:jc w:val="both"/>
        <w:rPr>
          <w:rFonts w:ascii="Times New Roman" w:hAnsi="Times New Roman" w:cs="Times New Roman"/>
          <w:sz w:val="24"/>
          <w:szCs w:val="24"/>
          <w:lang w:val="en-US"/>
        </w:rPr>
      </w:pPr>
    </w:p>
    <w:p w14:paraId="0AFCF3C2" w14:textId="77777777" w:rsidR="001A0280" w:rsidRPr="00A056BE" w:rsidRDefault="001A0280" w:rsidP="001A0280">
      <w:pPr>
        <w:spacing w:after="0" w:line="240" w:lineRule="auto"/>
        <w:contextualSpacing/>
        <w:jc w:val="both"/>
        <w:rPr>
          <w:rFonts w:ascii="Times New Roman" w:hAnsi="Times New Roman" w:cs="Times New Roman"/>
          <w:b/>
          <w:bCs/>
          <w:sz w:val="24"/>
          <w:szCs w:val="24"/>
          <w:lang w:val="en-US"/>
        </w:rPr>
      </w:pPr>
      <w:r w:rsidRPr="00A056BE">
        <w:rPr>
          <w:rFonts w:ascii="Times New Roman" w:hAnsi="Times New Roman" w:cs="Times New Roman"/>
          <w:b/>
          <w:bCs/>
          <w:sz w:val="24"/>
          <w:szCs w:val="24"/>
          <w:lang w:val="en-US"/>
        </w:rPr>
        <w:t>2. Metaphor Processing in Dyslexia</w:t>
      </w:r>
    </w:p>
    <w:p w14:paraId="25201DE3" w14:textId="77777777" w:rsidR="001A0280" w:rsidRPr="00A056BE" w:rsidRDefault="001A0280" w:rsidP="001A0280">
      <w:pPr>
        <w:spacing w:after="0" w:line="240" w:lineRule="auto"/>
        <w:contextualSpacing/>
        <w:jc w:val="both"/>
        <w:rPr>
          <w:rFonts w:ascii="Times New Roman" w:hAnsi="Times New Roman" w:cs="Times New Roman"/>
          <w:b/>
          <w:bCs/>
          <w:sz w:val="24"/>
          <w:szCs w:val="24"/>
          <w:lang w:val="en-US"/>
        </w:rPr>
      </w:pPr>
    </w:p>
    <w:p w14:paraId="5C276115" w14:textId="77777777" w:rsidR="001A0280" w:rsidRPr="00A056BE" w:rsidRDefault="001A0280" w:rsidP="001A0280">
      <w:pPr>
        <w:spacing w:after="0" w:line="240" w:lineRule="auto"/>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Dyslexia is a neurobiological learning diff</w:t>
      </w:r>
      <w:r>
        <w:rPr>
          <w:rFonts w:ascii="Times New Roman" w:hAnsi="Times New Roman" w:cs="Times New Roman"/>
          <w:sz w:val="24"/>
          <w:szCs w:val="24"/>
          <w:lang w:val="en-US"/>
        </w:rPr>
        <w:t>iculty</w:t>
      </w:r>
      <w:r w:rsidRPr="00A056BE">
        <w:rPr>
          <w:rFonts w:ascii="Times New Roman" w:hAnsi="Times New Roman" w:cs="Times New Roman"/>
          <w:sz w:val="24"/>
          <w:szCs w:val="24"/>
          <w:lang w:val="en-US"/>
        </w:rPr>
        <w:t xml:space="preserve">, which affects the phonological component of language, resulting in a discrepancy between cognitive ability and reading. There are many theories that try to identify causes of developmental dyslexia. The historically dominant one is the phonological theory, which contends that reading problems are due to inadequate phonological skills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{"citationID":"Fxl7B08E","properties":{"formattedCitation":"(Vellutino et al., 2004)","plainCitation":"(Vellutino et al., 2004)","noteIndex":0},"citationItems":[{"id":114,"uris":["http://zotero.org/users/10108531/items/ZVKTNFK2"],"itemData":{"id":114,"type":"article-journal","abstract":"We summarize some of the most important findings from research evaluating the hypothesized causes of specific reading disability ('dyslexia') over the past four decades. After outlining components of reading ability, we discuss manifest causes of reading difficulties, in terms of deficiencies in component reading skills that might lead to such difficulties. The evidence suggests that inadequate facility in word identification due, in most cases, to more basic deficits in alphabetic coding is the basic cause of difficulties in learning to read. We next discuss hypothesized deficiencies in reading-related cognitive abilities as underlying causes of deficiencies in component reading skills. The evidence in these areas suggests that, in most cases, phonological skills deficiencies associated with phonological coding deficits arc the probable causes of the disorder rather than visual, semantic, or syntactic deficits, although reading difficulties in some children may be associated with general language deficits. Hypothesized deficits in general learning abilities (e.g., attention, association learning, cross-modal transfer etc.) and low-level sensory deficits have weak validity as causal factors in specific reading disability. These inferences are, by and large, supported by research evaluating the biological foundations of dyslexia. Finally, evidence is presented in support of the idea that many poor readers are impaired because of inadequate instruction or other experiential factors. This does not mean that biological factors are not relevant, because the brain and environment interact to produce the neural networks that support reading acquisition. We conclude with a discussion of the clinical implications of the research findings, focusing on the need for enhanced instruction.","container-title":"Journal of Child Psychology and Psychiatry and Allied Disciplines","DOI":"10.1046/j.0021-9630.2003.00305.x","ISSN":"00219630","issue":"1","note":"PMID: 14959801","page":"2-40","title":"Specific reading disability (dyslexia): What have we learned in the past four decades?","volume":"45","author":[{"family":"Vellutino","given":"Frank R."},{"family":"Fletcher","given":"Jack M."},{"family":"Snowling","given":"Margaret J."},{"family":"Scanlon","given":"Donna M."}],"issued":{"date-parts":[["2004"]]}}}],"schema":"https://github.com/citation-style-language/schema/raw/master/csl-citation.json"}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(Vellutino et al., 2004)</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Other theories focus on auditory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{"citationID":"ob4Br4HJ","properties":{"formattedCitation":"(Tallal et al., 1993)","plainCitation":"(Tallal et al., 1993)","noteIndex":0},"citationItems":[{"id":1900,"uris":["http://zotero.org/users/10108531/items/R2VTK5GS"],"itemData":{"id":1900,"type":"article-journal","container-title":"Annals of the New York Academy of Sciences","DOI":"10.1111/j.1749-6632.1993.tb22957.x","ISSN":"0077-8923","journalAbbreviation":"Ann N Y Acad Sci","language":"eng","note":"PMID: 7686725","page":"27-47","source":"PubMed","title":"Neurobiological basis of speech: a case for the preeminence of temporal processing","title-short":"Neurobiological basis of speech","volume":"682","author":[{"family":"Tallal","given":"P."},{"family":"Miller","given":"S."},{"family":"Fitch","given":"R. H."}],"issued":{"date-parts":[["1993",6,14]]}}}],"schema":"https://github.com/citation-style-language/schema/raw/master/csl-citation.json"}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(Tallal et al., 1993)</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visual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{"citationID":"B8BoLbFZ","properties":{"formattedCitation":"(Lovegrove et al., 1980)","plainCitation":"(Lovegrove et al., 1980)","noteIndex":0},"citationItems":[{"id":1877,"uris":["http://zotero.org/users/10108531/items/NXFIX6NR"],"itemData":{"id":1877,"type":"article-journal","abstract":"Contrast thresholds for sine-wave gratings of spatial frequencies of 2, 4, 12, and 16 cycles per degree were determined for normal and disabled readers at a range of stimulus durations. Normal readers demonstrated monotonically decreasing sensitivity with increasing spatial frequency at exposure durations between 40 and 100 milliseconds. At exposure durations of 150 to 1000 milliseconds, they showed peak sensitivity at 4 cycles per degree. In comparison, disabled readers showed monotonically decreasing sensitivity with increasing spatial frequency at all stimulus durations. The difference in sensitivity pattern across spatial frequencies was greatest at stimulus durations approximately equal to fixation durations during reading.","container-title":"Science (New York, N.Y.)","DOI":"10.1126/science.7433985","ISSN":"0036-8075","issue":"4468","journalAbbreviation":"Science","language":"eng","note":"PMID: 7433985","page":"439-440","source":"PubMed","title":"Specific reading disability: differences in contrast sensitivity as a function of spatial frequency","title-short":"Specific reading disability","volume":"210","author":[{"family":"Lovegrove","given":"W. J."},{"family":"Bowling","given":"A."},{"family":"Badcock","given":"D."},{"family":"Blackwood","given":"M."}],"issued":{"date-parts":[["1980",10]]}}}],"schema":"https://github.com/citation-style-language/schema/raw/master/csl-citation.json"}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(Lovegrove et al., 1980)</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magnocellular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{"citationID":"gipyUvij","properties":{"formattedCitation":"(Stein, 2001)","plainCitation":"(Stein, 2001)","noteIndex":0},"citationItems":[{"id":1879,"uris":["http://zotero.org/users/10108531/items/BXQTP9NY"],"itemData":{"id":1879,"type":"article-journal","abstract":"Low literacy is termed 'developmental dyslexia' when reading is significantly behind that expected from the intelligence quotient (IQ) in the presence of other symptoms--incoordination, left-right confusions, poor sequencing--that characterize it as a neurological syndrome. 5-10% of children, particularly boys, are found to be dyslexic. Reading requires the acquisition of good orthographic skills for recognising the visual form of words which allows one to access their meaning directly. It also requires the development of good phonological skills for sounding out unfamiliar words using knowledge of letter sound conversion rules. In the dyslexic brain, temporoparietal language areas on the two sides are symmetrical without the normal left-sided advantage. Also brain 'warts' (ectopias) are found, particularly clustered round the left temporoparietal language areas. The visual magnocellular system is responsible for timing visual events when reading. It therefore signals any visual motion that occurs if unintended movements lead to images moving off the fovea ('retinal slip'). These signals are then used to bring the eyes back on target. Thus, sensitivity to visual motion seems to help determine how well orthographic skill can develop in both good and bad readers. In dyslexics, the development of the visual magnocellular system is impaired: development of the magnocellular layers of the dyslexic lateral geniculate nucleus (LGN) is abnormal; their motion sensitivity is reduced; many dyslexics show unsteady binocular fixation; hence poor visual localization, particularly on the left side (left neglect). Dyslexics' binocular instability and visual perceptual instability, therefore, can cause the letters they are trying to read to appear to move around and cross over each other. Hence, blanking one eye (monocular occlusion) can improve reading. Thus, good magnocellular function is essential for high motion sensitivity and stable binocular fixation, hence proper development of orthographic skills. Many dyslexics also have auditory/phonological problems. Distinguishing letter sounds depends on picking up the changes in sound frequency and amplitude that characterize them. Thus, high frequency (FM) and amplitude modulation (AM) sensitivity helps the development of good phonological skill, and low sensitivity impedes the acquisition of these skills. Thus dyslexics' sensitivity to FM and AM is significantly lower than that of good readers and this explains their problems with phonology. The cerebellum is the head ganglion of magnocellular systems; it contributes to binocular fixation and to inner speech for sounding out words, and it is clearly defective in dyslexics. Thus, there is evidence that most reading problems have a fundamental sensorimotor cause. But why do magnocellular systems fail to develop properly? There is a clear genetic basis for impaired development of magnocells throughout the brain. The best understood linkage is to the region of the Major Histocompatibility Complex (MHC) Class 1 on the short arm of chromosome 6 which helps to control the production of antibodies. The development of magnocells may be impaired by autoantibodies affecting the developing brain. Magnocells also need high amounts of polyunsaturated fatty acids to preserve the membrane flexibility that permits the rapid conformational changes of channel proteins which underlie their transient sensitivity. But the genes that underlie magnocellular weakness would not be so common unless there were compensating advantages to dyslexia. In developmental dyslexics there may be heightened development of parvocellular systems that underlie their holistic, artistic, 'seeing the whole picture' and entrepreneurial talents.","container-title":"Dyslexia (Chichester, England)","DOI":"10.1002/dys.186","ISSN":"1076-9242","issue":"1","journalAbbreviation":"Dyslexia","language":"eng","note":"PMID: 11305228","page":"12-36","source":"PubMed","title":"The magnocellular theory of developmental dyslexia","volume":"7","author":[{"family":"Stein","given":"J."}],"issued":{"date-parts":[["2001"]]}}}],"schema":"https://github.com/citation-style-language/schema/raw/master/csl-citation.json"}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(Stein, 2001)</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or sensory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{"citationID":"Ci9DAtnq","properties":{"formattedCitation":"(Nicolson et al., 2001)","plainCitation":"(Nicolson et al., 2001)","noteIndex":0},"citationItems":[{"id":1881,"uris":["http://zotero.org/users/10108531/items/4PU8UH48"],"itemData":{"id":1881,"type":"article-journal","container-title":"Trends in Neurosciences","DOI":"10.1016/s0166-2236(00)01923-8","ISSN":"0166-2236","issue":"9","journalAbbreviation":"Trends Neurosci","language":"eng","note":"PMID: 11506884","page":"515-516","source":"PubMed","title":"Dyslexia, development and the cerebellum","volume":"24","author":[{"family":"Nicolson","given":"R."},{"family":"Fawcett","given":"A. J."},{"family":"Dean","given":"P."}],"issued":{"date-parts":[["2001",9]]}}}],"schema":"https://github.com/citation-style-language/schema/raw/master/csl-citation.json"}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(Nicolson et al., 2001)</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deficits. More recently, approaches pointing to a cognitive disorder in the spatial focusing of attention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{"citationID":"c6rauaaX","properties":{"formattedCitation":"(Facoetti et al., 2003)","plainCitation":"(Facoetti et al., 2003)","noteIndex":0},"citationItems":[{"id":1883,"uris":["http://zotero.org/users/10108531/items/ABF225KG"],"itemData":{"id":1883,"type":"article-journal","abstract":"A cue size procedure was used to evaluate the time course of visuo-spatial attention in dyslexic and normally reading children. When a stimulus target is presented inside a large cue vs a small cue the identification time is slower. In the present study two cue-target delays (100 and 500 ms) were used. Results showed a slower time course of attentional focusing in dyslexics vs normal readers. Indeed, dyslexics exhibited no cue size effect at a shorter cue-target delay (100 ms), while it was present at a longer cue-target delay (500 ms). In contrast, a cue size effect was found at both cue-target delays in normally reading children. These results further support the hypothesis of sluggish automatic focusing of visual attention in dyslexics. This impairment could be a consequence of a general magnocellular deficit demonstrated previously in dyslexics.","container-title":"Brain and Cognition","DOI":"10.1016/s0278-2626(03)00105-2","ISSN":"0278-2626","issue":"2","journalAbbreviation":"Brain Cogn","language":"eng","note":"PMID: 14607143","page":"181-184","source":"PubMed","title":"The time course of attentional focusing in dyslexic and normally reading children","volume":"53","author":[{"family":"Facoetti","given":"Andrea"},{"family":"Lorusso","given":"Maria Luisa"},{"family":"Paganoni","given":"Pierluigi"},{"family":"Cattaneo","given":"Carmen"},{"family":"Galli","given":"Raffaella"},{"family":"Mascetti","given":"Gian Gastone"}],"issued":{"date-parts":[["2003",11]]}}}],"schema":"https://github.com/citation-style-language/schema/raw/master/csl-citation.json"}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(Facoetti et al., 2003)</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or in executive control, and particularly inhibition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{"citationID":"7WE1fFpC","properties":{"formattedCitation":"(Brosnan et al., 2002)","plainCitation":"(Brosnan et al., 2002)","noteIndex":0},"citationItems":[{"id":1885,"uris":["http://zotero.org/users/10108531/items/V8IJR2IL"],"itemData":{"id":1885,"type":"article-journal","abstract":"The performance of developmentally dyslexic children and adults was studied upon a range of tasks that involved executive functioning. Both adult and child samples of dyslexics were found to under-perform on the group-embedded figures test. This test required the identification of constituent parts from within complex visual arrays, with good performance necessitating the inhibition of the processing of the surrounding context. A general deficit on visual-spatial tasks was eliminated as an explanation as dyslexics performed normally upon a range of other non-verbal assessments. The dyslexics consistently demonstrated a deficit in digit span tasks, a decrement that was increased with distractors, again suggesting difficulties in inhibiting the processing of the surrounding context. A deficit was also identified upon a verbal fluency task without a deficit in vocabulary level. Additionally, a specific deficit in the recollection of the temporal order of the presentation of items was in evidence, without a deficit in the recognition of the items themselves. The findings taken as a whole suggest that dyslexic individuals show deficiencies in executive functions relating to inhibition of distractors and to sequencing of events, a set of tasks associated with left prefrontal cortex functioning in the acquired neuropsychology literature.","container-title":"Neuropsychologia","DOI":"10.1016/s0028-3932(02)00046-5","ISSN":"0028-3932","issue":"12","journalAbbreviation":"Neuropsychologia","language":"eng","note":"PMID: 12208010","page":"2144-2155","source":"PubMed","title":"Executive functioning in adults and children with developmental dyslexia","volume":"40","author":[{"family":"Brosnan","given":"Mark"},{"family":"Demetre","given":"James"},{"family":"Hamill","given":"Stephen"},{"family":"Robson","given":"Kate"},{"family":"Shepherd","given":"Haidee"},{"family":"Cody","given":"Gerard"}],"issued":{"date-parts":[["2002"]]}}}],"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(Brosnan et al., 2002)</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have also been proposed without much general agreement. </w:t>
      </w:r>
    </w:p>
    <w:p w14:paraId="6DC457BD" w14:textId="77777777" w:rsidR="001A0280" w:rsidRPr="00A056BE" w:rsidRDefault="001A0280" w:rsidP="001A0280">
      <w:pPr>
        <w:spacing w:after="0" w:line="240" w:lineRule="auto"/>
        <w:ind w:firstLine="720"/>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 xml:space="preserve">Until relatively recently, dyslexia has been described as a specific deficit that results in difficulties with decoding and spelling words, but it is now clear that the majority of people who develop dyslexia have more global cognitive and linguistic issues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{"citationID":"WrhgPGlw","properties":{"formattedCitation":"(Compton, 2021)","plainCitation":"(Compton, 2021)","noteIndex":0},"citationItems":[{"id":1995,"uris":["http://zotero.org/users/10108531/items/7UIWRIYW"],"itemData":{"id":1995,"type":"article-journal","abstract":"Multifactorial models of dyslexia have expanded how we consider heterogeneity within the population of children with dyslexia. These models are predicated on the idea that cognitive/linguistic risk factors are not deterministic but instead probabilistic, with the likelihood of difficulties involving an interaction between risk and protective factors that include both exogenous and endogenous influences. In this commentary a multifactorial model perspective is applied to examine, based on the six papers that make up the special series, the potential utility of such models to clarify issues of etiology, identification, and instruction of children with dyslexia. This approach seems to suggest that multifactorial models of dyslexia have potential to significantly expand our understanding of etiology with less immediate promise for identification and instruction.","container-title":"Learning Disability Quarterly","DOI":"10.1177/0731948720939009","ISSN":"0731-9487, 2168-376X","issue":"3","journalAbbreviation":"Learning Disability Quarterly","language":"en","page":"225-230","source":"DOI.org (Crossref)","title":"Focusing Our View of Dyslexia Through a Multifactorial Lens: A Commentary","title-short":"Focusing Our View of Dyslexia Through a Multifactorial Lens","volume":"44","author":[{"family":"Compton","given":"Donald L."}],"issued":{"date-parts":[["2021",8]]}}}],"schema":"https://github.com/citation-style-language/schema/raw/master/csl-citation.json"}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(Compton, 2021)</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New theoretical models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{"citationID":"2gGS90pH","properties":{"formattedCitation":"(Pennington et al., 2012; Perry et al., 2019)","plainCitation":"(Pennington et al., 2012; Perry et al., 2019)","noteIndex":0},"citationItems":[{"id":2002,"uris":["http://zotero.org/users/10108531/items/IRYI5RLF"],"itemData":{"id":2002,"type":"article-journal","abstract":"The overall goals of this study were to test single versus multiple cognitive deficit models of dyslexia (reading disability) at the level of individual cases and to determine the clinical utility of these models for prediction and diagnosis of dyslexia. To accomplish these goals, we tested five cognitive models of dyslexia—two single-deficit models, two multiple-deficit models, and one hybrid model—in two large population-based samples, one cross-sectional (Colorado Learning Disability Research Center) and one longitudinal (International longitudinal Twin Study). The cognitive deficits included in these cognitive models were in phonological awareness, language skill, and processing speed and/or naming speed. To determine whether an individual case fit one of these models, we used two methods: 1) the presence or absence of the predicted cognitive deficits, and 2) whether the individual's level of reading skill best fit the regression equation with the relevant cognitive predictors (i.e., whether their reading skill was proportional to those cognitive predictors.) We found that roughly equal proportions of cases met both tests of model fit for the multiple deficit models (30–36%) and single deficit models (24–28%); hence, the hybrid model provided the best overall fit to the data. The remaining roughly 40% of cases in each sample lacked the deficit or deficits that corresponded with their best-fitting regression model. We discuss the clinical implications of these results for both diagnosis of school-age children and preschool prediction of children at risk for dyslexia. (PsycInfo Database Record (c) 2022 APA, all rights reserved)","container-title":"Journal of Abnormal Psychology","DOI":"10.1037/a0025823","ISSN":"1939-1846","note":"publisher-place: US\npublisher: American Psychological Association","page":"212-224","source":"APA PsycNet","title":"Individual prediction of dyslexia by single versus multiple deficit models","volume":"121","author":[{"family":"Pennington","given":"Bruce F."},{"family":"Santerre-Lemmon","given":"Laura"},{"family":"Rosenberg","given":"Jennifer"},{"family":"MacDonald","given":"Beatriz"},{"family":"Boada","given":"Richard"},{"family":"Friend","given":"Angela"},{"family":"Leopold","given":"Daniel R."},{"family":"Samuelsson","given":"Stefan"},{"family":"Byrne","given":"Brian"},{"family":"Willcutt","given":"Erik G."},{"family":"Olson","given":"Richard K."}],"issued":{"date-parts":[["2012"]]}}},{"id":2005,"uris":["http://zotero.org/users/10108531/items/PWZEXVIM"],"itemData":{"id":2005,"type":"article-journal","abstract":"Learning to read is foundational for literacy development, yet many children in primary school fail to become efficient readers despite normal intelligence and schooling. This condition, referred to as developmental dyslexia, has been hypothesized to occur because of deficits in vision, attention, auditory and temporal processes, and phonology and language. Here, we used a developmentally plausible computational model of reading acquisition to investigate how the core deficits of dyslexia determined individual learning outcomes for 622 children (388 with dyslexia). We found that individual learning trajectories could be simulated on the basis of three component skills related to orthography, phonology, and vocabulary. In contrast, single-deficit models captured the means but not the distribution of reading scores, and a model with noise added to all representations could not even capture the means. These results show that heterogeneity and individual differences in dyslexia profiles can be simulated only with a personalized computational model that allows for multiple deficits.","container-title":"Psychological Science","DOI":"10.1177/0956797618823540","ISSN":"0956-7976","issue":"3","journalAbbreviation":"Psychol Sci","language":"en","note":"publisher: SAGE Publications Inc","page":"386-395","source":"SAGE Journals","title":"Understanding Dyslexia Through Personalized Large-Scale Computational Models","volume":"30","author":[{"family":"Perry","given":"Conrad"},{"family":"Zorzi","given":"Marco"},{"family":"Ziegler","given":"Johannes C."}],"issued":{"date-parts":[["2019",3,1]]}}}],"schema":"https://github.com/citation-style-language/schema/raw/master/csl-citation.json"}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(Pennington et al., 2012; Perry et al., 2019)</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emphasize a multifactorial approach, arguing a primary involvement of phonological deficits, together with weaknesses in processing speed, language skills, and executive functions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{"citationID":"QZ8tGIfm","properties":{"formattedCitation":"(Peterson &amp; Pennington, 2015)","plainCitation":"(Peterson &amp; Pennington, 2015)","dontUpdate":true,"noteIndex":0},"citationItems":[{"id":2008,"uris":["http://zotero.org/users/10108531/items/EFZK6MUR"],"itemData":{"id":2008,"type":"article-journal","abstract":"This review uses a levels-of-analysis framework to summarize the current understanding of developmental dyslexia’s etiology, brain bases, neuropsychology, and social context. Dyslexia is caused by multiple genetic and environmental risk factors as well as their interplay. Several candidate genes have been identiﬁed in the past decade. At the brain level, dyslexia is associated with aberrant structure and function, particularly in left hemisphere reading/language networks. The neurocognitive inﬂuences on dyslexia are also multifactorial and involve phonological processing deﬁcits as well as weaknesses in other oral language skills and processing speed. We address contextual issues such as how dyslexia manifests across languages and social classes as well as what treatments are best supported. Throughout the review, we highlight exciting new research that cuts across levels of analysis. Such work promises eventually to provide a comprehensive explanation of the disorder as well as its prevention and remediation.","container-title":"Annual Review of Clinical Psychology","DOI":"10.1146/annurev-clinpsy-032814-112842","ISSN":"1548-5943, 1548-5951","issue":"1","journalAbbreviation":"Annu. Rev. Clin. Psychol.","language":"en","page":"283-307","source":"DOI.org (Crossref)","title":"Developmental Dyslexia","volume":"11","author":[{"family":"Peterson","given":"Robin L."},{"family":"Pennington","given":"Bruce F."}],"issued":{"date-parts":[["2015",3,28]]}}}],"schema":"https://github.com/citation-style-language/schema/raw/master/csl-citation.json"}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(Peterson &amp; Pennington, 2015)</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Cognitive profiles frequently associated with dyslexia entail limitations in executive functioning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{"citationID":"LfCycvoP","properties":{"formattedCitation":"(Baker &amp; Ireland, 2007)","plainCitation":"(Baker &amp; Ireland, 2007)","dontUpdate":true,"noteIndex":0},"citationItems":[{"id":1887,"uris":["http://zotero.org/users/10108531/items/7XCD3VLL"],"itemData":{"id":1887,"type":"article-journal","abstract":"Purpose\nThe current study had two core aims; first to explore the link between dyslexic traits and other aspects of functioning among a sample of offenders and non-offenders (students); and, second, to explore if dyslexic traits were over-represented among offenders. A subsidiary aim was to explore if the results were influenced by an offender's current index offence (i.e. violent versus non-violent).\nMethod\nNinety-two adult male participants took part: sixty offenders and thirty-two non-offenders. All completed a structured interview assessing dyslexic traits, namely the Dyslexia Adult Screening Test battery (DAST: Fawcett and Nicholson, 1998). Participants also completed a measure of executive functioning (Benton Word Fluency Test, Benton, A. (1968) Differential behavioural effects in frontal lobe disease. Neuropsychologica, 6, 53–60), impulsivity (Barratt Impulsiveness Scale: BIS-II, Barratt, E.S. (1994), Impulsiveness and Aggression. In J. Monahan and H.J. Steadman (Eds.), Violence and Mental Disorder: Developments in Risk Assessment (pp.61–79). Chicago: University of Chicago Press.) and social self-esteem (Texas Social Behavior Inventory: TSBI, Helmreich and Stapp, 1974).\nResults\nOffenders presented with more dyslexic traits than non-offenders, with those with violent index offences presenting with more traits than those with non-violent index offences. Offenders performed poorly on assessments of executive functioning when compared with non-offenders. Dyslexic traits were predicted most significantly by executive functioning difficulties followed by decreased social self-esteem. There was a trend for increased impulsivity to correlate with increased dyslexic traits. Dyslexic traits were also predictive of membership to the offender group whereas impulsivity, executive functioning or social self-esteem was not.\nConclusion\nPreliminary evidence is provided for increased dyslexic traits among offenders compared to non-offenders. The study highlights the correlates of dyslexic traits. The implications of these findings for future research are outlined.","container-title":"International Journal of Law and Psychiatry","DOI":"10.1016/j.ijlp.2007.09.010","ISSN":"0160-2527","issue":"6","journalAbbreviation":"International Journal of Law and Psychiatry","language":"en","page":"492-503","source":"ScienceDirect","title":"The link between dyslexic traits, executive functioning, impulsivity and social self-esteem among an offender and non-offender sample","volume":"30","author":[{"family":"Baker","given":"Susannah F."},{"family":"Ireland","given":"Jane L."}],"issued":{"date-parts":[["2007",11,1]]}}}],"schema":"https://github.com/citation-style-language/schema/raw/master/csl-citation.json"}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(Baker &amp; Ireland, 2007)</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such as attention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{"citationID":"Wb2XKO41","properties":{"formattedCitation":"(Lallier et al., 2009)","plainCitation":"(Lallier et al., 2009)","noteIndex":0},"citationItems":[{"id":1894,"uris":["http://zotero.org/users/10108531/items/D745VYKN"],"itemData":{"id":1894,"type":"article-journal","abstract":"Among the hypotheses relating dyslexia to a temporal processing disorder, Hari and Renvall (Hari, R., Renvall, H., 2001. Impaired processing of rapid stimulus sequences in dyslexia. Trends. Cognit. Sci. 5, 525–532.) argued that dyslexic individuals would show difficulties at an attentional level, through sluggish attentional shifting (SAS) in all sensory modalities. However, the amodality assumption of the SAS theory was never straightforwardly assessed in the same group of dyslexic participants using similar paradigms in both the visual and auditory modalities. Here, the attentional sequential performance of control and dyslexic participants was evaluated using rapid serial presentation paradigms measuring individual stream segregation thresholds in the two modalities. The first experiment conducted on French dyslexic children with a phonological disorder revealed an SAS only in the auditory modality only which was strongly related to reading performance. The second experiment carried out on British dyslexic young adults with a phonological disorder using the same auditory segregation task but a different visual paradigm revealed an SAS in both the visual and the auditory modalities. In addition, a relationship was found in this group between SAS, poor reading and poor phonological skills. Two further control experiments showed that differences in task design or participants' language between Experiments 1 and 2 could not account for the differences in terms of visual segregation patterns. Overall, our results support the view that the auditory SAS plays a role in developmental dyslexia via its impact on phonological abilities. In addition, a visual temporal disorder in dyslexia might emerge at a later developmental stage, when the visual system normally becomes more expert at rapid temporal processing.","container-title":"Brain Research","DOI":"10.1016/j.brainres.2009.07.037","ISSN":"0006-8993","journalAbbreviation":"Brain Research","language":"en","page":"132-147","source":"ScienceDirect","title":"Auditory and visual stream segregation in children and adults: An assessment of the amodality assumption of the ‘sluggish attentional shifting’ theory of dyslexia","title-short":"Auditory and visual stream segregation in children and adults","volume":"1302","author":[{"family":"Lallier","given":"Marie"},{"family":"Thierry","given":"Guillaume"},{"family":"Tainturier","given":"Marie-Josèphe"},{"family":"Donnadieu","given":"Sophie"},{"family":"Peyrin","given":"Carole"},{"family":"Billard","given":"Catherine"},{"family":"Valdois","given":"Sylviane"}],"issued":{"date-parts":[["2009",11,20]]}}}],"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(Lallier et al., 2009)</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and inhibition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{"citationID":"bc5f3no6","properties":{"formattedCitation":"(Wang &amp; Yang, 2015)","plainCitation":"(Wang &amp; Yang, 2015)","dontUpdate":true,"noteIndex":0},"citationItems":[{"id":1962,"uris":["http://zotero.org/users/10108531/items/T3JFACL3"],"itemData":{"id":1962,"type":"article-journal","abstract":"The present study focuses on (1) comparing dyslexic and typically developing children's cognitive and behavioural inhibitory abilities; (2) examining the relationship between word recognition, inhibition, and working memory in dyslexic and typically developing children by correlation, regression and path analyses. Participants in the present study were sampled from 3rd and 4th graders in Taiwan. Results indicated that dyslexic and typically developing children did not significantly differ in behavioural inhibition. In contrast, dyslexic children showed significantly lower levels of cognitive inhibition compared to typically developing children. Dyslexic children also showed that only cognitive inhibition significantly contributed to their word recognition, and typically developing children showed similar phenomenon. Finally, models of dyslexic and typically developing children's working memory, inhibition and word recognition were similar in that working memory and cognitive inhibition significantly contributed to word recognition for both dyslexic and typically developing children. Moreover, the contribution of the combination of working memory and inhibition was greater than the contribution of only inhibition; both of typically developing and dyslexic children's working memory showed more contributions than inhibition. Copyright © 2014 John Wiley &amp; Sons, Ltd.","container-title":"Dyslexia","DOI":"10.1002/dys.1490","ISSN":"1099-0909","issue":"2","language":"en","note":"_eprint: https://onlinelibrary.wiley.com/doi/pdf/10.1002/dys.1490","page":"162-176","source":"Wiley Online Library","title":"Diverse Inhibition and Working Memory of Word Recognition for Dyslexic and Typically Developing Children","volume":"21","author":[{"family":"Wang","given":"Li-Chih"},{"family":"Yang","given":"Hsien-Ming"}],"issued":{"date-parts":[["2015"]]}}}],"schema":"https://github.com/citation-style-language/schema/raw/master/csl-citation.json"}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(Wang &amp; Yang, 2015)</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working memory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{"citationID":"e5wXNAM2","properties":{"formattedCitation":"(Baddeley, 2010; Gathercole et al., 1992)","plainCitation":"(Baddeley, 2010; Gathercole et al., 1992)","noteIndex":0},"citationItems":[{"id":1889,"uris":["http://zotero.org/users/10108531/items/URF7YXKP"],"itemData":{"id":1889,"type":"article-journal","abstract":"Working memory refers to the system or systems that are assumed to be necessary in order to keep things in mind while performing complex tasks such as reasoning, comprehension and learning. Over the last 30 years, the concept of working memory has been increasingly widely used, extending from its origin in cognitive psychology to many areas of cognitive science and neuroscience, and been applied within areas ranging from education, through psychiatry to paleoanthropology.","container-title":"Current Biology","DOI":"10.1016/j.cub.2009.12.014","ISSN":"0960-9822","issue":"4","journalAbbreviation":"Current Biology","language":"en","page":"R136-R140","source":"ScienceDirect","title":"Working memory","volume":"20","author":[{"family":"Baddeley","given":"Alan"}],"issued":{"date-parts":[["2010",2,23]]}}},{"id":1892,"uris":["http://zotero.org/users/10108531/items/8IUC86P2"],"itemData":{"id":1892,"type":"article-journal","abstract":"The nature of the developmental association between phonological memory and vocabulary knowledge was explored in a longitudinal study. At each of 4 waves (at ages 4, 5, 6, and 8 yrs), measures of vocabulary, phonological memory, nonverbal intelligence, and reading were taken from 80 children. Comparisons of cross-lagged partial correlations revealed a significant shift in the causal underpinnings of the relationship between phonological memory and vocabulary development before and after 5 yrs of age. Between 4 and 5 yrs, phonological memory skills appeared to exert a direct causal influence on vocabulary acquisition. Subsequently, though, vocabulary knowledge became the major pacemaker in the developmental relationship, with the earlier influence of phonological memory on vocabulary development subsiding to a nonsignificant level. (PsycINFO Database Record (c) 2016 APA, all rights reserved)","container-title":"Developmental Psychology","DOI":"10.1037/0012-1649.28.5.887","ISSN":"1939-0599","note":"publisher-place: US\npublisher: American Psychological Association","page":"887-898","source":"APA PsycNet","title":"Phonological memory and vocabulary development during the early school years: A longitudinal study","title-short":"Phonological memory and vocabulary development during the early school years","volume":"28","author":[{"family":"Gathercole","given":"Susan E."},{"family":"Willis","given":"Catherine S."},{"family":"Emslie","given":"Hazel"},{"family":"Baddeley","given":"Alan D."}],"issued":{"date-parts":[["1992"]]}}}],"schema":"https://github.com/citation-style-language/schema/raw/master/csl-citation.json"}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(Baddeley, 2010; Gathercole et al., 1992)</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processing speed, and skill automatization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{"citationID":"waCjGJin","properties":{"formattedCitation":"(Nicolson &amp; Fawcett, 2008)","plainCitation":"(Nicolson &amp; Fawcett, 2008)","dontUpdate":true,"noteIndex":0},"citationItems":[{"id":1896,"uris":["http://zotero.org/users/10108531/items/DUEYY4MZ"],"itemData":{"id":1896,"type":"book","ISBN":"978-0-262-28066-2","language":"en","note":"DOI: 10.7551/mitpress/9780262140997.001.0001","publisher":"The MIT Press","source":"DOI.org (Crossref)","title":"Dyslexia, Learning, and the Brain","URL":"https://direct.mit.edu/books/book/2046","author":[{"family":"Nicolson","given":"Roderick"},{"family":"Fawcett","given":"Angela"}],"accessed":{"date-parts":[["2022",10,1]]},"issued":{"date-parts":[["2008"]]}}}],"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(Nicolson &amp; Fawcett, 2008)</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These cognitive features may also be related to other more nuanced language impairments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{"citationID":"qSNZ0PXf","properties":{"formattedCitation":"(Compton, 2021)","plainCitation":"(Compton, 2021)","noteIndex":0},"citationItems":[{"id":1995,"uris":["http://zotero.org/users/10108531/items/7UIWRIYW"],"itemData":{"id":1995,"type":"article-journal","abstract":"Multifactorial models of dyslexia have expanded how we consider heterogeneity within the population of children with dyslexia. These models are predicated on the idea that cognitive/linguistic risk factors are not deterministic but instead probabilistic, with the likelihood of difficulties involving an interaction between risk and protective factors that include both exogenous and endogenous influences. In this commentary a multifactorial model perspective is applied to examine, based on the six papers that make up the special series, the potential utility of such models to clarify issues of etiology, identification, and instruction of children with dyslexia. This approach seems to suggest that multifactorial models of dyslexia have potential to significantly expand our understanding of etiology with less immediate promise for identification and instruction.","container-title":"Learning Disability Quarterly","DOI":"10.1177/0731948720939009","ISSN":"0731-9487, 2168-376X","issue":"3","journalAbbreviation":"Learning Disability Quarterly","language":"en","page":"225-230","source":"DOI.org (Crossref)","title":"Focusing Our View of Dyslexia Through a Multifactorial Lens: A Commentary","title-short":"Focusing Our View of Dyslexia Through a Multifactorial Lens","volume":"44","author":[{"family":"Compton","given":"Donald L."}],"issued":{"date-parts":[["2021",8]]}}}],"schema":"https://github.com/citation-style-language/schema/raw/master/csl-citation.json"}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(Compton, 2021)</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Previous research indicate</w:t>
      </w:r>
      <w:r>
        <w:rPr>
          <w:rFonts w:ascii="Times New Roman" w:hAnsi="Times New Roman" w:cs="Times New Roman"/>
          <w:sz w:val="24"/>
          <w:szCs w:val="24"/>
          <w:lang w:val="en-US"/>
        </w:rPr>
        <w:t>s</w:t>
      </w:r>
      <w:r w:rsidRPr="00A056BE">
        <w:rPr>
          <w:rFonts w:ascii="Times New Roman" w:hAnsi="Times New Roman" w:cs="Times New Roman"/>
          <w:sz w:val="24"/>
          <w:szCs w:val="24"/>
          <w:lang w:val="en-US"/>
        </w:rPr>
        <w:t xml:space="preserve"> difficulties in processing syntactic and grammatical structures that are particularly expensive in terms of processing costs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{"citationID":"wyyLLJRc","properties":{"formattedCitation":"(Stella &amp; Engelhardt, 2019; Vender, 2017)","plainCitation":"(Stella &amp; Engelhardt, 2019; Vender, 2017)","noteIndex":0},"citationItems":[{"id":164,"uris":["http://zotero.org/users/10108531/items/TVEEJSK2"],"itemData":{"id":164,"type":"article-journal","abstract":"This study examined eye movements and comprehension of temporary syntactic ambiguities in individuals with dyslexia, as few studies have focused on sentence-level comprehension in dyslexia. We tested 50 participants with dyslexia and 50 typically developing controls, in order to investigate (a) whether dyslexics have difficulty revising temporary syntactic misinterpretations and (b) underlying cognitive factors (i.e., working memory and processing speed) associated with eye movement differences and comprehension failures. In the sentence comprehension task, participants read subordinate-main structures that were either ambiguous or unambiguous, and we also manipulated the type of verb contained in the subordinate clause (i.e., reflexive or optionally transitive). Results showed a main effect of group on comprehension, in which individuals with dyslexia showed poorer comprehension than typically developing readers. In addition, participants with dyslexia showed longer total reading times on the disambiguating region of syntactically ambiguous sentences. With respect to cognitive factors, working memory was more associated with group differences than was processing speed. Conclusions focus on sentence-level syntactic processing issues in dyslexia (a previously under-researched area) and the relationship between online and offline measures of syntactic ambiguity resolution.","container-title":"Dyslexia (Chichester, England)","DOI":"10.1002/DYS.1613","ISSN":"1099-0909","issue":"2","note":"PMID: 30990960\npublisher: Dyslexia","page":"115-141","title":"Syntactic ambiguity resolution in dyslexia: An examination of cognitive factors underlying eye movement differences and comprehension failures","volume":"25","author":[{"family":"Stella","given":"Marianna"},{"family":"Engelhardt","given":"Paul E."}],"issued":{"date-parts":[["2019",5,1]]}}},{"id":2398,"uris":["http://zotero.org/users/10108531/items/W9N9RFXQ"],"itemData":{"id":2398,"type":"book","abstract":"Beyond the well-known reading and spelling difficulties, dyslexic individuals exhibit marked phonological disorders, poor lexical retrieval and ...","event-place":"Bern","ISBN":"978-3-0343-2963-7","language":"en","note":"ISSN: 1424-8689","publisher":"Peter Lang","publisher-place":"Bern","title":"Disentangling Dyslexia","author":[{"family":"Vender","given":"Maria"}],"accessed":{"date-parts":[["2023",2,1]]},"issued":{"date-parts":[["2017"]]}}}],"schema":"https://github.com/citation-style-language/schema/raw/master/csl-citation.json"}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(Stella &amp; Engelhardt, 2019; Vender, 2017)</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and with pragmatics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{"citationID":"8ldSLP8L","properties":{"formattedCitation":"(Cappelli et al., 2022; Griffiths, 2007)","plainCitation":"(Cappelli et al., 2022; Griffiths, 2007)","noteIndex":0},"citationItems":[{"id":2412,"uris":["http://zotero.org/users/10108531/items/AGMQA2BK"],"itemData":{"id":2412,"type":"chapter","container-title":"A Linguistic Approach to the Study of Dyslexia","ISBN":"978-1-80041-597-3","publisher":"Multilingual Matters","title":"Dyslexia and Pragmatic Skills","URL":"https://doi.org/10.21832/9781800415973-012","author":[{"family":"Cappelli","given":"Gloria"},{"family":"Noccetti","given":"Sabrina"},{"family":"Simi","given":"Nicoletta"},{"family":"Arcara","given":"Giorgio"},{"family":"Bambini","given":"Valentina"}],"issued":{"date-parts":[["2022"]]}}},{"id":280,"uris":["http://zotero.org/users/10108531/items/MA9GNUSQ"],"itemData":{"id":280,"type":"article-journal","abstract":"This study examines well-compensated adults with dyslexia to see if they experience more problems with pragmatic awareness than the normal population. Social interaction requires an individual to process language at speed by using working memory efficiently, in order to understand the intended, rather than literal, meaning between speaker and hearer. Previous studies have shown evidence amongst the dyslexic population of poor working memory capacity, slower speed of processing and automatization deficit. It is proposed that a dyslexic may not be able to interpret pragmatic content as efficiently as non-dyslexics, due to the need for fast processing in such circumstances, resulting in resource overload and over-intensity of memory. The study compares the score results of 20 dyslexic and 20 non- dyslexic adults on the Dyslexia Adult Screening Test (DAST), the Right Hemisphere Language Battery and the author’s own pragmatic competence questionnaire. The results for all three measures indicate a statistically significant difference in pragmatic competence between the two groups and appear to demonstrate a correlation between dyslexia and pragmatic impairment. Consideration of individual subtest items on the DAST lend support to the argument that this may be due to deficits in working memory, processing and automatization.","container-title":"Dyslexia","DOI":"10.1002/dys","issue":"February","note":"Citation Key: Haslum2007","page":"234-239","title":"Pragmatic Abilities in Adults With and Without Dyslexia: A Pilot Study","volume":"239","author":[{"family":"Griffiths","given":"Catherine C. B."}],"issued":{"date-parts":[["2007"]]}}}],"schema":"https://github.com/citation-style-language/schema/raw/master/csl-citation.json"}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(Cappelli et al., 2022; Griffiths, 2007)</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w:t>
      </w:r>
    </w:p>
    <w:p w14:paraId="2066EA31" w14:textId="77777777" w:rsidR="001A0280" w:rsidRPr="00A056BE" w:rsidRDefault="001A0280" w:rsidP="001A0280">
      <w:pPr>
        <w:spacing w:after="0" w:line="240" w:lineRule="auto"/>
        <w:ind w:firstLine="720"/>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 xml:space="preserve">Considering this multifaceted profile, it is evident that more research is needed to better understand the main causes and outcomes of dyslexia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{"citationID":"26TMsOkR","properties":{"formattedCitation":"(Engelhardt, 2020)","plainCitation":"(Engelhardt, 2020)","noteIndex":0},"citationItems":[{"id":168,"uris":["http://zotero.org/users/10108531/items/RXRDSBIT"],"itemData":{"id":168,"type":"article-journal","abstract":"This editorial follows an influential review paper published in Brain Sciences in 2018 (What is Developmental Dyslexia? by John Stein). In this editorial, I present a critical look at the arguments in Stein’s review, with a particular view towards “looking ahead”. In looking ahead, I will focus on why dyslexia has been largely neglected by psycholinguistics and, in particular, shortfalls in knowledge about sentence processing. I will highlight some things that I think psycholinguistic methodologies can contribute to the understanding of developmental dyslexia. The editorial will then turn to address the larger research context of dyslexia. In short, investigations of dyslexia tend to be conducted across a wide range of disciplines, and by individuals with varied backgrounds, divergent views, and different goals. One argument I advance is that dyslexia has reached a point where “interdisciplinary” collaboration is essential, and in the event that that is not successful, the field would at least benefit from “adversarial collaborations”. Finally, I briefly address the issue of interventions (raised by Stein) for older children and adolescents by returning to the contributions that psycholinguistics can provide to dyslexia. The crux of my argument here is that there exists a missing link in interventions, and that missing link is sentence-level language comprehension.","container-title":"Brain Sciences","DOI":"10.3390/brainsci10030151","ISSN":"20763425","issue":"3","note":"publisher: MDPI AG","title":"Developmental dyslexia: Where do we go from here?","volume":"10","author":[{"family":"Engelhardt","given":"Paul E."}],"issued":{"date-parts":[["2020",3,1]]}}}],"schema":"https://github.com/citation-style-language/schema/raw/master/csl-citation.json"}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(Engelhardt, 2020)</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especially if we want to investigate the intersection</w:t>
      </w:r>
      <w:r>
        <w:rPr>
          <w:rFonts w:ascii="Times New Roman" w:hAnsi="Times New Roman" w:cs="Times New Roman"/>
          <w:sz w:val="24"/>
          <w:szCs w:val="24"/>
          <w:lang w:val="en-US"/>
        </w:rPr>
        <w:t>s</w:t>
      </w:r>
      <w:r w:rsidRPr="00A056BE">
        <w:rPr>
          <w:rFonts w:ascii="Times New Roman" w:hAnsi="Times New Roman" w:cs="Times New Roman"/>
          <w:sz w:val="24"/>
          <w:szCs w:val="24"/>
          <w:lang w:val="en-US"/>
        </w:rPr>
        <w:t xml:space="preserve"> between metaphor comprehension and developmental dyslexia, as is the main aim of this paper. </w:t>
      </w:r>
    </w:p>
    <w:p w14:paraId="27332F72" w14:textId="77777777" w:rsidR="001A0280" w:rsidRPr="00A056BE" w:rsidRDefault="001A0280" w:rsidP="001A0280">
      <w:pPr>
        <w:spacing w:after="0" w:line="240" w:lineRule="auto"/>
        <w:contextualSpacing/>
        <w:jc w:val="both"/>
        <w:rPr>
          <w:rFonts w:ascii="Times New Roman" w:hAnsi="Times New Roman" w:cs="Times New Roman"/>
          <w:b/>
          <w:bCs/>
          <w:sz w:val="24"/>
          <w:szCs w:val="24"/>
          <w:lang w:val="en-US"/>
        </w:rPr>
      </w:pPr>
    </w:p>
    <w:p w14:paraId="71AFF37D" w14:textId="77777777" w:rsidR="001A0280" w:rsidRPr="00A056BE" w:rsidRDefault="001A0280" w:rsidP="001A0280">
      <w:pPr>
        <w:spacing w:after="0" w:line="240" w:lineRule="auto"/>
        <w:contextualSpacing/>
        <w:jc w:val="both"/>
        <w:rPr>
          <w:rFonts w:ascii="Times New Roman" w:hAnsi="Times New Roman" w:cs="Times New Roman"/>
          <w:b/>
          <w:bCs/>
          <w:sz w:val="24"/>
          <w:szCs w:val="24"/>
          <w:lang w:val="en-US"/>
        </w:rPr>
      </w:pPr>
      <w:r w:rsidRPr="00A056BE">
        <w:rPr>
          <w:rFonts w:ascii="Times New Roman" w:hAnsi="Times New Roman" w:cs="Times New Roman"/>
          <w:b/>
          <w:bCs/>
          <w:sz w:val="24"/>
          <w:szCs w:val="24"/>
          <w:lang w:val="en-US"/>
        </w:rPr>
        <w:t xml:space="preserve">3. Previous Studies </w:t>
      </w:r>
    </w:p>
    <w:p w14:paraId="061D02C4" w14:textId="77777777" w:rsidR="001A0280" w:rsidRPr="00A056BE" w:rsidRDefault="001A0280" w:rsidP="001A0280">
      <w:pPr>
        <w:spacing w:after="0" w:line="240" w:lineRule="auto"/>
        <w:contextualSpacing/>
        <w:jc w:val="both"/>
        <w:rPr>
          <w:rFonts w:ascii="Times New Roman" w:hAnsi="Times New Roman" w:cs="Times New Roman"/>
          <w:sz w:val="24"/>
          <w:szCs w:val="24"/>
          <w:lang w:val="en-US"/>
        </w:rPr>
      </w:pPr>
    </w:p>
    <w:p w14:paraId="21FFD287" w14:textId="77777777" w:rsidR="001A0280" w:rsidRDefault="001A0280" w:rsidP="001A0280">
      <w:pPr>
        <w:spacing w:after="0" w:line="240" w:lineRule="auto"/>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 xml:space="preserve">There are few studies that address metaphor comprehension in people with dyslexia (see Table 1). </w:t>
      </w:r>
    </w:p>
    <w:p w14:paraId="0E6C27B2" w14:textId="77777777" w:rsidR="00985EAA" w:rsidRPr="00A056BE" w:rsidRDefault="00985EAA" w:rsidP="001A0280">
      <w:pPr>
        <w:spacing w:after="0" w:line="240" w:lineRule="auto"/>
        <w:contextualSpacing/>
        <w:jc w:val="both"/>
        <w:rPr>
          <w:rFonts w:ascii="Times New Roman" w:hAnsi="Times New Roman" w:cs="Times New Roman"/>
          <w:sz w:val="24"/>
          <w:szCs w:val="24"/>
          <w:lang w:val="en-US"/>
        </w:rPr>
      </w:pPr>
    </w:p>
    <w:p w14:paraId="0656F2AC" w14:textId="77777777" w:rsidR="00985EAA" w:rsidRDefault="00985EAA" w:rsidP="001A0280">
      <w:pPr>
        <w:spacing w:after="0" w:line="240" w:lineRule="auto"/>
        <w:ind w:firstLine="720"/>
        <w:contextualSpacing/>
        <w:jc w:val="both"/>
        <w:rPr>
          <w:rFonts w:ascii="Times New Roman" w:hAnsi="Times New Roman" w:cs="Times New Roman"/>
          <w:sz w:val="24"/>
          <w:szCs w:val="24"/>
          <w:lang w:val="en-US"/>
        </w:rPr>
      </w:pPr>
    </w:p>
    <w:p w14:paraId="64BCA0CF" w14:textId="77777777" w:rsidR="00985EAA" w:rsidRDefault="00985EAA" w:rsidP="001A0280">
      <w:pPr>
        <w:spacing w:after="0" w:line="240" w:lineRule="auto"/>
        <w:ind w:firstLine="720"/>
        <w:contextualSpacing/>
        <w:jc w:val="both"/>
        <w:rPr>
          <w:rFonts w:ascii="Times New Roman" w:hAnsi="Times New Roman" w:cs="Times New Roman"/>
          <w:sz w:val="24"/>
          <w:szCs w:val="24"/>
          <w:lang w:val="en-US"/>
        </w:rPr>
      </w:pPr>
    </w:p>
    <w:p w14:paraId="389C856F" w14:textId="77777777" w:rsidR="00985EAA" w:rsidRDefault="00985EAA" w:rsidP="001A0280">
      <w:pPr>
        <w:spacing w:after="0" w:line="240" w:lineRule="auto"/>
        <w:ind w:firstLine="720"/>
        <w:contextualSpacing/>
        <w:jc w:val="both"/>
        <w:rPr>
          <w:rFonts w:ascii="Times New Roman" w:hAnsi="Times New Roman" w:cs="Times New Roman"/>
          <w:sz w:val="24"/>
          <w:szCs w:val="24"/>
          <w:lang w:val="en-US"/>
        </w:rPr>
      </w:pPr>
    </w:p>
    <w:p w14:paraId="0F2D0E1E" w14:textId="77777777" w:rsidR="00985EAA" w:rsidRDefault="00985EAA" w:rsidP="001A0280">
      <w:pPr>
        <w:spacing w:after="0" w:line="240" w:lineRule="auto"/>
        <w:ind w:firstLine="720"/>
        <w:contextualSpacing/>
        <w:jc w:val="both"/>
        <w:rPr>
          <w:rFonts w:ascii="Times New Roman" w:hAnsi="Times New Roman" w:cs="Times New Roman"/>
          <w:sz w:val="24"/>
          <w:szCs w:val="24"/>
          <w:lang w:val="en-US"/>
        </w:rPr>
      </w:pPr>
    </w:p>
    <w:p w14:paraId="1DEC7781" w14:textId="77777777" w:rsidR="00985EAA" w:rsidRDefault="00985EAA" w:rsidP="001A0280">
      <w:pPr>
        <w:spacing w:after="0" w:line="240" w:lineRule="auto"/>
        <w:ind w:firstLine="720"/>
        <w:contextualSpacing/>
        <w:jc w:val="both"/>
        <w:rPr>
          <w:rFonts w:ascii="Times New Roman" w:hAnsi="Times New Roman" w:cs="Times New Roman"/>
          <w:sz w:val="24"/>
          <w:szCs w:val="24"/>
          <w:lang w:val="en-US"/>
        </w:rPr>
      </w:pPr>
    </w:p>
    <w:p w14:paraId="13334AEB" w14:textId="77777777" w:rsidR="00985EAA" w:rsidRPr="00A056BE" w:rsidRDefault="00985EAA" w:rsidP="00985EAA">
      <w:pPr>
        <w:pStyle w:val="Caption"/>
        <w:keepNext/>
        <w:jc w:val="both"/>
        <w:rPr>
          <w:rFonts w:ascii="Times New Roman" w:hAnsi="Times New Roman" w:cs="Times New Roman"/>
          <w:color w:val="auto"/>
          <w:sz w:val="22"/>
          <w:szCs w:val="22"/>
          <w:lang w:val="en-US"/>
        </w:rPr>
      </w:pPr>
      <w:r w:rsidRPr="00A056BE">
        <w:rPr>
          <w:rFonts w:ascii="Times New Roman" w:hAnsi="Times New Roman" w:cs="Times New Roman"/>
          <w:b/>
          <w:bCs/>
          <w:i w:val="0"/>
          <w:iCs w:val="0"/>
          <w:color w:val="auto"/>
          <w:sz w:val="22"/>
          <w:szCs w:val="22"/>
          <w:lang w:val="en-US"/>
        </w:rPr>
        <w:lastRenderedPageBreak/>
        <w:t>Table 1</w:t>
      </w:r>
      <w:r w:rsidRPr="00A056BE">
        <w:rPr>
          <w:rFonts w:ascii="Times New Roman" w:hAnsi="Times New Roman" w:cs="Times New Roman"/>
          <w:i w:val="0"/>
          <w:iCs w:val="0"/>
          <w:color w:val="auto"/>
          <w:sz w:val="22"/>
          <w:szCs w:val="22"/>
          <w:lang w:val="en-US"/>
        </w:rPr>
        <w:t xml:space="preserve">. </w:t>
      </w:r>
      <w:r w:rsidRPr="00A056BE">
        <w:rPr>
          <w:rFonts w:ascii="Times New Roman" w:hAnsi="Times New Roman" w:cs="Times New Roman"/>
          <w:color w:val="auto"/>
          <w:sz w:val="22"/>
          <w:szCs w:val="22"/>
          <w:lang w:val="en-US"/>
        </w:rPr>
        <w:t>Previous studies involving metaphor comprehension in developmental dyslexia.</w:t>
      </w:r>
    </w:p>
    <w:tbl>
      <w:tblPr>
        <w:tblW w:w="9204"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1124"/>
        <w:gridCol w:w="1134"/>
        <w:gridCol w:w="851"/>
        <w:gridCol w:w="851"/>
        <w:gridCol w:w="2126"/>
        <w:gridCol w:w="3118"/>
      </w:tblGrid>
      <w:tr w:rsidR="00985EAA" w:rsidRPr="00A056BE" w14:paraId="3FC5EFB7" w14:textId="77777777" w:rsidTr="00D3628F">
        <w:tc>
          <w:tcPr>
            <w:tcW w:w="112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1CDD218"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b/>
                <w:bCs/>
                <w:sz w:val="20"/>
                <w:szCs w:val="20"/>
                <w:lang w:val="en-US"/>
              </w:rPr>
              <w:t>Paper</w:t>
            </w:r>
          </w:p>
        </w:tc>
        <w:tc>
          <w:tcPr>
            <w:tcW w:w="11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001A974"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b/>
                <w:bCs/>
                <w:sz w:val="20"/>
                <w:szCs w:val="20"/>
                <w:lang w:val="en-US"/>
              </w:rPr>
              <w:t>Participants</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ACE8C9A"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b/>
                <w:bCs/>
                <w:sz w:val="20"/>
                <w:szCs w:val="20"/>
                <w:lang w:val="en-US"/>
              </w:rPr>
              <w:t>Age</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0F4B209"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b/>
                <w:bCs/>
                <w:sz w:val="20"/>
                <w:szCs w:val="20"/>
                <w:lang w:val="en-US"/>
              </w:rPr>
              <w:t>Lang.</w:t>
            </w:r>
          </w:p>
        </w:tc>
        <w:tc>
          <w:tcPr>
            <w:tcW w:w="2126" w:type="dxa"/>
            <w:tcBorders>
              <w:top w:val="single" w:sz="8" w:space="0" w:color="9A9A9A"/>
              <w:left w:val="single" w:sz="8" w:space="0" w:color="9A9A9A"/>
              <w:bottom w:val="single" w:sz="8" w:space="0" w:color="9A9A9A"/>
              <w:right w:val="single" w:sz="8" w:space="0" w:color="9A9A9A"/>
            </w:tcBorders>
          </w:tcPr>
          <w:p w14:paraId="465EBEB0" w14:textId="77777777" w:rsidR="00985EAA" w:rsidRPr="00A056BE" w:rsidRDefault="00985EAA" w:rsidP="00D3628F">
            <w:pPr>
              <w:spacing w:after="0" w:line="240" w:lineRule="auto"/>
              <w:contextualSpacing/>
              <w:rPr>
                <w:rFonts w:ascii="Times New Roman" w:hAnsi="Times New Roman" w:cs="Times New Roman"/>
                <w:b/>
                <w:bCs/>
                <w:sz w:val="20"/>
                <w:szCs w:val="20"/>
                <w:lang w:val="en-US"/>
              </w:rPr>
            </w:pPr>
            <w:r w:rsidRPr="00A056BE">
              <w:rPr>
                <w:rFonts w:ascii="Times New Roman" w:hAnsi="Times New Roman" w:cs="Times New Roman"/>
                <w:b/>
                <w:bCs/>
                <w:sz w:val="20"/>
                <w:szCs w:val="20"/>
                <w:lang w:val="en-US"/>
              </w:rPr>
              <w:t>Batteries</w:t>
            </w:r>
          </w:p>
        </w:tc>
        <w:tc>
          <w:tcPr>
            <w:tcW w:w="311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BC6415A"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b/>
                <w:bCs/>
                <w:sz w:val="20"/>
                <w:szCs w:val="20"/>
                <w:lang w:val="en-US"/>
              </w:rPr>
              <w:t>Metaphor task</w:t>
            </w:r>
          </w:p>
        </w:tc>
      </w:tr>
      <w:tr w:rsidR="00985EAA" w:rsidRPr="00A056BE" w14:paraId="70014BC4" w14:textId="77777777" w:rsidTr="00D3628F">
        <w:tblPrEx>
          <w:tblBorders>
            <w:top w:val="none" w:sz="0" w:space="0" w:color="auto"/>
          </w:tblBorders>
        </w:tblPrEx>
        <w:tc>
          <w:tcPr>
            <w:tcW w:w="112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78A070A" w14:textId="06093D0E"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Griffith</w:t>
            </w:r>
            <w:r w:rsidR="005A0A90">
              <w:rPr>
                <w:rFonts w:ascii="Times New Roman" w:hAnsi="Times New Roman" w:cs="Times New Roman"/>
                <w:sz w:val="20"/>
                <w:szCs w:val="20"/>
                <w:lang w:val="en-US"/>
              </w:rPr>
              <w:t>s</w:t>
            </w:r>
            <w:r w:rsidRPr="00A056BE">
              <w:rPr>
                <w:rFonts w:ascii="Times New Roman" w:hAnsi="Times New Roman" w:cs="Times New Roman"/>
                <w:sz w:val="20"/>
                <w:szCs w:val="20"/>
                <w:lang w:val="en-US"/>
              </w:rPr>
              <w:t xml:space="preserve"> (2007)</w:t>
            </w:r>
          </w:p>
        </w:tc>
        <w:tc>
          <w:tcPr>
            <w:tcW w:w="11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53CD003"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20 (20 TD)</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9050AF0"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18-45 (range)</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8158CE"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English</w:t>
            </w:r>
          </w:p>
        </w:tc>
        <w:tc>
          <w:tcPr>
            <w:tcW w:w="2126" w:type="dxa"/>
            <w:tcBorders>
              <w:top w:val="single" w:sz="8" w:space="0" w:color="9A9A9A"/>
              <w:left w:val="single" w:sz="8" w:space="0" w:color="9A9A9A"/>
              <w:bottom w:val="single" w:sz="8" w:space="0" w:color="9A9A9A"/>
              <w:right w:val="single" w:sz="8" w:space="0" w:color="9A9A9A"/>
            </w:tcBorders>
          </w:tcPr>
          <w:p w14:paraId="2A38927B"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Right Hemisphere Language Battery RHLB (Bryan, 1995).</w:t>
            </w:r>
          </w:p>
        </w:tc>
        <w:tc>
          <w:tcPr>
            <w:tcW w:w="311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75842A3"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Metaphor picture test (picture selection); metaphor written test (multiple choice, aurally presented).</w:t>
            </w:r>
          </w:p>
        </w:tc>
      </w:tr>
      <w:tr w:rsidR="00985EAA" w:rsidRPr="00A056BE" w14:paraId="1F254305" w14:textId="77777777" w:rsidTr="00D3628F">
        <w:tblPrEx>
          <w:tblBorders>
            <w:top w:val="none" w:sz="0" w:space="0" w:color="auto"/>
          </w:tblBorders>
        </w:tblPrEx>
        <w:tc>
          <w:tcPr>
            <w:tcW w:w="112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CC49543" w14:textId="77777777" w:rsidR="00985EAA" w:rsidRPr="00A056BE" w:rsidRDefault="00985EAA" w:rsidP="00D3628F">
            <w:pPr>
              <w:spacing w:after="0" w:line="240" w:lineRule="auto"/>
              <w:contextualSpacing/>
              <w:rPr>
                <w:rFonts w:ascii="Times New Roman" w:hAnsi="Times New Roman" w:cs="Times New Roman"/>
                <w:sz w:val="20"/>
                <w:szCs w:val="20"/>
                <w:lang w:val="en-US"/>
              </w:rPr>
            </w:pPr>
            <w:proofErr w:type="spellStart"/>
            <w:r w:rsidRPr="00A056BE">
              <w:rPr>
                <w:rFonts w:ascii="Times New Roman" w:hAnsi="Times New Roman" w:cs="Times New Roman"/>
                <w:sz w:val="20"/>
                <w:szCs w:val="20"/>
                <w:lang w:val="en-US"/>
              </w:rPr>
              <w:t>Kasirer</w:t>
            </w:r>
            <w:proofErr w:type="spellEnd"/>
            <w:r w:rsidRPr="00A056BE">
              <w:rPr>
                <w:rFonts w:ascii="Times New Roman" w:hAnsi="Times New Roman" w:cs="Times New Roman"/>
                <w:sz w:val="20"/>
                <w:szCs w:val="20"/>
                <w:lang w:val="en-US"/>
              </w:rPr>
              <w:t xml:space="preserve"> &amp; Mashal (2016)</w:t>
            </w:r>
          </w:p>
        </w:tc>
        <w:tc>
          <w:tcPr>
            <w:tcW w:w="11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C9F1D4F" w14:textId="77777777" w:rsidR="00985EAA" w:rsidRPr="00A056BE" w:rsidRDefault="00985EAA" w:rsidP="00D3628F">
            <w:pPr>
              <w:spacing w:after="0" w:line="240" w:lineRule="auto"/>
              <w:contextualSpacing/>
              <w:rPr>
                <w:rFonts w:ascii="Times New Roman" w:hAnsi="Times New Roman" w:cs="Times New Roman"/>
                <w:b/>
                <w:bCs/>
                <w:sz w:val="20"/>
                <w:szCs w:val="20"/>
                <w:lang w:val="en-US"/>
              </w:rPr>
            </w:pPr>
            <w:r w:rsidRPr="00A056BE">
              <w:rPr>
                <w:rFonts w:ascii="Times New Roman" w:hAnsi="Times New Roman" w:cs="Times New Roman"/>
                <w:sz w:val="20"/>
                <w:szCs w:val="20"/>
                <w:lang w:val="en-US"/>
              </w:rPr>
              <w:t>18 (19 TD)</w:t>
            </w:r>
          </w:p>
          <w:p w14:paraId="1F341DD1" w14:textId="77777777" w:rsidR="00985EAA" w:rsidRPr="00A056BE" w:rsidRDefault="00985EAA" w:rsidP="00D3628F">
            <w:pPr>
              <w:spacing w:after="0" w:line="240" w:lineRule="auto"/>
              <w:contextualSpacing/>
              <w:rPr>
                <w:rFonts w:ascii="Times New Roman" w:hAnsi="Times New Roman" w:cs="Times New Roman"/>
                <w:b/>
                <w:bCs/>
                <w:sz w:val="20"/>
                <w:szCs w:val="20"/>
                <w:lang w:val="en-US"/>
              </w:rPr>
            </w:pPr>
            <w:r w:rsidRPr="00A056BE">
              <w:rPr>
                <w:rFonts w:ascii="Times New Roman" w:hAnsi="Times New Roman" w:cs="Times New Roman"/>
                <w:sz w:val="20"/>
                <w:szCs w:val="20"/>
                <w:lang w:val="en-US"/>
              </w:rPr>
              <w:t>17 (18 TD)</w:t>
            </w:r>
          </w:p>
          <w:p w14:paraId="2D68A4A8"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17 (17 TD)</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28190AF" w14:textId="77777777" w:rsidR="00985EAA" w:rsidRPr="00A056BE" w:rsidRDefault="00985EAA" w:rsidP="00D3628F">
            <w:pPr>
              <w:spacing w:after="0" w:line="240" w:lineRule="auto"/>
              <w:contextualSpacing/>
              <w:rPr>
                <w:rFonts w:ascii="Times New Roman" w:hAnsi="Times New Roman" w:cs="Times New Roman"/>
                <w:b/>
                <w:bCs/>
                <w:sz w:val="20"/>
                <w:szCs w:val="20"/>
                <w:lang w:val="en-US"/>
              </w:rPr>
            </w:pPr>
            <w:r w:rsidRPr="00A056BE">
              <w:rPr>
                <w:rFonts w:ascii="Times New Roman" w:hAnsi="Times New Roman" w:cs="Times New Roman"/>
                <w:sz w:val="20"/>
                <w:szCs w:val="20"/>
                <w:lang w:val="en-US"/>
              </w:rPr>
              <w:t>11.2 (mean)</w:t>
            </w:r>
          </w:p>
          <w:p w14:paraId="5F984045" w14:textId="77777777" w:rsidR="00985EAA" w:rsidRPr="00A056BE" w:rsidRDefault="00985EAA" w:rsidP="00D3628F">
            <w:pPr>
              <w:spacing w:after="0" w:line="240" w:lineRule="auto"/>
              <w:contextualSpacing/>
              <w:rPr>
                <w:rFonts w:ascii="Times New Roman" w:hAnsi="Times New Roman" w:cs="Times New Roman"/>
                <w:b/>
                <w:bCs/>
                <w:sz w:val="20"/>
                <w:szCs w:val="20"/>
                <w:lang w:val="en-US"/>
              </w:rPr>
            </w:pPr>
            <w:r w:rsidRPr="00A056BE">
              <w:rPr>
                <w:rFonts w:ascii="Times New Roman" w:hAnsi="Times New Roman" w:cs="Times New Roman"/>
                <w:sz w:val="20"/>
                <w:szCs w:val="20"/>
                <w:lang w:val="en-US"/>
              </w:rPr>
              <w:t xml:space="preserve">14.29 </w:t>
            </w:r>
          </w:p>
          <w:p w14:paraId="6EE687D5"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 xml:space="preserve">22.82 </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CF5DE62"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Hebrew</w:t>
            </w:r>
          </w:p>
        </w:tc>
        <w:tc>
          <w:tcPr>
            <w:tcW w:w="2126" w:type="dxa"/>
            <w:tcBorders>
              <w:top w:val="single" w:sz="8" w:space="0" w:color="9A9A9A"/>
              <w:left w:val="single" w:sz="8" w:space="0" w:color="9A9A9A"/>
              <w:bottom w:val="single" w:sz="8" w:space="0" w:color="9A9A9A"/>
              <w:right w:val="single" w:sz="8" w:space="0" w:color="9A9A9A"/>
            </w:tcBorders>
          </w:tcPr>
          <w:p w14:paraId="1F610D93"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 xml:space="preserve">Multiple-choice questionnaire (Mashal &amp; </w:t>
            </w:r>
            <w:proofErr w:type="spellStart"/>
            <w:r w:rsidRPr="00A056BE">
              <w:rPr>
                <w:rFonts w:ascii="Times New Roman" w:hAnsi="Times New Roman" w:cs="Times New Roman"/>
                <w:sz w:val="20"/>
                <w:szCs w:val="20"/>
                <w:lang w:val="en-US"/>
              </w:rPr>
              <w:t>Kasirer</w:t>
            </w:r>
            <w:proofErr w:type="spellEnd"/>
            <w:r w:rsidRPr="00A056BE">
              <w:rPr>
                <w:rFonts w:ascii="Times New Roman" w:hAnsi="Times New Roman" w:cs="Times New Roman"/>
                <w:sz w:val="20"/>
                <w:szCs w:val="20"/>
                <w:lang w:val="en-US"/>
              </w:rPr>
              <w:t>, 2011); concept-creation task (</w:t>
            </w:r>
            <w:proofErr w:type="spellStart"/>
            <w:r w:rsidRPr="00A056BE">
              <w:rPr>
                <w:rFonts w:ascii="Times New Roman" w:hAnsi="Times New Roman" w:cs="Times New Roman"/>
                <w:sz w:val="20"/>
                <w:szCs w:val="20"/>
                <w:lang w:val="en-US"/>
              </w:rPr>
              <w:t>Kasirer</w:t>
            </w:r>
            <w:proofErr w:type="spellEnd"/>
            <w:r w:rsidRPr="00A056BE">
              <w:rPr>
                <w:rFonts w:ascii="Times New Roman" w:hAnsi="Times New Roman" w:cs="Times New Roman"/>
                <w:sz w:val="20"/>
                <w:szCs w:val="20"/>
                <w:lang w:val="en-US"/>
              </w:rPr>
              <w:t xml:space="preserve"> &amp; Mashal, 2014).</w:t>
            </w:r>
          </w:p>
        </w:tc>
        <w:tc>
          <w:tcPr>
            <w:tcW w:w="311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9528E2D"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Conventional and novel metaphor comprehension (multiple choice) and generation.</w:t>
            </w:r>
          </w:p>
        </w:tc>
      </w:tr>
      <w:tr w:rsidR="00985EAA" w:rsidRPr="00A056BE" w14:paraId="32E46756" w14:textId="77777777" w:rsidTr="00D3628F">
        <w:tblPrEx>
          <w:tblBorders>
            <w:top w:val="none" w:sz="0" w:space="0" w:color="auto"/>
          </w:tblBorders>
        </w:tblPrEx>
        <w:tc>
          <w:tcPr>
            <w:tcW w:w="112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388D527" w14:textId="0F2A1CA4"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 xml:space="preserve">Cardillo </w:t>
            </w:r>
            <w:r w:rsidR="005A0A90">
              <w:rPr>
                <w:rFonts w:ascii="Times New Roman" w:hAnsi="Times New Roman" w:cs="Times New Roman"/>
                <w:sz w:val="20"/>
                <w:szCs w:val="20"/>
                <w:lang w:val="en-US"/>
              </w:rPr>
              <w:t xml:space="preserve">et al. </w:t>
            </w:r>
            <w:r w:rsidRPr="00A056BE">
              <w:rPr>
                <w:rFonts w:ascii="Times New Roman" w:hAnsi="Times New Roman" w:cs="Times New Roman"/>
                <w:sz w:val="20"/>
                <w:szCs w:val="20"/>
                <w:lang w:val="en-US"/>
              </w:rPr>
              <w:t>(2018)</w:t>
            </w:r>
          </w:p>
        </w:tc>
        <w:tc>
          <w:tcPr>
            <w:tcW w:w="11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3663E2A"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21 (21 TD)</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46BBAFB"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8-10 (range)</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3F11457"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Italian</w:t>
            </w:r>
          </w:p>
        </w:tc>
        <w:tc>
          <w:tcPr>
            <w:tcW w:w="2126" w:type="dxa"/>
            <w:tcBorders>
              <w:top w:val="single" w:sz="8" w:space="0" w:color="9A9A9A"/>
              <w:left w:val="single" w:sz="8" w:space="0" w:color="9A9A9A"/>
              <w:bottom w:val="single" w:sz="8" w:space="0" w:color="9A9A9A"/>
              <w:right w:val="single" w:sz="8" w:space="0" w:color="9A9A9A"/>
            </w:tcBorders>
          </w:tcPr>
          <w:p w14:paraId="22A60953"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APL Medea battery (Lorusso, 2009).</w:t>
            </w:r>
          </w:p>
        </w:tc>
        <w:tc>
          <w:tcPr>
            <w:tcW w:w="311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6C08613"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Picture metaphors (picture selection); verbal metaphors (meaning explanation).</w:t>
            </w:r>
          </w:p>
        </w:tc>
      </w:tr>
      <w:tr w:rsidR="00985EAA" w:rsidRPr="00A056BE" w14:paraId="218B0799" w14:textId="77777777" w:rsidTr="00D3628F">
        <w:tblPrEx>
          <w:tblBorders>
            <w:top w:val="none" w:sz="0" w:space="0" w:color="auto"/>
          </w:tblBorders>
        </w:tblPrEx>
        <w:tc>
          <w:tcPr>
            <w:tcW w:w="112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F5D1F50"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Cappelli et al. (2018)</w:t>
            </w:r>
          </w:p>
        </w:tc>
        <w:tc>
          <w:tcPr>
            <w:tcW w:w="11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2872E6F"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19 (19 TD)</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70D213C"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21 (mean)</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DC0A429"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Italian</w:t>
            </w:r>
          </w:p>
        </w:tc>
        <w:tc>
          <w:tcPr>
            <w:tcW w:w="2126" w:type="dxa"/>
            <w:tcBorders>
              <w:top w:val="single" w:sz="8" w:space="0" w:color="9A9A9A"/>
              <w:left w:val="single" w:sz="8" w:space="0" w:color="9A9A9A"/>
              <w:bottom w:val="single" w:sz="8" w:space="0" w:color="9A9A9A"/>
              <w:right w:val="single" w:sz="8" w:space="0" w:color="9A9A9A"/>
            </w:tcBorders>
          </w:tcPr>
          <w:p w14:paraId="02667691" w14:textId="77777777" w:rsidR="00985EAA" w:rsidRPr="00A056BE" w:rsidRDefault="00985EAA" w:rsidP="00D3628F">
            <w:pPr>
              <w:spacing w:after="0" w:line="240" w:lineRule="auto"/>
              <w:contextualSpacing/>
              <w:rPr>
                <w:rFonts w:ascii="Times New Roman" w:hAnsi="Times New Roman" w:cs="Times New Roman"/>
                <w:sz w:val="20"/>
                <w:szCs w:val="20"/>
                <w:lang w:val="it-IT"/>
              </w:rPr>
            </w:pPr>
            <w:r w:rsidRPr="00A056BE">
              <w:rPr>
                <w:rFonts w:ascii="Times New Roman" w:hAnsi="Times New Roman" w:cs="Times New Roman"/>
                <w:sz w:val="20"/>
                <w:szCs w:val="20"/>
                <w:lang w:val="it-IT"/>
              </w:rPr>
              <w:t>APACS (Arcara &amp; Bambini, 2016); BLED (Rinaldi et al., 2006).</w:t>
            </w:r>
          </w:p>
        </w:tc>
        <w:tc>
          <w:tcPr>
            <w:tcW w:w="311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FDF3899"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sidRPr="00A056BE">
              <w:rPr>
                <w:rFonts w:ascii="Times New Roman" w:hAnsi="Times New Roman" w:cs="Times New Roman"/>
                <w:sz w:val="20"/>
                <w:szCs w:val="20"/>
                <w:lang w:val="en-US"/>
              </w:rPr>
              <w:t xml:space="preserve">Metaphor picture test (picture selection); metaphor written test (multiple choice); metaphors in short context (verbal explanation); multiple choice sentence matching task (figurative, literal and unrelated interpretation).                                                                                                                                                                                                                                                                                                                                                                                                                                                                                                                                                                                                                                                                                                                                                                                                                                                                                                                                                                                                                                                                                  </w:t>
            </w:r>
          </w:p>
        </w:tc>
      </w:tr>
      <w:tr w:rsidR="00985EAA" w:rsidRPr="00A056BE" w14:paraId="780975D1" w14:textId="77777777" w:rsidTr="00D3628F">
        <w:tblPrEx>
          <w:tblBorders>
            <w:top w:val="none" w:sz="0" w:space="0" w:color="auto"/>
          </w:tblBorders>
        </w:tblPrEx>
        <w:tc>
          <w:tcPr>
            <w:tcW w:w="112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DAF4408"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Pr>
                <w:rFonts w:ascii="Times New Roman" w:hAnsi="Times New Roman" w:cs="Times New Roman"/>
                <w:sz w:val="20"/>
                <w:szCs w:val="20"/>
                <w:lang w:val="en-US"/>
              </w:rPr>
              <w:t>Cersosimo et al. (2024)</w:t>
            </w:r>
          </w:p>
        </w:tc>
        <w:tc>
          <w:tcPr>
            <w:tcW w:w="113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7D1E3BC"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Pr>
                <w:rFonts w:ascii="Times New Roman" w:hAnsi="Times New Roman" w:cs="Times New Roman"/>
                <w:sz w:val="20"/>
                <w:szCs w:val="20"/>
                <w:lang w:val="en-US"/>
              </w:rPr>
              <w:t>26 (31 TD)</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A1A94D0"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Pr>
                <w:rFonts w:ascii="Times New Roman" w:hAnsi="Times New Roman" w:cs="Times New Roman"/>
                <w:sz w:val="20"/>
                <w:szCs w:val="20"/>
                <w:lang w:val="en-US"/>
              </w:rPr>
              <w:t>24.5 (mean)</w:t>
            </w:r>
          </w:p>
        </w:tc>
        <w:tc>
          <w:tcPr>
            <w:tcW w:w="85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8CBD097"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Pr>
                <w:rFonts w:ascii="Times New Roman" w:hAnsi="Times New Roman" w:cs="Times New Roman"/>
                <w:sz w:val="20"/>
                <w:szCs w:val="20"/>
                <w:lang w:val="en-US"/>
              </w:rPr>
              <w:t>Italian</w:t>
            </w:r>
          </w:p>
        </w:tc>
        <w:tc>
          <w:tcPr>
            <w:tcW w:w="2126" w:type="dxa"/>
            <w:tcBorders>
              <w:top w:val="single" w:sz="8" w:space="0" w:color="9A9A9A"/>
              <w:left w:val="single" w:sz="8" w:space="0" w:color="9A9A9A"/>
              <w:bottom w:val="single" w:sz="8" w:space="0" w:color="9A9A9A"/>
              <w:right w:val="single" w:sz="8" w:space="0" w:color="9A9A9A"/>
            </w:tcBorders>
          </w:tcPr>
          <w:p w14:paraId="3E0E39AD" w14:textId="77777777" w:rsidR="00985EAA" w:rsidRPr="00A056BE" w:rsidRDefault="00985EAA" w:rsidP="00D3628F">
            <w:pPr>
              <w:spacing w:after="0" w:line="240" w:lineRule="auto"/>
              <w:contextualSpacing/>
              <w:rPr>
                <w:rFonts w:ascii="Times New Roman" w:hAnsi="Times New Roman" w:cs="Times New Roman"/>
                <w:sz w:val="20"/>
                <w:szCs w:val="20"/>
                <w:lang w:val="it-IT"/>
              </w:rPr>
            </w:pPr>
            <w:r>
              <w:rPr>
                <w:rFonts w:ascii="Times New Roman" w:hAnsi="Times New Roman" w:cs="Times New Roman"/>
                <w:sz w:val="20"/>
                <w:szCs w:val="20"/>
                <w:lang w:val="it-IT"/>
              </w:rPr>
              <w:t>-</w:t>
            </w:r>
          </w:p>
        </w:tc>
        <w:tc>
          <w:tcPr>
            <w:tcW w:w="311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2C76F66" w14:textId="77777777" w:rsidR="00985EAA" w:rsidRPr="00A056BE" w:rsidRDefault="00985EAA" w:rsidP="00D3628F">
            <w:pPr>
              <w:spacing w:after="0" w:line="240" w:lineRule="auto"/>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Semantic judgement task based on the Metaphor Interference Effect; aurally presented; high and low familiar metaphors from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{"citationID":"sv0PdQjX","properties":{"formattedCitation":"(Bambini et al., 2013)","plainCitation":"(Bambini et al., 2013)","noteIndex":0},"citationItems":[{"id":1726,"uris":["http://zotero.org/users/10108531/items/A7SSR8L8"],"itemData":{"id":1726,"type":"article-journal","abstract":"Pragmatic and cognitive accounts of ﬁgurative language posit a difference between metaphor and metonymy in terms of underlying conceptual operations. Recently, other pragmatic uses of words have been accounted for in the Relevance Theory framework, such as approximation, described in terms of conceptual adjustment that varies in degree and direction with respect to the case of metaphor. Despite the theoretical distinctions, there is very poor experimental evidence addressing the metaphor/metonymy distinction, and none concerning approximation. Here we used meticulously built materials to investigate the interpretation mechanisms of these three phenomena through timed sensicality judgments. Results revealed that interpreting metaphors and approximations differs from literal interpretation both in accuracy and reaction times, with higher difﬁculty and costs for metaphors than for approximations. This suggests similar albeit gradual interpretative costs, in line with the latest account of Relevance Theory. Metonymy, on the contrary, almost equates literal comprehension and calls for a theoretical distinction from metaphor. Overall, this work represents a ﬁrst attempt to provide an empirical basis for a theory-sound and psychologically-grounded taxonomy of ﬁgurative and loose uses of language.","container-title":"Frontiers in Psychology","DOI":"10.3389/fpsyg.2013.00938","ISSN":"1664-1078","journalAbbreviation":"Front. Psychol.","language":"en","source":"DOI.org (Crossref)","title":"Differentiating among pragmatic uses of words through timed sensicality judgments","URL":"http://journal.frontiersin.org/article/10.3389/fpsyg.2013.00938/abstract","volume":"4","author":[{"family":"Bambini","given":"Valentina"},{"family":"Ghio","given":"Marta"},{"family":"Moro","given":"Andrea"},{"family":"Schumacher","given":"Petra B."}],"accessed":{"date-parts":[["2022",9,29]]},"issued":{"date-parts":[["2013"]]}}}],"schema":"https://github.com/citation-style-language/schema/raw/master/csl-citation.json"}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noProof/>
                <w:sz w:val="20"/>
                <w:szCs w:val="20"/>
                <w:lang w:val="en-US"/>
              </w:rPr>
              <w:t>(Bambini et al., 2013)</w:t>
            </w:r>
            <w:r>
              <w:rPr>
                <w:rFonts w:ascii="Times New Roman" w:hAnsi="Times New Roman" w:cs="Times New Roman"/>
                <w:sz w:val="20"/>
                <w:szCs w:val="20"/>
                <w:lang w:val="en-US"/>
              </w:rPr>
              <w:fldChar w:fldCharType="end"/>
            </w:r>
          </w:p>
        </w:tc>
      </w:tr>
    </w:tbl>
    <w:p w14:paraId="1DF9C3FF" w14:textId="77777777" w:rsidR="00985EAA" w:rsidRPr="00A056BE" w:rsidRDefault="00985EAA" w:rsidP="00985EAA">
      <w:pPr>
        <w:spacing w:line="240" w:lineRule="auto"/>
        <w:ind w:firstLine="720"/>
        <w:contextualSpacing/>
        <w:jc w:val="both"/>
        <w:rPr>
          <w:rFonts w:ascii="Times New Roman" w:hAnsi="Times New Roman" w:cs="Times New Roman"/>
          <w:bCs/>
          <w:sz w:val="24"/>
          <w:szCs w:val="24"/>
        </w:rPr>
      </w:pPr>
    </w:p>
    <w:p w14:paraId="4D6E1548" w14:textId="77777777" w:rsidR="00985EAA" w:rsidRDefault="00985EAA" w:rsidP="001A0280">
      <w:pPr>
        <w:spacing w:after="0" w:line="240" w:lineRule="auto"/>
        <w:ind w:firstLine="720"/>
        <w:contextualSpacing/>
        <w:jc w:val="both"/>
        <w:rPr>
          <w:rFonts w:ascii="Times New Roman" w:hAnsi="Times New Roman" w:cs="Times New Roman"/>
          <w:sz w:val="24"/>
          <w:szCs w:val="24"/>
          <w:lang w:val="en-US"/>
        </w:rPr>
      </w:pPr>
    </w:p>
    <w:p w14:paraId="170EFAF7" w14:textId="5B7C5FA5" w:rsidR="001A0280" w:rsidRPr="004E0535" w:rsidRDefault="001A0280" w:rsidP="001A0280">
      <w:pPr>
        <w:spacing w:after="0" w:line="240" w:lineRule="auto"/>
        <w:ind w:firstLine="720"/>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 xml:space="preserve">Two studies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{"citationID":"DUK3Rt59","properties":{"formattedCitation":"(Cardillo et al., 2018; Lam et al., 2014)","plainCitation":"(Cardillo et al., 2018; Lam et al., 2014)","noteIndex":0},"citationItems":[{"id":93,"uris":["http://zotero.org/users/10108531/items/MAT3WDDB"],"itemData":{"id":93,"type":"article-journal","abstract":"The present study aims to find empirical evidence of deficits in linguistic pragmatic skills and theory of mind (ToM) in children with dyslexia with associated language difficulties or nonverbal learning disabilities (NLD), when compared with a group of typically developing (TD) children matched for age and gender. Our results indicate that children with dyslexia perform less well than TD children in most of the tasks measuring pragmatics of language, and in one of the tasks measuring ToM. In contrast, children with NLD generally performed better than the dyslexia group, and performed significantly worse than the TD children only in a metaphors task based on visual stimuli. A discriminant function analysis confirmed the crucial role of the metaphors subtest and the verbal ToM task in distinguishing between the groups. We concluded that, contrary to a generally-held assumption, children with dyslexia and associated language difficulties may be weaker than children with NLD in linguistic pragmatics and ToM, especially when language is crucially involved. The educational and clinical implications of these findings are discussed.","container-title":"Applied Neuropsychology: Child","DOI":"10.1080/21622965.2017.1297946","ISSN":"21622973","issue":"3","note":"PMID: 28296527\npublisher: Routledge","page":"245-256","title":"Pragmatics of language and theory of mind in children with dyslexia with associated language difficulties or nonverbal learning disabilities","volume":"7","author":[{"family":"Cardillo","given":"Ramona"},{"family":"Garcia","given":"Ricardo Basso"},{"family":"Mammarella","given":"Irene C."},{"family":"Cornoldi","given":"Cesare"}],"issued":{"date-parts":[["2018",7,3]]}}},{"id":1797,"uris":["http://zotero.org/users/10108531/items/AYVHIQGY"],"itemData":{"id":1797,"type":"article-journal","abstract":"Individuals with deﬁcits in pragmatic skills, the skills of applying and interpreting language appropriately in its occurring context, may lead to reduced communication ability that aﬀects social interactions. The present study aimed at examining whether children with dyslexia had pragmatic deﬁcits and what their speciﬁc language proﬁle was as compared with normally‐developing children and those with autistic spectrum disorder (ASD). Sixtyeight participants of Grades 3 to 6 were recruited from ﬁve mainstream schools in Hong Kong. They were divided into the Dyslexia group (N=22), the ASD group (N=22) and the Control group (N=24) matched on age, IQ, and SES. The Children Communication Checklist‐2 (CCC‐2, Bishop, 2003), a parental checklist, was used to collect information regarding the language and communication abilities of these children. Results showed that the Chinese dyslexic children had reduced pragmatic skills compared to normally‐developing children. These dyslexic children were relatively weak in structural language skills and reduced general communication scores that were comparable to children with ASD, but they were normal in social relationships and interests. These results provided new insights for investigating communication abilities of the dyslexic population and implied a possible need for remediation of this population in the domain of language use.","container-title":"Asia Pacific Journal of Developmental Differences","DOI":"10.3850/S2345734114000027","ISSN":"2345-7341","issue":"1","journalAbbreviation":"APJDD","language":"en","page":"4-19","source":"DOI.org (Crossref)","title":"Pragmatic Skills in Chinese Dyslexic Children: Evidence from a Parental Checklist","title-short":"Pragmatic Skills in Chinese Dyslexic Children","volume":"1","author":[{"family":"Lam","given":"Kwan‐Hung"},{"family":"Suk‐Han Ho","given":"Connie"},{"literal":"The University of Hong Kong"},{"literal":"Psychology Department, Room C661, 6/F The Jockey Club Tower, Centennial Campus, The University of Hong Kong, Pokfulam Road, Hong Kong"}],"issued":{"date-parts":[["2014",1,31]]}}}],"schema":"https://github.com/citation-style-language/schema/raw/master/csl-citation.json"}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(Cardillo et al., 2018; Lam et al., 2014)</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analyzed pragmatic abilities in children with dyslexia and </w:t>
      </w:r>
      <w:r w:rsidRPr="004E0535">
        <w:rPr>
          <w:rFonts w:ascii="Times New Roman" w:hAnsi="Times New Roman" w:cs="Times New Roman"/>
          <w:sz w:val="24"/>
          <w:szCs w:val="24"/>
          <w:lang w:val="en-US"/>
        </w:rPr>
        <w:t>showed that this group had reduced pragmatic competence. However, only Cardillo et al. (2018) had metaphor-related tasks. Difficulties were observed in recovering the meaning implicitly conveyed in texts and in understanding metaphors. They hypothesized that individuals with dyslexia present issues in (</w:t>
      </w:r>
      <w:proofErr w:type="spellStart"/>
      <w:r w:rsidRPr="004E0535">
        <w:rPr>
          <w:rFonts w:ascii="Times New Roman" w:hAnsi="Times New Roman" w:cs="Times New Roman"/>
          <w:sz w:val="24"/>
          <w:szCs w:val="24"/>
          <w:lang w:val="en-US"/>
        </w:rPr>
        <w:t>i</w:t>
      </w:r>
      <w:proofErr w:type="spellEnd"/>
      <w:r w:rsidRPr="004E0535">
        <w:rPr>
          <w:rFonts w:ascii="Times New Roman" w:hAnsi="Times New Roman" w:cs="Times New Roman"/>
          <w:sz w:val="24"/>
          <w:szCs w:val="24"/>
          <w:lang w:val="en-US"/>
        </w:rPr>
        <w:t xml:space="preserve">) suppressing literal meaning and (ii) creating coherent semantic representations of the intended (metaphorical) meaning. In </w:t>
      </w:r>
      <w:r>
        <w:rPr>
          <w:rFonts w:ascii="Times New Roman" w:hAnsi="Times New Roman" w:cs="Times New Roman"/>
          <w:sz w:val="24"/>
          <w:szCs w:val="24"/>
          <w:lang w:val="en-US"/>
        </w:rPr>
        <w:t>a</w:t>
      </w:r>
      <w:r w:rsidRPr="004E0535">
        <w:rPr>
          <w:rFonts w:ascii="Times New Roman" w:hAnsi="Times New Roman" w:cs="Times New Roman"/>
          <w:sz w:val="24"/>
          <w:szCs w:val="24"/>
          <w:lang w:val="en-US"/>
        </w:rPr>
        <w:t xml:space="preserve"> pictorial task, for example, children with dyslexia showed more errors than the control group, choosing the alternatives that depicted just a partial interpretation. It is interesting to note that when reading and vocabulary </w:t>
      </w:r>
      <w:r w:rsidRPr="00A056BE">
        <w:rPr>
          <w:rFonts w:ascii="Times New Roman" w:hAnsi="Times New Roman" w:cs="Times New Roman"/>
          <w:sz w:val="24"/>
          <w:szCs w:val="24"/>
          <w:lang w:val="en-US"/>
        </w:rPr>
        <w:t>skills were controlled for, only performance in the picture</w:t>
      </w:r>
      <w:r>
        <w:rPr>
          <w:rFonts w:ascii="Times New Roman" w:hAnsi="Times New Roman" w:cs="Times New Roman"/>
          <w:sz w:val="24"/>
          <w:szCs w:val="24"/>
          <w:lang w:val="en-US"/>
        </w:rPr>
        <w:t>-</w:t>
      </w:r>
      <w:r w:rsidRPr="00A056BE">
        <w:rPr>
          <w:rFonts w:ascii="Times New Roman" w:hAnsi="Times New Roman" w:cs="Times New Roman"/>
          <w:sz w:val="24"/>
          <w:szCs w:val="24"/>
          <w:lang w:val="en-US"/>
        </w:rPr>
        <w:t>metaphor test remained significant, comparing dyslexi</w:t>
      </w:r>
      <w:r>
        <w:rPr>
          <w:rFonts w:ascii="Times New Roman" w:hAnsi="Times New Roman" w:cs="Times New Roman"/>
          <w:sz w:val="24"/>
          <w:szCs w:val="24"/>
          <w:lang w:val="en-US"/>
        </w:rPr>
        <w:t>a</w:t>
      </w:r>
      <w:r w:rsidRPr="00A056BE">
        <w:rPr>
          <w:rFonts w:ascii="Times New Roman" w:hAnsi="Times New Roman" w:cs="Times New Roman"/>
          <w:sz w:val="24"/>
          <w:szCs w:val="24"/>
          <w:lang w:val="en-US"/>
        </w:rPr>
        <w:t xml:space="preserve"> and control groups. The authors concluded that some pragmatic difficu</w:t>
      </w:r>
      <w:r w:rsidRPr="004E0535">
        <w:rPr>
          <w:rFonts w:ascii="Times New Roman" w:hAnsi="Times New Roman" w:cs="Times New Roman"/>
          <w:sz w:val="24"/>
          <w:szCs w:val="24"/>
          <w:lang w:val="en-US"/>
        </w:rPr>
        <w:t xml:space="preserve">lties may be directly related to the core areas of impairment in dyslexia, such as literacy. However, difficulties in processing and integrating visual information can also be a factor </w:t>
      </w:r>
      <w:r w:rsidRPr="004E0535">
        <w:rPr>
          <w:rFonts w:ascii="Times New Roman" w:hAnsi="Times New Roman" w:cs="Times New Roman"/>
          <w:sz w:val="24"/>
          <w:szCs w:val="24"/>
          <w:lang w:val="en-US"/>
        </w:rPr>
        <w:fldChar w:fldCharType="begin"/>
      </w:r>
      <w:r w:rsidRPr="004E0535">
        <w:rPr>
          <w:rFonts w:ascii="Times New Roman" w:hAnsi="Times New Roman" w:cs="Times New Roman"/>
          <w:sz w:val="24"/>
          <w:szCs w:val="24"/>
          <w:lang w:val="en-US"/>
        </w:rPr>
        <w:instrText xml:space="preserve"> ADDIN ZOTERO_ITEM CSL_CITATION {"citationID":"N5imkf32","properties":{"formattedCitation":"(X. H. Li et al., 2009)","plainCitation":"(X. H. Li et al., 2009)","dontUpdate":true,"noteIndex":0},"citationItems":[{"id":132,"uris":["http://zotero.org/users/10108531/items/6JN43YV2"],"itemData":{"id":132,"type":"article-journal","abstract":"Background: Currently, whether or not there is visuospatial impairments in Chinese dyslexic children is still a matter of discussion. The relatively recent application of an eye-tracking paradigm, may offer an opportunity to address this issue. In China, in comparison with reading studies, there have not been nearly as many eye movement studies dealing with nonreading tasks such as picture identification and whether Chinese children with dyslexia have a picture processing deficit is not clear. The purposes of the present study were to determine whether or not there is visuospatial impairments in Chinese dyslexic children. Moreover, we attempted to discuss whether or not the abnormal eye movement-pattern that dyslexic subjects show during reading of text appropriate for their age is a consequence of their linguistic difficulties. Methods: An eye-link II High-Speed Eye Tracker was used to track the series of eye-movement of 19 Chinese dyslexic children and 19 Chinese normal children. All of the subjects were presented with three pictures for this eye-tracking task and 6 relative eye-movement parameters, first fixation duration, average fixation duration, average saccade amplitude, mean saccade distance, fixation frequency and saccade frequency were recorded for analysis. Results: Analyzing the relative parameter among three pictures, except for the fixation frequency and the saccade frequency, other eye-movement parameters were significantly different among the three pictures (P &lt;0.05). Among the three pictures, the first fixation duration was longer, and the average fixation duration, the average saccade amplitude and the mean saccade distance were shorter from picture 2 to picture 3. Comparing all eye-movement parameter between the two groups, the scores of average saccade amplitude (P=0.017) and the mean saccade distance (P=0.02) were less in the dyslexia group than in the normal group (P&lt;0.05), other parameters were the same in the two different groups (P&gt;0.05). Conclusions: The characteristics of the pictures can significantly influence the visuospatial cognitive processing capability of the Chinese children. There is a detectable disability for the Chinese dyslexic children in the visuospatial cognitive processing: their saccade amplitude and mean saccade distance are shorter, which may be interpreted as specific for their reading disability.","container-title":"Chinese Medical Journal","DOI":"10.3760/cma.j.issn.0366-6999.2009.03.006","ISSN":"03666999","issue":"3","note":"PMID: 19236802","page":"267-271","title":"Picture perception in Chinese dyslexic children: An eye-movement study","volume":"122","author":[{"family":"Li","given":"Xiu Hong"},{"family":"Jing","given":"Jin"},{"family":"Zou","given":"Xiao Bing"},{"family":"Huang","given":"Xu"},{"family":"Jin","given":"Yu"},{"family":"Wang","given":"Qing Xiong"},{"family":"Chen","given":"Xue Bin"},{"family":"Yang","given":"Bin Rang"},{"family":"Yang","given":"Si Yuan"}],"issued":{"date-parts":[["2009"]]}}}],"schema":"https://github.com/citation-style-language/schema/raw/master/csl-citation.json"} </w:instrText>
      </w:r>
      <w:r w:rsidRPr="004E0535">
        <w:rPr>
          <w:rFonts w:ascii="Times New Roman" w:hAnsi="Times New Roman" w:cs="Times New Roman"/>
          <w:sz w:val="24"/>
          <w:szCs w:val="24"/>
          <w:lang w:val="en-US"/>
        </w:rPr>
        <w:fldChar w:fldCharType="separate"/>
      </w:r>
      <w:r w:rsidRPr="004E0535">
        <w:rPr>
          <w:rFonts w:ascii="Times New Roman" w:hAnsi="Times New Roman" w:cs="Times New Roman"/>
          <w:noProof/>
          <w:sz w:val="24"/>
          <w:szCs w:val="24"/>
          <w:lang w:val="en-US"/>
        </w:rPr>
        <w:t>(Li et al., 2009)</w:t>
      </w:r>
      <w:r w:rsidRPr="004E0535">
        <w:rPr>
          <w:rFonts w:ascii="Times New Roman" w:hAnsi="Times New Roman" w:cs="Times New Roman"/>
          <w:sz w:val="24"/>
          <w:szCs w:val="24"/>
          <w:lang w:val="en-US"/>
        </w:rPr>
        <w:fldChar w:fldCharType="end"/>
      </w:r>
      <w:r w:rsidRPr="004E0535">
        <w:rPr>
          <w:rFonts w:ascii="Times New Roman" w:hAnsi="Times New Roman" w:cs="Times New Roman"/>
          <w:sz w:val="24"/>
          <w:szCs w:val="24"/>
          <w:lang w:val="en-US"/>
        </w:rPr>
        <w:t>.</w:t>
      </w:r>
    </w:p>
    <w:p w14:paraId="34BE9AE4" w14:textId="1EF0079B" w:rsidR="001A0280" w:rsidRPr="00A056BE" w:rsidRDefault="001A0280" w:rsidP="001A0280">
      <w:pPr>
        <w:spacing w:after="0" w:line="240" w:lineRule="auto"/>
        <w:ind w:firstLine="720"/>
        <w:contextualSpacing/>
        <w:jc w:val="both"/>
        <w:rPr>
          <w:rFonts w:ascii="Times New Roman" w:hAnsi="Times New Roman" w:cs="Times New Roman"/>
          <w:sz w:val="24"/>
          <w:szCs w:val="24"/>
          <w:lang w:val="en-US"/>
        </w:rPr>
      </w:pPr>
      <w:r w:rsidRPr="004E0535">
        <w:rPr>
          <w:rFonts w:ascii="Times New Roman" w:hAnsi="Times New Roman" w:cs="Times New Roman"/>
          <w:sz w:val="24"/>
          <w:szCs w:val="24"/>
          <w:lang w:val="en-US"/>
        </w:rPr>
        <w:t xml:space="preserve">Two other studies </w:t>
      </w:r>
      <w:r w:rsidRPr="004E0535">
        <w:rPr>
          <w:rFonts w:ascii="Times New Roman" w:hAnsi="Times New Roman" w:cs="Times New Roman"/>
          <w:sz w:val="24"/>
          <w:szCs w:val="24"/>
          <w:lang w:val="en-US"/>
        </w:rPr>
        <w:fldChar w:fldCharType="begin"/>
      </w:r>
      <w:r w:rsidRPr="004E0535">
        <w:rPr>
          <w:rFonts w:ascii="Times New Roman" w:hAnsi="Times New Roman" w:cs="Times New Roman"/>
          <w:sz w:val="24"/>
          <w:szCs w:val="24"/>
          <w:lang w:val="en-US"/>
        </w:rPr>
        <w:instrText xml:space="preserve"> ADDIN ZOTERO_ITEM CSL_CITATION {"citationID":"aYMxtWIC","properties":{"formattedCitation":"(Cappelli et al., 2018; Griffiths, 2007)","plainCitation":"(Cappelli et al., 2018; Griffiths, 2007)","noteIndex":0},"citationItems":[{"id":1704,"uris":["http://zotero.org/users/10108531/items/HV6DWJ3L"],"itemData":{"id":1704,"type":"article-journal","abstract":"The study assessed the pragmatic skills of 19 well‐compensated Italian‐speaking young adults with dyslexia compared with controls. A comprehensive pragmatic assessment tool was employed, targeting production and comprehension (Assessment of Pragmatic Abilities and Cognitive Substrates [APACS]). Participants were also administered a series of standardized tests to assess verbal and non‐verbal cognitive abilities, including executive functions and social cognition tests. Data were analysed with the aim of understanding whether pragmatic abilities are compromised in dyslexia and of exploring associations between pragmatic performance and other cognitive domains. The performance of the dyslexia group was poorer than that of the control group in both expressive and receptive modalities. Data showed diffuse problems across several domains, with the greatest challenge posed by inferring nonliteral meanings, which indicates that pragmatic inefficiency is an important aspect of the linguistic and communicative profile of dyslexia in adulthood. Explorative correlations highlighted a relation between pragmatic performance and reading and vocabulary abilities, as well as between pragmatics and working memory. This suggests that pragmatic difficulties are strongly tied to the most distinctive aspects of dyslexia, namely, phonological awareness, verbal short‐term memory, pseudo‐word repetition, whereas the link with highlevel executive functions and Theory of Mind is negligible.","container-title":"Dyslexia","DOI":"10.1002/dys.1588","ISSN":"10769242","issue":"3","journalAbbreviation":"Dyslexia","language":"en","page":"294-306","source":"DOI.org (Crossref)","title":"Pragmatic competence and its relationship with the linguistic and cognitive profile of young adults with dyslexia","volume":"24","author":[{"family":"Cappelli","given":"Gloria"},{"family":"Noccetti","given":"Sabrina"},{"family":"Arcara","given":"Giorgio"},{"family":"Bambini","given":"Valentina"}],"issued":{"date-parts":[["2018",8]]}}},{"id":280,"uris":["http://zotero.org/users/10108531/items/MA9GNUSQ"],"itemData":{"id":280,"type":"article-journal","abstract":"This study examines well-compensated adults with dyslexia to see if they experience more problems with pragmatic awareness than the normal population. Social interaction requires an individual to process language at speed by using working memory efficiently, in order to understand the intended, rather than literal, meaning between speaker and hearer. Previous studies have shown evidence amongst the dyslexic population of poor working memory capacity, slower speed of processing and automatization deficit. It is proposed that a dyslexic may not be able to interpret pragmatic content as efficiently as non-dyslexics, due to the need for fast processing in such circumstances, resulting in resource overload and over-intensity of memory. The study compares the score results of 20 dyslexic and 20 non- dyslexic adults on the Dyslexia Adult Screening Test (DAST), the Right Hemisphere Language Battery and the author’s own pragmatic competence questionnaire. The results for all three measures indicate a statistically significant difference in pragmatic competence between the two groups and appear to demonstrate a correlation between dyslexia and pragmatic impairment. Consideration of individual subtest items on the DAST lend support to the argument that this may be due to deficits in working memory, processing and automatization.","container-title":"Dyslexia","DOI":"10.1002/dys","issue":"February","note":"Citation Key: Haslum2007","page":"234-239","title":"Pragmatic Abilities in Adults With and Without Dyslexia: A Pilot Study","volume":"239","author":[{"family":"Griffiths","given":"Catherine C. B."}],"issued":{"date-parts":[["2007"]]}}}],"schema":"https://github.com/citation-style-language/schema/raw/master/csl-citation.json"} </w:instrText>
      </w:r>
      <w:r w:rsidRPr="004E0535">
        <w:rPr>
          <w:rFonts w:ascii="Times New Roman" w:hAnsi="Times New Roman" w:cs="Times New Roman"/>
          <w:sz w:val="24"/>
          <w:szCs w:val="24"/>
          <w:lang w:val="en-US"/>
        </w:rPr>
        <w:fldChar w:fldCharType="separate"/>
      </w:r>
      <w:r w:rsidRPr="004E0535">
        <w:rPr>
          <w:rFonts w:ascii="Times New Roman" w:hAnsi="Times New Roman" w:cs="Times New Roman"/>
          <w:noProof/>
          <w:sz w:val="24"/>
          <w:szCs w:val="24"/>
          <w:lang w:val="en-US"/>
        </w:rPr>
        <w:t>(Cappelli et al., 2018; Griffiths, 2007)</w:t>
      </w:r>
      <w:r w:rsidRPr="004E0535">
        <w:rPr>
          <w:rFonts w:ascii="Times New Roman" w:hAnsi="Times New Roman" w:cs="Times New Roman"/>
          <w:sz w:val="24"/>
          <w:szCs w:val="24"/>
          <w:lang w:val="en-US"/>
        </w:rPr>
        <w:fldChar w:fldCharType="end"/>
      </w:r>
      <w:r w:rsidRPr="004E0535">
        <w:rPr>
          <w:rFonts w:ascii="Times New Roman" w:hAnsi="Times New Roman" w:cs="Times New Roman"/>
          <w:sz w:val="24"/>
          <w:szCs w:val="24"/>
          <w:lang w:val="en-US"/>
        </w:rPr>
        <w:t xml:space="preserve"> extended the focus on pragmatic skills of adults with dyslexia. Both used the Right Hemisphere Language Battery (RHLB) </w:t>
      </w:r>
      <w:r w:rsidRPr="004E0535">
        <w:rPr>
          <w:rFonts w:ascii="Times New Roman" w:hAnsi="Times New Roman" w:cs="Times New Roman"/>
          <w:sz w:val="24"/>
          <w:szCs w:val="24"/>
          <w:lang w:val="en-US"/>
        </w:rPr>
        <w:fldChar w:fldCharType="begin"/>
      </w:r>
      <w:r w:rsidRPr="004E0535">
        <w:rPr>
          <w:rFonts w:ascii="Times New Roman" w:hAnsi="Times New Roman" w:cs="Times New Roman"/>
          <w:sz w:val="24"/>
          <w:szCs w:val="24"/>
          <w:lang w:val="en-US"/>
        </w:rPr>
        <w:instrText xml:space="preserve"> ADDIN ZOTERO_ITEM CSL_CITATION {"citationID":"xX5fyl5S","properties":{"formattedCitation":"(Bryan, 1995)","plainCitation":"(Bryan, 1995)","noteIndex":0},"citationItems":[{"id":1805,"uris":["http://zotero.org/users/10108531/items/MLV5XJV4"],"itemData":{"id":1805,"type":"book","event-place":"Kibworth","publisher":"Far Communications","publisher-place":"Kibworth","title":"The Right Hemisphere Language Battery (2nd edn).","author":[{"family":"Bryan","given":"K.L."}],"issued":{"date-parts":[["1995"]]}}}],"schema":"https://github.com/citation-style-language/schema/raw/master/csl-citation.json"} </w:instrText>
      </w:r>
      <w:r w:rsidRPr="004E0535">
        <w:rPr>
          <w:rFonts w:ascii="Times New Roman" w:hAnsi="Times New Roman" w:cs="Times New Roman"/>
          <w:sz w:val="24"/>
          <w:szCs w:val="24"/>
          <w:lang w:val="en-US"/>
        </w:rPr>
        <w:fldChar w:fldCharType="separate"/>
      </w:r>
      <w:r w:rsidRPr="004E0535">
        <w:rPr>
          <w:rFonts w:ascii="Times New Roman" w:hAnsi="Times New Roman" w:cs="Times New Roman"/>
          <w:noProof/>
          <w:sz w:val="24"/>
          <w:szCs w:val="24"/>
          <w:lang w:val="en-US"/>
        </w:rPr>
        <w:t>(Bryan, 1995)</w:t>
      </w:r>
      <w:r w:rsidRPr="004E0535">
        <w:rPr>
          <w:rFonts w:ascii="Times New Roman" w:hAnsi="Times New Roman" w:cs="Times New Roman"/>
          <w:sz w:val="24"/>
          <w:szCs w:val="24"/>
          <w:lang w:val="en-US"/>
        </w:rPr>
        <w:fldChar w:fldCharType="end"/>
      </w:r>
      <w:r w:rsidRPr="004E0535">
        <w:rPr>
          <w:rFonts w:ascii="Times New Roman" w:hAnsi="Times New Roman" w:cs="Times New Roman"/>
          <w:sz w:val="24"/>
          <w:szCs w:val="24"/>
          <w:lang w:val="en-US"/>
        </w:rPr>
        <w:t xml:space="preserve"> and Cappelli et al. also used APACS </w:t>
      </w:r>
      <w:r w:rsidRPr="004E0535">
        <w:rPr>
          <w:rFonts w:ascii="Times New Roman" w:hAnsi="Times New Roman" w:cs="Times New Roman"/>
          <w:sz w:val="24"/>
          <w:szCs w:val="24"/>
          <w:lang w:val="en-US"/>
        </w:rPr>
        <w:fldChar w:fldCharType="begin"/>
      </w:r>
      <w:r w:rsidRPr="004E0535">
        <w:rPr>
          <w:rFonts w:ascii="Times New Roman" w:hAnsi="Times New Roman" w:cs="Times New Roman"/>
          <w:sz w:val="24"/>
          <w:szCs w:val="24"/>
          <w:lang w:val="en-US"/>
        </w:rPr>
        <w:instrText xml:space="preserve"> ADDIN ZOTERO_ITEM CSL_CITATION {"citationID":"WbEi6QO6","properties":{"formattedCitation":"(Arcara &amp; Bambini, 2016)","plainCitation":"(Arcara &amp; Bambini, 2016)","dontUpdate":true,"noteIndex":0},"citationItems":[{"id":1806,"uris":["http://zotero.org/users/10108531/items/TJVGEY2P"],"itemData":{"id":1806,"type":"article-journal","abstract":"The Assessment of Pragmatic Abilities and Cognitive Substrates (APACS) test is a new tool to evaluate pragmatic abilities in clinical populations with acquired communicative deficits, ranging from schizophrenia to neurodegenerative diseases. APACS focuses on two main domains, namely discourse and non-literal language, combining traditional tasks with refined linguistic materials in Italian, in a unified framework inspired by language pragmatics. The test includes six tasks (Interview, Description, Narratives, Figurative Language 1, Humor, Figurative Language 2) and three composite scores (Pragmatic Productions, Pragmatic Comprehension, APACS Total). Psychometric properties and normative data were computed on a sample of 119 healthy participants representative of the general population. The analysis revealed acceptable internal consistency and good test-retest reliability for almost every APACS task, suggesting that items are coherent and performance is consistent over time. Factor analysis supports the validity of the test, revealing two factors possibly related to different facets and substrates of the pragmatic competence. Finally, excellent match between APACS items and scores and the pragmatic constructs measured in the test was evidenced by experts' evaluation of content validity. The performance on APACS showed a general effect of demographic variables, with a negative effect of age and a positive effect of education. The norms were calculated by means of state-of-the-art regression methods. Overall, APACS is a valuable tool for the assessment of pragmatic deficits in verbal communication. The short duration and easiness of administration make the test especially suitable to use in clinical settings. In presenting APACS, we also aim at promoting the inclusion of pragmatics in the assessment practice, as a relevant dimension in defining the patient's cognitive profile, given its vital role for communication and social interaction in daily life. The combined use of APACS with other neuropsychological tests could also improve our understanding of the cognitive substrates of pragmatic abilities and their breakdown.","container-title":"Frontiers in Psychology","ISSN":"1664-1078","source":"Frontiers","title":"A Test for the Assessment of Pragmatic Abilities and Cognitive Substrates (APACS): Normative Data and Psychometric Properties","title-short":"A Test for the Assessment of Pragmatic Abilities and Cognitive Substrates (APACS)","URL":"https://www.frontiersin.org/articles/10.3389/fpsyg.2016.00070","volume":"7","author":[{"family":"Arcara","given":"Giorgio"},{"family":"Bambini","given":"Valentina"}],"accessed":{"date-parts":[["2022",9,30]]},"issued":{"date-parts":[["2016"]]}}}],"schema":"https://github.com/citation-style-language/schema/raw/master/csl-citation.json"} </w:instrText>
      </w:r>
      <w:r w:rsidRPr="004E0535">
        <w:rPr>
          <w:rFonts w:ascii="Times New Roman" w:hAnsi="Times New Roman" w:cs="Times New Roman"/>
          <w:sz w:val="24"/>
          <w:szCs w:val="24"/>
          <w:lang w:val="en-US"/>
        </w:rPr>
        <w:fldChar w:fldCharType="separate"/>
      </w:r>
      <w:r w:rsidRPr="004E0535">
        <w:rPr>
          <w:rFonts w:ascii="Times New Roman" w:hAnsi="Times New Roman" w:cs="Times New Roman"/>
          <w:noProof/>
          <w:sz w:val="24"/>
          <w:szCs w:val="24"/>
          <w:lang w:val="en-US"/>
        </w:rPr>
        <w:t>(Arcara &amp; Bambini, 2016)</w:t>
      </w:r>
      <w:r w:rsidRPr="004E0535">
        <w:rPr>
          <w:rFonts w:ascii="Times New Roman" w:hAnsi="Times New Roman" w:cs="Times New Roman"/>
          <w:sz w:val="24"/>
          <w:szCs w:val="24"/>
          <w:lang w:val="en-US"/>
        </w:rPr>
        <w:fldChar w:fldCharType="end"/>
      </w:r>
      <w:r w:rsidRPr="004E0535">
        <w:rPr>
          <w:rFonts w:ascii="Times New Roman" w:hAnsi="Times New Roman" w:cs="Times New Roman"/>
          <w:sz w:val="24"/>
          <w:szCs w:val="24"/>
          <w:lang w:val="en-US"/>
        </w:rPr>
        <w:t>, a standardized battery developed to assess pragmatic</w:t>
      </w:r>
      <w:r>
        <w:rPr>
          <w:rFonts w:ascii="Times New Roman" w:hAnsi="Times New Roman" w:cs="Times New Roman"/>
          <w:sz w:val="24"/>
          <w:szCs w:val="24"/>
          <w:lang w:val="en-US"/>
        </w:rPr>
        <w:t xml:space="preserve"> ability</w:t>
      </w:r>
      <w:r w:rsidRPr="004E0535">
        <w:rPr>
          <w:rFonts w:ascii="Times New Roman" w:hAnsi="Times New Roman" w:cs="Times New Roman"/>
          <w:sz w:val="24"/>
          <w:szCs w:val="24"/>
          <w:lang w:val="en-US"/>
        </w:rPr>
        <w:t xml:space="preserve"> in Italian-speaking adults. Both tests showed impairments in pragmatic skills in the group with dyslexia, that had lower scores in metaphor comprehension tasks. Griffith</w:t>
      </w:r>
      <w:r w:rsidR="005A0A90">
        <w:rPr>
          <w:rFonts w:ascii="Times New Roman" w:hAnsi="Times New Roman" w:cs="Times New Roman"/>
          <w:sz w:val="24"/>
          <w:szCs w:val="24"/>
          <w:lang w:val="en-US"/>
        </w:rPr>
        <w:t>s</w:t>
      </w:r>
      <w:r w:rsidRPr="004E0535">
        <w:rPr>
          <w:rFonts w:ascii="Times New Roman" w:hAnsi="Times New Roman" w:cs="Times New Roman"/>
          <w:sz w:val="24"/>
          <w:szCs w:val="24"/>
          <w:lang w:val="en-US"/>
        </w:rPr>
        <w:t xml:space="preserve"> (2007) found metaphor tasks (RHLB 1 and 2) equally challenging for both groups. However, when tested with BLED </w:t>
      </w:r>
      <w:r w:rsidRPr="004E0535">
        <w:rPr>
          <w:rFonts w:ascii="Times New Roman" w:hAnsi="Times New Roman" w:cs="Times New Roman"/>
          <w:sz w:val="24"/>
          <w:szCs w:val="24"/>
          <w:lang w:val="en-US"/>
        </w:rPr>
        <w:fldChar w:fldCharType="begin"/>
      </w:r>
      <w:r w:rsidRPr="004E0535">
        <w:rPr>
          <w:rFonts w:ascii="Times New Roman" w:hAnsi="Times New Roman" w:cs="Times New Roman"/>
          <w:sz w:val="24"/>
          <w:szCs w:val="24"/>
          <w:lang w:val="en-US"/>
        </w:rPr>
        <w:instrText xml:space="preserve"> ADDIN ZOTERO_ITEM CSL_CITATION {"citationID":"R7XaeRz1","properties":{"formattedCitation":"(Rinaldi et al., 2006)","plainCitation":"(Rinaldi et al., 2006)","noteIndex":0},"citationItems":[{"id":1812,"uris":["http://zotero.org/users/10108531/items/QQ4BH4Y9"],"itemData":{"id":1812,"type":"book","event-place":"Firenze","publisher":"Giunti","publisher-place":"Firenze","title":"BLED - Batteria sul Linguaggio dell'emisfero Destro SantaLucia.","author":[{"family":"Rinaldi","given":"M.C."},{"family":"Marangolo","given":"P."},{"family":"Lauriola","given":"M."}],"issued":{"date-parts":[["2006"]]}}}],"schema":"https://github.com/citation-style-language/schema/raw/master/csl-citation.json"} </w:instrText>
      </w:r>
      <w:r w:rsidRPr="004E0535">
        <w:rPr>
          <w:rFonts w:ascii="Times New Roman" w:hAnsi="Times New Roman" w:cs="Times New Roman"/>
          <w:sz w:val="24"/>
          <w:szCs w:val="24"/>
          <w:lang w:val="en-US"/>
        </w:rPr>
        <w:fldChar w:fldCharType="separate"/>
      </w:r>
      <w:r w:rsidRPr="004E0535">
        <w:rPr>
          <w:rFonts w:ascii="Times New Roman" w:hAnsi="Times New Roman" w:cs="Times New Roman"/>
          <w:noProof/>
          <w:sz w:val="24"/>
          <w:szCs w:val="24"/>
          <w:lang w:val="en-US"/>
        </w:rPr>
        <w:t>(Rinaldi et al., 2006)</w:t>
      </w:r>
      <w:r w:rsidRPr="004E0535">
        <w:rPr>
          <w:rFonts w:ascii="Times New Roman" w:hAnsi="Times New Roman" w:cs="Times New Roman"/>
          <w:sz w:val="24"/>
          <w:szCs w:val="24"/>
          <w:lang w:val="en-US"/>
        </w:rPr>
        <w:fldChar w:fldCharType="end"/>
      </w:r>
      <w:r w:rsidRPr="004E0535">
        <w:rPr>
          <w:rFonts w:ascii="Times New Roman" w:hAnsi="Times New Roman" w:cs="Times New Roman"/>
          <w:sz w:val="24"/>
          <w:szCs w:val="24"/>
          <w:lang w:val="en-US"/>
        </w:rPr>
        <w:t xml:space="preserve"> – i.e., the Italian version of the RHLB – in Cappelli et al. (2018), people with dyslexia performed significantly worse than controls in the Picture Metaphor task, and a trend was also observed in the Written Metaphor task. The same study showed poor performance </w:t>
      </w:r>
      <w:r>
        <w:rPr>
          <w:rFonts w:ascii="Times New Roman" w:hAnsi="Times New Roman" w:cs="Times New Roman"/>
          <w:sz w:val="24"/>
          <w:szCs w:val="24"/>
          <w:lang w:val="en-US"/>
        </w:rPr>
        <w:t>in</w:t>
      </w:r>
      <w:r w:rsidRPr="004E0535">
        <w:rPr>
          <w:rFonts w:ascii="Times New Roman" w:hAnsi="Times New Roman" w:cs="Times New Roman"/>
          <w:sz w:val="24"/>
          <w:szCs w:val="24"/>
          <w:lang w:val="en-US"/>
        </w:rPr>
        <w:t xml:space="preserve"> the group with dyslexia </w:t>
      </w:r>
      <w:r>
        <w:rPr>
          <w:rFonts w:ascii="Times New Roman" w:hAnsi="Times New Roman" w:cs="Times New Roman"/>
          <w:sz w:val="24"/>
          <w:szCs w:val="24"/>
          <w:lang w:val="en-US"/>
        </w:rPr>
        <w:t>o</w:t>
      </w:r>
      <w:r w:rsidRPr="004E0535">
        <w:rPr>
          <w:rFonts w:ascii="Times New Roman" w:hAnsi="Times New Roman" w:cs="Times New Roman"/>
          <w:sz w:val="24"/>
          <w:szCs w:val="24"/>
          <w:lang w:val="en-US"/>
        </w:rPr>
        <w:t>n all subtests of APACS, including Figurative Language 1 and Figurative Language 2. Thus, the authors hypothesized that metaphor comprehension is a challenge for young adults with dyslexia, particularly when assessed through an explanation</w:t>
      </w:r>
      <w:r w:rsidRPr="00A056BE">
        <w:rPr>
          <w:rFonts w:ascii="Times New Roman" w:hAnsi="Times New Roman" w:cs="Times New Roman"/>
          <w:sz w:val="24"/>
          <w:szCs w:val="24"/>
          <w:lang w:val="en-US"/>
        </w:rPr>
        <w:t xml:space="preserve"> task that requires a verbalization of abstract meanings (Figurative Language 2), but also when assessed through </w:t>
      </w:r>
      <w:r w:rsidRPr="00A056BE">
        <w:rPr>
          <w:rFonts w:ascii="Times New Roman" w:hAnsi="Times New Roman" w:cs="Times New Roman"/>
          <w:sz w:val="24"/>
          <w:szCs w:val="24"/>
          <w:lang w:val="en-US"/>
        </w:rPr>
        <w:lastRenderedPageBreak/>
        <w:t xml:space="preserve">a multiple-choice task (Figurative Language 1). These tasks were correlated with reading fluency and comprehension, vocabulary, and working memory. </w:t>
      </w:r>
    </w:p>
    <w:p w14:paraId="0F48E968" w14:textId="77777777" w:rsidR="001A0280" w:rsidRPr="00A056BE" w:rsidRDefault="001A0280" w:rsidP="001A0280">
      <w:pPr>
        <w:spacing w:after="0" w:line="240" w:lineRule="auto"/>
        <w:ind w:firstLine="720"/>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{"citationID":"r3fFMMfM","properties":{"formattedCitation":"(Kasirer &amp; Mashal, 2017)","plainCitation":"(Kasirer &amp; Mashal, 2017)","dontUpdate":true,"noteIndex":0},"citationItems":[{"id":248,"uris":["http://zotero.org/users/10108531/items/PZZDG4RL"],"itemData":{"id":248,"type":"article-journal","abstract":"Difficulties with figurative language comprehension were documented in adult dyslexia (DYS). In the present research, we investigated the comprehension and generation of metaphors in 37 children, 35 adolescents, and 34 adults with and without DYS. We also tested the contribution of executive function to metaphor processing. A multiple-choice questionnaire with conventional and novel metaphors was used to assess comprehension; a concept-explanation task was used to test conventional and novel metaphor generation (verbal creativity). The findings indicated differences between the dyslexic children and the control group in conventional metaphor comprehension. However, both groups performed similarly in the novel metaphor comprehension test. Furthermore, although children and adolescents with DYS showed similar performance in metaphor generation as their typically developing peers, adults with DYS generated more metaphors than controls. While scores on tests of verbal knowledge and mental flexibility contributed to the prediction of conventional metaphor comprehension, scores on non-verbal tests and mental flexibility contributed to the prediction of novel metaphor generation. Our findings suggest that individuals with DYS are not impaired in novel metaphor comprehension and metaphor generation and that metaphor comprehension and generation utilize different cognitive resources. Copyright © 2016 John Wiley &amp; Sons, Ltd.","container-title":"Dyslexia","DOI":"10.1002/dys.1550","ISSN":"10990909","issue":"2","note":"PMID: 28004879\nCitation Key: Kasirer2017","page":"99-118","title":"Comprehension and Generation of Metaphoric Language in Children, Adolescents, and Adults with Dyslexia","volume":"23","author":[{"family":"Kasirer","given":"Anat"},{"family":"Mashal","given":"Nira"}],"issued":{"date-parts":[["2017"]]}}}],"schema":"https://github.com/citation-style-language/schema/raw/master/csl-citation.json"}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Kasirer and Mashal (2017)</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conducted </w:t>
      </w:r>
      <w:r>
        <w:rPr>
          <w:rFonts w:ascii="Times New Roman" w:hAnsi="Times New Roman" w:cs="Times New Roman"/>
          <w:sz w:val="24"/>
          <w:szCs w:val="24"/>
          <w:lang w:val="en-US"/>
        </w:rPr>
        <w:t xml:space="preserve">a longitudinal </w:t>
      </w:r>
      <w:r w:rsidRPr="00A056BE">
        <w:rPr>
          <w:rFonts w:ascii="Times New Roman" w:hAnsi="Times New Roman" w:cs="Times New Roman"/>
          <w:sz w:val="24"/>
          <w:szCs w:val="24"/>
          <w:lang w:val="en-US"/>
        </w:rPr>
        <w:t xml:space="preserve">study focused on metaphor comprehension in dyslexia. Their work investigated the comprehension and generation of metaphors in three different age groups (children, adolescents, and adults). They also examined the contribution of executive functioning on metaphor processing. To assess metaphor comprehension, a questionnaire previously developed by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{"citationID":"nAU7I22T","properties":{"formattedCitation":"(Mashal &amp; Kasirer, 2011)","plainCitation":"(Mashal &amp; Kasirer, 2011)","dontUpdate":true,"noteIndex":0},"citationItems":[{"id":255,"uris":["http://zotero.org/users/10108531/items/GED47CLR"],"itemData":{"id":255,"type":"article-journal","abstract":"The primary goal of the current study was to examine the ability of children with autism (ASD) and children with learning disabilities (LD) to improve their metaphoric competence by an intervention program using \"thinking maps\" Twenty ASD children, 20 LD, and 20 typically developed (TD) children were tested on metaphors and idioms comprehension tests, homophone meaning generation test, and fluency tests. Both ASD and LD groups performed poorly compared with TD on all tests, with the LD group outperformed the ASD group in the executive function tests. The results indicate that the LD group was able to use the \"thinking maps\" to understand metaphors that were encountered for the first time more efficiently than the ASD group. Furthermore, in the autistic group the homophone meaning generation test, associated with mental flexibility mechanism, correlated with novel metaphors understanding, which do not rely on prior knowledge. In the learning disabilities group, conventional metaphors understanding correlated with the homophone meaning generation test. © 2011 Elsevier Ltd.","container-title":"Research in Developmental Disabilities","DOI":"10.1016/j.ridd.2011.08.012","ISSN":"08914222","issue":"6","note":"PMID: 21985987\npublisher: Elsevier Ltd\nCitation Key: Mashal2011","page":"2045-2054","title":"Thinking maps enhance metaphoric competence in children with autism and learning disabilities","volume":"32","author":[{"family":"Mashal","given":"Nira"},{"family":"Kasirer","given":"Anat"}],"issued":{"date-parts":[["2011"]]}}}],"schema":"https://github.com/citation-style-language/schema/raw/master/csl-citation.json"}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Mashal and Kasirer (2011)</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was used. It contained ten conventional metaphors (e.g., </w:t>
      </w:r>
      <w:r w:rsidRPr="00A056BE">
        <w:rPr>
          <w:rFonts w:ascii="Times New Roman" w:hAnsi="Times New Roman" w:cs="Times New Roman"/>
          <w:i/>
          <w:iCs/>
          <w:sz w:val="24"/>
          <w:szCs w:val="24"/>
          <w:lang w:val="en-US"/>
        </w:rPr>
        <w:t>a sharp tongue</w:t>
      </w:r>
      <w:r w:rsidRPr="00A056BE">
        <w:rPr>
          <w:rFonts w:ascii="Times New Roman" w:hAnsi="Times New Roman" w:cs="Times New Roman"/>
          <w:sz w:val="24"/>
          <w:szCs w:val="24"/>
          <w:lang w:val="en-US"/>
        </w:rPr>
        <w:t xml:space="preserve">) and ten novel metaphors (e.g., </w:t>
      </w:r>
      <w:r w:rsidRPr="00A056BE">
        <w:rPr>
          <w:rFonts w:ascii="Times New Roman" w:hAnsi="Times New Roman" w:cs="Times New Roman"/>
          <w:i/>
          <w:iCs/>
          <w:sz w:val="24"/>
          <w:szCs w:val="24"/>
          <w:lang w:val="en-US"/>
        </w:rPr>
        <w:t>a pure hand</w:t>
      </w:r>
      <w:r w:rsidRPr="00A056BE">
        <w:rPr>
          <w:rFonts w:ascii="Times New Roman" w:hAnsi="Times New Roman" w:cs="Times New Roman"/>
          <w:sz w:val="24"/>
          <w:szCs w:val="24"/>
          <w:lang w:val="en-US"/>
        </w:rPr>
        <w:t xml:space="preserve">). Every metaphoric expression was followed by four alternatives: a correct metaphoric interpretation, a literal interpretation, an unrelated interpretation, and an option that stated “This expression in meaningless”. Participants were asked to choose only one </w:t>
      </w:r>
      <w:r>
        <w:rPr>
          <w:rFonts w:ascii="Times New Roman" w:hAnsi="Times New Roman" w:cs="Times New Roman"/>
          <w:sz w:val="24"/>
          <w:szCs w:val="24"/>
          <w:lang w:val="en-US"/>
        </w:rPr>
        <w:t>of</w:t>
      </w:r>
      <w:r w:rsidRPr="00A056BE">
        <w:rPr>
          <w:rFonts w:ascii="Times New Roman" w:hAnsi="Times New Roman" w:cs="Times New Roman"/>
          <w:sz w:val="24"/>
          <w:szCs w:val="24"/>
          <w:lang w:val="en-US"/>
        </w:rPr>
        <w:t xml:space="preserve"> the four options. The task was presented in written form, but participants had the possibility of having the questionnaire read aloud to them. No adolescents, nor adults, in the group with dyslexia asked for this compensatory measure. Differences between groups were only found in children, who showed impairments only in conventional metaphor comprehension (with a medium-to-large effect size, η²= 0.29), but not in novel metaphor comprehension. In adults, effects of group and type of metaphor were not significant (i.e., η² &lt; 0.04). The authors identified a couple of limitations with regard to presenting metaphors in a multiple-choice format, which may have benefited comprehension by providing participants with distinct and readily available interpretations. </w:t>
      </w:r>
    </w:p>
    <w:p w14:paraId="7B2F06AE" w14:textId="0CDBEE2F" w:rsidR="001A0280" w:rsidRDefault="001A0280" w:rsidP="001A0280">
      <w:pPr>
        <w:spacing w:after="0" w:line="240" w:lineRule="auto"/>
        <w:ind w:firstLine="720"/>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 xml:space="preserve">Metaphor production was assessed through a concept-creation task developed by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{"citationID":"U979fdid","properties":{"formattedCitation":"(Kasirer &amp; Mashal, 2014)","plainCitation":"(Kasirer &amp; Mashal, 2014)","dontUpdate":true,"noteIndex":0},"citationItems":[{"id":2080,"uris":["http://zotero.org/users/10108531/items/TPC5QFJU"],"itemData":{"id":2080,"type":"article-journal","abstract":"Studies on creativity in participants with autism generally show impoverished performance as well as deficient comprehension of metaphoric language. However, very little is known about the ability to generate metaphors in this population. The present study examines verbal creativity in adults with autism-spectrum disorder (ASD) through tasks that rely on novel metaphoric language. Seventeen adults with ASD (mean age = 21.06) and 17 typically developing peers (mean age = 22.71) participated in the study. A multiple-choice questionnaire consisting of conventional and novel metaphors was used to test comprehension, and a sentence completion questionnaire was used to test generation of creative language. Results show similar performance in comprehension of conventional and novel metaphors in both groups, whereas adults with ASD generated more creative metaphors relative to the control group. Scores on tests of vocabulary and naming contributed to the prediction of conventional metaphor comprehension, while scores on tests of mental flexibility contributed to the prediction of novel metaphor comprehension. In addition, scores on a test of non-verbal intelligence contributed to the prediction of metaphor generation. The study points to unique verbal creativity in ASD.","container-title":"Frontiers in Human Neuroscience","ISSN":"1662-5161","source":"Frontiers","title":"Verbal creativity in autism: comprehension and generation of metaphoric language in high-functioning autism spectrum disorder and typical development","title-short":"Verbal creativity in autism","URL":"https://www.frontiersin.org/articles/10.3389/fnhum.2014.00615","volume":"8","author":[{"family":"Kasirer","given":"Anat"},{"family":"Mashal","given":"Nira"}],"accessed":{"date-parts":[["2022",11,7]]},"issued":{"date-parts":[["2014"]]}}}],"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Kasirer and Mashal (2014)</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Participants were presented with ten concepts involving common emotions (e.g., </w:t>
      </w:r>
      <w:r w:rsidRPr="00A056BE">
        <w:rPr>
          <w:rFonts w:ascii="Times New Roman" w:hAnsi="Times New Roman" w:cs="Times New Roman"/>
          <w:i/>
          <w:iCs/>
          <w:sz w:val="24"/>
          <w:szCs w:val="24"/>
          <w:lang w:val="en-US"/>
        </w:rPr>
        <w:t>feeling sad</w:t>
      </w:r>
      <w:r w:rsidRPr="00A056BE">
        <w:rPr>
          <w:rFonts w:ascii="Times New Roman" w:hAnsi="Times New Roman" w:cs="Times New Roman"/>
          <w:sz w:val="24"/>
          <w:szCs w:val="24"/>
          <w:lang w:val="en-US"/>
        </w:rPr>
        <w:t xml:space="preserve">) and their task was to write down a new and original way to express the meaning. In this case, children and adolescents with dyslexia showed the same performance as controls. Interestingly, adults with dyslexia outperformed the control group (showing a small-to-medium effect size, η² = 0.17). The authors also analyzed, which skill best predicted the comprehension and generation of metaphors, through regression analyses. Significant positive relationships were found between verbal knowledge and mental flexibility and conventional metaphor comprehension, and between non-verbal tests and mental flexibility and novel metaphor generation. This link between metaphor processing and mental flexibility, which is considered a component of creativity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{"citationID":"wnJmiRgT","properties":{"formattedCitation":"(Brockett, 1985)","plainCitation":"(Brockett, 1985)","noteIndex":0},"citationItems":[{"id":1832,"uris":["http://zotero.org/users/10108531/items/DRHMMJM2"],"itemData":{"id":1832,"type":"thesis","abstract":"The present study was designed to investigate creativity and the process of incubation. It was hypothesized that individuals who were allowed time away from a given creative problem through work on an interpolated activity would perform more creatively than individuals who were not allowed time away from work on the same problem. It was also hypothesized that individuals who worked on a task requiring \"right brained thinking\" (holistic, spatial) would actively process information during the interpolated task, and individuals who worked on a task requiring \"left brained thinking\" (logical, symbolic, analytical) would use the interpolated activity as an opportunity to recover from a state of fatigue from work on a given problem.\nFour groups of right handed subjects were formed. Two of these groups worked on the Brick Uses Test (hypothesized to be a left brained task), and two worked on the Remote Associates Test (hypothesized to be a right brained task). Both sets of groups were composed of a control condition and an experimental condition. The experimental condition (incubation phase) consisted of work on the respective task for ten minutes, twenty minutes of work on an unrelated activity, and then ten more minutes of work on the respective task. Control conditions consisted of twenty minutes of work on the respective task, then work on the same unrelated activity as the experimental groups had worked on.\nThe results of this study do not support the notion that the Remote Associates Test and the Brick Uses Test measure right versus left brained thinking, respectively. Results also do not support the hypothesis that there is a different type of incubation process depending upon type of creative problem worked on. However, results suggest that a break from work on a creative task facilitates performance, regardless of type of task performed. Incubation, or the interpolated activity period, appears to help maintain the level of productivity throughout the problem solving period. This pattern of results lends support for a recovery theory of incubation, where the \"incubating\"individual is recovering from an aversive feeling state such as frustration, boredom, or perseveration of mental set.","event-place":"Ann Arbor, United States","genre":"Ph.D.","language":"Inglese","license":"Database copyright ProQuest LLC; ProQuest does not claim copyright in the individual underlying works.","note":"ISBN: 9798204337268","number-of-pages":"101","publisher-place":"Ann Arbor, United States","source":"ProQuest","title":"Neuropsychological and Cognitive Components of Creativity and Incubation (mental Flexibility, Ideational Fluency, Spontaneous, Hemispheric Differences)","URL":"https://www.proquest.com/docview/303394893/abstract/8B7B3F69222E4C1BPQ/1","author":[{"family":"Brockett","given":"C.A."}],"accessed":{"date-parts":[["2022",9,30]]},"issued":{"date-parts":[["1985"]]}}}],"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(Brockett, 1985)</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is particularly relevant in the case of dyslexia, in which this kind of ability is generally enhanced </w:t>
      </w:r>
      <w:r w:rsidRPr="00A056BE">
        <w:rPr>
          <w:rFonts w:ascii="Times New Roman" w:hAnsi="Times New Roman" w:cs="Times New Roman"/>
          <w:sz w:val="24"/>
          <w:szCs w:val="24"/>
          <w:lang w:val="en-US"/>
        </w:rPr>
        <w:fldChar w:fldCharType="begin"/>
      </w:r>
      <w:r w:rsidR="005A0A90">
        <w:rPr>
          <w:rFonts w:ascii="Times New Roman" w:hAnsi="Times New Roman" w:cs="Times New Roman"/>
          <w:sz w:val="24"/>
          <w:szCs w:val="24"/>
          <w:lang w:val="en-US"/>
        </w:rPr>
        <w:instrText xml:space="preserve"> ADDIN ZOTERO_ITEM CSL_CITATION {"citationID":"DkYrvOvY","properties":{"formattedCitation":"(Cancer &amp; Antonietti, 2020)","plainCitation":"(Cancer &amp; Antonietti, 2020)","dontUpdate":true,"noteIndex":0},"citationItems":[{"id":"Hf7U15M0/jKBdBwGM","uris":["http://zotero.org/users/10108531/items/26VA2S38"],"itemData":{"id":1683,"type":"chapter","abstract":"Creativity research about individuals with dyslexia is largely based on anecdotal information and historical-biographical reconstructions of exceptionally talented individuals with dyslexia and their original contributions in a variety of domains (e.g., literature, arts, science, sports). However, a number of empirical studies have been conducted to investigate the hypothesis of a creativity superiority of both children and adults with dyslexia, which were reviewed in the present chapter. Rather than a general trend of enhanced creative ability in individuals with dyslexia, findings suggest a dyslexia-related creative profile characterized by a superiority in specific sub-processes of creative thinking, namely fluency and originality. Overall, these findings support the hypothesis of a compensatory cognitive benefit of reading disability. (PsycInfo Database Record (c) 2021 APA, all rights reserved)","collection-title":"Perspectives on cognitive psychology","container-title":"New frontiers in creativity","event-place":"Hauppauge, NY, US","ISBN":"978-1-5361-6637-8","page":"125-148","publisher":"Nova Science Publishers","publisher-place":"Hauppauge, NY, US","source":"APA PsycNet","title":"Creativity and dyslexia: Theoretical insights and empirical evidence supporting a possible link","title-short":"Creativity and dyslexia","author":[{"family":"Cancer","given":"Alice"},{"family":"Antonietti","given":"Alessandro"}],"issued":{"date-parts":[["2020"]]}}}],"schema":"https://github.com/citation-style-language/schema/raw/master/csl-citation.json"}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(Cancer &amp; Antonietti, 2020)</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at least in adults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{"citationID":"RyFsFuvX","properties":{"formattedCitation":"(Majeed et al., 2021)","plainCitation":"(Majeed et al., 2021)","dontUpdate":true,"noteIndex":0},"citationItems":[{"id":109,"uris":["http://zotero.org/users/10108531/items/YRMGD6WA"],"itemData":{"id":109,"type":"article-journal","abstract":"Despite difficulties in reading and writing, some research suggests that dyslexia may be related to higher levels of creativity. However, this pattern is not consistently observed. The current research sought to ascertain whether individuals with clinically diagnosed dyslexia exhibit higher creativity than controls through a meta-analysis. Fourteen studies that assessed the creativity of 397 individuals with clinically diagnosed dyslexia and 453 controls were reviewed. Random-effects meta-analysis revealed an overall non-significant difference in creativity scores between those with dyslexia and controls. Additionally, method factors such as the type of creativity task and whether intelligence was controlled for, as well as sample-related factors such as gender, did not explain differences in the dyslexia–creativity relationship. Nonetheless, individuals with dyslexia significantly outperformed controls in creativity scores in adult samples, but not in younger child/adolescent samples. Overall, the current findings provide limited support for the idea that individuals with dyslexia are more creative, and that past evidence of this relationship may be limited to adult samples.","container-title":"Dyslexia","DOI":"10.1002/dys.1677","ISSN":"10990909","issue":"2","note":"PMID: 33586314","page":"187-203","title":"Developmental dyslexia and creativity: A meta-analysis","volume":"27","author":[{"family":"Majeed","given":"Nadyanna M."},{"family":"Hartanto","given":"Andree"},{"family":"Tan","given":"Jacinth J.X."}],"issued":{"date-parts":[["2021"]]}}}],"schema":"https://github.com/citation-style-language/schema/raw/master/csl-citation.json"}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Majeed et al., 2021</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w:t>
      </w:r>
    </w:p>
    <w:p w14:paraId="5620417D" w14:textId="7BAFD9D8" w:rsidR="001A0280" w:rsidRPr="00A056BE" w:rsidRDefault="001A0280" w:rsidP="001A0280">
      <w:pPr>
        <w:spacing w:after="0" w:line="24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only study that provides online measures for metaphor processing in adults with dyslexia is one reported by </w:t>
      </w:r>
      <w:r>
        <w:rPr>
          <w:rFonts w:ascii="Times New Roman" w:hAnsi="Times New Roman" w:cs="Times New Roman"/>
          <w:sz w:val="24"/>
          <w:szCs w:val="24"/>
          <w:lang w:val="en-US"/>
        </w:rPr>
        <w:fldChar w:fldCharType="begin"/>
      </w:r>
      <w:r w:rsidR="005A0A90">
        <w:rPr>
          <w:rFonts w:ascii="Times New Roman" w:hAnsi="Times New Roman" w:cs="Times New Roman"/>
          <w:sz w:val="24"/>
          <w:szCs w:val="24"/>
          <w:lang w:val="en-US"/>
        </w:rPr>
        <w:instrText xml:space="preserve"> ADDIN ZOTERO_ITEM CSL_CITATION {"citationID":"QpCe3FnE","properties":{"formattedCitation":"(Cersosimo et al., 2024)","plainCitation":"(Cersosimo et al., 2024)","dontUpdate":true,"noteIndex":0},"citationItems":[{"id":4925,"uris":["http://zotero.org/users/10108531/items/Y5W6SUBU"],"itemData":{"id":4925,"type":"article-journal","abstract":"Introduction: Previous research found metaphor impairments with dyslexia; however, it is unclear if difficulties are due to initial activation of the metaphorical meaning or to subsequent discourse integration processes. The study examines the presence of early automatic processing of meta­ phors in adults with developmental dyslexia, considering the role of executive functions and metaphor familiarity.\nMethods: Using a sentence recall task and a semantic judgment task from the Metaphor Inter­ ference Effect (MIE) paradigm, we evaluated two early stages of metaphor comprehension, namely the generation of the figurative meaning and the suppression of the literal meaning. High and low familiar metaphors, and their scrambled counterparts, were aurally presented to par­ ticipants, who were asked to judge whether sentences were literally true or literally false. Af­ terwards, they were provided ten minutes to recall the sentences they heard to verify the depth of processing for each type of stimulus. A total of 26 participants with dyslexia were included in the experimental group, and 31 in the control group.\nResults: Individuals with dyslexia showed a MIE and an accuracy rate that are similar to partic­ ipants without dyslexia. Inhibition correlated with the MIE size only for high familiar metaphors, and working memory seemed to play no role in the process. In the recall task, both groups demonstrated a better encoding of the metaphorical sentences compared to scrambled metaphors, but participants with dyslexia recalled less metaphors than did the control group, showing that metaphors are no exception to the limitations in sentence retrieval typically found in dyslexia.\nConclusions: Our findings suggest that individuals with dyslexia are comparable to participants without dyslexia in their ability to automatically compute metaphorical meanings. Thus, diffi­ culties in metaphor comprehension in people with dyslexia that have been detected in previous studies might depend on meaning construction in context rather than online semantic processing.","container-title":"Journal of Communication Disorders","DOI":"10.1016/j.jcomdis.2024.106448","ISSN":"00219924","journalAbbreviation":"Journal of Communication Disorders","language":"en","page":"106448","source":"DOI.org (Crossref)","title":"Automatic metaphor processing in developmental dyslexia","volume":"111","author":[{"family":"Cersosimo","given":"Rita"},{"family":"Domaneschi","given":"Filippo"},{"family":"Al-Azary","given":"Hamad"}],"issued":{"date-parts":[["2024",9]]}}}],"schema":"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Cersosimo et al. (2024)</w:t>
      </w:r>
      <w:r>
        <w:rPr>
          <w:rFonts w:ascii="Times New Roman" w:hAnsi="Times New Roman" w:cs="Times New Roman"/>
          <w:sz w:val="24"/>
          <w:szCs w:val="24"/>
          <w:lang w:val="en-US"/>
        </w:rPr>
        <w:fldChar w:fldCharType="end"/>
      </w:r>
      <w:r w:rsidRPr="009302D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302DA">
        <w:rPr>
          <w:rFonts w:ascii="Times New Roman" w:hAnsi="Times New Roman" w:cs="Times New Roman"/>
          <w:sz w:val="24"/>
          <w:szCs w:val="24"/>
          <w:lang w:val="en-US"/>
        </w:rPr>
        <w:t>Th</w:t>
      </w:r>
      <w:r>
        <w:rPr>
          <w:rFonts w:ascii="Times New Roman" w:hAnsi="Times New Roman" w:cs="Times New Roman"/>
          <w:sz w:val="24"/>
          <w:szCs w:val="24"/>
          <w:lang w:val="en-US"/>
        </w:rPr>
        <w:t>at</w:t>
      </w:r>
      <w:r w:rsidRPr="009302DA">
        <w:rPr>
          <w:rFonts w:ascii="Times New Roman" w:hAnsi="Times New Roman" w:cs="Times New Roman"/>
          <w:sz w:val="24"/>
          <w:szCs w:val="24"/>
          <w:lang w:val="en-US"/>
        </w:rPr>
        <w:t xml:space="preserve"> research utilized a Metaphor Interference Effect (MIE) task to investigate potential d</w:t>
      </w:r>
      <w:r>
        <w:rPr>
          <w:rFonts w:ascii="Times New Roman" w:hAnsi="Times New Roman" w:cs="Times New Roman"/>
          <w:sz w:val="24"/>
          <w:szCs w:val="24"/>
          <w:lang w:val="en-US"/>
        </w:rPr>
        <w:t>ifficulties</w:t>
      </w:r>
      <w:r w:rsidRPr="009302DA">
        <w:rPr>
          <w:rFonts w:ascii="Times New Roman" w:hAnsi="Times New Roman" w:cs="Times New Roman"/>
          <w:sz w:val="24"/>
          <w:szCs w:val="24"/>
          <w:lang w:val="en-US"/>
        </w:rPr>
        <w:t xml:space="preserve"> in the initial phases of metaphor comprehension. Theoretical models of metaphor processing </w:t>
      </w:r>
      <w:r>
        <w:rPr>
          <w:rFonts w:ascii="Times New Roman" w:hAnsi="Times New Roman" w:cs="Times New Roman"/>
          <w:sz w:val="24"/>
          <w:szCs w:val="24"/>
          <w:lang w:val="en-US"/>
        </w:rPr>
        <w:t xml:space="preserve">(see </w:t>
      </w:r>
      <w:r>
        <w:rPr>
          <w:rFonts w:ascii="Times New Roman" w:hAnsi="Times New Roman" w:cs="Times New Roman"/>
          <w:sz w:val="24"/>
          <w:szCs w:val="24"/>
          <w:lang w:val="en-US"/>
        </w:rPr>
        <w:fldChar w:fldCharType="begin"/>
      </w:r>
      <w:r w:rsidR="005A0A90">
        <w:rPr>
          <w:rFonts w:ascii="Times New Roman" w:hAnsi="Times New Roman" w:cs="Times New Roman"/>
          <w:sz w:val="24"/>
          <w:szCs w:val="24"/>
          <w:lang w:val="en-US"/>
        </w:rPr>
        <w:instrText xml:space="preserve"> ADDIN ZOTERO_ITEM CSL_CITATION {"citationID":"WMpJB7Je","properties":{"formattedCitation":"(Glucksberg et al., 1982)","plainCitation":"(Glucksberg et al., 1982)","dontUpdate":true,"noteIndex":0},"citationItems":[{"id":242,"uris":["http://zotero.org/users/10108531/items/D6CZGJST"],"itemData":{"id":242,"type":"article-journal","abstract":"How do people understand expressions such as Some jobs are jails? A predominant view contends that we must first derive the literal meaning of such statements. Second, we test this meaning against the context. Third, if the literal meaning fails to make sense, only then do we seek an alternative, nonliteral meaning. This serial, three-stage model implies that people can and do ignore the nonliteral meanings of sentences whenever the literal meanings are plausible in context. To test this view we asked subjects to make rapid decisions about the literal truth of sentences such as Some jobs are jails. Subjects correctly judged that such sentences are literally false, but the availability of a \"true\" metaphorical interpretation-for example, that some people are trapped in their occupations-interfered. When metaphoric interpretations of literally false sentences were available, subjects took significantly longer to decide that such sentences were false. This suggests that people do not have the option to ignore the nonliteral meanings of sentences. Instead, people seem to process both the nonliteral and literal meanings of sentences in the same ways, and at the same time. © 1982 Academic Press, Inc.","container-title":"Journal of Verbal Learning and Verbal Behavior","DOI":"10.1016/S0022-5371(82)90467-4","ISSN":"00225371","issue":"1","page":"85-98","title":"On understanding nonliteral speech: Can people ignore metaphors?","volume":"21","author":[{"family":"Glucksberg","given":"Sam"},{"family":"Gildea","given":"Patricia"},{"family":"Bookin","given":"Howard B."}],"issued":{"date-parts":[["1982"]]}}}],"schema":"https://github.com/citation-style-language/schema/raw/master/csl-citation.json"}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Glucksberg et al., 1982)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9302DA">
        <w:rPr>
          <w:rFonts w:ascii="Times New Roman" w:hAnsi="Times New Roman" w:cs="Times New Roman"/>
          <w:sz w:val="24"/>
          <w:szCs w:val="24"/>
          <w:lang w:val="en-US"/>
        </w:rPr>
        <w:t>propose that understanding metaphors involves multiple steps: retrieving relevant information for all words in a sentence, integrating this information to construct both literal and figurative interpretations, and ultimately</w:t>
      </w:r>
      <w:r>
        <w:rPr>
          <w:rFonts w:ascii="Times New Roman" w:hAnsi="Times New Roman" w:cs="Times New Roman"/>
          <w:sz w:val="24"/>
          <w:szCs w:val="24"/>
          <w:lang w:val="en-US"/>
        </w:rPr>
        <w:t>,</w:t>
      </w:r>
      <w:r w:rsidRPr="009302DA">
        <w:rPr>
          <w:rFonts w:ascii="Times New Roman" w:hAnsi="Times New Roman" w:cs="Times New Roman"/>
          <w:sz w:val="24"/>
          <w:szCs w:val="24"/>
          <w:lang w:val="en-US"/>
        </w:rPr>
        <w:t xml:space="preserve"> selecting the intended meaning by suppressing irrelevant alternatives. </w:t>
      </w:r>
      <w:r>
        <w:rPr>
          <w:rFonts w:ascii="Times New Roman" w:hAnsi="Times New Roman" w:cs="Times New Roman"/>
          <w:sz w:val="24"/>
          <w:szCs w:val="24"/>
          <w:lang w:val="en-US"/>
        </w:rPr>
        <w:t xml:space="preserve">These phases predict the actual integration of the metaphorical meaning in a context. </w:t>
      </w:r>
      <w:r w:rsidRPr="009302DA">
        <w:rPr>
          <w:rFonts w:ascii="Times New Roman" w:hAnsi="Times New Roman" w:cs="Times New Roman"/>
          <w:sz w:val="24"/>
          <w:szCs w:val="24"/>
          <w:lang w:val="en-US"/>
        </w:rPr>
        <w:t xml:space="preserve">The findings did not indicate any delays or inefficiencies in these early stages of processing, regardless of whether the metaphors were highly familiar or less so. </w:t>
      </w:r>
      <w:r w:rsidRPr="0019558A">
        <w:rPr>
          <w:rFonts w:ascii="Times New Roman" w:hAnsi="Times New Roman" w:cs="Times New Roman"/>
          <w:sz w:val="24"/>
          <w:szCs w:val="24"/>
          <w:lang w:val="en-US"/>
        </w:rPr>
        <w:t xml:space="preserve">Therefore, </w:t>
      </w:r>
      <w:r>
        <w:rPr>
          <w:rFonts w:ascii="Times New Roman" w:hAnsi="Times New Roman" w:cs="Times New Roman"/>
          <w:sz w:val="24"/>
          <w:szCs w:val="24"/>
          <w:lang w:val="en-US"/>
        </w:rPr>
        <w:t>the authors</w:t>
      </w:r>
      <w:r w:rsidRPr="0019558A">
        <w:rPr>
          <w:rFonts w:ascii="Times New Roman" w:hAnsi="Times New Roman" w:cs="Times New Roman"/>
          <w:sz w:val="24"/>
          <w:szCs w:val="24"/>
          <w:lang w:val="en-US"/>
        </w:rPr>
        <w:t xml:space="preserve"> concluded that the previously identified difficulties are more likely to arise from the integration of metaphorical meaning in later stages (i.e., within context) rather than from early stages of processing.</w:t>
      </w:r>
    </w:p>
    <w:p w14:paraId="2E7D310D" w14:textId="77777777" w:rsidR="001A0280" w:rsidRPr="00A056BE" w:rsidRDefault="001A0280" w:rsidP="001A0280">
      <w:pPr>
        <w:spacing w:after="0" w:line="240" w:lineRule="auto"/>
        <w:contextualSpacing/>
        <w:jc w:val="both"/>
        <w:rPr>
          <w:rFonts w:ascii="Times New Roman" w:hAnsi="Times New Roman" w:cs="Times New Roman"/>
          <w:sz w:val="24"/>
          <w:szCs w:val="24"/>
          <w:lang w:val="en-US"/>
        </w:rPr>
      </w:pPr>
    </w:p>
    <w:p w14:paraId="13CF94FE" w14:textId="77777777" w:rsidR="001A0280" w:rsidRPr="00A056BE" w:rsidRDefault="001A0280" w:rsidP="001A0280">
      <w:pPr>
        <w:spacing w:after="0" w:line="240" w:lineRule="auto"/>
        <w:contextualSpacing/>
        <w:jc w:val="both"/>
        <w:rPr>
          <w:rFonts w:ascii="Times New Roman" w:hAnsi="Times New Roman" w:cs="Times New Roman"/>
          <w:b/>
          <w:bCs/>
          <w:sz w:val="24"/>
          <w:szCs w:val="24"/>
          <w:lang w:val="en-US"/>
        </w:rPr>
      </w:pPr>
      <w:r w:rsidRPr="00A056BE">
        <w:rPr>
          <w:rFonts w:ascii="Times New Roman" w:hAnsi="Times New Roman" w:cs="Times New Roman"/>
          <w:b/>
          <w:bCs/>
          <w:sz w:val="24"/>
          <w:szCs w:val="24"/>
          <w:lang w:val="en-US"/>
        </w:rPr>
        <w:t>4. Current Study</w:t>
      </w:r>
    </w:p>
    <w:p w14:paraId="1D93A2E0" w14:textId="77777777" w:rsidR="001A0280" w:rsidRPr="00A056BE" w:rsidRDefault="001A0280" w:rsidP="001A0280">
      <w:pPr>
        <w:spacing w:after="0" w:line="240" w:lineRule="auto"/>
        <w:contextualSpacing/>
        <w:jc w:val="both"/>
        <w:rPr>
          <w:rFonts w:ascii="Times New Roman" w:hAnsi="Times New Roman" w:cs="Times New Roman"/>
          <w:sz w:val="24"/>
          <w:szCs w:val="24"/>
          <w:lang w:val="en-US"/>
        </w:rPr>
      </w:pPr>
    </w:p>
    <w:p w14:paraId="43DC339B" w14:textId="77777777" w:rsidR="001A0280" w:rsidRPr="00A056BE" w:rsidRDefault="001A0280" w:rsidP="001A0280">
      <w:pPr>
        <w:spacing w:after="0" w:line="240" w:lineRule="auto"/>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The current study investigate</w:t>
      </w:r>
      <w:r>
        <w:rPr>
          <w:rFonts w:ascii="Times New Roman" w:hAnsi="Times New Roman" w:cs="Times New Roman"/>
          <w:sz w:val="24"/>
          <w:szCs w:val="24"/>
          <w:lang w:val="en-US"/>
        </w:rPr>
        <w:t>d</w:t>
      </w:r>
      <w:r w:rsidRPr="00A056BE">
        <w:rPr>
          <w:rFonts w:ascii="Times New Roman" w:hAnsi="Times New Roman" w:cs="Times New Roman"/>
          <w:sz w:val="24"/>
          <w:szCs w:val="24"/>
          <w:lang w:val="en-US"/>
        </w:rPr>
        <w:t xml:space="preserve"> how people with dyslexia process novel metaphors. A battery of cognitive measures was administered</w:t>
      </w:r>
      <w:r>
        <w:rPr>
          <w:rFonts w:ascii="Times New Roman" w:hAnsi="Times New Roman" w:cs="Times New Roman"/>
          <w:sz w:val="24"/>
          <w:szCs w:val="24"/>
          <w:lang w:val="en-US"/>
        </w:rPr>
        <w:t xml:space="preserve"> to gain a thorough knowledge on the individual differences in the sample</w:t>
      </w:r>
      <w:r w:rsidRPr="00A056BE">
        <w:rPr>
          <w:rFonts w:ascii="Times New Roman" w:hAnsi="Times New Roman" w:cs="Times New Roman"/>
          <w:sz w:val="24"/>
          <w:szCs w:val="24"/>
          <w:lang w:val="en-US"/>
        </w:rPr>
        <w:t xml:space="preserve">, and a metaphor comprehension task was presented to each participant in the study. Previous research was mainly conducted in the written modality, and none explored the online comprehension of </w:t>
      </w:r>
      <w:r>
        <w:rPr>
          <w:rFonts w:ascii="Times New Roman" w:hAnsi="Times New Roman" w:cs="Times New Roman"/>
          <w:sz w:val="24"/>
          <w:szCs w:val="24"/>
          <w:lang w:val="en-US"/>
        </w:rPr>
        <w:t xml:space="preserve">novel </w:t>
      </w:r>
      <w:r w:rsidRPr="00A056BE">
        <w:rPr>
          <w:rFonts w:ascii="Times New Roman" w:hAnsi="Times New Roman" w:cs="Times New Roman"/>
          <w:sz w:val="24"/>
          <w:szCs w:val="24"/>
          <w:lang w:val="en-US"/>
        </w:rPr>
        <w:t xml:space="preserve">metaphors. To address these shortcomings, eye tracking was used in the </w:t>
      </w:r>
      <w:r w:rsidRPr="00A056BE">
        <w:rPr>
          <w:rFonts w:ascii="Times New Roman" w:hAnsi="Times New Roman" w:cs="Times New Roman"/>
          <w:sz w:val="24"/>
          <w:szCs w:val="24"/>
          <w:lang w:val="en-US"/>
        </w:rPr>
        <w:lastRenderedPageBreak/>
        <w:t xml:space="preserve">metaphor comprehension task, and any possible difficulty due to reading impairments was reduced by presenting metaphors in the auditory modality (i.e., distinct interpretations of the auditory sentence were represented visually, via different pictures). </w:t>
      </w:r>
      <w:r w:rsidRPr="00AC10A4">
        <w:rPr>
          <w:rFonts w:ascii="Times New Roman" w:hAnsi="Times New Roman" w:cs="Times New Roman"/>
          <w:sz w:val="24"/>
          <w:szCs w:val="24"/>
          <w:lang w:val="en-US"/>
        </w:rPr>
        <w:t xml:space="preserve">One main research question was addressed: </w:t>
      </w:r>
      <w:r w:rsidRPr="00AC10A4">
        <w:rPr>
          <w:rFonts w:ascii="Times New Roman" w:hAnsi="Times New Roman" w:cs="Times New Roman"/>
          <w:sz w:val="24"/>
          <w:szCs w:val="24"/>
        </w:rPr>
        <w:t>are there differences in metaphor processing in adults with dyslexia compared to typically developing controls?</w:t>
      </w:r>
    </w:p>
    <w:p w14:paraId="71B49F0B" w14:textId="1F0CF709" w:rsidR="001A0280" w:rsidRPr="00A056BE" w:rsidRDefault="001A0280" w:rsidP="001A0280">
      <w:pPr>
        <w:pStyle w:val="BodyText2"/>
        <w:spacing w:after="0" w:line="240" w:lineRule="auto"/>
        <w:ind w:firstLine="708"/>
        <w:contextualSpacing/>
        <w:jc w:val="both"/>
      </w:pPr>
      <w:r w:rsidRPr="00A056BE">
        <w:rPr>
          <w:shd w:val="clear" w:color="auto" w:fill="FFFFFF"/>
        </w:rPr>
        <w:t xml:space="preserve">Literature on cognitive abilities involved in understanding metaphors allows us to predict a possible processing difficulty of people with dyslexia. </w:t>
      </w:r>
      <w:r w:rsidRPr="00A056BE">
        <w:t>As mentioned above, cognitive abilities correlated with novel metaphor comprehension are (</w:t>
      </w:r>
      <w:proofErr w:type="spellStart"/>
      <w:r w:rsidRPr="00A056BE">
        <w:t>i</w:t>
      </w:r>
      <w:proofErr w:type="spellEnd"/>
      <w:r w:rsidRPr="00A056BE">
        <w:t xml:space="preserve">) executive functions, such as inhibition, and working memory, where higher abilities predict more accurate and faster metaphor processing </w:t>
      </w:r>
      <w:r w:rsidRPr="00A056BE">
        <w:fldChar w:fldCharType="begin"/>
      </w:r>
      <w:r w:rsidRPr="00A056BE">
        <w:instrText xml:space="preserve"> ADDIN ZOTERO_ITEM CSL_CITATION {"citationID":"pvohMA8b","properties":{"formattedCitation":"(Pierce et al., 2010)","plainCitation":"(Pierce et al., 2010)","noteIndex":0},"citationItems":[{"id":245,"uris":["http://zotero.org/users/10108531/items/YTKH5RLH"],"itemData":{"id":245,"type":"article-journal","abstract":"Participants took longer to judge that metaphors (e.g., an insult is a razor, memory is a warehouse) were literally false than to judge that scrambled sentences (e.g., an insult is a warehouse) were false. This result is the metaphor interference effect (MIE). It demonstrates that metaphor processing is automatic. In this experiment, we found that the magnitude of the MIE is predicted by working memory (WM) capacity, with higher WM yielding a smaller MIE. This suggests that although metaphor comprehension is automatic, the early processing of metaphors is controllable by executive mechanisms. We relate our results to Kintsch's (2000, 2001) predication model. Specifically, we suggest that mechanisms of WM influence metaphor processing by affecting the effectiveness of the construction-integration process that identifies common properties between topics and vehicles. WM also influences the speed with which meanings are identified as literal or figurative. © 2010 The Psychonomic Society, Inc.","container-title":"Psychonomic Bulletin and Review","DOI":"10.3758/PBR.17.3.400","ISSN":"15315320","issue":"3","page":"400-404","title":"The role of working memory in the metaphor interference effect","volume":"17","author":[{"family":"Pierce","given":"Russell S."},{"family":"MacLaren","given":"Rick"},{"family":"Chiappe","given":"Dan L."}],"issued":{"date-parts":[["2010"]]}}}],"schema":"https://github.com/citation-style-language/schema/raw/master/csl-citation.json"} </w:instrText>
      </w:r>
      <w:r w:rsidRPr="00A056BE">
        <w:fldChar w:fldCharType="separate"/>
      </w:r>
      <w:r w:rsidRPr="00A056BE">
        <w:rPr>
          <w:noProof/>
        </w:rPr>
        <w:t>(Pierce et al., 2010)</w:t>
      </w:r>
      <w:r w:rsidRPr="00A056BE">
        <w:fldChar w:fldCharType="end"/>
      </w:r>
      <w:r w:rsidRPr="00A056BE">
        <w:t xml:space="preserve">; (ii) vocabulary knowledge, which promotes better metaphoric interpretations </w:t>
      </w:r>
      <w:r w:rsidRPr="00A056BE">
        <w:fldChar w:fldCharType="begin"/>
      </w:r>
      <w:r w:rsidRPr="00A056BE">
        <w:instrText xml:space="preserve"> ADDIN ZOTERO_ITEM CSL_CITATION {"citationID":"CNZRh0cD","properties":{"formattedCitation":"(Kazmerski et al., 2003)","plainCitation":"(Kazmerski et al., 2003)","noteIndex":0},"citationItems":[{"id":127,"uris":["http://zotero.org/users/10108531/items/QE2QGCMC"],"itemData":{"id":127,"type":"article-journal","abstract":"In two experiments, we examined individual differences in metaphor processing. In Experiment 1, the subjects judged the literal truth of literal, metaphorical, and scrambled sentences. Overall, metaphors were more difficult to judge as false, in comparison with scrambled controls, suggesting that the metaphorical meaning was being processed automatically. However, there were individual differences in that high-IQ subjects showed more interference. These effects were reflected in ERP amplitude differences at the onset of N400 and after the response. In Experiment 2, the subjects completed IQ tests and a series of working memory tests and then rated and interpreted the same set of metaphors. The results showed that IQ was correlated with working memory capacity and that low-IQ subjects had similar ratings but poorer quality interpretations than did high-IQ subjects. The results were most consistent with a constraint satisfaction approach to metaphor comprehension.","container-title":"Memory and Cognition","DOI":"10.3758/BF03196107","ISSN":"0090502X","issue":"5","note":"PMID: 12956233","page":"673-689","title":"ERP and behavioral evidence of individual differences in metaphor comprehension","volume":"31","author":[{"family":"Kazmerski","given":"Victoria A."},{"family":"Blasko","given":"Dawn G."},{"family":"Dessalegn","given":"Banchiamlack G."}],"issued":{"date-parts":[["2003"]]}}}],"schema":"https://github.com/citation-style-language/schema/raw/master/csl-citation.json"} </w:instrText>
      </w:r>
      <w:r w:rsidRPr="00A056BE">
        <w:fldChar w:fldCharType="separate"/>
      </w:r>
      <w:r w:rsidRPr="00A056BE">
        <w:rPr>
          <w:noProof/>
        </w:rPr>
        <w:t>(Kazmerski et al., 2003)</w:t>
      </w:r>
      <w:r w:rsidRPr="00A056BE">
        <w:fldChar w:fldCharType="end"/>
      </w:r>
      <w:r w:rsidRPr="00A056BE">
        <w:t xml:space="preserve">; (iii) mental flexibility, which was positively correlated to metaphor understanding </w:t>
      </w:r>
      <w:r w:rsidRPr="00A056BE">
        <w:fldChar w:fldCharType="begin"/>
      </w:r>
      <w:r w:rsidRPr="00A056BE">
        <w:instrText xml:space="preserve"> ADDIN ZOTERO_ITEM CSL_CITATION {"citationID":"6MtG9mXm","properties":{"formattedCitation":"(Kasirer &amp; Mashal, 2014; Mashal &amp; Kasirer, 2011)","plainCitation":"(Kasirer &amp; Mashal, 2014; Mashal &amp; Kasirer, 2011)","dontUpdate":true,"noteIndex":0},"citationItems":[{"id":2080,"uris":["http://zotero.org/users/10108531/items/TPC5QFJU"],"itemData":{"id":2080,"type":"article-journal","abstract":"Studies on creativity in participants with autism generally show impoverished performance as well as deficient comprehension of metaphoric language. However, very little is known about the ability to generate metaphors in this population. The present study examines verbal creativity in adults with autism-spectrum disorder (ASD) through tasks that rely on novel metaphoric language. Seventeen adults with ASD (mean age = 21.06) and 17 typically developing peers (mean age = 22.71) participated in the study. A multiple-choice questionnaire consisting of conventional and novel metaphors was used to test comprehension, and a sentence completion questionnaire was used to test generation of creative language. Results show similar performance in comprehension of conventional and novel metaphors in both groups, whereas adults with ASD generated more creative metaphors relative to the control group. Scores on tests of vocabulary and naming contributed to the prediction of conventional metaphor comprehension, while scores on tests of mental flexibility contributed to the prediction of novel metaphor comprehension. In addition, scores on a test of non-verbal intelligence contributed to the prediction of metaphor generation. The study points to unique verbal creativity in ASD.","container-title":"Frontiers in Human Neuroscience","ISSN":"1662-5161","source":"Frontiers","title":"Verbal creativity in autism: comprehension and generation of metaphoric language in high-functioning autism spectrum disorder and typical development","title-short":"Verbal creativity in autism","URL":"https://www.frontiersin.org/articles/10.3389/fnhum.2014.00615","volume":"8","author":[{"family":"Kasirer","given":"Anat"},{"family":"Mashal","given":"Nira"}],"accessed":{"date-parts":[["2022",11,7]]},"issued":{"date-parts":[["2014"]]}}},{"id":255,"uris":["http://zotero.org/users/10108531/items/GED47CLR"],"itemData":{"id":255,"type":"article-journal","abstract":"The primary goal of the current study was to examine the ability of children with autism (ASD) and children with learning disabilities (LD) to improve their metaphoric competence by an intervention program using \"thinking maps\" Twenty ASD children, 20 LD, and 20 typically developed (TD) children were tested on metaphors and idioms comprehension tests, homophone meaning generation test, and fluency tests. Both ASD and LD groups performed poorly compared with TD on all tests, with the LD group outperformed the ASD group in the executive function tests. The results indicate that the LD group was able to use the \"thinking maps\" to understand metaphors that were encountered for the first time more efficiently than the ASD group. Furthermore, in the autistic group the homophone meaning generation test, associated with mental flexibility mechanism, correlated with novel metaphors understanding, which do not rely on prior knowledge. In the learning disabilities group, conventional metaphors understanding correlated with the homophone meaning generation test. © 2011 Elsevier Ltd.","container-title":"Research in Developmental Disabilities","DOI":"10.1016/j.ridd.2011.08.012","ISSN":"08914222","issue":"6","note":"PMID: 21985987\npublisher: Elsevier Ltd\nCitation Key: Mashal2011","page":"2045-2054","title":"Thinking maps enhance metaphoric competence in children with autism and learning disabilities","volume":"32","author":[{"family":"Mashal","given":"Nira"},{"family":"Kasirer","given":"Anat"}],"issued":{"date-parts":[["2011"]]}}}],"schema":"https://github.com/citation-style-language/schema/raw/master/csl-citation.json"} </w:instrText>
      </w:r>
      <w:r w:rsidRPr="00A056BE">
        <w:fldChar w:fldCharType="separate"/>
      </w:r>
      <w:r w:rsidRPr="00A056BE">
        <w:rPr>
          <w:noProof/>
        </w:rPr>
        <w:t>(Kasirer &amp; Mashal, 2014; Mashal &amp; Kasirer, 2011)</w:t>
      </w:r>
      <w:r w:rsidRPr="00A056BE">
        <w:fldChar w:fldCharType="end"/>
      </w:r>
      <w:r w:rsidRPr="00A056BE">
        <w:t>; (iv) Theory of Mind (</w:t>
      </w:r>
      <w:proofErr w:type="spellStart"/>
      <w:r w:rsidRPr="00A056BE">
        <w:t>ToM</w:t>
      </w:r>
      <w:proofErr w:type="spellEnd"/>
      <w:r w:rsidRPr="00A056BE">
        <w:t xml:space="preserve">) and pragmatic abilities </w:t>
      </w:r>
      <w:r w:rsidRPr="00A056BE">
        <w:fldChar w:fldCharType="begin"/>
      </w:r>
      <w:r w:rsidR="005A0A90">
        <w:instrText xml:space="preserve"> ADDIN ZOTERO_ITEM CSL_CITATION {"citationID":"nOLWnfIJ","properties":{"formattedCitation":"(Bambini &amp; Resta, 2012; Norbury, 2005)","plainCitation":"(Bambini &amp; Resta, 2012; Norbury, 2005)","dontUpdate":true,"noteIndex":0},"citationItems":[{"id":2085,"uris":["http://zotero.org/users/10108531/items/K4STML9F"],"itemData":{"id":2085,"type":"article-journal","abstract":"In this contribution we focus on one phenomenon that has a special role in pragmatic theorizing, namely metaphor, and select two issues deriving from theoretical models and prone to be tested experimentally. The first issue concerns the comprehension procedure, that is whether access to metaphorical meaning goes through a mandatory literal stage and thus is indirect, as predicted by a Gricean inspired account, or rather is retrieved directly. The question will be discussed by referring to behavioral and neurophysiological studies, which advanced our understanding of the time course of metaphorical interpretation but proved not fully suitable to answer the question. The second issue revolves around the cognitive architecture of the pragmatic system as it operates in the case of metaphor comprehension. We will illustrate the contribution that functional neuroimaging, coupled with clinical investigations can provide to fine-tune the architecture of the system responsible for metaphor processing. Some outstanding questions are highlighted in the final part, aiming at sketching our interpretation of the experimental pragmatic enterprise.","container-title":"HUMANA.MENTE Journal of Philosophical Studies","ISSN":"1972-1293","issue":"23","language":"en","license":"Copyright (c) 2012 the author","note":"number: 23","page":"37-60","source":"www.humanamente.eu","title":"Metaphor and Experimental Pragmatics: When Theory Meets Empirical Investigation","title-short":"Metaphor and Experimental Pragmatics","volume":"5","author":[{"family":"Bambini","given":"Valentina"},{"family":"Resta","given":"Donatella"}],"issued":{"date-parts":[["2012",12,2]]}}},{"id":"Hf7U15M0/lXUBzNay","uris":["http://zotero.org/users/10108531/items/UU2KZ59S"],"itemData":{"id":62,"type":"article-journal","abstract":"Happé (1993) proposed that theory of mind (ToM) understanding was necessary for comprehension of metaphorical expressions. The current study investigated the role of both ToM and language ability in metaphor understanding. Ninety-four children aged 8-15 years with communication impairments were grouped according to language ability and autistic symptomatology in the first instance, and then according to ToM performance. Their performance on a metaphor task was compared to 34 typically developing age-matched peers. These analyses showed that only children with language impairment, with or without concurrent autistic features, were impaired on the metaphor task. Furthermore, possession of first-order ToM skills did not ensure metaphor comprehension. Instead, semantic ability was a stronger predictor of performance on the metaphor task. These results are considered with reference to the view that ToM understanding is necessary for the comprehension of metaphor. © 2005 The British Psychological Society.","container-title":"British Journal of Developmental Psychology","DOI":"10.1348/026151005X26732","ISSN":"0261510X","issue":"3","page":"383-399","title":"The relationship between theory of mind and metaphor: Evidence from children with language impairment and autistic spectrum disorder","volume":"23","author":[{"family":"Norbury","given":"Courtenay Frazier"}],"issued":{"date-parts":[["2005",9]]}}}],"schema":"https://github.com/citation-style-language/schema/raw/master/csl-citation.json"} </w:instrText>
      </w:r>
      <w:r w:rsidRPr="00A056BE">
        <w:fldChar w:fldCharType="separate"/>
      </w:r>
      <w:r w:rsidRPr="00A056BE">
        <w:rPr>
          <w:noProof/>
        </w:rPr>
        <w:t>(Bambini and Resta, 2012; Norbury, 2005)</w:t>
      </w:r>
      <w:r w:rsidRPr="00A056BE">
        <w:fldChar w:fldCharType="end"/>
      </w:r>
      <w:r w:rsidRPr="00A056BE">
        <w:t xml:space="preserve">. </w:t>
      </w:r>
      <w:r>
        <w:t xml:space="preserve">The role of </w:t>
      </w:r>
      <w:proofErr w:type="spellStart"/>
      <w:r>
        <w:t>ToM</w:t>
      </w:r>
      <w:proofErr w:type="spellEnd"/>
      <w:r w:rsidRPr="00A056BE">
        <w:t xml:space="preserve"> in metaphor comprehension is not universally agreed upon </w:t>
      </w:r>
      <w:r w:rsidRPr="00A056BE">
        <w:fldChar w:fldCharType="begin"/>
      </w:r>
      <w:r w:rsidRPr="00A056BE">
        <w:instrText xml:space="preserve"> ADDIN ZOTERO_ITEM CSL_CITATION {"citationID":"ILQaIf94","properties":{"formattedCitation":"(Bosco et al., 2018; Gernsbacher &amp; Pripas-Kapit, 2012)","plainCitation":"(Bosco et al., 2018; Gernsbacher &amp; Pripas-Kapit, 2012)","noteIndex":0},"citationItems":[{"id":1746,"uris":["http://zotero.org/users/10108531/items/CBJAB384"],"itemData":{"id":1746,"type":"article-journal","abstract":"Aim of the paper is to discuss the extent to which pragmatics, i.e., the ability to use language and other expressive means to convey meaning in a specific interactional context, overlaps with Theory of Mind (ToM), i.e., the ability to ascribe mental states to oneself and the others. We present empirical data available in the current literature concerning the relation between these two faculties, with specific reference to the developmental and clinical domains. Part of the literature we take into account appears to show that ToM does correlate with pragmatic ability; however, other studies appear to show that pragmatic ability alone cannot explain the empirical differences of performance across different kinds of pragmatic tasks, and therefore that another, at least partially different faculty is required to account for human communication. We argue that to conceive pragmatics as a sort of subcomponent of ToM, and thus to conflate or reduce the notion of pragmatics into the (wider) notion of ToM, is not theoretically correct and a possible cause of methodological confusion in the relevant empirical research. It thus turns out to be necessary that the two faculties be investigated with separate theories as well as different experimental tasks.","container-title":"Frontiers in Psychology","ISSN":"1664-1078","source":"Frontiers","title":"Why Pragmatics and Theory of Mind Do Not (Completely) Overlap","URL":"https://www.frontiersin.org/articles/10.3389/fpsyg.2018.01453","volume":"9","author":[{"family":"Bosco","given":"Francesca M."},{"family":"Tirassa","given":"Maurizio"},{"family":"Gabbatore","given":"Ilaria"}],"accessed":{"date-parts":[["2022",9,29]]},"issued":{"date-parts":[["2018"]]}}},{"id":1748,"uris":["http://zotero.org/users/10108531/items/SA2XXH8K"],"itemData":{"id":1748,"type":"article-journal","abstract":"It's become a caricature of autistic persons that they don't understand figurative language. Despite empirical evidence to the contrary, three of the four contributions to this special issue endorse this stereotype without question. And all four contributions attribute this supposed deficit to even shakier fallacies, such as the controversial claim that autistic people lack empathy or a “theory of mind.” In this commentary, we begin by reviewing the literature more exhaustively than the other contributions, and we highlight a point that they missed: Autistic persons are likely to have difficulty comprehending figurative language if they also have difficulty comprehending language in general. There doesn't seem to be a specific deficit in figurative language unique to autism. We also tackle the claim that autistic people lack empathy. And we question the existence of a “theory of mind area” while demonstrating the pitfalls that ensnarl researchers when they strain to interpret differences between autistic and non-autistic brain activity as solely autistic deficits.","container-title":"Metaphor and Symbol","DOI":"10.1080/10926488.2012.656255","ISSN":"1092-6488","issue":"1","note":"publisher: Routledge\n_eprint: https://doi.org/10.1080/10926488.2012.656255\nPMID: 25339845","page":"93-105","source":"Taylor and Francis+NEJM","title":"Who's Missing the Point? A Commentary on Claims that Autistic Persons Have a Specific Deficit in Figurative Language Comprehension","title-short":"Who's Missing the Point?","volume":"27","author":[{"family":"Gernsbacher","given":"Morton   Ann"},{"family":"Pripas-Kapit","given":"Sarah   R."}],"issued":{"date-parts":[["2012",1,1]]}}}],"schema":"https://github.com/citation-style-language/schema/raw/master/csl-citation.json"} </w:instrText>
      </w:r>
      <w:r w:rsidRPr="00A056BE">
        <w:fldChar w:fldCharType="separate"/>
      </w:r>
      <w:r w:rsidRPr="00A056BE">
        <w:t>(Bosco et al., 2018; Gernsbacher &amp; Pripas-Kapit, 2012)</w:t>
      </w:r>
      <w:r w:rsidRPr="00A056BE">
        <w:fldChar w:fldCharType="end"/>
      </w:r>
      <w:r w:rsidRPr="00A056BE">
        <w:t xml:space="preserve">. Some scholars propose that </w:t>
      </w:r>
      <w:proofErr w:type="spellStart"/>
      <w:r w:rsidRPr="00A056BE">
        <w:t>ToM</w:t>
      </w:r>
      <w:proofErr w:type="spellEnd"/>
      <w:r w:rsidRPr="00A056BE">
        <w:t xml:space="preserve"> skills are crucial, contending that grasping a metaphor necessitates understanding another person’s perspective on the world </w:t>
      </w:r>
      <w:r w:rsidRPr="00A056BE">
        <w:fldChar w:fldCharType="begin"/>
      </w:r>
      <w:r w:rsidRPr="00A056BE">
        <w:instrText xml:space="preserve"> ADDIN ZOTERO_ITEM CSL_CITATION {"citationID":"6Gwd4QpD","properties":{"formattedCitation":"(Happ\\uc0\\u233{}, 1993)","plainCitation":"(Happé, 1993)","noteIndex":0},"citationItems":[{"id":1752,"uris":["http://zotero.org/users/10108531/items/REJ963XE"],"itemData":{"id":1752,"type":"article-journal","abstract":"Sperber and Wilson's (1986) relevance theory makes explicit the role of the comprehension of intentions in human communication. Autistic people have been hypothesized to suffer from a specific and characteristic impairment in the ability to attribute such mental states (e.g., beliefs, intentions); a lack of “theory of mind”. According to relevance theory, then, autistic people should have specific difficulties with the use of language for communication. Relevance theory allows precise predictions about the levels of communicative competence that should be possible with either no, first-order only, or second-order theory of mind ability. Three experiments are reported which tested predictions following from the analysis of figurative language in terms of relevance and theory of mind, in able autistic and normal young subjects. The results lend support to relevance theory. In addition, the findings suggest that some autistic subjects are eventually able to attribute mental states. Lastly, the results demonstrate close links between social and communicative understanding in autism and normal development.","container-title":"Cognition","DOI":"10.1016/0010-0277(93)90026-R","ISSN":"0010-0277","issue":"2","journalAbbreviation":"Cognition","language":"en","page":"101-119","source":"ScienceDirect","title":"Communicative competence and theory of mind in autism: A test of relevance theory","title-short":"Communicative competence and theory of mind in autism","volume":"48","author":[{"family":"Happé","given":"Francesca G. E."}],"issued":{"date-parts":[["1993",8,1]]}}}],"schema":"https://github.com/citation-style-language/schema/raw/master/csl-citation.json"} </w:instrText>
      </w:r>
      <w:r w:rsidRPr="00A056BE">
        <w:fldChar w:fldCharType="separate"/>
      </w:r>
      <w:r w:rsidRPr="00A056BE">
        <w:t>(Happé, 1993)</w:t>
      </w:r>
      <w:r w:rsidRPr="00A056BE">
        <w:fldChar w:fldCharType="end"/>
      </w:r>
      <w:r w:rsidRPr="00A056BE">
        <w:t xml:space="preserve">. In contrast, others argue that </w:t>
      </w:r>
      <w:proofErr w:type="spellStart"/>
      <w:r w:rsidRPr="00A056BE">
        <w:t>ToM</w:t>
      </w:r>
      <w:proofErr w:type="spellEnd"/>
      <w:r w:rsidRPr="00A056BE">
        <w:t xml:space="preserve"> alone is not sufficient for the comprehension of metaphorical language. </w:t>
      </w:r>
      <w:r w:rsidRPr="00A056BE">
        <w:fldChar w:fldCharType="begin"/>
      </w:r>
      <w:r w:rsidRPr="00A056BE">
        <w:instrText xml:space="preserve"> ADDIN ZOTERO_ITEM CSL_CITATION {"citationID":"3EoZ6pvR","properties":{"formattedCitation":"(Norbury, 2005)","plainCitation":"(Norbury, 2005)","dontUpdate":true,"noteIndex":0},"citationItems":[{"id":3582,"uris":["http://zotero.org/users/10108531/items/BENU2AYX"],"itemData":{"id":3582,"type":"article-journal","abstract":"Happé (1993)\n              proposed that theory of mind (ToM) understanding was necessary for comprehension of metaphorical expressions. The current study investigated the role of both ToM and language ability in metaphor understanding. Ninety‐four children aged 8–15 years with communication impairments were grouped according to language ability and autistic symptomatology in the first instance, and then according to ToM performance. Their performance on a metaphor task was compared to 34 typically developing age‐matched peers. These analyses showed that only children with language impairment, with or without concurrent autistic features, were impaired on the metaphor task. Furthermore, possession of first‐order ToM skills did not ensure metaphor comprehension. Instead, semantic ability was a stronger predictor of performance on the metaphor task. These results are considered with reference to the view that ToM understanding is necessary for the comprehension of metaphor.","container-title":"British Journal of Developmental Psychology","DOI":"10.1348/026151005X26732","ISSN":"0261-510X, 2044-835X","issue":"3","journalAbbreviation":"British J of Dev Psycho","language":"en","page":"383-399","source":"DOI.org (Crossref)","title":"The relationship between theory of mind and metaphor: Evidence from children with language impairment and autistic spectrum disorder","title-short":"The relationship between theory of mind and metaphor","volume":"23","author":[{"family":"Norbury","given":"Courtenay Frazier."}],"issued":{"date-parts":[["2005",9]]}}}],"schema":"https://github.com/citation-style-language/schema/raw/master/csl-citation.json"} </w:instrText>
      </w:r>
      <w:r w:rsidRPr="00A056BE">
        <w:fldChar w:fldCharType="separate"/>
      </w:r>
      <w:r w:rsidRPr="00A056BE">
        <w:t>Norbury (2005)</w:t>
      </w:r>
      <w:r w:rsidRPr="00A056BE">
        <w:fldChar w:fldCharType="end"/>
      </w:r>
      <w:r w:rsidRPr="00A056BE">
        <w:t xml:space="preserve"> emphasized that </w:t>
      </w:r>
      <w:proofErr w:type="spellStart"/>
      <w:r w:rsidRPr="00A056BE">
        <w:t>ToM</w:t>
      </w:r>
      <w:proofErr w:type="spellEnd"/>
      <w:r w:rsidRPr="00A056BE">
        <w:t xml:space="preserve"> skills might support metaphor understanding by contributing to a more robust contextual representation, but that semantic knowledge seems to play a more central role. </w:t>
      </w:r>
    </w:p>
    <w:p w14:paraId="39464BC1" w14:textId="77777777" w:rsidR="001A0280" w:rsidRPr="00A056BE" w:rsidRDefault="001A0280" w:rsidP="001A0280">
      <w:pPr>
        <w:pStyle w:val="BodyText2"/>
        <w:spacing w:after="0" w:line="240" w:lineRule="auto"/>
        <w:ind w:firstLine="708"/>
        <w:contextualSpacing/>
        <w:jc w:val="both"/>
      </w:pPr>
      <w:r w:rsidRPr="00A056BE">
        <w:t xml:space="preserve">When it comes to dyslexia, previous research indicates that executive functions tend to be impaired, with poorer inhibitory control </w:t>
      </w:r>
      <w:r w:rsidRPr="00A056BE">
        <w:fldChar w:fldCharType="begin"/>
      </w:r>
      <w:r w:rsidRPr="00A056BE">
        <w:instrText xml:space="preserve"> ADDIN ZOTERO_ITEM CSL_CITATION {"citationID":"n7uvLyNq","properties":{"formattedCitation":"(Faccioli et al., 2008; Proulx &amp; Elmasry, 2015)","plainCitation":"(Faccioli et al., 2008; Proulx &amp; Elmasry, 2015)","dontUpdate":true,"noteIndex":0},"citationItems":[{"id":52,"uris":["http://zotero.org/users/10108531/items/6T5F4KB5"],"itemData":{"id":52,"type":"article-journal","abstract":"We studied a group of 24 children with dyslexia in second to fifth primary school grades by using a discrete-trial computerized version of the Stroop Color-Word Test. Since the classic Stroop effect depends on the interference of reading with color naming, one would expect these children to show no interference or, at least, less interference than normal readers. Children with dyslexia showed, however, a Stroop effect larger than normal readers of the same age. This suggests that reading, although difficult and slow, is an inescapable step that precedes naming both in poor and in normal readers. © 2007 Psychology Press.","container-title":"Child Neuropsychology","DOI":"10.1080/09297040701290040","ISSN":"09297049","issue":"3","note":"PMID: 17852135\nISBN: 0929704070129","page":"277-283","title":"Poor readers but compelled to read: Stroop effects in developmental dyslexia","volume":"14","author":[{"family":"Faccioli","given":"Chiara"},{"family":"Peru","given":"Andrea"},{"family":"Rubini","given":"Elena"},{"family":"Tassinari","given":"Giancarlo"}],"issued":{"date-parts":[["2008"]]}}},{"id":51,"uris":["http://zotero.org/users/10108531/items/AJWP63X5"],"itemData":{"id":51,"type":"article-journal","abstract":"Prior research on developmental dyslexia using Stroop tasks with young participants has found increased interference in participants with dyslexia relative to controls. Here we extend these findings to adult participants, and introduce a novel test of Stroop incongruity, whereby the color names appeared on an object colored in the incongruent color. The results imply that impaired inhibitory and executive attentional mechanisms are still deficient in adults with dyslexia and that other forms of attentional mechanisms, such as object-based attention, might also be impaired in dyslexia. Dyslexia arises not only from deficits in phonological processing, but from attentional mechanisms as well.","container-title":"Neurocase","DOI":"10.1080/13554794.2014.914544","ISSN":"14653656","issue":"4","note":"PMID: 24814960\npublisher: Routledge","page":"413-417","title":"Stroop interference in adults with dyslexia","volume":"21","author":[{"family":"Proulx","given":"Michael J."},{"family":"Elmasry","given":"Hannah May"}],"issued":{"date-parts":[["2015"]]}}}],"schema":"https://github.com/citation-style-language/schema/raw/master/csl-citation.json"} </w:instrText>
      </w:r>
      <w:r w:rsidRPr="00A056BE">
        <w:fldChar w:fldCharType="separate"/>
      </w:r>
      <w:r w:rsidRPr="00A056BE">
        <w:rPr>
          <w:noProof/>
        </w:rPr>
        <w:t>(Faccioli et al., 2008; Proulx and Elmasry, 2015)</w:t>
      </w:r>
      <w:r w:rsidRPr="00A056BE">
        <w:fldChar w:fldCharType="end"/>
      </w:r>
      <w:r w:rsidRPr="00A056BE">
        <w:t xml:space="preserve">, and lower working memory capacity </w:t>
      </w:r>
      <w:r w:rsidRPr="00A056BE">
        <w:fldChar w:fldCharType="begin"/>
      </w:r>
      <w:r w:rsidRPr="00A056BE">
        <w:instrText xml:space="preserve"> ADDIN ZOTERO_ITEM CSL_CITATION {"citationID":"XFTOLmUL","properties":{"formattedCitation":"(Cancer &amp; Antonietti, 2018)","plainCitation":"(Cancer &amp; Antonietti, 2018)","dontUpdate":true,"noteIndex":0},"citationItems":[{"id":1685,"uris":["http://zotero.org/users/10108531/items/C8KKI6UB"],"itemData":{"id":1685,"type":"article-journal","abstract":"Whereas the clinical manifestations and the neuropsychological predictors of Developmental Dyslexia (DD) are already well documented in Italian-speaking children, empirical evidence on DD in Italian adults is in contrast rather scarce. The aim of the present study was to investigate the role of a subset of neuropsychological skills, which have been identified by previous literature to be related to reading, in the decoding abilities of a group of Italian undergraduates with and without DD. For this purpose, 39 university students aged between 19 and 27 years, 19 of whom with a diagnosis of DD, underwent an assessment battery including standardized reading tests, rapid automatized naming (RAN), verbal working memory, and rhythmic pattern discrimination tests. Cross-group differences confirmed significantly lower performances of undergraduates with DD in all measures but rhythm discrimination, compared to typical readers, thus showing a non-compensated neuropsychological profile. Regression analyses showed that, while reading speed was strongly and uniquely predicted by RAN speed, reading accuracy was concurrently predicted by RAN and rhythmic abilities. Finally, RAN speed emerged as a strong predictor of reading performance and risk of receiving a diagnosis of DD.","container-title":"Brain Sciences","DOI":"10.3390/brainsci8050087","journalAbbreviation":"Brain Sciences","source":"ResearchGate","title":"Rapid Automatized Naming, Verbal Working Memory, and Rhythm Discrimination as Predictors of Reading in Italian Undergraduate Students with and without Dyslexia","volume":"8","author":[{"family":"Cancer","given":"Alice"},{"family":"Antonietti","given":"Alessandro"}],"issued":{"date-parts":[["2018",5,13]]}}}],"schema":"https://github.com/citation-style-language/schema/raw/master/csl-citation.json"} </w:instrText>
      </w:r>
      <w:r w:rsidRPr="00A056BE">
        <w:fldChar w:fldCharType="separate"/>
      </w:r>
      <w:r w:rsidRPr="00A056BE">
        <w:rPr>
          <w:noProof/>
        </w:rPr>
        <w:t>(Cancer &amp; Antonietti, 2018)</w:t>
      </w:r>
      <w:r w:rsidRPr="00A056BE">
        <w:fldChar w:fldCharType="end"/>
      </w:r>
      <w:r w:rsidRPr="00A056BE">
        <w:t xml:space="preserve">. Theory of Mind and pragmatic abilities </w:t>
      </w:r>
      <w:r>
        <w:t xml:space="preserve">also </w:t>
      </w:r>
      <w:r w:rsidRPr="00A056BE">
        <w:t xml:space="preserve">tend to be lower in this population </w:t>
      </w:r>
      <w:r w:rsidRPr="00A056BE">
        <w:fldChar w:fldCharType="begin"/>
      </w:r>
      <w:r w:rsidRPr="00A056BE">
        <w:instrText xml:space="preserve"> ADDIN ZOTERO_ITEM CSL_CITATION {"citationID":"ZVSLJv6h","properties":{"formattedCitation":"(Cappelli et al., 2018; Egilsd\\uc0\\u243{}ttir, 2015)","plainCitation":"(Cappelli et al., 2018; Egilsdóttir, 2015)","noteIndex":0},"citationItems":[{"id":1704,"uris":["http://zotero.org/users/10108531/items/HV6DWJ3L"],"itemData":{"id":1704,"type":"article-journal","abstract":"The study assessed the pragmatic skills of 19 well‐compensated Italian‐speaking young adults with dyslexia compared with controls. A comprehensive pragmatic assessment tool was employed, targeting production and comprehension (Assessment of Pragmatic Abilities and Cognitive Substrates [APACS]). Participants were also administered a series of standardized tests to assess verbal and non‐verbal cognitive abilities, including executive functions and social cognition tests. Data were analysed with the aim of understanding whether pragmatic abilities are compromised in dyslexia and of exploring associations between pragmatic performance and other cognitive domains. The performance of the dyslexia group was poorer than that of the control group in both expressive and receptive modalities. Data showed diffuse problems across several domains, with the greatest challenge posed by inferring nonliteral meanings, which indicates that pragmatic inefficiency is an important aspect of the linguistic and communicative profile of dyslexia in adulthood. Explorative correlations highlighted a relation between pragmatic performance and reading and vocabulary abilities, as well as between pragmatics and working memory. This suggests that pragmatic difficulties are strongly tied to the most distinctive aspects of dyslexia, namely, phonological awareness, verbal short‐term memory, pseudo‐word repetition, whereas the link with highlevel executive functions and Theory of Mind is negligible.","container-title":"Dyslexia","DOI":"10.1002/dys.1588","ISSN":"10769242","issue":"3","journalAbbreviation":"Dyslexia","language":"en","page":"294-306","source":"DOI.org (Crossref)","title":"Pragmatic competence and its relationship with the linguistic and cognitive profile of young adults with dyslexia","volume":"24","author":[{"family":"Cappelli","given":"Gloria"},{"family":"Noccetti","given":"Sabrina"},{"family":"Arcara","given":"Giorgio"},{"family":"Bambini","given":"Valentina"}],"issued":{"date-parts":[["2018",8]]}}},{"id":2082,"uris":["http://zotero.org/users/10108531/items/XLH93WHU"],"itemData":{"id":2082,"type":"thesis","abstract":"The Reading the mind in the eyes (RME) test has gained popularity as a measure of theory of mind. In this study we examine how it relates to social communication skills as well as previously undocumented relationship with dyslexia. The objective of Study 1 was to translate the RME test to Icelandic and explore it’s item structure and correlation to reading habits. In Study 2 we further examined the relation between dyslexia and social communication skills, aiming to establish whether or not dyslexics have impaired social skills compared to non-dyslexics. We hypothesized that they do, based on a recent study revealing impaired recognition of faces in dyslexics. In Study 1, 74 undergraduate students completed an Icelandic version of the RME test, as well as answering questions about reading habits. Results showed a positive correlation between self-reports of relative amount of reading compared to peers, and score on the RME test. Further, a negative correlation between relative amount of listening to non-fictional audiobooks and score on the RME test was established. In Study 2, we therefore assessed 639 participants‘ self-reported dyslexia, performance on the RME test, and social communication skills. Our results show that people with dyslexia score lower than non-dyslexics on the RME test, and have impaired social communication skills compared to non-dyslexics. We hypothesize that this stems from dyslexia and social communication skills having common neurological grounds. Further work is needed to clarify the generalizability of our results.","genre":"Thesis","language":"en","note":"Accepted: 2015-06-02T13:31:58Z","source":"skemman.is","title":"The Relationship Between Theory of Mind, Dyslexia, and Social Communication Skills","URL":"https://skemman.is/handle/1946/21853","author":[{"family":"Egilsdóttir","given":"Sigurbjörg Erla"}],"accessed":{"date-parts":[["2022",11,7]]},"issued":{"date-parts":[["2015"]]}}}],"schema":"https://github.com/citation-style-language/schema/raw/master/csl-citation.json"} </w:instrText>
      </w:r>
      <w:r w:rsidRPr="00A056BE">
        <w:fldChar w:fldCharType="separate"/>
      </w:r>
      <w:r w:rsidRPr="00A056BE">
        <w:t>(Cappelli et al., 2018; Egilsdóttir, 2015)</w:t>
      </w:r>
      <w:r w:rsidRPr="00A056BE">
        <w:fldChar w:fldCharType="end"/>
      </w:r>
      <w:r>
        <w:t>.</w:t>
      </w:r>
      <w:r w:rsidRPr="00A056BE">
        <w:t xml:space="preserve"> Also, semantic processing of unexpected or novel idiomatic phrases seems problematic in adults with dyslexia (</w:t>
      </w:r>
      <w:r w:rsidRPr="00A056BE">
        <w:fldChar w:fldCharType="begin"/>
      </w:r>
      <w:r w:rsidRPr="00A056BE">
        <w:instrText xml:space="preserve"> ADDIN ZOTERO_ITEM CSL_CITATION {"citationID":"OYxDJbYZ","properties":{"formattedCitation":"(Egan et al., 2022)","plainCitation":"(Egan et al., 2022)","dontUpdate":true,"noteIndex":0},"citationItems":[{"id":50,"uris":["http://zotero.org/users/10108531/items/ES684F78"],"itemData":{"id":50,"type":"article-journal","abstract":"For skilled readers, idiomatic language confers faster access to overall meaning compared with non-idiomatic language, with a processing advantage for figurative over literal interpretation. However, currently very little research exists to elucidate whether atypical readers—such as those with developmental dyslexia—show such a processing advantage for figurative interpretations of idioms, or whether their reading impairment implicates subtle differences in semantic access. We wanted to know whether an initial figurative interpretation of similes, for both typical and dyslexic readers, is dependent on familiarity. Here, we tracked typical and dyslexic readers’ eye movements as they read sentences containing similes (e.g., as cold as ice), orthogonally manipulated for novelty (e.g., familiar: as cold as ice, novel: as cold as snow) and figurativeness (e.g., literal: as cold as ice [low temperature], figurative: as cold as ice [emotionally distant]), with figurativeness being defined by the sentence context. Both participant groups exhibited a processing advantage for familiar and figurative similes over novel and literal similes. However, compared with typical readers, participants with dyslexia had greater difficulty processing similes both when they were unfamiliar and when the context biased the simile meaning towards a literal rather than a figurative interpretation. Our findings suggest a semantic processing anomaly in dyslexic readers, which we discuss in light of recent literature on sentence-level semantic processing.","container-title":"Quarterly Journal of Experimental Psychology","DOI":"10.1177/17470218221089245","ISSN":"17470226","note":"ISBN: 1747021822","title":"As clear as glass: How figurativeness and familiarity impact simile processing in readers with and without dyslexia","author":[{"family":"Egan","given":"Ciara"},{"family":"Siyanova-Chanturia","given":"Anna"},{"family":"Warren","given":"Paul"},{"family":"Jones","given":"Manon W."}],"issued":{"date-parts":[["2022"]]}}}],"schema":"https://github.com/citation-style-language/schema/raw/master/csl-citation.json"} </w:instrText>
      </w:r>
      <w:r w:rsidRPr="00A056BE">
        <w:fldChar w:fldCharType="separate"/>
      </w:r>
      <w:r w:rsidRPr="00A056BE">
        <w:t>Egan et al., 2022)</w:t>
      </w:r>
      <w:r w:rsidRPr="00A056BE">
        <w:fldChar w:fldCharType="end"/>
      </w:r>
      <w:r w:rsidRPr="00A056BE">
        <w:t>.</w:t>
      </w:r>
    </w:p>
    <w:p w14:paraId="02191EB0" w14:textId="2FE81F65" w:rsidR="00C4463B" w:rsidRPr="00A056BE" w:rsidRDefault="001A0280" w:rsidP="001A0280">
      <w:pPr>
        <w:pStyle w:val="BodyText2"/>
        <w:spacing w:after="0" w:line="240" w:lineRule="auto"/>
        <w:ind w:firstLine="708"/>
        <w:contextualSpacing/>
        <w:jc w:val="both"/>
      </w:pPr>
      <w:r w:rsidRPr="00A056BE">
        <w:t xml:space="preserve">By contrast, some difficulties may be mitigated by the fact that adults with dyslexia (at least university students) do not seem to be impaired in vocabulary knowledge </w:t>
      </w:r>
      <w:r w:rsidRPr="00A056BE">
        <w:fldChar w:fldCharType="begin"/>
      </w:r>
      <w:r w:rsidRPr="00A056BE">
        <w:instrText xml:space="preserve"> ADDIN ZOTERO_ITEM CSL_CITATION {"citationID":"yf1hJgxm","properties":{"formattedCitation":"(Cavalli et al., 2016; Rasamimanana et al., 2020)","plainCitation":"(Cavalli et al., 2016; Rasamimanana et al., 2020)","noteIndex":0},"citationItems":[{"id":147,"uris":["http://zotero.org/users/10108531/items/TZICMNNA"],"itemData":{"id":147,"type":"article-journal","abstract":"Most studies in adults with developmental dyslexia have focused on identifying the deficits responsible for their persistent reading difficulties, but little is known on how these readers manage the intensive exposure to written language required to obtain a university degree. The main objective of this study was to identify certain skills, and specifically vocabulary skills, that French university students with dyslexia have developed and that may contribute to their literacy skills. We tested 20 university students with dyslexia and 20 normal readers (matched on chronological age, gender, nonverbal IQ, and level of education) in reading, phonological, vocabulary breadth (number of known words), and vocabulary depth (accuracy and precision) tasks. In comparing vocabulary measures, we used both Rasch model and single case study methodologies. Results on reading and phonological tasks confirmed the persistence of deficits in written word recognition and phonological skills. However, using the Rasch model we found that the two groups performed at the same level in the vocabulary breadth task, whereas dyslexics systematically outperformed their chronological age controls in the vocabulary depth task. These results are supplemented by multiple case studies. The vocabulary skills of French university students with dyslexia are well developed. Possible interpretations of these results are discussed.","container-title":"Research in Developmental Disabilities","DOI":"10.1016/j.ridd.2016.01.006","ISSN":"18733379","note":"PMID: 26812595","page":"89-102","title":"Vocabulary skills are well developed in university students with dyslexia: Evidence from multiple case studies","volume":"51-52","author":[{"family":"Cavalli","given":"Eddy"},{"family":"Casalis","given":"Séverine"},{"family":"Ahmadi","given":"Abdessadek El"},{"family":"Zira","given":"Mélody"},{"family":"Poracchia-George","given":"Florence"},{"family":"Colé","given":"Pascale"}],"issued":{"date-parts":[["2016"]]}}},{"id":318,"uris":["http://zotero.org/users/10108531/items/UWNNAKW4"],"itemData":{"id":318,"type":"article-journal","abstract":"The aim of this experiment was to use behavioral and electrophysiological methods to compare university students with dyslexia and matched skilled readers in a novel word learning experiment that included phonological categorization tasks, a word learning phase and a test phase with matching and semantic tasks. Specifically, we aimed at disentangling two hypotheses. If phonological processing drives novel word learning and if phonological processing is impaired in students with dyslexia, they should perform lower than skilled readers not only in the phonological categorization tasks but also in the matching and semantic tasks. By contrast, if students with dyslexia use semantic knowledge to compensate for their phonological deficits, should be able to reach the same level of performance and show similar enhancements of the N200 and N400 components than skilled readers in the matching and semantic tasks. Results at both behavioral and electrophysiological levels showed that the phonological deficits evidenced in the phonological tasks did not impede students with dyslexia to learn the meaning of novel words, possibly because they mobilized more frontal resources than skilled readers. These results are discussed within a general framework of semantic compensation in adults with dyslexia.","container-title":"Neuropsychologia","DOI":"10.1016/j.neuropsychologia.2020.107358","ISSN":"18733514","issue":"June 2019","note":"PMID: 31978401","title":"Semantic compensation and novel word learning in university students with dyslexia","volume":"139","author":[{"family":"Rasamimanana","given":"Maud"},{"family":"Barbaroux","given":"Mylène"},{"family":"Colé","given":"Pascale"},{"family":"Besson","given":"Mireille"}],"issued":{"date-parts":[["2020"]]}}}],"schema":"https://github.com/citation-style-language/schema/raw/master/csl-citation.json"} </w:instrText>
      </w:r>
      <w:r w:rsidRPr="00A056BE">
        <w:fldChar w:fldCharType="separate"/>
      </w:r>
      <w:r w:rsidRPr="00A056BE">
        <w:rPr>
          <w:noProof/>
        </w:rPr>
        <w:t>(Cavalli et al., 2016; Rasamimanana et al., 2020)</w:t>
      </w:r>
      <w:r w:rsidRPr="00A056BE">
        <w:fldChar w:fldCharType="end"/>
      </w:r>
      <w:r w:rsidRPr="00A056BE">
        <w:t xml:space="preserve">. They also tend to show higher mental flexibility (e.g., creative skills) than typically-developing controls </w:t>
      </w:r>
      <w:r w:rsidRPr="00A056BE">
        <w:fldChar w:fldCharType="begin"/>
      </w:r>
      <w:r w:rsidR="005A0A90">
        <w:instrText xml:space="preserve"> ADDIN ZOTERO_ITEM CSL_CITATION {"citationID":"l9Xg970y","properties":{"formattedCitation":"(Cancer &amp; Antonietti, 2020; Majeed et al., 2021)","plainCitation":"(Cancer &amp; Antonietti, 2020; Majeed et al., 2021)","dontUpdate":true,"noteIndex":0},"citationItems":[{"id":"Hf7U15M0/jKBdBwGM","uris":["http://zotero.org/users/10108531/items/26VA2S38"],"itemData":{"id":"SAvwlzCs/Pb1ZRjzx","type":"chapter","abstract":"Creativity research about individuals with dyslexia is largely based on anecdotal information and historical-biographical reconstructions of exceptionally talented individuals with dyslexia and their original contributions in a variety of domains (e.g., literature, arts, science, sports). However, a number of empirical studies have been conducted to investigate the hypothesis of a creativity superiority of both children and adults with dyslexia, which were reviewed in the present chapter. Rather than a general trend of enhanced creative ability in individuals with dyslexia, findings suggest a dyslexia-related creative profile characterized by a superiority in specific sub-processes of creative thinking, namely fluency and originality. Overall, these findings support the hypothesis of a compensatory cognitive benefit of reading disability. (PsycInfo Database Record (c) 2021 APA, all rights reserved)","collection-title":"Perspectives on cognitive psychology","container-title":"New frontiers in creativity","event-place":"Hauppauge, NY, US","ISBN":"978-1-5361-6637-8","page":"125-148","publisher":"Nova Science Publishers","publisher-place":"Hauppauge, NY, US","source":"APA PsycNet","title":"Creativity and dyslexia: Theoretical insights and empirical evidence supporting a possible link","title-short":"Creativity and dyslexia","author":[{"family":"Cancer","given":"Alice"},{"family":"Antonietti","given":"Alessandro"}],"issued":{"date-parts":[["2020"]]}}},{"id":109,"uris":["http://zotero.org/users/10108531/items/YRMGD6WA"],"itemData":{"id":109,"type":"article-journal","abstract":"Despite difficulties in reading and writing, some research suggests that dyslexia may be related to higher levels of creativity. However, this pattern is not consistently observed. The current research sought to ascertain whether individuals with clinically diagnosed dyslexia exhibit higher creativity than controls through a meta-analysis. Fourteen studies that assessed the creativity of 397 individuals with clinically diagnosed dyslexia and 453 controls were reviewed. Random-effects meta-analysis revealed an overall non-significant difference in creativity scores between those with dyslexia and controls. Additionally, method factors such as the type of creativity task and whether intelligence was controlled for, as well as sample-related factors such as gender, did not explain differences in the dyslexia–creativity relationship. Nonetheless, individuals with dyslexia significantly outperformed controls in creativity scores in adult samples, but not in younger child/adolescent samples. Overall, the current findings provide limited support for the idea that individuals with dyslexia are more creative, and that past evidence of this relationship may be limited to adult samples.","container-title":"Dyslexia","DOI":"10.1002/dys.1677","ISSN":"10990909","issue":"2","note":"PMID: 33586314","page":"187-203","title":"Developmental dyslexia and creativity: A meta-analysis","volume":"27","author":[{"family":"Majeed","given":"Nadyanna M."},{"family":"Hartanto","given":"Andree"},{"family":"Tan","given":"Jacinth J.X."}],"issued":{"date-parts":[["2021"]]}}}],"schema":"https://github.com/citation-style-language/schema/raw/master/csl-citation.json"} </w:instrText>
      </w:r>
      <w:r w:rsidRPr="00A056BE">
        <w:fldChar w:fldCharType="separate"/>
      </w:r>
      <w:r w:rsidRPr="00A056BE">
        <w:rPr>
          <w:noProof/>
        </w:rPr>
        <w:t>(Cancer &amp; Antonietti, 2020; Majeed et al., 2021)</w:t>
      </w:r>
      <w:r w:rsidRPr="00A056BE">
        <w:fldChar w:fldCharType="end"/>
      </w:r>
      <w:r w:rsidRPr="00A056BE">
        <w:t xml:space="preserve">. To </w:t>
      </w:r>
      <w:r>
        <w:t>explore possible influences of individual differences on our results</w:t>
      </w:r>
      <w:r w:rsidRPr="00A056BE">
        <w:t>, we assessed each participant’s working memory, reading history, vocabulary knowledge, and Theory of Mind. We did not assess mental flexibility and creativity, whose tasks usually require multiple measurements (e.g., fluency, flexibility, elaboration, and originality) and there is ongoing debate on their reliability (see</w:t>
      </w:r>
      <w:r w:rsidRPr="00A056BE">
        <w:fldChar w:fldCharType="begin"/>
      </w:r>
      <w:r w:rsidRPr="00A056BE">
        <w:instrText xml:space="preserve"> ADDIN ZOTERO_ITEM CSL_CITATION {"citationID":"SHemxRlN","properties":{"formattedCitation":"(Plucker et al., 2020; Sternberg, 2020)","plainCitation":"(Plucker et al., 2020; Sternberg, 2020)","dontUpdate":true,"noteIndex":0},"citationItems":[{"id":2091,"uris":["http://zotero.org/users/10108531/items/YA867ZUE"],"itemData":{"id":2091,"type":"chapter","abstract":"How are intelligence and creativity related? Given the dynamic and complex nature of both constructs, this question is a nuanced one. This chapter first discusses how creativity is represented in intelligence theories (such as Guilford’s Structure of Intellect, CHC, and successful intelligence, and how intelligence is represented in creativity theories (such as systems and componential theories, domain-based theories, and cognitive theories). Next, empirical studies are reviewed. The threshold theory, which proposes that intelligence and creativity are related but only up to about an IQ of 120, has received mixed support. More recent studies using sophisticated statistical analyses have found more evidence. A reliance on measures of divergent thinking and g as the sole tests of creativity and intelligence may also limit much existing research.","collection-title":"Cambridge Handbooks in Psychology","container-title":"The Cambridge Handbook of Intelligence","edition":"2","event-place":"Cambridge","ISBN":"978-1-108-48510-4","note":"DOI: 10.1017/9781108770422.046","page":"1087-1105","publisher":"Cambridge University Press","publisher-place":"Cambridge","source":"Cambridge University Press","title":"Intelligence and Creativity","URL":"https://www.cambridge.org/core/books/cambridge-handbook-of-intelligence/intelligence-and-creativity/A44B8C160568E52B7B06A464BFD3F431","editor":[{"family":"Sternberg","given":"Robert J."}],"author":[{"family":"Plucker","given":"Jonathan A."},{"family":"Karwowski","given":"Maciej"},{"family":"Kaufman","given":"James C."}],"accessed":{"date-parts":[["2022",11,7]]},"issued":{"date-parts":[["2020"]]}}},{"id":2089,"uris":["http://zotero.org/users/10108531/items/WUFCZR2B"],"itemData":{"id":2089,"type":"article-journal","abstract":"Creativity testing as it is now done is often based on a defective assumption that different kinds of creativity can be compressed into a single unidimensional scale. There is no reason to believe that the different kinds of creativity represent, simply, different amounts of a single unidimensional construct. The article shows how three different ways of viewing creativity lead to different ways of measuring creativity, all at variance with current unidimensional models. The point of view presented here does not suggest that current creativity tests are invalid, but rather, that care must be taken in the nature of claims made for them. Moreover, many of the same arguments could be applied to the measurement of intelligence and even wisdom as well.","container-title":"The Journal of Creative Behavior","DOI":"10.1002/jocb.237","ISSN":"2162-6057","issue":"1","language":"en","note":"_eprint: https://onlinelibrary.wiley.com/doi/pdf/10.1002/jocb.237","page":"20-36","source":"Wiley Online Library","title":"What's Wrong with Creativity Testing?","volume":"54","author":[{"family":"Sternberg","given":"Robert J."}],"issued":{"date-parts":[["2020"]]}}}],"schema":"https://github.com/citation-style-language/schema/raw/master/csl-citation.json"} </w:instrText>
      </w:r>
      <w:r w:rsidRPr="00A056BE">
        <w:fldChar w:fldCharType="separate"/>
      </w:r>
      <w:r w:rsidRPr="00A056BE">
        <w:rPr>
          <w:noProof/>
        </w:rPr>
        <w:t xml:space="preserve"> Plucker et al., 2020; Sternberg, 2020)</w:t>
      </w:r>
      <w:r w:rsidRPr="00A056BE">
        <w:fldChar w:fldCharType="end"/>
      </w:r>
      <w:r w:rsidRPr="00A056BE">
        <w:t>.</w:t>
      </w:r>
      <w:r w:rsidR="008170EE" w:rsidRPr="00A056BE">
        <w:t xml:space="preserve"> </w:t>
      </w:r>
    </w:p>
    <w:p w14:paraId="2B9CCAAD" w14:textId="391813A2" w:rsidR="00697F1B" w:rsidRDefault="00697F1B" w:rsidP="00073BFB">
      <w:pPr>
        <w:pStyle w:val="BodyText2"/>
        <w:spacing w:after="0" w:line="240" w:lineRule="auto"/>
        <w:ind w:firstLine="708"/>
        <w:contextualSpacing/>
        <w:jc w:val="both"/>
      </w:pPr>
    </w:p>
    <w:p w14:paraId="47B1F330" w14:textId="77777777" w:rsidR="00A95C9B" w:rsidRPr="00A056BE" w:rsidRDefault="00A95C9B" w:rsidP="00073BFB">
      <w:pPr>
        <w:pStyle w:val="BodyText2"/>
        <w:spacing w:after="0" w:line="240" w:lineRule="auto"/>
        <w:ind w:firstLine="708"/>
        <w:contextualSpacing/>
        <w:jc w:val="both"/>
      </w:pPr>
    </w:p>
    <w:p w14:paraId="0391914B" w14:textId="3F01C2AE" w:rsidR="00697F1B" w:rsidRDefault="00697F1B" w:rsidP="00073BFB">
      <w:pPr>
        <w:pStyle w:val="BodyText2"/>
        <w:spacing w:line="240" w:lineRule="auto"/>
        <w:contextualSpacing/>
        <w:jc w:val="both"/>
        <w:rPr>
          <w:b/>
          <w:bCs/>
        </w:rPr>
      </w:pPr>
      <w:r w:rsidRPr="00A056BE">
        <w:rPr>
          <w:b/>
          <w:bCs/>
        </w:rPr>
        <w:t>5. Methods</w:t>
      </w:r>
    </w:p>
    <w:p w14:paraId="4ED030CA" w14:textId="77777777" w:rsidR="00A95C9B" w:rsidRPr="00A056BE" w:rsidRDefault="00A95C9B" w:rsidP="00073BFB">
      <w:pPr>
        <w:pStyle w:val="BodyText2"/>
        <w:spacing w:line="240" w:lineRule="auto"/>
        <w:contextualSpacing/>
        <w:jc w:val="both"/>
        <w:rPr>
          <w:b/>
          <w:bCs/>
        </w:rPr>
      </w:pPr>
    </w:p>
    <w:p w14:paraId="51861C8B" w14:textId="77777777" w:rsidR="001A0280" w:rsidRDefault="001A0280" w:rsidP="001A0280">
      <w:pPr>
        <w:spacing w:line="240" w:lineRule="auto"/>
        <w:contextualSpacing/>
        <w:jc w:val="both"/>
        <w:rPr>
          <w:rFonts w:ascii="Times New Roman" w:hAnsi="Times New Roman" w:cs="Times New Roman"/>
          <w:b/>
          <w:i/>
          <w:sz w:val="24"/>
          <w:szCs w:val="24"/>
          <w:lang w:val="en-US"/>
        </w:rPr>
      </w:pPr>
      <w:r w:rsidRPr="00A056BE">
        <w:rPr>
          <w:rFonts w:ascii="Times New Roman" w:hAnsi="Times New Roman" w:cs="Times New Roman"/>
          <w:b/>
          <w:i/>
          <w:sz w:val="24"/>
          <w:szCs w:val="24"/>
          <w:lang w:val="en-US"/>
        </w:rPr>
        <w:t>Participants</w:t>
      </w:r>
    </w:p>
    <w:p w14:paraId="2101D684" w14:textId="77777777" w:rsidR="001A0280" w:rsidRPr="00A056BE" w:rsidRDefault="001A0280" w:rsidP="001A0280">
      <w:pPr>
        <w:spacing w:line="240" w:lineRule="auto"/>
        <w:contextualSpacing/>
        <w:jc w:val="both"/>
        <w:rPr>
          <w:rFonts w:ascii="Times New Roman" w:hAnsi="Times New Roman" w:cs="Times New Roman"/>
          <w:b/>
          <w:i/>
          <w:sz w:val="24"/>
          <w:szCs w:val="24"/>
          <w:lang w:val="en-US"/>
        </w:rPr>
      </w:pPr>
    </w:p>
    <w:p w14:paraId="5E8F4D82" w14:textId="77777777" w:rsidR="001A0280" w:rsidRPr="00A056BE" w:rsidRDefault="001A0280" w:rsidP="001A0280">
      <w:pPr>
        <w:spacing w:line="240" w:lineRule="auto"/>
        <w:contextualSpacing/>
        <w:jc w:val="both"/>
        <w:rPr>
          <w:rFonts w:ascii="Times New Roman" w:hAnsi="Times New Roman" w:cs="Times New Roman"/>
          <w:bCs/>
          <w:iCs/>
          <w:sz w:val="24"/>
          <w:szCs w:val="24"/>
          <w:lang w:val="en-US"/>
        </w:rPr>
      </w:pPr>
      <w:r w:rsidRPr="00A056BE">
        <w:rPr>
          <w:rFonts w:ascii="Times New Roman" w:hAnsi="Times New Roman" w:cs="Times New Roman"/>
          <w:sz w:val="24"/>
          <w:szCs w:val="24"/>
          <w:lang w:val="en-US"/>
        </w:rPr>
        <w:t>Seventy-nine participants took part in the study. The sample included 38 English native speakers with a diagnosis of dyslexia (DYS)</w:t>
      </w:r>
      <w:r>
        <w:rPr>
          <w:rFonts w:ascii="Times New Roman" w:hAnsi="Times New Roman" w:cs="Times New Roman"/>
          <w:sz w:val="24"/>
          <w:szCs w:val="24"/>
          <w:lang w:val="en-US"/>
        </w:rPr>
        <w:t xml:space="preserve"> </w:t>
      </w:r>
      <w:r w:rsidRPr="00A056BE">
        <w:rPr>
          <w:rFonts w:ascii="Times New Roman" w:hAnsi="Times New Roman" w:cs="Times New Roman"/>
          <w:sz w:val="24"/>
          <w:szCs w:val="24"/>
          <w:lang w:val="en-US"/>
        </w:rPr>
        <w:t>and no associated comorbidities and 41 typically-developing (TD)</w:t>
      </w:r>
      <w:r>
        <w:rPr>
          <w:rFonts w:ascii="Times New Roman" w:hAnsi="Times New Roman" w:cs="Times New Roman"/>
          <w:sz w:val="24"/>
          <w:szCs w:val="24"/>
          <w:lang w:val="en-US"/>
        </w:rPr>
        <w:t xml:space="preserve"> </w:t>
      </w:r>
      <w:r w:rsidRPr="00A056BE">
        <w:rPr>
          <w:rFonts w:ascii="Times New Roman" w:hAnsi="Times New Roman" w:cs="Times New Roman"/>
          <w:sz w:val="24"/>
          <w:szCs w:val="24"/>
          <w:lang w:val="en-US"/>
        </w:rPr>
        <w:t xml:space="preserve">English native speakers as control participants. Both groups were recruited from the University of East Anglia. </w:t>
      </w:r>
      <w:r w:rsidRPr="00AC10A4">
        <w:rPr>
          <w:rFonts w:ascii="Times New Roman" w:hAnsi="Times New Roman" w:cs="Times New Roman"/>
          <w:bCs/>
          <w:iCs/>
          <w:sz w:val="24"/>
          <w:szCs w:val="24"/>
          <w:lang w:val="en-US"/>
        </w:rPr>
        <w:t xml:space="preserve">After removing four individuals who showed anomalous reaction times (3 SDs from the mean; see the “Results” section) and one subject with dyslexia that had anomalous RAN scores (not in line with the condition), </w:t>
      </w:r>
      <w:r w:rsidRPr="00A056BE">
        <w:rPr>
          <w:rFonts w:ascii="Times New Roman" w:hAnsi="Times New Roman" w:cs="Times New Roman"/>
          <w:bCs/>
          <w:iCs/>
          <w:sz w:val="24"/>
          <w:szCs w:val="24"/>
          <w:lang w:val="en-US"/>
        </w:rPr>
        <w:t xml:space="preserve">the final sample included </w:t>
      </w:r>
      <w:r w:rsidRPr="00A056BE">
        <w:rPr>
          <w:rFonts w:ascii="Times New Roman" w:hAnsi="Times New Roman" w:cs="Times New Roman"/>
          <w:sz w:val="24"/>
          <w:szCs w:val="24"/>
          <w:lang w:val="en-US"/>
        </w:rPr>
        <w:t>3</w:t>
      </w:r>
      <w:r>
        <w:rPr>
          <w:rFonts w:ascii="Times New Roman" w:hAnsi="Times New Roman" w:cs="Times New Roman"/>
          <w:sz w:val="24"/>
          <w:szCs w:val="24"/>
          <w:lang w:val="en-US"/>
        </w:rPr>
        <w:t>5</w:t>
      </w:r>
      <w:r w:rsidRPr="00A056BE">
        <w:rPr>
          <w:rFonts w:ascii="Times New Roman" w:hAnsi="Times New Roman" w:cs="Times New Roman"/>
          <w:sz w:val="24"/>
          <w:szCs w:val="24"/>
          <w:lang w:val="en-US"/>
        </w:rPr>
        <w:t xml:space="preserve"> participants (6M, 30F, mean age</w:t>
      </w:r>
      <w:r>
        <w:rPr>
          <w:rFonts w:ascii="Times New Roman" w:hAnsi="Times New Roman" w:cs="Times New Roman"/>
          <w:sz w:val="24"/>
          <w:szCs w:val="24"/>
          <w:lang w:val="en-US"/>
        </w:rPr>
        <w:t xml:space="preserve"> </w:t>
      </w:r>
      <w:r w:rsidRPr="00A056BE">
        <w:rPr>
          <w:rFonts w:ascii="Times New Roman" w:hAnsi="Times New Roman" w:cs="Times New Roman"/>
          <w:sz w:val="24"/>
          <w:szCs w:val="24"/>
          <w:lang w:val="en-US"/>
        </w:rPr>
        <w:t>= 21.4, SD</w:t>
      </w:r>
      <w:r>
        <w:rPr>
          <w:rFonts w:ascii="Times New Roman" w:hAnsi="Times New Roman" w:cs="Times New Roman"/>
          <w:sz w:val="24"/>
          <w:szCs w:val="24"/>
          <w:lang w:val="en-US"/>
        </w:rPr>
        <w:t xml:space="preserve"> </w:t>
      </w:r>
      <w:r w:rsidRPr="00A056BE">
        <w:rPr>
          <w:rFonts w:ascii="Times New Roman" w:hAnsi="Times New Roman" w:cs="Times New Roman"/>
          <w:sz w:val="24"/>
          <w:szCs w:val="24"/>
          <w:lang w:val="en-US"/>
        </w:rPr>
        <w:t>= 4.5</w:t>
      </w:r>
      <w:r>
        <w:rPr>
          <w:rFonts w:ascii="Times New Roman" w:hAnsi="Times New Roman" w:cs="Times New Roman"/>
          <w:sz w:val="24"/>
          <w:szCs w:val="24"/>
          <w:lang w:val="en-US"/>
        </w:rPr>
        <w:t>6</w:t>
      </w:r>
      <w:r w:rsidRPr="00A056BE">
        <w:rPr>
          <w:rFonts w:ascii="Times New Roman" w:hAnsi="Times New Roman" w:cs="Times New Roman"/>
          <w:sz w:val="24"/>
          <w:szCs w:val="24"/>
          <w:lang w:val="en-US"/>
        </w:rPr>
        <w:t>) in the DYS group and 39 participants (8M, 31F, mean age</w:t>
      </w:r>
      <w:r>
        <w:rPr>
          <w:rFonts w:ascii="Times New Roman" w:hAnsi="Times New Roman" w:cs="Times New Roman"/>
          <w:sz w:val="24"/>
          <w:szCs w:val="24"/>
          <w:lang w:val="en-US"/>
        </w:rPr>
        <w:t xml:space="preserve"> </w:t>
      </w:r>
      <w:r w:rsidRPr="00A056BE">
        <w:rPr>
          <w:rFonts w:ascii="Times New Roman" w:hAnsi="Times New Roman" w:cs="Times New Roman"/>
          <w:sz w:val="24"/>
          <w:szCs w:val="24"/>
          <w:lang w:val="en-US"/>
        </w:rPr>
        <w:t>= 21.1, SD</w:t>
      </w:r>
      <w:r>
        <w:rPr>
          <w:rFonts w:ascii="Times New Roman" w:hAnsi="Times New Roman" w:cs="Times New Roman"/>
          <w:sz w:val="24"/>
          <w:szCs w:val="24"/>
          <w:lang w:val="en-US"/>
        </w:rPr>
        <w:t xml:space="preserve"> </w:t>
      </w:r>
      <w:r w:rsidRPr="00A056BE">
        <w:rPr>
          <w:rFonts w:ascii="Times New Roman" w:hAnsi="Times New Roman" w:cs="Times New Roman"/>
          <w:sz w:val="24"/>
          <w:szCs w:val="24"/>
          <w:lang w:val="en-US"/>
        </w:rPr>
        <w:t>= 4.53) in the TD</w:t>
      </w:r>
      <w:r w:rsidRPr="00A056BE">
        <w:rPr>
          <w:rFonts w:ascii="Times New Roman" w:hAnsi="Times New Roman" w:cs="Times New Roman"/>
          <w:bCs/>
          <w:iCs/>
          <w:sz w:val="24"/>
          <w:szCs w:val="24"/>
          <w:lang w:val="en-US"/>
        </w:rPr>
        <w:t xml:space="preserve"> group. </w:t>
      </w:r>
      <w:r w:rsidRPr="00A056BE">
        <w:rPr>
          <w:rFonts w:ascii="Times New Roman" w:hAnsi="Times New Roman" w:cs="Times New Roman"/>
          <w:bCs/>
          <w:iCs/>
          <w:sz w:val="24"/>
          <w:szCs w:val="24"/>
        </w:rPr>
        <w:t>The two groups did not differ in age (</w:t>
      </w:r>
      <w:r w:rsidRPr="00A056BE">
        <w:rPr>
          <w:rFonts w:ascii="Times New Roman" w:hAnsi="Times New Roman" w:cs="Times New Roman"/>
          <w:bCs/>
          <w:i/>
          <w:iCs/>
          <w:sz w:val="24"/>
          <w:szCs w:val="24"/>
        </w:rPr>
        <w:t>t</w:t>
      </w:r>
      <w:r>
        <w:rPr>
          <w:rFonts w:ascii="Times New Roman" w:hAnsi="Times New Roman" w:cs="Times New Roman"/>
          <w:bCs/>
          <w:i/>
          <w:iCs/>
          <w:sz w:val="24"/>
          <w:szCs w:val="24"/>
        </w:rPr>
        <w:t xml:space="preserve"> </w:t>
      </w:r>
      <w:r w:rsidRPr="00A056BE">
        <w:rPr>
          <w:rFonts w:ascii="Times New Roman" w:hAnsi="Times New Roman" w:cs="Times New Roman"/>
          <w:bCs/>
          <w:iCs/>
          <w:sz w:val="24"/>
          <w:szCs w:val="24"/>
        </w:rPr>
        <w:t xml:space="preserve">= </w:t>
      </w:r>
      <w:r w:rsidRPr="00D64196">
        <w:rPr>
          <w:rFonts w:ascii="Times New Roman" w:hAnsi="Times New Roman" w:cs="Times New Roman"/>
          <w:bCs/>
          <w:iCs/>
          <w:sz w:val="24"/>
          <w:szCs w:val="24"/>
          <w:lang w:val="en-US"/>
        </w:rPr>
        <w:t>-0.305</w:t>
      </w:r>
      <w:r w:rsidRPr="00A056BE">
        <w:rPr>
          <w:rFonts w:ascii="Times New Roman" w:hAnsi="Times New Roman" w:cs="Times New Roman"/>
          <w:bCs/>
          <w:iCs/>
          <w:sz w:val="24"/>
          <w:szCs w:val="24"/>
        </w:rPr>
        <w:t xml:space="preserve">, </w:t>
      </w:r>
      <w:r w:rsidRPr="00A056BE">
        <w:rPr>
          <w:rFonts w:ascii="Times New Roman" w:hAnsi="Times New Roman" w:cs="Times New Roman"/>
          <w:bCs/>
          <w:i/>
          <w:iCs/>
          <w:sz w:val="24"/>
          <w:szCs w:val="24"/>
        </w:rPr>
        <w:t>p</w:t>
      </w:r>
      <w:r>
        <w:rPr>
          <w:rFonts w:ascii="Times New Roman" w:hAnsi="Times New Roman" w:cs="Times New Roman"/>
          <w:bCs/>
          <w:i/>
          <w:iCs/>
          <w:sz w:val="24"/>
          <w:szCs w:val="24"/>
        </w:rPr>
        <w:t xml:space="preserve"> </w:t>
      </w:r>
      <w:r w:rsidRPr="00A056BE">
        <w:rPr>
          <w:rFonts w:ascii="Times New Roman" w:hAnsi="Times New Roman" w:cs="Times New Roman"/>
          <w:bCs/>
          <w:iCs/>
          <w:sz w:val="24"/>
          <w:szCs w:val="24"/>
        </w:rPr>
        <w:t xml:space="preserve">= </w:t>
      </w:r>
      <w:r w:rsidRPr="00A056BE">
        <w:rPr>
          <w:rFonts w:ascii="Times New Roman" w:hAnsi="Times New Roman" w:cs="Times New Roman"/>
          <w:bCs/>
          <w:iCs/>
          <w:sz w:val="24"/>
          <w:szCs w:val="24"/>
          <w:lang w:val="en-US"/>
        </w:rPr>
        <w:t>.7</w:t>
      </w:r>
      <w:r>
        <w:rPr>
          <w:rFonts w:ascii="Times New Roman" w:hAnsi="Times New Roman" w:cs="Times New Roman"/>
          <w:bCs/>
          <w:iCs/>
          <w:sz w:val="24"/>
          <w:szCs w:val="24"/>
          <w:lang w:val="en-US"/>
        </w:rPr>
        <w:t>61</w:t>
      </w:r>
      <w:r w:rsidRPr="00A056BE">
        <w:rPr>
          <w:rFonts w:ascii="Times New Roman" w:hAnsi="Times New Roman" w:cs="Times New Roman"/>
          <w:bCs/>
          <w:iCs/>
          <w:sz w:val="24"/>
          <w:szCs w:val="24"/>
        </w:rPr>
        <w:t>) or gender (</w:t>
      </w:r>
      <w:r w:rsidRPr="00A056BE">
        <w:rPr>
          <w:rFonts w:ascii="Times New Roman" w:hAnsi="Times New Roman" w:cs="Times New Roman"/>
          <w:bCs/>
          <w:iCs/>
          <w:sz w:val="24"/>
          <w:szCs w:val="24"/>
          <w:lang w:val="it-IT"/>
        </w:rPr>
        <w:t>χ</w:t>
      </w:r>
      <w:proofErr w:type="gramStart"/>
      <w:r w:rsidRPr="00A056BE">
        <w:rPr>
          <w:rFonts w:ascii="Times New Roman" w:hAnsi="Times New Roman" w:cs="Times New Roman"/>
          <w:bCs/>
          <w:iCs/>
          <w:sz w:val="24"/>
          <w:szCs w:val="24"/>
          <w:lang w:val="en-US"/>
        </w:rPr>
        <w:t>²(</w:t>
      </w:r>
      <w:proofErr w:type="gramEnd"/>
      <w:r w:rsidRPr="00A056BE">
        <w:rPr>
          <w:rFonts w:ascii="Times New Roman" w:hAnsi="Times New Roman" w:cs="Times New Roman"/>
          <w:bCs/>
          <w:iCs/>
          <w:sz w:val="24"/>
          <w:szCs w:val="24"/>
          <w:lang w:val="en-US"/>
        </w:rPr>
        <w:t>1)</w:t>
      </w:r>
      <w:r>
        <w:rPr>
          <w:rFonts w:ascii="Times New Roman" w:hAnsi="Times New Roman" w:cs="Times New Roman"/>
          <w:bCs/>
          <w:iCs/>
          <w:sz w:val="24"/>
          <w:szCs w:val="24"/>
          <w:lang w:val="en-US"/>
        </w:rPr>
        <w:t xml:space="preserve"> </w:t>
      </w:r>
      <w:r w:rsidRPr="00A056BE">
        <w:rPr>
          <w:rFonts w:ascii="Times New Roman" w:hAnsi="Times New Roman" w:cs="Times New Roman"/>
          <w:bCs/>
          <w:iCs/>
          <w:sz w:val="24"/>
          <w:szCs w:val="24"/>
          <w:lang w:val="en-US"/>
        </w:rPr>
        <w:t xml:space="preserve">= </w:t>
      </w:r>
      <w:r w:rsidRPr="006849D1">
        <w:rPr>
          <w:rFonts w:ascii="Times New Roman" w:hAnsi="Times New Roman" w:cs="Times New Roman"/>
          <w:bCs/>
          <w:iCs/>
          <w:sz w:val="24"/>
          <w:szCs w:val="24"/>
          <w:lang w:val="en-US"/>
        </w:rPr>
        <w:t>0.157</w:t>
      </w:r>
      <w:r w:rsidRPr="00A056BE">
        <w:rPr>
          <w:rFonts w:ascii="Times New Roman" w:hAnsi="Times New Roman" w:cs="Times New Roman"/>
          <w:bCs/>
          <w:iCs/>
          <w:sz w:val="24"/>
          <w:szCs w:val="24"/>
          <w:lang w:val="en-US"/>
        </w:rPr>
        <w:t xml:space="preserve">, </w:t>
      </w:r>
      <w:r w:rsidRPr="00A056BE">
        <w:rPr>
          <w:rFonts w:ascii="Times New Roman" w:hAnsi="Times New Roman" w:cs="Times New Roman"/>
          <w:bCs/>
          <w:i/>
          <w:iCs/>
          <w:sz w:val="24"/>
          <w:szCs w:val="24"/>
          <w:lang w:val="en-US"/>
        </w:rPr>
        <w:t>p</w:t>
      </w:r>
      <w:r w:rsidRPr="00A056BE">
        <w:rPr>
          <w:rFonts w:ascii="Times New Roman" w:hAnsi="Times New Roman" w:cs="Times New Roman"/>
          <w:bCs/>
          <w:iCs/>
          <w:sz w:val="24"/>
          <w:szCs w:val="24"/>
          <w:lang w:val="en-US"/>
        </w:rPr>
        <w:t xml:space="preserve"> =</w:t>
      </w:r>
      <w:r w:rsidRPr="006849D1">
        <w:t xml:space="preserve"> </w:t>
      </w:r>
      <w:r w:rsidRPr="006849D1">
        <w:rPr>
          <w:rFonts w:ascii="Times New Roman" w:hAnsi="Times New Roman" w:cs="Times New Roman"/>
          <w:bCs/>
          <w:iCs/>
          <w:sz w:val="24"/>
          <w:szCs w:val="24"/>
          <w:lang w:val="en-US"/>
        </w:rPr>
        <w:t>0.691</w:t>
      </w:r>
      <w:r w:rsidRPr="00A056BE">
        <w:rPr>
          <w:rFonts w:ascii="Times New Roman" w:hAnsi="Times New Roman" w:cs="Times New Roman"/>
          <w:bCs/>
          <w:iCs/>
          <w:sz w:val="24"/>
          <w:szCs w:val="24"/>
          <w:lang w:val="en-US"/>
        </w:rPr>
        <w:t>).</w:t>
      </w:r>
    </w:p>
    <w:p w14:paraId="3A9D5FF9" w14:textId="77777777" w:rsidR="001A0280" w:rsidRPr="00A056BE" w:rsidRDefault="001A0280" w:rsidP="001A0280">
      <w:pPr>
        <w:spacing w:line="240" w:lineRule="auto"/>
        <w:ind w:firstLine="720"/>
        <w:contextualSpacing/>
        <w:jc w:val="both"/>
        <w:rPr>
          <w:rFonts w:ascii="Times New Roman" w:hAnsi="Times New Roman" w:cs="Times New Roman"/>
          <w:bCs/>
          <w:iCs/>
          <w:sz w:val="24"/>
          <w:szCs w:val="24"/>
          <w:lang w:val="en-US"/>
        </w:rPr>
      </w:pPr>
      <w:r w:rsidRPr="00A056BE">
        <w:rPr>
          <w:rFonts w:ascii="Times New Roman" w:hAnsi="Times New Roman" w:cs="Times New Roman"/>
          <w:bCs/>
          <w:iCs/>
          <w:sz w:val="24"/>
          <w:szCs w:val="24"/>
          <w:lang w:val="en-US"/>
        </w:rPr>
        <w:t xml:space="preserve">Participants were compensated for their time either with participation credits or with £12. The study was approved by the School of Psychology Research Ethics Committee at the University of </w:t>
      </w:r>
      <w:r w:rsidRPr="00A056BE">
        <w:rPr>
          <w:rFonts w:ascii="Times New Roman" w:hAnsi="Times New Roman" w:cs="Times New Roman"/>
          <w:bCs/>
          <w:iCs/>
          <w:sz w:val="24"/>
          <w:szCs w:val="24"/>
          <w:lang w:val="en-US"/>
        </w:rPr>
        <w:lastRenderedPageBreak/>
        <w:t>East Anglia (UK). Informed consent was obtained from all participants before carrying out the study and all were debriefed at the end of the study.</w:t>
      </w:r>
    </w:p>
    <w:p w14:paraId="4277B4F0" w14:textId="77777777" w:rsidR="001A0280" w:rsidRPr="00A056BE" w:rsidRDefault="001A0280" w:rsidP="001A0280">
      <w:pPr>
        <w:spacing w:line="240" w:lineRule="auto"/>
        <w:ind w:firstLine="720"/>
        <w:contextualSpacing/>
        <w:jc w:val="both"/>
        <w:rPr>
          <w:rFonts w:ascii="Times New Roman" w:hAnsi="Times New Roman" w:cs="Times New Roman"/>
          <w:bCs/>
          <w:iCs/>
          <w:sz w:val="24"/>
          <w:szCs w:val="24"/>
          <w:lang w:val="en-US"/>
        </w:rPr>
      </w:pPr>
    </w:p>
    <w:p w14:paraId="05654118" w14:textId="77777777" w:rsidR="001A0280" w:rsidRDefault="001A0280" w:rsidP="001A0280">
      <w:pPr>
        <w:spacing w:line="240" w:lineRule="auto"/>
        <w:contextualSpacing/>
        <w:jc w:val="both"/>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Individual difference</w:t>
      </w:r>
      <w:r w:rsidRPr="00A056BE">
        <w:rPr>
          <w:rFonts w:ascii="Times New Roman" w:eastAsia="Calibri" w:hAnsi="Times New Roman" w:cs="Times New Roman"/>
          <w:b/>
          <w:i/>
          <w:sz w:val="24"/>
          <w:szCs w:val="24"/>
          <w:lang w:val="en-US"/>
        </w:rPr>
        <w:t>s</w:t>
      </w:r>
      <w:r>
        <w:rPr>
          <w:rFonts w:ascii="Times New Roman" w:eastAsia="Calibri" w:hAnsi="Times New Roman" w:cs="Times New Roman"/>
          <w:b/>
          <w:i/>
          <w:sz w:val="24"/>
          <w:szCs w:val="24"/>
          <w:lang w:val="en-US"/>
        </w:rPr>
        <w:t xml:space="preserve"> assessment</w:t>
      </w:r>
    </w:p>
    <w:p w14:paraId="187EEA65" w14:textId="77777777" w:rsidR="001A0280" w:rsidRPr="00A056BE" w:rsidRDefault="001A0280" w:rsidP="001A0280">
      <w:pPr>
        <w:spacing w:line="240" w:lineRule="auto"/>
        <w:contextualSpacing/>
        <w:jc w:val="both"/>
        <w:rPr>
          <w:rFonts w:ascii="Times New Roman" w:eastAsia="Calibri" w:hAnsi="Times New Roman" w:cs="Times New Roman"/>
          <w:b/>
          <w:i/>
          <w:sz w:val="24"/>
          <w:szCs w:val="24"/>
          <w:lang w:val="en-US"/>
        </w:rPr>
      </w:pPr>
    </w:p>
    <w:p w14:paraId="1E582D62" w14:textId="40BCE97F" w:rsidR="001A0280" w:rsidRPr="00A056BE" w:rsidRDefault="001A0280" w:rsidP="001A0280">
      <w:pPr>
        <w:spacing w:line="240" w:lineRule="auto"/>
        <w:contextualSpacing/>
        <w:jc w:val="both"/>
        <w:rPr>
          <w:rFonts w:ascii="Times New Roman" w:eastAsia="Calibri" w:hAnsi="Times New Roman" w:cs="Times New Roman"/>
          <w:bCs/>
          <w:iCs/>
          <w:sz w:val="24"/>
          <w:szCs w:val="24"/>
          <w:lang w:val="en-US"/>
        </w:rPr>
      </w:pPr>
      <w:r w:rsidRPr="00A056BE">
        <w:rPr>
          <w:rFonts w:ascii="Times New Roman" w:eastAsia="Calibri" w:hAnsi="Times New Roman" w:cs="Times New Roman"/>
          <w:bCs/>
          <w:iCs/>
          <w:sz w:val="24"/>
          <w:szCs w:val="24"/>
          <w:lang w:val="en-US"/>
        </w:rPr>
        <w:t>All participants were tested individually before the eye-tracking task. The standardized procedures of administration for each test were followed as described in the test manuals</w:t>
      </w:r>
      <w:r>
        <w:rPr>
          <w:rFonts w:ascii="Times New Roman" w:eastAsia="Calibri" w:hAnsi="Times New Roman" w:cs="Times New Roman"/>
          <w:bCs/>
          <w:iCs/>
          <w:sz w:val="24"/>
          <w:szCs w:val="24"/>
          <w:lang w:val="en-US"/>
        </w:rPr>
        <w:t xml:space="preserve">; </w:t>
      </w:r>
      <w:r w:rsidRPr="00AC10A4">
        <w:rPr>
          <w:rFonts w:ascii="Times New Roman" w:eastAsia="Calibri" w:hAnsi="Times New Roman" w:cs="Times New Roman"/>
          <w:bCs/>
          <w:iCs/>
          <w:sz w:val="24"/>
          <w:szCs w:val="24"/>
          <w:lang w:val="en-US"/>
        </w:rPr>
        <w:t xml:space="preserve">a description of the tests used is provided in the </w:t>
      </w:r>
      <w:r w:rsidR="00985EAA">
        <w:rPr>
          <w:rFonts w:ascii="Times New Roman" w:eastAsia="Calibri" w:hAnsi="Times New Roman" w:cs="Times New Roman"/>
          <w:bCs/>
          <w:iCs/>
          <w:sz w:val="24"/>
          <w:szCs w:val="24"/>
          <w:lang w:val="en-US"/>
        </w:rPr>
        <w:t>S</w:t>
      </w:r>
      <w:r w:rsidRPr="00AC10A4">
        <w:rPr>
          <w:rFonts w:ascii="Times New Roman" w:eastAsia="Calibri" w:hAnsi="Times New Roman" w:cs="Times New Roman"/>
          <w:bCs/>
          <w:iCs/>
          <w:sz w:val="24"/>
          <w:szCs w:val="24"/>
          <w:lang w:val="en-US"/>
        </w:rPr>
        <w:t xml:space="preserve">upplementary </w:t>
      </w:r>
      <w:r w:rsidR="00985EAA">
        <w:rPr>
          <w:rFonts w:ascii="Times New Roman" w:eastAsia="Calibri" w:hAnsi="Times New Roman" w:cs="Times New Roman"/>
          <w:bCs/>
          <w:iCs/>
          <w:sz w:val="24"/>
          <w:szCs w:val="24"/>
          <w:lang w:val="en-US"/>
        </w:rPr>
        <w:t>M</w:t>
      </w:r>
      <w:r w:rsidRPr="00AC10A4">
        <w:rPr>
          <w:rFonts w:ascii="Times New Roman" w:eastAsia="Calibri" w:hAnsi="Times New Roman" w:cs="Times New Roman"/>
          <w:bCs/>
          <w:iCs/>
          <w:sz w:val="24"/>
          <w:szCs w:val="24"/>
          <w:lang w:val="en-US"/>
        </w:rPr>
        <w:t>aterials</w:t>
      </w:r>
      <w:r w:rsidR="00985EAA">
        <w:rPr>
          <w:rFonts w:ascii="Times New Roman" w:eastAsia="Calibri" w:hAnsi="Times New Roman" w:cs="Times New Roman"/>
          <w:bCs/>
          <w:iCs/>
          <w:sz w:val="24"/>
          <w:szCs w:val="24"/>
          <w:lang w:val="en-US"/>
        </w:rPr>
        <w:t>, Section A</w:t>
      </w:r>
      <w:r w:rsidRPr="00AC10A4">
        <w:rPr>
          <w:rFonts w:ascii="Times New Roman" w:eastAsia="Calibri" w:hAnsi="Times New Roman" w:cs="Times New Roman"/>
          <w:bCs/>
          <w:iCs/>
          <w:sz w:val="24"/>
          <w:szCs w:val="24"/>
          <w:lang w:val="en-US"/>
        </w:rPr>
        <w:t xml:space="preserve">. Table 2 reports all the measures for each group and </w:t>
      </w:r>
      <w:r w:rsidRPr="000F0476">
        <w:rPr>
          <w:rFonts w:ascii="Times New Roman" w:eastAsia="Calibri" w:hAnsi="Times New Roman" w:cs="Times New Roman"/>
          <w:bCs/>
          <w:i/>
          <w:sz w:val="24"/>
          <w:szCs w:val="24"/>
          <w:lang w:val="en-US"/>
        </w:rPr>
        <w:t>t</w:t>
      </w:r>
      <w:r w:rsidRPr="00AC10A4">
        <w:rPr>
          <w:rFonts w:ascii="Times New Roman" w:eastAsia="Calibri" w:hAnsi="Times New Roman" w:cs="Times New Roman"/>
          <w:bCs/>
          <w:iCs/>
          <w:sz w:val="24"/>
          <w:szCs w:val="24"/>
          <w:lang w:val="en-US"/>
        </w:rPr>
        <w:t xml:space="preserve">-tests </w:t>
      </w:r>
      <w:r>
        <w:rPr>
          <w:rFonts w:ascii="Times New Roman" w:eastAsia="Calibri" w:hAnsi="Times New Roman" w:cs="Times New Roman"/>
          <w:bCs/>
          <w:iCs/>
          <w:sz w:val="24"/>
          <w:szCs w:val="24"/>
          <w:lang w:val="en-US"/>
        </w:rPr>
        <w:t xml:space="preserve">were </w:t>
      </w:r>
      <w:r w:rsidRPr="00AC10A4">
        <w:rPr>
          <w:rFonts w:ascii="Times New Roman" w:eastAsia="Calibri" w:hAnsi="Times New Roman" w:cs="Times New Roman"/>
          <w:bCs/>
          <w:iCs/>
          <w:sz w:val="24"/>
          <w:szCs w:val="24"/>
          <w:lang w:val="en-US"/>
        </w:rPr>
        <w:t xml:space="preserve">used to </w:t>
      </w:r>
      <w:r>
        <w:rPr>
          <w:rFonts w:ascii="Times New Roman" w:eastAsia="Calibri" w:hAnsi="Times New Roman" w:cs="Times New Roman"/>
          <w:bCs/>
          <w:iCs/>
          <w:sz w:val="24"/>
          <w:szCs w:val="24"/>
          <w:lang w:val="en-US"/>
        </w:rPr>
        <w:t>identify</w:t>
      </w:r>
      <w:r w:rsidRPr="00AC10A4">
        <w:rPr>
          <w:rFonts w:ascii="Times New Roman" w:eastAsia="Calibri" w:hAnsi="Times New Roman" w:cs="Times New Roman"/>
          <w:bCs/>
          <w:iCs/>
          <w:sz w:val="24"/>
          <w:szCs w:val="24"/>
          <w:lang w:val="en-US"/>
        </w:rPr>
        <w:t xml:space="preserve"> between-group difference</w:t>
      </w:r>
      <w:r>
        <w:rPr>
          <w:rFonts w:ascii="Times New Roman" w:eastAsia="Calibri" w:hAnsi="Times New Roman" w:cs="Times New Roman"/>
          <w:bCs/>
          <w:iCs/>
          <w:sz w:val="24"/>
          <w:szCs w:val="24"/>
          <w:lang w:val="en-US"/>
        </w:rPr>
        <w:t>s</w:t>
      </w:r>
      <w:r w:rsidRPr="00AC10A4">
        <w:rPr>
          <w:rFonts w:ascii="Times New Roman" w:eastAsia="Calibri" w:hAnsi="Times New Roman" w:cs="Times New Roman"/>
          <w:bCs/>
          <w:iCs/>
          <w:sz w:val="24"/>
          <w:szCs w:val="24"/>
          <w:lang w:val="en-US"/>
        </w:rPr>
        <w:t>.</w:t>
      </w:r>
    </w:p>
    <w:p w14:paraId="6484A1A7" w14:textId="77777777" w:rsidR="00985EAA" w:rsidRDefault="00985EAA" w:rsidP="00985EAA">
      <w:pPr>
        <w:spacing w:line="240" w:lineRule="auto"/>
        <w:jc w:val="both"/>
        <w:rPr>
          <w:rFonts w:ascii="Times New Roman" w:hAnsi="Times New Roman" w:cs="Times New Roman"/>
          <w:b/>
          <w:iCs/>
          <w:lang w:val="en-US"/>
        </w:rPr>
      </w:pPr>
    </w:p>
    <w:p w14:paraId="7BF6829E" w14:textId="4A2E1266" w:rsidR="00985EAA" w:rsidRPr="00B43F1E" w:rsidRDefault="00985EAA" w:rsidP="00985EAA">
      <w:pPr>
        <w:spacing w:line="240" w:lineRule="auto"/>
        <w:jc w:val="both"/>
        <w:rPr>
          <w:rFonts w:ascii="Times New Roman" w:hAnsi="Times New Roman" w:cs="Times New Roman"/>
          <w:bCs/>
          <w:i/>
          <w:iCs/>
          <w:lang w:val="en-US"/>
        </w:rPr>
      </w:pPr>
      <w:r w:rsidRPr="00B43F1E">
        <w:rPr>
          <w:rFonts w:ascii="Times New Roman" w:hAnsi="Times New Roman" w:cs="Times New Roman"/>
          <w:b/>
          <w:iCs/>
          <w:lang w:val="en-US"/>
        </w:rPr>
        <w:t>Table 2</w:t>
      </w:r>
      <w:r w:rsidRPr="00B43F1E">
        <w:rPr>
          <w:rFonts w:ascii="Times New Roman" w:hAnsi="Times New Roman" w:cs="Times New Roman"/>
          <w:bCs/>
          <w:iCs/>
          <w:lang w:val="en-US"/>
        </w:rPr>
        <w:t xml:space="preserve"> - </w:t>
      </w:r>
      <w:r w:rsidRPr="00B43F1E">
        <w:rPr>
          <w:rFonts w:ascii="Times New Roman" w:hAnsi="Times New Roman" w:cs="Times New Roman"/>
          <w:bCs/>
          <w:i/>
          <w:iCs/>
          <w:lang w:val="en-US"/>
        </w:rPr>
        <w:t>Means and standard deviations for individual differences measures.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418"/>
        <w:gridCol w:w="1559"/>
        <w:gridCol w:w="1139"/>
        <w:gridCol w:w="1145"/>
        <w:gridCol w:w="1407"/>
      </w:tblGrid>
      <w:tr w:rsidR="00985EAA" w:rsidRPr="00B43F1E" w14:paraId="5DDC716E" w14:textId="77777777" w:rsidTr="00D3628F">
        <w:tc>
          <w:tcPr>
            <w:tcW w:w="2263" w:type="dxa"/>
            <w:tcBorders>
              <w:top w:val="single" w:sz="4" w:space="0" w:color="auto"/>
              <w:left w:val="nil"/>
              <w:bottom w:val="nil"/>
              <w:right w:val="nil"/>
            </w:tcBorders>
          </w:tcPr>
          <w:p w14:paraId="3AFDDD7C" w14:textId="77777777" w:rsidR="00985EAA" w:rsidRPr="00B43F1E" w:rsidRDefault="00985EAA" w:rsidP="00D3628F">
            <w:pPr>
              <w:spacing w:after="255" w:line="240" w:lineRule="auto"/>
              <w:contextualSpacing/>
              <w:rPr>
                <w:rFonts w:ascii="Times New Roman" w:hAnsi="Times New Roman" w:cs="Times New Roman"/>
                <w:b/>
                <w:bCs/>
                <w:i/>
                <w:iCs/>
                <w:sz w:val="24"/>
                <w:szCs w:val="24"/>
                <w:lang w:val="en-US"/>
              </w:rPr>
            </w:pPr>
          </w:p>
        </w:tc>
        <w:tc>
          <w:tcPr>
            <w:tcW w:w="1418" w:type="dxa"/>
            <w:tcBorders>
              <w:top w:val="single" w:sz="4" w:space="0" w:color="auto"/>
              <w:left w:val="nil"/>
              <w:bottom w:val="nil"/>
              <w:right w:val="nil"/>
            </w:tcBorders>
            <w:hideMark/>
          </w:tcPr>
          <w:p w14:paraId="3826C214" w14:textId="77777777" w:rsidR="00985EAA" w:rsidRPr="00B43F1E" w:rsidRDefault="00985EAA" w:rsidP="00D3628F">
            <w:pPr>
              <w:spacing w:after="255" w:line="240" w:lineRule="auto"/>
              <w:contextualSpacing/>
              <w:rPr>
                <w:rFonts w:ascii="Times New Roman" w:hAnsi="Times New Roman" w:cs="Times New Roman"/>
                <w:b/>
                <w:bCs/>
                <w:sz w:val="24"/>
                <w:szCs w:val="24"/>
                <w:lang w:val="en-US"/>
              </w:rPr>
            </w:pPr>
            <w:r w:rsidRPr="00B43F1E">
              <w:rPr>
                <w:rFonts w:ascii="Times New Roman" w:hAnsi="Times New Roman" w:cs="Times New Roman"/>
                <w:b/>
                <w:bCs/>
                <w:sz w:val="24"/>
                <w:szCs w:val="24"/>
                <w:lang w:val="en-US"/>
              </w:rPr>
              <w:t>TD (N=39)</w:t>
            </w:r>
          </w:p>
        </w:tc>
        <w:tc>
          <w:tcPr>
            <w:tcW w:w="1559" w:type="dxa"/>
            <w:tcBorders>
              <w:top w:val="single" w:sz="4" w:space="0" w:color="auto"/>
              <w:left w:val="nil"/>
              <w:bottom w:val="nil"/>
              <w:right w:val="nil"/>
            </w:tcBorders>
            <w:hideMark/>
          </w:tcPr>
          <w:p w14:paraId="41F03F8C" w14:textId="77777777" w:rsidR="00985EAA" w:rsidRPr="00B43F1E" w:rsidRDefault="00985EAA" w:rsidP="00D3628F">
            <w:pPr>
              <w:spacing w:after="255" w:line="240" w:lineRule="auto"/>
              <w:contextualSpacing/>
              <w:rPr>
                <w:rFonts w:ascii="Times New Roman" w:hAnsi="Times New Roman" w:cs="Times New Roman"/>
                <w:b/>
                <w:bCs/>
                <w:sz w:val="24"/>
                <w:szCs w:val="24"/>
                <w:lang w:val="en-US"/>
              </w:rPr>
            </w:pPr>
            <w:r w:rsidRPr="00B43F1E">
              <w:rPr>
                <w:rFonts w:ascii="Times New Roman" w:hAnsi="Times New Roman" w:cs="Times New Roman"/>
                <w:b/>
                <w:bCs/>
                <w:sz w:val="24"/>
                <w:szCs w:val="24"/>
                <w:lang w:val="en-US"/>
              </w:rPr>
              <w:t>DYS (N=35)</w:t>
            </w:r>
          </w:p>
        </w:tc>
        <w:tc>
          <w:tcPr>
            <w:tcW w:w="1139" w:type="dxa"/>
            <w:tcBorders>
              <w:top w:val="single" w:sz="4" w:space="0" w:color="auto"/>
              <w:left w:val="nil"/>
              <w:bottom w:val="nil"/>
              <w:right w:val="nil"/>
            </w:tcBorders>
            <w:hideMark/>
          </w:tcPr>
          <w:p w14:paraId="38C2C63C" w14:textId="77777777" w:rsidR="00985EAA" w:rsidRPr="00B43F1E" w:rsidRDefault="00985EAA" w:rsidP="00D3628F">
            <w:pPr>
              <w:spacing w:after="255" w:line="240" w:lineRule="auto"/>
              <w:contextualSpacing/>
              <w:rPr>
                <w:rFonts w:ascii="Times New Roman" w:hAnsi="Times New Roman" w:cs="Times New Roman"/>
                <w:b/>
                <w:bCs/>
                <w:sz w:val="24"/>
                <w:szCs w:val="24"/>
                <w:lang w:val="en-US"/>
              </w:rPr>
            </w:pPr>
            <w:r w:rsidRPr="00B43F1E">
              <w:rPr>
                <w:rFonts w:ascii="Times New Roman" w:hAnsi="Times New Roman" w:cs="Times New Roman"/>
                <w:b/>
                <w:bCs/>
                <w:i/>
                <w:iCs/>
                <w:sz w:val="24"/>
                <w:szCs w:val="24"/>
                <w:lang w:val="en-US"/>
              </w:rPr>
              <w:t>t</w:t>
            </w:r>
            <w:r w:rsidRPr="00B43F1E">
              <w:rPr>
                <w:rFonts w:ascii="Times New Roman" w:hAnsi="Times New Roman" w:cs="Times New Roman"/>
                <w:b/>
                <w:bCs/>
                <w:sz w:val="24"/>
                <w:szCs w:val="24"/>
                <w:lang w:val="en-US"/>
              </w:rPr>
              <w:t>-value</w:t>
            </w:r>
          </w:p>
        </w:tc>
        <w:tc>
          <w:tcPr>
            <w:tcW w:w="1145" w:type="dxa"/>
            <w:tcBorders>
              <w:top w:val="single" w:sz="4" w:space="0" w:color="auto"/>
              <w:left w:val="nil"/>
              <w:bottom w:val="nil"/>
              <w:right w:val="nil"/>
            </w:tcBorders>
            <w:hideMark/>
          </w:tcPr>
          <w:p w14:paraId="233BC69D" w14:textId="77777777" w:rsidR="00985EAA" w:rsidRPr="00B43F1E" w:rsidRDefault="00985EAA" w:rsidP="00D3628F">
            <w:pPr>
              <w:spacing w:after="255" w:line="240" w:lineRule="auto"/>
              <w:contextualSpacing/>
              <w:rPr>
                <w:rFonts w:ascii="Times New Roman" w:hAnsi="Times New Roman" w:cs="Times New Roman"/>
                <w:b/>
                <w:bCs/>
                <w:sz w:val="24"/>
                <w:szCs w:val="24"/>
                <w:lang w:val="en-US"/>
              </w:rPr>
            </w:pPr>
            <w:r w:rsidRPr="00B43F1E">
              <w:rPr>
                <w:rFonts w:ascii="Times New Roman" w:hAnsi="Times New Roman" w:cs="Times New Roman"/>
                <w:b/>
                <w:bCs/>
                <w:i/>
                <w:iCs/>
                <w:sz w:val="24"/>
                <w:szCs w:val="24"/>
                <w:lang w:val="en-US"/>
              </w:rPr>
              <w:t>p</w:t>
            </w:r>
            <w:r w:rsidRPr="00B43F1E">
              <w:rPr>
                <w:rFonts w:ascii="Times New Roman" w:hAnsi="Times New Roman" w:cs="Times New Roman"/>
                <w:b/>
                <w:bCs/>
                <w:sz w:val="24"/>
                <w:szCs w:val="24"/>
                <w:lang w:val="en-US"/>
              </w:rPr>
              <w:t>-value</w:t>
            </w:r>
          </w:p>
        </w:tc>
        <w:tc>
          <w:tcPr>
            <w:tcW w:w="1407" w:type="dxa"/>
            <w:tcBorders>
              <w:top w:val="single" w:sz="4" w:space="0" w:color="auto"/>
              <w:left w:val="nil"/>
              <w:bottom w:val="nil"/>
              <w:right w:val="nil"/>
            </w:tcBorders>
          </w:tcPr>
          <w:p w14:paraId="473F2E35" w14:textId="77777777" w:rsidR="00985EAA" w:rsidRPr="00B43F1E" w:rsidRDefault="00985EAA" w:rsidP="00D3628F">
            <w:pPr>
              <w:spacing w:after="255" w:line="240" w:lineRule="auto"/>
              <w:contextualSpacing/>
              <w:rPr>
                <w:rFonts w:ascii="Times New Roman" w:hAnsi="Times New Roman" w:cs="Times New Roman"/>
                <w:b/>
                <w:bCs/>
                <w:i/>
                <w:iCs/>
                <w:sz w:val="24"/>
                <w:szCs w:val="24"/>
                <w:lang w:val="en-US"/>
              </w:rPr>
            </w:pPr>
            <w:r w:rsidRPr="00B43F1E">
              <w:rPr>
                <w:rFonts w:ascii="Times New Roman" w:hAnsi="Times New Roman" w:cs="Times New Roman"/>
                <w:b/>
                <w:bCs/>
                <w:sz w:val="24"/>
                <w:szCs w:val="24"/>
                <w:lang w:val="en-US"/>
              </w:rPr>
              <w:t>Cohen’s</w:t>
            </w:r>
            <w:r w:rsidRPr="00B43F1E">
              <w:rPr>
                <w:rFonts w:ascii="Times New Roman" w:hAnsi="Times New Roman" w:cs="Times New Roman"/>
                <w:b/>
                <w:bCs/>
                <w:i/>
                <w:iCs/>
                <w:sz w:val="24"/>
                <w:szCs w:val="24"/>
                <w:lang w:val="en-US"/>
              </w:rPr>
              <w:t xml:space="preserve"> d</w:t>
            </w:r>
          </w:p>
        </w:tc>
      </w:tr>
      <w:tr w:rsidR="00985EAA" w:rsidRPr="00B43F1E" w14:paraId="3513DF65" w14:textId="77777777" w:rsidTr="00D3628F">
        <w:tc>
          <w:tcPr>
            <w:tcW w:w="2263" w:type="dxa"/>
          </w:tcPr>
          <w:p w14:paraId="6CF8826B" w14:textId="77777777" w:rsidR="00985EAA" w:rsidRPr="00B43F1E" w:rsidRDefault="00985EAA" w:rsidP="00D3628F">
            <w:pPr>
              <w:spacing w:after="255" w:line="240" w:lineRule="auto"/>
              <w:contextualSpacing/>
              <w:rPr>
                <w:rFonts w:ascii="Times New Roman" w:hAnsi="Times New Roman" w:cs="Times New Roman"/>
                <w:sz w:val="24"/>
                <w:szCs w:val="24"/>
                <w:u w:val="single"/>
                <w:lang w:val="en-US"/>
              </w:rPr>
            </w:pPr>
          </w:p>
        </w:tc>
        <w:tc>
          <w:tcPr>
            <w:tcW w:w="1418" w:type="dxa"/>
            <w:hideMark/>
          </w:tcPr>
          <w:p w14:paraId="14B02D92" w14:textId="77777777" w:rsidR="00985EAA" w:rsidRPr="00B43F1E" w:rsidRDefault="00985EAA" w:rsidP="00D3628F">
            <w:pPr>
              <w:spacing w:after="255" w:line="240" w:lineRule="auto"/>
              <w:contextualSpacing/>
              <w:rPr>
                <w:rFonts w:ascii="Times New Roman" w:hAnsi="Times New Roman" w:cs="Times New Roman"/>
                <w:i/>
                <w:iCs/>
                <w:sz w:val="24"/>
                <w:szCs w:val="24"/>
                <w:u w:val="single"/>
                <w:lang w:val="en-US"/>
              </w:rPr>
            </w:pPr>
            <w:r w:rsidRPr="00B43F1E">
              <w:rPr>
                <w:rFonts w:ascii="Times New Roman" w:hAnsi="Times New Roman" w:cs="Times New Roman"/>
                <w:i/>
                <w:iCs/>
                <w:sz w:val="24"/>
                <w:szCs w:val="24"/>
                <w:u w:val="single"/>
                <w:lang w:val="en-US"/>
              </w:rPr>
              <w:t>Mean (SD)</w:t>
            </w:r>
          </w:p>
        </w:tc>
        <w:tc>
          <w:tcPr>
            <w:tcW w:w="1559" w:type="dxa"/>
            <w:hideMark/>
          </w:tcPr>
          <w:p w14:paraId="45D106B1" w14:textId="77777777" w:rsidR="00985EAA" w:rsidRPr="00B43F1E" w:rsidRDefault="00985EAA" w:rsidP="00D3628F">
            <w:pPr>
              <w:spacing w:after="255" w:line="240" w:lineRule="auto"/>
              <w:contextualSpacing/>
              <w:rPr>
                <w:rFonts w:ascii="Times New Roman" w:hAnsi="Times New Roman" w:cs="Times New Roman"/>
                <w:i/>
                <w:iCs/>
                <w:sz w:val="24"/>
                <w:szCs w:val="24"/>
                <w:u w:val="single"/>
                <w:lang w:val="en-US"/>
              </w:rPr>
            </w:pPr>
            <w:r w:rsidRPr="00B43F1E">
              <w:rPr>
                <w:rFonts w:ascii="Times New Roman" w:hAnsi="Times New Roman" w:cs="Times New Roman"/>
                <w:i/>
                <w:iCs/>
                <w:sz w:val="24"/>
                <w:szCs w:val="24"/>
                <w:u w:val="single"/>
                <w:lang w:val="en-US"/>
              </w:rPr>
              <w:t>Mean (SD)</w:t>
            </w:r>
          </w:p>
        </w:tc>
        <w:tc>
          <w:tcPr>
            <w:tcW w:w="1139" w:type="dxa"/>
          </w:tcPr>
          <w:p w14:paraId="7EFA872B" w14:textId="77777777" w:rsidR="00985EAA" w:rsidRPr="00B43F1E" w:rsidRDefault="00985EAA" w:rsidP="00D3628F">
            <w:pPr>
              <w:spacing w:after="255" w:line="240" w:lineRule="auto"/>
              <w:contextualSpacing/>
              <w:rPr>
                <w:rFonts w:ascii="Times New Roman" w:hAnsi="Times New Roman" w:cs="Times New Roman"/>
                <w:b/>
                <w:bCs/>
                <w:i/>
                <w:iCs/>
                <w:sz w:val="24"/>
                <w:szCs w:val="24"/>
                <w:lang w:val="en-US"/>
              </w:rPr>
            </w:pPr>
          </w:p>
        </w:tc>
        <w:tc>
          <w:tcPr>
            <w:tcW w:w="1145" w:type="dxa"/>
          </w:tcPr>
          <w:p w14:paraId="6C2078C6" w14:textId="77777777" w:rsidR="00985EAA" w:rsidRPr="00B43F1E" w:rsidRDefault="00985EAA" w:rsidP="00D3628F">
            <w:pPr>
              <w:spacing w:after="255" w:line="240" w:lineRule="auto"/>
              <w:contextualSpacing/>
              <w:rPr>
                <w:rFonts w:ascii="Times New Roman" w:hAnsi="Times New Roman" w:cs="Times New Roman"/>
                <w:b/>
                <w:bCs/>
                <w:i/>
                <w:iCs/>
                <w:sz w:val="24"/>
                <w:szCs w:val="24"/>
                <w:lang w:val="en-US"/>
              </w:rPr>
            </w:pPr>
          </w:p>
        </w:tc>
        <w:tc>
          <w:tcPr>
            <w:tcW w:w="1407" w:type="dxa"/>
          </w:tcPr>
          <w:p w14:paraId="34C64362" w14:textId="77777777" w:rsidR="00985EAA" w:rsidRPr="00B43F1E" w:rsidRDefault="00985EAA" w:rsidP="00D3628F">
            <w:pPr>
              <w:spacing w:after="255" w:line="240" w:lineRule="auto"/>
              <w:contextualSpacing/>
              <w:rPr>
                <w:rFonts w:ascii="Times New Roman" w:hAnsi="Times New Roman" w:cs="Times New Roman"/>
                <w:b/>
                <w:bCs/>
                <w:i/>
                <w:iCs/>
                <w:sz w:val="24"/>
                <w:szCs w:val="24"/>
                <w:lang w:val="en-US"/>
              </w:rPr>
            </w:pPr>
          </w:p>
        </w:tc>
      </w:tr>
      <w:tr w:rsidR="00985EAA" w:rsidRPr="00B43F1E" w14:paraId="10EE58EC" w14:textId="77777777" w:rsidTr="00D3628F">
        <w:tc>
          <w:tcPr>
            <w:tcW w:w="2263" w:type="dxa"/>
          </w:tcPr>
          <w:p w14:paraId="566DE288" w14:textId="77777777" w:rsidR="00985EAA" w:rsidRPr="00B43F1E" w:rsidRDefault="00985EAA" w:rsidP="00D3628F">
            <w:pPr>
              <w:spacing w:after="255" w:line="240" w:lineRule="auto"/>
              <w:contextualSpacing/>
              <w:rPr>
                <w:rFonts w:ascii="Times New Roman" w:hAnsi="Times New Roman" w:cs="Times New Roman"/>
                <w:sz w:val="24"/>
                <w:szCs w:val="24"/>
                <w:u w:val="single"/>
                <w:lang w:val="en-US"/>
              </w:rPr>
            </w:pPr>
            <w:r w:rsidRPr="00B43F1E">
              <w:rPr>
                <w:rFonts w:ascii="Times New Roman" w:hAnsi="Times New Roman" w:cs="Times New Roman"/>
                <w:sz w:val="24"/>
                <w:szCs w:val="24"/>
                <w:u w:val="single"/>
                <w:lang w:val="en-US"/>
              </w:rPr>
              <w:t>Dyslexia screening</w:t>
            </w:r>
          </w:p>
        </w:tc>
        <w:tc>
          <w:tcPr>
            <w:tcW w:w="1418" w:type="dxa"/>
          </w:tcPr>
          <w:p w14:paraId="50986820" w14:textId="77777777" w:rsidR="00985EAA" w:rsidRPr="00B43F1E" w:rsidRDefault="00985EAA" w:rsidP="00D3628F">
            <w:pPr>
              <w:spacing w:after="255" w:line="240" w:lineRule="auto"/>
              <w:contextualSpacing/>
              <w:rPr>
                <w:rFonts w:ascii="Times New Roman" w:hAnsi="Times New Roman" w:cs="Times New Roman"/>
                <w:sz w:val="24"/>
                <w:szCs w:val="24"/>
                <w:lang w:val="en-US"/>
              </w:rPr>
            </w:pPr>
          </w:p>
        </w:tc>
        <w:tc>
          <w:tcPr>
            <w:tcW w:w="1559" w:type="dxa"/>
          </w:tcPr>
          <w:p w14:paraId="01DF82F9" w14:textId="77777777" w:rsidR="00985EAA" w:rsidRPr="00B43F1E" w:rsidRDefault="00985EAA" w:rsidP="00D3628F">
            <w:pPr>
              <w:spacing w:after="255" w:line="240" w:lineRule="auto"/>
              <w:contextualSpacing/>
              <w:rPr>
                <w:rFonts w:ascii="Times New Roman" w:hAnsi="Times New Roman" w:cs="Times New Roman"/>
                <w:sz w:val="24"/>
                <w:szCs w:val="24"/>
                <w:lang w:val="en-US"/>
              </w:rPr>
            </w:pPr>
          </w:p>
        </w:tc>
        <w:tc>
          <w:tcPr>
            <w:tcW w:w="1139" w:type="dxa"/>
          </w:tcPr>
          <w:p w14:paraId="76B03AC8" w14:textId="77777777" w:rsidR="00985EAA" w:rsidRPr="00B43F1E" w:rsidRDefault="00985EAA" w:rsidP="00D3628F">
            <w:pPr>
              <w:spacing w:after="255" w:line="240" w:lineRule="auto"/>
              <w:contextualSpacing/>
              <w:rPr>
                <w:rFonts w:ascii="Times New Roman" w:hAnsi="Times New Roman" w:cs="Times New Roman"/>
                <w:sz w:val="24"/>
                <w:szCs w:val="24"/>
                <w:lang w:val="en-US"/>
              </w:rPr>
            </w:pPr>
          </w:p>
        </w:tc>
        <w:tc>
          <w:tcPr>
            <w:tcW w:w="1145" w:type="dxa"/>
          </w:tcPr>
          <w:p w14:paraId="61CC10EE" w14:textId="77777777" w:rsidR="00985EAA" w:rsidRPr="00B43F1E" w:rsidRDefault="00985EAA" w:rsidP="00D3628F">
            <w:pPr>
              <w:spacing w:after="255" w:line="240" w:lineRule="auto"/>
              <w:contextualSpacing/>
              <w:jc w:val="right"/>
              <w:rPr>
                <w:rFonts w:ascii="Times New Roman" w:hAnsi="Times New Roman" w:cs="Times New Roman"/>
                <w:sz w:val="24"/>
                <w:szCs w:val="24"/>
                <w:lang w:val="en-US"/>
              </w:rPr>
            </w:pPr>
          </w:p>
        </w:tc>
        <w:tc>
          <w:tcPr>
            <w:tcW w:w="1407" w:type="dxa"/>
          </w:tcPr>
          <w:p w14:paraId="6CB25832" w14:textId="77777777" w:rsidR="00985EAA" w:rsidRPr="00B43F1E" w:rsidRDefault="00985EAA" w:rsidP="00D3628F">
            <w:pPr>
              <w:spacing w:after="255" w:line="240" w:lineRule="auto"/>
              <w:contextualSpacing/>
              <w:jc w:val="right"/>
              <w:rPr>
                <w:rFonts w:ascii="Times New Roman" w:hAnsi="Times New Roman" w:cs="Times New Roman"/>
                <w:sz w:val="24"/>
                <w:szCs w:val="24"/>
                <w:lang w:val="en-US"/>
              </w:rPr>
            </w:pPr>
          </w:p>
        </w:tc>
      </w:tr>
      <w:tr w:rsidR="00985EAA" w:rsidRPr="00B43F1E" w14:paraId="4C1FEEA5" w14:textId="77777777" w:rsidTr="00D3628F">
        <w:tc>
          <w:tcPr>
            <w:tcW w:w="2263" w:type="dxa"/>
            <w:hideMark/>
          </w:tcPr>
          <w:p w14:paraId="22D618CC" w14:textId="77777777" w:rsidR="00985EAA" w:rsidRPr="00B43F1E" w:rsidRDefault="00985EAA" w:rsidP="00D3628F">
            <w:pPr>
              <w:spacing w:after="255" w:line="240" w:lineRule="auto"/>
              <w:contextualSpacing/>
              <w:jc w:val="both"/>
              <w:rPr>
                <w:rFonts w:ascii="Times New Roman" w:hAnsi="Times New Roman" w:cs="Times New Roman"/>
                <w:b/>
                <w:bCs/>
                <w:i/>
                <w:iCs/>
                <w:sz w:val="24"/>
                <w:szCs w:val="24"/>
                <w:lang w:val="en-US"/>
              </w:rPr>
            </w:pPr>
            <w:r w:rsidRPr="00B43F1E">
              <w:rPr>
                <w:rFonts w:ascii="Times New Roman" w:hAnsi="Times New Roman" w:cs="Times New Roman"/>
                <w:sz w:val="24"/>
                <w:szCs w:val="24"/>
                <w:lang w:val="en-US"/>
              </w:rPr>
              <w:t>RAN Letters (sec.)</w:t>
            </w:r>
          </w:p>
        </w:tc>
        <w:tc>
          <w:tcPr>
            <w:tcW w:w="1418" w:type="dxa"/>
            <w:hideMark/>
          </w:tcPr>
          <w:p w14:paraId="0A821365"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13.4 (2.80)</w:t>
            </w:r>
          </w:p>
        </w:tc>
        <w:tc>
          <w:tcPr>
            <w:tcW w:w="1559" w:type="dxa"/>
            <w:hideMark/>
          </w:tcPr>
          <w:p w14:paraId="3B2EAF88"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18.6 (6.38)</w:t>
            </w:r>
          </w:p>
        </w:tc>
        <w:tc>
          <w:tcPr>
            <w:tcW w:w="1139" w:type="dxa"/>
            <w:hideMark/>
          </w:tcPr>
          <w:p w14:paraId="0910C3D5"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-4.762</w:t>
            </w:r>
          </w:p>
        </w:tc>
        <w:tc>
          <w:tcPr>
            <w:tcW w:w="1145" w:type="dxa"/>
            <w:hideMark/>
          </w:tcPr>
          <w:p w14:paraId="63358A88"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 xml:space="preserve">&lt; .001* </w:t>
            </w:r>
          </w:p>
        </w:tc>
        <w:tc>
          <w:tcPr>
            <w:tcW w:w="1407" w:type="dxa"/>
          </w:tcPr>
          <w:p w14:paraId="1810808A"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-1.09</w:t>
            </w:r>
          </w:p>
        </w:tc>
      </w:tr>
      <w:tr w:rsidR="00985EAA" w:rsidRPr="00B43F1E" w14:paraId="1CAE0136" w14:textId="77777777" w:rsidTr="00D3628F">
        <w:tc>
          <w:tcPr>
            <w:tcW w:w="2263" w:type="dxa"/>
            <w:hideMark/>
          </w:tcPr>
          <w:p w14:paraId="001318D8" w14:textId="77777777" w:rsidR="00985EAA" w:rsidRPr="00B43F1E" w:rsidRDefault="00985EAA" w:rsidP="00D3628F">
            <w:pPr>
              <w:spacing w:after="255" w:line="240" w:lineRule="auto"/>
              <w:contextualSpacing/>
              <w:jc w:val="both"/>
              <w:rPr>
                <w:rFonts w:ascii="Times New Roman" w:hAnsi="Times New Roman" w:cs="Times New Roman"/>
                <w:b/>
                <w:bCs/>
                <w:i/>
                <w:iCs/>
                <w:sz w:val="24"/>
                <w:szCs w:val="24"/>
                <w:lang w:val="en-US"/>
              </w:rPr>
            </w:pPr>
            <w:r w:rsidRPr="00B43F1E">
              <w:rPr>
                <w:rFonts w:ascii="Times New Roman" w:hAnsi="Times New Roman" w:cs="Times New Roman"/>
                <w:sz w:val="24"/>
                <w:szCs w:val="24"/>
                <w:lang w:val="en-US"/>
              </w:rPr>
              <w:t>RAN Digit (sec.)</w:t>
            </w:r>
          </w:p>
        </w:tc>
        <w:tc>
          <w:tcPr>
            <w:tcW w:w="1418" w:type="dxa"/>
            <w:hideMark/>
          </w:tcPr>
          <w:p w14:paraId="77ACD555"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12.1 (2.86)</w:t>
            </w:r>
          </w:p>
        </w:tc>
        <w:tc>
          <w:tcPr>
            <w:tcW w:w="1559" w:type="dxa"/>
            <w:hideMark/>
          </w:tcPr>
          <w:p w14:paraId="3C8106EE"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16.6 (4.25)</w:t>
            </w:r>
          </w:p>
        </w:tc>
        <w:tc>
          <w:tcPr>
            <w:tcW w:w="1139" w:type="dxa"/>
            <w:hideMark/>
          </w:tcPr>
          <w:p w14:paraId="3CF3B30D"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-5.499</w:t>
            </w:r>
          </w:p>
        </w:tc>
        <w:tc>
          <w:tcPr>
            <w:tcW w:w="1145" w:type="dxa"/>
            <w:hideMark/>
          </w:tcPr>
          <w:p w14:paraId="6C28C459"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 xml:space="preserve">&lt; .001* </w:t>
            </w:r>
          </w:p>
        </w:tc>
        <w:tc>
          <w:tcPr>
            <w:tcW w:w="1407" w:type="dxa"/>
          </w:tcPr>
          <w:p w14:paraId="7301873C"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-1.26</w:t>
            </w:r>
          </w:p>
        </w:tc>
      </w:tr>
      <w:tr w:rsidR="00985EAA" w:rsidRPr="00B43F1E" w14:paraId="58DE178A" w14:textId="77777777" w:rsidTr="00D3628F">
        <w:tc>
          <w:tcPr>
            <w:tcW w:w="2263" w:type="dxa"/>
            <w:hideMark/>
          </w:tcPr>
          <w:p w14:paraId="5A712432"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ARHQ</w:t>
            </w:r>
          </w:p>
          <w:p w14:paraId="4186791E" w14:textId="77777777" w:rsidR="00985EAA" w:rsidRPr="00B43F1E" w:rsidRDefault="00985EAA" w:rsidP="00D3628F">
            <w:pPr>
              <w:spacing w:after="255" w:line="240" w:lineRule="auto"/>
              <w:contextualSpacing/>
              <w:jc w:val="both"/>
              <w:rPr>
                <w:rFonts w:ascii="Times New Roman" w:hAnsi="Times New Roman" w:cs="Times New Roman"/>
                <w:b/>
                <w:bCs/>
                <w:i/>
                <w:iCs/>
                <w:sz w:val="24"/>
                <w:szCs w:val="24"/>
                <w:lang w:val="en-US"/>
              </w:rPr>
            </w:pPr>
          </w:p>
        </w:tc>
        <w:tc>
          <w:tcPr>
            <w:tcW w:w="1418" w:type="dxa"/>
            <w:hideMark/>
          </w:tcPr>
          <w:p w14:paraId="5EE13D67"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31.3 (8.71)</w:t>
            </w:r>
          </w:p>
        </w:tc>
        <w:tc>
          <w:tcPr>
            <w:tcW w:w="1559" w:type="dxa"/>
            <w:hideMark/>
          </w:tcPr>
          <w:p w14:paraId="01FD7987"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54.6 (12.8)</w:t>
            </w:r>
          </w:p>
        </w:tc>
        <w:tc>
          <w:tcPr>
            <w:tcW w:w="1139" w:type="dxa"/>
            <w:hideMark/>
          </w:tcPr>
          <w:p w14:paraId="742BF31A"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-9.23</w:t>
            </w:r>
          </w:p>
        </w:tc>
        <w:tc>
          <w:tcPr>
            <w:tcW w:w="1145" w:type="dxa"/>
            <w:hideMark/>
          </w:tcPr>
          <w:p w14:paraId="551A1C17"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&lt; .001*</w:t>
            </w:r>
          </w:p>
        </w:tc>
        <w:tc>
          <w:tcPr>
            <w:tcW w:w="1407" w:type="dxa"/>
          </w:tcPr>
          <w:p w14:paraId="65B481A2" w14:textId="77777777" w:rsidR="00985EAA" w:rsidRPr="00B43F1E" w:rsidRDefault="00985EAA" w:rsidP="00D3628F">
            <w:pPr>
              <w:spacing w:after="255" w:line="240" w:lineRule="auto"/>
              <w:contextualSpacing/>
              <w:jc w:val="both"/>
              <w:rPr>
                <w:rFonts w:ascii="Times New Roman" w:hAnsi="Times New Roman" w:cs="Times New Roman"/>
                <w:sz w:val="24"/>
                <w:szCs w:val="24"/>
                <w:lang w:val="en-US"/>
              </w:rPr>
            </w:pPr>
            <w:r w:rsidRPr="00B43F1E">
              <w:rPr>
                <w:rFonts w:ascii="Times New Roman" w:hAnsi="Times New Roman" w:cs="Times New Roman"/>
                <w:sz w:val="24"/>
                <w:szCs w:val="24"/>
                <w:lang w:val="en-US"/>
              </w:rPr>
              <w:t>-2.15</w:t>
            </w:r>
          </w:p>
        </w:tc>
      </w:tr>
      <w:tr w:rsidR="00985EAA" w:rsidRPr="00B43F1E" w14:paraId="7F0FA664" w14:textId="77777777" w:rsidTr="00D3628F">
        <w:tc>
          <w:tcPr>
            <w:tcW w:w="2263" w:type="dxa"/>
            <w:hideMark/>
          </w:tcPr>
          <w:p w14:paraId="5B39F45B" w14:textId="77777777" w:rsidR="00985EAA" w:rsidRPr="00B43F1E" w:rsidRDefault="00985EAA" w:rsidP="00D3628F">
            <w:pPr>
              <w:spacing w:after="255" w:line="240" w:lineRule="auto"/>
              <w:contextualSpacing/>
              <w:rPr>
                <w:rFonts w:ascii="Times New Roman" w:hAnsi="Times New Roman" w:cs="Times New Roman"/>
                <w:sz w:val="24"/>
                <w:szCs w:val="24"/>
                <w:u w:val="single"/>
                <w:lang w:val="en-US"/>
              </w:rPr>
            </w:pPr>
            <w:r w:rsidRPr="00B43F1E">
              <w:rPr>
                <w:rFonts w:ascii="Times New Roman" w:hAnsi="Times New Roman" w:cs="Times New Roman"/>
                <w:sz w:val="24"/>
                <w:szCs w:val="24"/>
                <w:u w:val="single"/>
                <w:lang w:val="en-US"/>
              </w:rPr>
              <w:t>Working Memory</w:t>
            </w:r>
          </w:p>
        </w:tc>
        <w:tc>
          <w:tcPr>
            <w:tcW w:w="1418" w:type="dxa"/>
          </w:tcPr>
          <w:p w14:paraId="59601E20" w14:textId="77777777" w:rsidR="00985EAA" w:rsidRPr="00B43F1E" w:rsidRDefault="00985EAA" w:rsidP="00D3628F">
            <w:pPr>
              <w:spacing w:after="255" w:line="240" w:lineRule="auto"/>
              <w:contextualSpacing/>
              <w:rPr>
                <w:rFonts w:ascii="Times New Roman" w:hAnsi="Times New Roman" w:cs="Times New Roman"/>
                <w:sz w:val="24"/>
                <w:szCs w:val="24"/>
                <w:lang w:val="en-US"/>
              </w:rPr>
            </w:pPr>
          </w:p>
        </w:tc>
        <w:tc>
          <w:tcPr>
            <w:tcW w:w="1559" w:type="dxa"/>
          </w:tcPr>
          <w:p w14:paraId="57708E03" w14:textId="77777777" w:rsidR="00985EAA" w:rsidRPr="00B43F1E" w:rsidRDefault="00985EAA" w:rsidP="00D3628F">
            <w:pPr>
              <w:spacing w:after="255" w:line="240" w:lineRule="auto"/>
              <w:contextualSpacing/>
              <w:rPr>
                <w:rFonts w:ascii="Times New Roman" w:hAnsi="Times New Roman" w:cs="Times New Roman"/>
                <w:sz w:val="24"/>
                <w:szCs w:val="24"/>
                <w:lang w:val="en-US"/>
              </w:rPr>
            </w:pPr>
          </w:p>
        </w:tc>
        <w:tc>
          <w:tcPr>
            <w:tcW w:w="1139" w:type="dxa"/>
          </w:tcPr>
          <w:p w14:paraId="1404E182" w14:textId="77777777" w:rsidR="00985EAA" w:rsidRPr="00B43F1E" w:rsidRDefault="00985EAA" w:rsidP="00D3628F">
            <w:pPr>
              <w:spacing w:after="255" w:line="240" w:lineRule="auto"/>
              <w:contextualSpacing/>
              <w:rPr>
                <w:rFonts w:ascii="Times New Roman" w:hAnsi="Times New Roman" w:cs="Times New Roman"/>
                <w:sz w:val="24"/>
                <w:szCs w:val="24"/>
                <w:lang w:val="en-US"/>
              </w:rPr>
            </w:pPr>
          </w:p>
        </w:tc>
        <w:tc>
          <w:tcPr>
            <w:tcW w:w="1145" w:type="dxa"/>
          </w:tcPr>
          <w:p w14:paraId="1A4BF898" w14:textId="77777777" w:rsidR="00985EAA" w:rsidRPr="00B43F1E" w:rsidRDefault="00985EAA" w:rsidP="00D3628F">
            <w:pPr>
              <w:spacing w:after="255" w:line="240" w:lineRule="auto"/>
              <w:contextualSpacing/>
              <w:jc w:val="right"/>
              <w:rPr>
                <w:rFonts w:ascii="Times New Roman" w:hAnsi="Times New Roman" w:cs="Times New Roman"/>
                <w:sz w:val="24"/>
                <w:szCs w:val="24"/>
                <w:lang w:val="en-US"/>
              </w:rPr>
            </w:pPr>
          </w:p>
        </w:tc>
        <w:tc>
          <w:tcPr>
            <w:tcW w:w="1407" w:type="dxa"/>
          </w:tcPr>
          <w:p w14:paraId="6F8C93D1" w14:textId="77777777" w:rsidR="00985EAA" w:rsidRPr="00B43F1E" w:rsidRDefault="00985EAA" w:rsidP="00D3628F">
            <w:pPr>
              <w:spacing w:after="255" w:line="240" w:lineRule="auto"/>
              <w:contextualSpacing/>
              <w:jc w:val="right"/>
              <w:rPr>
                <w:rFonts w:ascii="Times New Roman" w:hAnsi="Times New Roman" w:cs="Times New Roman"/>
                <w:sz w:val="24"/>
                <w:szCs w:val="24"/>
                <w:lang w:val="en-US"/>
              </w:rPr>
            </w:pPr>
          </w:p>
        </w:tc>
      </w:tr>
      <w:tr w:rsidR="00985EAA" w:rsidRPr="00A056BE" w14:paraId="5E50FA28" w14:textId="77777777" w:rsidTr="00D3628F">
        <w:tc>
          <w:tcPr>
            <w:tcW w:w="2263" w:type="dxa"/>
            <w:hideMark/>
          </w:tcPr>
          <w:p w14:paraId="166F5912" w14:textId="77777777" w:rsidR="00985EAA" w:rsidRPr="00A056BE" w:rsidRDefault="00985EAA" w:rsidP="00D3628F">
            <w:pPr>
              <w:spacing w:after="255" w:line="240" w:lineRule="auto"/>
              <w:contextualSpacing/>
              <w:rPr>
                <w:rFonts w:ascii="Times New Roman" w:hAnsi="Times New Roman" w:cs="Times New Roman"/>
                <w:b/>
                <w:bCs/>
                <w:i/>
                <w:iCs/>
                <w:sz w:val="24"/>
                <w:szCs w:val="24"/>
                <w:lang w:val="en-US"/>
              </w:rPr>
            </w:pPr>
            <w:r w:rsidRPr="00A056BE">
              <w:rPr>
                <w:rFonts w:ascii="Times New Roman" w:hAnsi="Times New Roman" w:cs="Times New Roman"/>
                <w:sz w:val="24"/>
                <w:szCs w:val="24"/>
                <w:lang w:val="en-US"/>
              </w:rPr>
              <w:t>Digit span forward</w:t>
            </w:r>
          </w:p>
        </w:tc>
        <w:tc>
          <w:tcPr>
            <w:tcW w:w="1418" w:type="dxa"/>
            <w:hideMark/>
          </w:tcPr>
          <w:p w14:paraId="48B8BC10"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10.5 (1.92)</w:t>
            </w:r>
          </w:p>
        </w:tc>
        <w:tc>
          <w:tcPr>
            <w:tcW w:w="1559" w:type="dxa"/>
            <w:hideMark/>
          </w:tcPr>
          <w:p w14:paraId="72139850"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8.8 (1.6</w:t>
            </w:r>
            <w:r>
              <w:rPr>
                <w:rFonts w:ascii="Times New Roman" w:hAnsi="Times New Roman" w:cs="Times New Roman"/>
                <w:sz w:val="24"/>
                <w:szCs w:val="24"/>
                <w:lang w:val="en-US"/>
              </w:rPr>
              <w:t>4</w:t>
            </w:r>
            <w:r w:rsidRPr="00A056BE">
              <w:rPr>
                <w:rFonts w:ascii="Times New Roman" w:hAnsi="Times New Roman" w:cs="Times New Roman"/>
                <w:sz w:val="24"/>
                <w:szCs w:val="24"/>
                <w:lang w:val="en-US"/>
              </w:rPr>
              <w:t>)</w:t>
            </w:r>
          </w:p>
        </w:tc>
        <w:tc>
          <w:tcPr>
            <w:tcW w:w="1139" w:type="dxa"/>
            <w:hideMark/>
          </w:tcPr>
          <w:p w14:paraId="74C7217B"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4.</w:t>
            </w:r>
            <w:r>
              <w:rPr>
                <w:rFonts w:ascii="Times New Roman" w:hAnsi="Times New Roman" w:cs="Times New Roman"/>
                <w:sz w:val="24"/>
                <w:szCs w:val="24"/>
                <w:lang w:val="en-US"/>
              </w:rPr>
              <w:t>1</w:t>
            </w:r>
          </w:p>
        </w:tc>
        <w:tc>
          <w:tcPr>
            <w:tcW w:w="1145" w:type="dxa"/>
            <w:hideMark/>
          </w:tcPr>
          <w:p w14:paraId="165C6598"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&lt; .001*</w:t>
            </w:r>
          </w:p>
        </w:tc>
        <w:tc>
          <w:tcPr>
            <w:tcW w:w="1407" w:type="dxa"/>
          </w:tcPr>
          <w:p w14:paraId="71B24013"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0.956</w:t>
            </w:r>
          </w:p>
        </w:tc>
      </w:tr>
      <w:tr w:rsidR="00985EAA" w:rsidRPr="00A056BE" w14:paraId="73DDF5BF" w14:textId="77777777" w:rsidTr="00D3628F">
        <w:tc>
          <w:tcPr>
            <w:tcW w:w="2263" w:type="dxa"/>
            <w:hideMark/>
          </w:tcPr>
          <w:p w14:paraId="6399C80A"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Digit span backward</w:t>
            </w:r>
          </w:p>
          <w:p w14:paraId="1D9C1CF9" w14:textId="77777777" w:rsidR="00985EAA" w:rsidRPr="00A056BE" w:rsidRDefault="00985EAA" w:rsidP="00D3628F">
            <w:pPr>
              <w:spacing w:after="255" w:line="240" w:lineRule="auto"/>
              <w:contextualSpacing/>
              <w:rPr>
                <w:rFonts w:ascii="Times New Roman" w:hAnsi="Times New Roman" w:cs="Times New Roman"/>
                <w:b/>
                <w:bCs/>
                <w:i/>
                <w:iCs/>
                <w:sz w:val="24"/>
                <w:szCs w:val="24"/>
                <w:lang w:val="en-US"/>
              </w:rPr>
            </w:pPr>
          </w:p>
        </w:tc>
        <w:tc>
          <w:tcPr>
            <w:tcW w:w="1418" w:type="dxa"/>
            <w:hideMark/>
          </w:tcPr>
          <w:p w14:paraId="0910412C"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8.</w:t>
            </w:r>
            <w:r>
              <w:rPr>
                <w:rFonts w:ascii="Times New Roman" w:hAnsi="Times New Roman" w:cs="Times New Roman"/>
                <w:sz w:val="24"/>
                <w:szCs w:val="24"/>
                <w:lang w:val="en-US"/>
              </w:rPr>
              <w:t>41</w:t>
            </w:r>
            <w:r w:rsidRPr="00A056BE">
              <w:rPr>
                <w:rFonts w:ascii="Times New Roman" w:hAnsi="Times New Roman" w:cs="Times New Roman"/>
                <w:sz w:val="24"/>
                <w:szCs w:val="24"/>
                <w:lang w:val="en-US"/>
              </w:rPr>
              <w:t xml:space="preserve"> (1.</w:t>
            </w:r>
            <w:r>
              <w:rPr>
                <w:rFonts w:ascii="Times New Roman" w:hAnsi="Times New Roman" w:cs="Times New Roman"/>
                <w:sz w:val="24"/>
                <w:szCs w:val="24"/>
                <w:lang w:val="en-US"/>
              </w:rPr>
              <w:t>92</w:t>
            </w:r>
            <w:r w:rsidRPr="00A056BE">
              <w:rPr>
                <w:rFonts w:ascii="Times New Roman" w:hAnsi="Times New Roman" w:cs="Times New Roman"/>
                <w:sz w:val="24"/>
                <w:szCs w:val="24"/>
                <w:lang w:val="en-US"/>
              </w:rPr>
              <w:t>)</w:t>
            </w:r>
          </w:p>
        </w:tc>
        <w:tc>
          <w:tcPr>
            <w:tcW w:w="1559" w:type="dxa"/>
            <w:hideMark/>
          </w:tcPr>
          <w:p w14:paraId="4FA0D7C0"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7.</w:t>
            </w:r>
            <w:r>
              <w:rPr>
                <w:rFonts w:ascii="Times New Roman" w:hAnsi="Times New Roman" w:cs="Times New Roman"/>
                <w:sz w:val="24"/>
                <w:szCs w:val="24"/>
                <w:lang w:val="en-US"/>
              </w:rPr>
              <w:t>77</w:t>
            </w:r>
            <w:r w:rsidRPr="00A056BE">
              <w:rPr>
                <w:rFonts w:ascii="Times New Roman" w:hAnsi="Times New Roman" w:cs="Times New Roman"/>
                <w:sz w:val="24"/>
                <w:szCs w:val="24"/>
                <w:lang w:val="en-US"/>
              </w:rPr>
              <w:t xml:space="preserve"> (1.5</w:t>
            </w:r>
            <w:r>
              <w:rPr>
                <w:rFonts w:ascii="Times New Roman" w:hAnsi="Times New Roman" w:cs="Times New Roman"/>
                <w:sz w:val="24"/>
                <w:szCs w:val="24"/>
                <w:lang w:val="en-US"/>
              </w:rPr>
              <w:t>2</w:t>
            </w:r>
            <w:r w:rsidRPr="00A056BE">
              <w:rPr>
                <w:rFonts w:ascii="Times New Roman" w:hAnsi="Times New Roman" w:cs="Times New Roman"/>
                <w:sz w:val="24"/>
                <w:szCs w:val="24"/>
                <w:lang w:val="en-US"/>
              </w:rPr>
              <w:t>)</w:t>
            </w:r>
          </w:p>
        </w:tc>
        <w:tc>
          <w:tcPr>
            <w:tcW w:w="1139" w:type="dxa"/>
            <w:hideMark/>
          </w:tcPr>
          <w:p w14:paraId="6881C560"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1.</w:t>
            </w:r>
            <w:r>
              <w:rPr>
                <w:rFonts w:ascii="Times New Roman" w:hAnsi="Times New Roman" w:cs="Times New Roman"/>
                <w:sz w:val="24"/>
                <w:szCs w:val="24"/>
                <w:lang w:val="en-US"/>
              </w:rPr>
              <w:t>58</w:t>
            </w:r>
          </w:p>
        </w:tc>
        <w:tc>
          <w:tcPr>
            <w:tcW w:w="1145" w:type="dxa"/>
            <w:hideMark/>
          </w:tcPr>
          <w:p w14:paraId="557DF1E7"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0.1</w:t>
            </w:r>
            <w:r>
              <w:rPr>
                <w:rFonts w:ascii="Times New Roman" w:hAnsi="Times New Roman" w:cs="Times New Roman"/>
                <w:sz w:val="24"/>
                <w:szCs w:val="24"/>
                <w:lang w:val="en-US"/>
              </w:rPr>
              <w:t>19</w:t>
            </w:r>
          </w:p>
        </w:tc>
        <w:tc>
          <w:tcPr>
            <w:tcW w:w="1407" w:type="dxa"/>
          </w:tcPr>
          <w:p w14:paraId="5BB618B0"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0.367</w:t>
            </w:r>
          </w:p>
        </w:tc>
      </w:tr>
      <w:tr w:rsidR="00985EAA" w:rsidRPr="00A056BE" w14:paraId="6DE67BA2" w14:textId="77777777" w:rsidTr="00D3628F">
        <w:tc>
          <w:tcPr>
            <w:tcW w:w="2263" w:type="dxa"/>
            <w:hideMark/>
          </w:tcPr>
          <w:p w14:paraId="25298A1D" w14:textId="77777777" w:rsidR="00985EAA" w:rsidRPr="00A056BE" w:rsidRDefault="00985EAA" w:rsidP="00D3628F">
            <w:pPr>
              <w:spacing w:after="255" w:line="240" w:lineRule="auto"/>
              <w:contextualSpacing/>
              <w:rPr>
                <w:rFonts w:ascii="Times New Roman" w:hAnsi="Times New Roman" w:cs="Times New Roman"/>
                <w:b/>
                <w:bCs/>
                <w:i/>
                <w:iCs/>
                <w:sz w:val="24"/>
                <w:szCs w:val="24"/>
                <w:lang w:val="en-US"/>
              </w:rPr>
            </w:pPr>
            <w:r w:rsidRPr="00A056BE">
              <w:rPr>
                <w:rFonts w:ascii="Calibri" w:hAnsi="Calibri" w:cs="Calibri"/>
                <w:b/>
                <w:bCs/>
                <w:i/>
                <w:iCs/>
                <w:sz w:val="24"/>
                <w:szCs w:val="24"/>
                <w:lang w:val="en-US"/>
              </w:rPr>
              <w:t>﻿</w:t>
            </w:r>
            <w:r w:rsidRPr="00A056BE">
              <w:rPr>
                <w:rFonts w:ascii="Times New Roman" w:hAnsi="Times New Roman" w:cs="Times New Roman"/>
                <w:sz w:val="24"/>
                <w:szCs w:val="24"/>
                <w:u w:val="single"/>
                <w:lang w:val="en-US"/>
              </w:rPr>
              <w:t>Vocabulary</w:t>
            </w:r>
          </w:p>
        </w:tc>
        <w:tc>
          <w:tcPr>
            <w:tcW w:w="1418" w:type="dxa"/>
          </w:tcPr>
          <w:p w14:paraId="45A43966"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c>
          <w:tcPr>
            <w:tcW w:w="1559" w:type="dxa"/>
          </w:tcPr>
          <w:p w14:paraId="483AE71B"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c>
          <w:tcPr>
            <w:tcW w:w="1139" w:type="dxa"/>
          </w:tcPr>
          <w:p w14:paraId="16C0C39D"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c>
          <w:tcPr>
            <w:tcW w:w="1145" w:type="dxa"/>
          </w:tcPr>
          <w:p w14:paraId="7C1D187A"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c>
          <w:tcPr>
            <w:tcW w:w="1407" w:type="dxa"/>
          </w:tcPr>
          <w:p w14:paraId="0340F43D"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r>
      <w:tr w:rsidR="00985EAA" w:rsidRPr="00A056BE" w14:paraId="51F23D82" w14:textId="77777777" w:rsidTr="00D3628F">
        <w:tc>
          <w:tcPr>
            <w:tcW w:w="2263" w:type="dxa"/>
            <w:hideMark/>
          </w:tcPr>
          <w:p w14:paraId="3E21EDE4"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PPVT</w:t>
            </w:r>
          </w:p>
          <w:p w14:paraId="36B00DEF" w14:textId="77777777" w:rsidR="00985EAA" w:rsidRPr="00A056BE" w:rsidRDefault="00985EAA" w:rsidP="00D3628F">
            <w:pPr>
              <w:spacing w:after="255" w:line="240" w:lineRule="auto"/>
              <w:contextualSpacing/>
              <w:rPr>
                <w:rFonts w:ascii="Times New Roman" w:hAnsi="Times New Roman" w:cs="Times New Roman"/>
                <w:b/>
                <w:bCs/>
                <w:i/>
                <w:iCs/>
                <w:sz w:val="24"/>
                <w:szCs w:val="24"/>
                <w:lang w:val="en-US"/>
              </w:rPr>
            </w:pPr>
          </w:p>
        </w:tc>
        <w:tc>
          <w:tcPr>
            <w:tcW w:w="1418" w:type="dxa"/>
            <w:hideMark/>
          </w:tcPr>
          <w:p w14:paraId="1B1355F4"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98.6 (9.46)</w:t>
            </w:r>
          </w:p>
        </w:tc>
        <w:tc>
          <w:tcPr>
            <w:tcW w:w="1559" w:type="dxa"/>
            <w:hideMark/>
          </w:tcPr>
          <w:p w14:paraId="4FD53A18"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96.</w:t>
            </w:r>
            <w:r>
              <w:rPr>
                <w:rFonts w:ascii="Times New Roman" w:hAnsi="Times New Roman" w:cs="Times New Roman"/>
                <w:sz w:val="24"/>
                <w:szCs w:val="24"/>
                <w:lang w:val="en-US"/>
              </w:rPr>
              <w:t>3</w:t>
            </w:r>
            <w:r w:rsidRPr="00A056BE">
              <w:rPr>
                <w:rFonts w:ascii="Times New Roman" w:hAnsi="Times New Roman" w:cs="Times New Roman"/>
                <w:sz w:val="24"/>
                <w:szCs w:val="24"/>
                <w:lang w:val="en-US"/>
              </w:rPr>
              <w:t xml:space="preserve"> (12.</w:t>
            </w:r>
            <w:r>
              <w:rPr>
                <w:rFonts w:ascii="Times New Roman" w:hAnsi="Times New Roman" w:cs="Times New Roman"/>
                <w:sz w:val="24"/>
                <w:szCs w:val="24"/>
                <w:lang w:val="en-US"/>
              </w:rPr>
              <w:t>2</w:t>
            </w:r>
            <w:r w:rsidRPr="00A056BE">
              <w:rPr>
                <w:rFonts w:ascii="Times New Roman" w:hAnsi="Times New Roman" w:cs="Times New Roman"/>
                <w:sz w:val="24"/>
                <w:szCs w:val="24"/>
                <w:lang w:val="en-US"/>
              </w:rPr>
              <w:t>)</w:t>
            </w:r>
          </w:p>
        </w:tc>
        <w:tc>
          <w:tcPr>
            <w:tcW w:w="1139" w:type="dxa"/>
            <w:hideMark/>
          </w:tcPr>
          <w:p w14:paraId="42229D5C" w14:textId="77777777" w:rsidR="00985EAA" w:rsidRPr="005079A8" w:rsidRDefault="00985EAA" w:rsidP="00D3628F">
            <w:pPr>
              <w:spacing w:after="255" w:line="240" w:lineRule="auto"/>
              <w:contextualSpacing/>
              <w:rPr>
                <w:rFonts w:ascii="Times New Roman" w:hAnsi="Times New Roman" w:cs="Times New Roman"/>
                <w:sz w:val="24"/>
                <w:szCs w:val="24"/>
                <w:lang w:val="it-IT"/>
              </w:rPr>
            </w:pPr>
            <w:r w:rsidRPr="005079A8">
              <w:rPr>
                <w:rFonts w:ascii="Times New Roman" w:hAnsi="Times New Roman" w:cs="Times New Roman"/>
                <w:sz w:val="24"/>
                <w:szCs w:val="24"/>
                <w:lang w:val="it-IT"/>
              </w:rPr>
              <w:t>0.943</w:t>
            </w:r>
          </w:p>
        </w:tc>
        <w:tc>
          <w:tcPr>
            <w:tcW w:w="1145" w:type="dxa"/>
            <w:hideMark/>
          </w:tcPr>
          <w:p w14:paraId="44FBA8D0"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0.3</w:t>
            </w:r>
            <w:r>
              <w:rPr>
                <w:rFonts w:ascii="Times New Roman" w:hAnsi="Times New Roman" w:cs="Times New Roman"/>
                <w:sz w:val="24"/>
                <w:szCs w:val="24"/>
                <w:lang w:val="en-US"/>
              </w:rPr>
              <w:t>49</w:t>
            </w:r>
          </w:p>
        </w:tc>
        <w:tc>
          <w:tcPr>
            <w:tcW w:w="1407" w:type="dxa"/>
          </w:tcPr>
          <w:p w14:paraId="05881DF7"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0.220</w:t>
            </w:r>
          </w:p>
        </w:tc>
      </w:tr>
      <w:tr w:rsidR="00985EAA" w:rsidRPr="00A056BE" w14:paraId="5DEB7B85" w14:textId="77777777" w:rsidTr="00D3628F">
        <w:tc>
          <w:tcPr>
            <w:tcW w:w="2263" w:type="dxa"/>
            <w:hideMark/>
          </w:tcPr>
          <w:p w14:paraId="552E8795" w14:textId="77777777" w:rsidR="00985EAA" w:rsidRPr="00A056BE" w:rsidRDefault="00985EAA" w:rsidP="00D3628F">
            <w:pPr>
              <w:spacing w:after="255" w:line="240" w:lineRule="auto"/>
              <w:contextualSpacing/>
              <w:rPr>
                <w:rFonts w:ascii="Times New Roman" w:hAnsi="Times New Roman" w:cs="Times New Roman"/>
                <w:b/>
                <w:bCs/>
                <w:i/>
                <w:iCs/>
                <w:sz w:val="24"/>
                <w:szCs w:val="24"/>
                <w:lang w:val="en-US"/>
              </w:rPr>
            </w:pPr>
            <w:r w:rsidRPr="00A056BE">
              <w:rPr>
                <w:rFonts w:ascii="Calibri" w:hAnsi="Calibri" w:cs="Calibri"/>
                <w:b/>
                <w:bCs/>
                <w:i/>
                <w:iCs/>
                <w:sz w:val="24"/>
                <w:szCs w:val="24"/>
                <w:lang w:val="en-US"/>
              </w:rPr>
              <w:t>﻿</w:t>
            </w:r>
            <w:r w:rsidRPr="00A056BE">
              <w:rPr>
                <w:rFonts w:ascii="Times New Roman" w:hAnsi="Times New Roman" w:cs="Times New Roman"/>
                <w:sz w:val="24"/>
                <w:szCs w:val="24"/>
                <w:u w:val="single"/>
                <w:lang w:val="en-US"/>
              </w:rPr>
              <w:t>Theory of Mind</w:t>
            </w:r>
          </w:p>
        </w:tc>
        <w:tc>
          <w:tcPr>
            <w:tcW w:w="1418" w:type="dxa"/>
          </w:tcPr>
          <w:p w14:paraId="7514336C"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c>
          <w:tcPr>
            <w:tcW w:w="1559" w:type="dxa"/>
          </w:tcPr>
          <w:p w14:paraId="23059D56"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c>
          <w:tcPr>
            <w:tcW w:w="1139" w:type="dxa"/>
          </w:tcPr>
          <w:p w14:paraId="2971C3AF"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c>
          <w:tcPr>
            <w:tcW w:w="1145" w:type="dxa"/>
          </w:tcPr>
          <w:p w14:paraId="0C6CE971"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c>
          <w:tcPr>
            <w:tcW w:w="1407" w:type="dxa"/>
          </w:tcPr>
          <w:p w14:paraId="494457DC"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p>
        </w:tc>
      </w:tr>
      <w:tr w:rsidR="00985EAA" w:rsidRPr="00A056BE" w14:paraId="14605842" w14:textId="77777777" w:rsidTr="00D3628F">
        <w:tc>
          <w:tcPr>
            <w:tcW w:w="2263" w:type="dxa"/>
            <w:tcBorders>
              <w:top w:val="nil"/>
              <w:left w:val="nil"/>
              <w:bottom w:val="single" w:sz="4" w:space="0" w:color="auto"/>
              <w:right w:val="nil"/>
            </w:tcBorders>
            <w:hideMark/>
          </w:tcPr>
          <w:p w14:paraId="2DEE8D09" w14:textId="77777777" w:rsidR="00985EAA" w:rsidRPr="00A056BE" w:rsidRDefault="00985EAA" w:rsidP="00D3628F">
            <w:pPr>
              <w:spacing w:after="255" w:line="240" w:lineRule="auto"/>
              <w:contextualSpacing/>
              <w:rPr>
                <w:rFonts w:ascii="Times New Roman" w:hAnsi="Times New Roman" w:cs="Times New Roman"/>
                <w:b/>
                <w:bCs/>
                <w:i/>
                <w:iCs/>
                <w:sz w:val="24"/>
                <w:szCs w:val="24"/>
                <w:lang w:val="en-US"/>
              </w:rPr>
            </w:pPr>
            <w:r w:rsidRPr="00A056BE">
              <w:rPr>
                <w:rFonts w:ascii="Calibri" w:hAnsi="Calibri" w:cs="Calibri"/>
                <w:b/>
                <w:bCs/>
                <w:i/>
                <w:iCs/>
                <w:sz w:val="24"/>
                <w:szCs w:val="24"/>
                <w:lang w:val="en-US"/>
              </w:rPr>
              <w:t>﻿</w:t>
            </w:r>
            <w:r w:rsidRPr="00A056BE">
              <w:rPr>
                <w:rFonts w:ascii="Times New Roman" w:hAnsi="Times New Roman" w:cs="Times New Roman"/>
                <w:sz w:val="24"/>
                <w:szCs w:val="24"/>
                <w:lang w:val="en-US"/>
              </w:rPr>
              <w:t xml:space="preserve">Faux Pas test </w:t>
            </w:r>
          </w:p>
        </w:tc>
        <w:tc>
          <w:tcPr>
            <w:tcW w:w="1418" w:type="dxa"/>
            <w:tcBorders>
              <w:top w:val="nil"/>
              <w:left w:val="nil"/>
              <w:bottom w:val="single" w:sz="4" w:space="0" w:color="auto"/>
              <w:right w:val="nil"/>
            </w:tcBorders>
            <w:hideMark/>
          </w:tcPr>
          <w:p w14:paraId="33A56571"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28.8 (2.36)</w:t>
            </w:r>
          </w:p>
        </w:tc>
        <w:tc>
          <w:tcPr>
            <w:tcW w:w="1559" w:type="dxa"/>
            <w:tcBorders>
              <w:top w:val="nil"/>
              <w:left w:val="nil"/>
              <w:bottom w:val="single" w:sz="4" w:space="0" w:color="auto"/>
              <w:right w:val="nil"/>
            </w:tcBorders>
            <w:hideMark/>
          </w:tcPr>
          <w:p w14:paraId="6B316B5A"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26.</w:t>
            </w:r>
            <w:r>
              <w:rPr>
                <w:rFonts w:ascii="Times New Roman" w:hAnsi="Times New Roman" w:cs="Times New Roman"/>
                <w:sz w:val="24"/>
                <w:szCs w:val="24"/>
                <w:lang w:val="en-US"/>
              </w:rPr>
              <w:t>5</w:t>
            </w:r>
            <w:r w:rsidRPr="00A056BE">
              <w:rPr>
                <w:rFonts w:ascii="Times New Roman" w:hAnsi="Times New Roman" w:cs="Times New Roman"/>
                <w:sz w:val="24"/>
                <w:szCs w:val="24"/>
                <w:lang w:val="en-US"/>
              </w:rPr>
              <w:t xml:space="preserve"> (3.74)</w:t>
            </w:r>
          </w:p>
        </w:tc>
        <w:tc>
          <w:tcPr>
            <w:tcW w:w="1139" w:type="dxa"/>
            <w:tcBorders>
              <w:top w:val="nil"/>
              <w:left w:val="nil"/>
              <w:bottom w:val="single" w:sz="4" w:space="0" w:color="auto"/>
              <w:right w:val="nil"/>
            </w:tcBorders>
            <w:hideMark/>
          </w:tcPr>
          <w:p w14:paraId="61F04A96"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3.</w:t>
            </w:r>
            <w:r>
              <w:rPr>
                <w:rFonts w:ascii="Times New Roman" w:hAnsi="Times New Roman" w:cs="Times New Roman"/>
                <w:sz w:val="24"/>
                <w:szCs w:val="24"/>
                <w:lang w:val="en-US"/>
              </w:rPr>
              <w:t>2</w:t>
            </w:r>
          </w:p>
        </w:tc>
        <w:tc>
          <w:tcPr>
            <w:tcW w:w="1145" w:type="dxa"/>
            <w:tcBorders>
              <w:top w:val="nil"/>
              <w:left w:val="nil"/>
              <w:bottom w:val="single" w:sz="4" w:space="0" w:color="auto"/>
              <w:right w:val="nil"/>
            </w:tcBorders>
            <w:hideMark/>
          </w:tcPr>
          <w:p w14:paraId="5A6A5619"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sidRPr="00A056BE">
              <w:rPr>
                <w:rFonts w:ascii="Times New Roman" w:hAnsi="Times New Roman" w:cs="Times New Roman"/>
                <w:sz w:val="24"/>
                <w:szCs w:val="24"/>
                <w:lang w:val="en-US"/>
              </w:rPr>
              <w:t>.00</w:t>
            </w:r>
            <w:r>
              <w:rPr>
                <w:rFonts w:ascii="Times New Roman" w:hAnsi="Times New Roman" w:cs="Times New Roman"/>
                <w:sz w:val="24"/>
                <w:szCs w:val="24"/>
                <w:lang w:val="en-US"/>
              </w:rPr>
              <w:t>2*</w:t>
            </w:r>
          </w:p>
        </w:tc>
        <w:tc>
          <w:tcPr>
            <w:tcW w:w="1407" w:type="dxa"/>
            <w:tcBorders>
              <w:top w:val="nil"/>
              <w:left w:val="nil"/>
              <w:bottom w:val="single" w:sz="4" w:space="0" w:color="auto"/>
              <w:right w:val="nil"/>
            </w:tcBorders>
          </w:tcPr>
          <w:p w14:paraId="3C75F5B8" w14:textId="77777777" w:rsidR="00985EAA" w:rsidRPr="00A056BE" w:rsidRDefault="00985EAA" w:rsidP="00D3628F">
            <w:pPr>
              <w:spacing w:after="255"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0.746 </w:t>
            </w:r>
          </w:p>
        </w:tc>
      </w:tr>
      <w:tr w:rsidR="00985EAA" w:rsidRPr="00A056BE" w14:paraId="38F567A5" w14:textId="77777777" w:rsidTr="00D3628F">
        <w:tc>
          <w:tcPr>
            <w:tcW w:w="2263" w:type="dxa"/>
            <w:tcBorders>
              <w:top w:val="single" w:sz="4" w:space="0" w:color="auto"/>
              <w:left w:val="nil"/>
              <w:bottom w:val="nil"/>
              <w:right w:val="nil"/>
            </w:tcBorders>
          </w:tcPr>
          <w:p w14:paraId="4F26893C" w14:textId="77777777" w:rsidR="00985EAA" w:rsidRPr="00A056BE" w:rsidRDefault="00985EAA" w:rsidP="00D3628F">
            <w:pPr>
              <w:spacing w:after="255" w:line="240" w:lineRule="auto"/>
              <w:contextualSpacing/>
              <w:rPr>
                <w:rFonts w:ascii="Times New Roman" w:hAnsi="Times New Roman" w:cs="Times New Roman"/>
                <w:b/>
                <w:bCs/>
                <w:i/>
                <w:iCs/>
                <w:sz w:val="24"/>
                <w:szCs w:val="24"/>
                <w:lang w:val="en-US"/>
              </w:rPr>
            </w:pPr>
          </w:p>
        </w:tc>
        <w:tc>
          <w:tcPr>
            <w:tcW w:w="1418" w:type="dxa"/>
            <w:tcBorders>
              <w:top w:val="single" w:sz="4" w:space="0" w:color="auto"/>
              <w:left w:val="nil"/>
              <w:bottom w:val="nil"/>
              <w:right w:val="nil"/>
            </w:tcBorders>
          </w:tcPr>
          <w:p w14:paraId="146B918D" w14:textId="77777777" w:rsidR="00985EAA" w:rsidRPr="00A056BE" w:rsidRDefault="00985EAA" w:rsidP="00D3628F">
            <w:pPr>
              <w:spacing w:after="255" w:line="240" w:lineRule="auto"/>
              <w:contextualSpacing/>
              <w:jc w:val="both"/>
              <w:rPr>
                <w:rFonts w:ascii="Times New Roman" w:hAnsi="Times New Roman" w:cs="Times New Roman"/>
                <w:sz w:val="24"/>
                <w:szCs w:val="24"/>
                <w:lang w:val="en-US"/>
              </w:rPr>
            </w:pPr>
          </w:p>
        </w:tc>
        <w:tc>
          <w:tcPr>
            <w:tcW w:w="1559" w:type="dxa"/>
            <w:tcBorders>
              <w:top w:val="single" w:sz="4" w:space="0" w:color="auto"/>
              <w:left w:val="nil"/>
              <w:bottom w:val="nil"/>
              <w:right w:val="nil"/>
            </w:tcBorders>
          </w:tcPr>
          <w:p w14:paraId="7DBB7E06" w14:textId="77777777" w:rsidR="00985EAA" w:rsidRPr="00A056BE" w:rsidRDefault="00985EAA" w:rsidP="00D3628F">
            <w:pPr>
              <w:spacing w:after="255" w:line="240" w:lineRule="auto"/>
              <w:contextualSpacing/>
              <w:jc w:val="both"/>
              <w:rPr>
                <w:rFonts w:ascii="Times New Roman" w:hAnsi="Times New Roman" w:cs="Times New Roman"/>
                <w:sz w:val="24"/>
                <w:szCs w:val="24"/>
                <w:lang w:val="en-US"/>
              </w:rPr>
            </w:pPr>
          </w:p>
        </w:tc>
        <w:tc>
          <w:tcPr>
            <w:tcW w:w="1139" w:type="dxa"/>
            <w:tcBorders>
              <w:top w:val="single" w:sz="4" w:space="0" w:color="auto"/>
              <w:left w:val="nil"/>
              <w:bottom w:val="nil"/>
              <w:right w:val="nil"/>
            </w:tcBorders>
          </w:tcPr>
          <w:p w14:paraId="1CDEA80A" w14:textId="77777777" w:rsidR="00985EAA" w:rsidRPr="00A056BE" w:rsidRDefault="00985EAA" w:rsidP="00D3628F">
            <w:pPr>
              <w:spacing w:after="255" w:line="240" w:lineRule="auto"/>
              <w:contextualSpacing/>
              <w:jc w:val="both"/>
              <w:rPr>
                <w:rFonts w:ascii="Times New Roman" w:hAnsi="Times New Roman" w:cs="Times New Roman"/>
                <w:sz w:val="24"/>
                <w:szCs w:val="24"/>
                <w:lang w:val="en-US"/>
              </w:rPr>
            </w:pPr>
          </w:p>
        </w:tc>
        <w:tc>
          <w:tcPr>
            <w:tcW w:w="1145" w:type="dxa"/>
            <w:tcBorders>
              <w:top w:val="single" w:sz="4" w:space="0" w:color="auto"/>
              <w:left w:val="nil"/>
              <w:bottom w:val="nil"/>
              <w:right w:val="nil"/>
            </w:tcBorders>
          </w:tcPr>
          <w:p w14:paraId="24E144DA" w14:textId="77777777" w:rsidR="00985EAA" w:rsidRPr="00A056BE" w:rsidRDefault="00985EAA" w:rsidP="00D3628F">
            <w:pPr>
              <w:spacing w:after="255" w:line="240" w:lineRule="auto"/>
              <w:contextualSpacing/>
              <w:jc w:val="both"/>
              <w:rPr>
                <w:rFonts w:ascii="Times New Roman" w:hAnsi="Times New Roman" w:cs="Times New Roman"/>
                <w:sz w:val="24"/>
                <w:szCs w:val="24"/>
                <w:lang w:val="en-US"/>
              </w:rPr>
            </w:pPr>
          </w:p>
        </w:tc>
        <w:tc>
          <w:tcPr>
            <w:tcW w:w="1407" w:type="dxa"/>
            <w:tcBorders>
              <w:top w:val="single" w:sz="4" w:space="0" w:color="auto"/>
              <w:left w:val="nil"/>
              <w:bottom w:val="nil"/>
              <w:right w:val="nil"/>
            </w:tcBorders>
          </w:tcPr>
          <w:p w14:paraId="711B2207" w14:textId="77777777" w:rsidR="00985EAA" w:rsidRPr="00A056BE" w:rsidRDefault="00985EAA" w:rsidP="00D3628F">
            <w:pPr>
              <w:spacing w:after="255" w:line="240" w:lineRule="auto"/>
              <w:contextualSpacing/>
              <w:jc w:val="both"/>
              <w:rPr>
                <w:rFonts w:ascii="Times New Roman" w:hAnsi="Times New Roman" w:cs="Times New Roman"/>
                <w:sz w:val="24"/>
                <w:szCs w:val="24"/>
                <w:lang w:val="en-US"/>
              </w:rPr>
            </w:pPr>
          </w:p>
        </w:tc>
      </w:tr>
    </w:tbl>
    <w:p w14:paraId="767ABECB" w14:textId="77777777" w:rsidR="001A0280" w:rsidRPr="00A056BE" w:rsidRDefault="001A0280" w:rsidP="001A0280">
      <w:pPr>
        <w:spacing w:line="240" w:lineRule="auto"/>
        <w:contextualSpacing/>
        <w:jc w:val="both"/>
        <w:rPr>
          <w:rFonts w:ascii="Times New Roman" w:hAnsi="Times New Roman" w:cs="Times New Roman"/>
          <w:i/>
          <w:iCs/>
          <w:sz w:val="24"/>
          <w:szCs w:val="24"/>
          <w:lang w:val="en-US"/>
        </w:rPr>
      </w:pPr>
    </w:p>
    <w:p w14:paraId="5DF67099" w14:textId="77777777" w:rsidR="001A0280" w:rsidRDefault="001A0280" w:rsidP="001A0280">
      <w:pPr>
        <w:spacing w:line="240" w:lineRule="auto"/>
        <w:contextualSpacing/>
        <w:jc w:val="both"/>
        <w:rPr>
          <w:rFonts w:ascii="Times New Roman" w:hAnsi="Times New Roman" w:cs="Times New Roman"/>
          <w:b/>
          <w:bCs/>
          <w:i/>
          <w:iCs/>
          <w:sz w:val="24"/>
          <w:szCs w:val="24"/>
          <w:lang w:val="en-US"/>
        </w:rPr>
      </w:pPr>
      <w:r w:rsidRPr="00A056BE">
        <w:rPr>
          <w:rFonts w:ascii="Times New Roman" w:hAnsi="Times New Roman" w:cs="Times New Roman"/>
          <w:b/>
          <w:bCs/>
          <w:i/>
          <w:iCs/>
          <w:sz w:val="24"/>
          <w:szCs w:val="24"/>
          <w:lang w:val="en-US"/>
        </w:rPr>
        <w:t>Metaphor Comprehension Task</w:t>
      </w:r>
    </w:p>
    <w:p w14:paraId="524A8B5A" w14:textId="77777777" w:rsidR="001A0280" w:rsidRPr="00A056BE" w:rsidRDefault="001A0280" w:rsidP="001A0280">
      <w:pPr>
        <w:spacing w:line="240" w:lineRule="auto"/>
        <w:contextualSpacing/>
        <w:jc w:val="both"/>
        <w:rPr>
          <w:rFonts w:ascii="Times New Roman" w:hAnsi="Times New Roman" w:cs="Times New Roman"/>
          <w:b/>
          <w:bCs/>
          <w:i/>
          <w:iCs/>
          <w:sz w:val="24"/>
          <w:szCs w:val="24"/>
          <w:lang w:val="en-US"/>
        </w:rPr>
      </w:pPr>
    </w:p>
    <w:p w14:paraId="10D0D982" w14:textId="5EBC20AE" w:rsidR="001A0280" w:rsidRPr="00A056BE" w:rsidRDefault="001A0280" w:rsidP="001A0280">
      <w:pPr>
        <w:spacing w:line="240" w:lineRule="auto"/>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 xml:space="preserve">Our metaphor task was based on the Visual World Paradigm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{"citationID":"x4AbdRCl","properties":{"formattedCitation":"(Tanenhaus et al., 1995)","plainCitation":"(Tanenhaus et al., 1995)","noteIndex":0},"citationItems":[{"id":237,"uris":["http://zotero.org/users/10108531/items/7VH3B8HA"],"itemData":{"id":237,"type":"article-journal","container-title":"Science","issue":"5217","page":"1632-1634","title":"Integration of Visual and Linguistic Information in Spoken Language Comprehension Published by : American Association for the Advancement of Science Stable URL : http://www.jstor.org/stable/2888637 JSTOR is a not-for-profit service that helps scholars , r","volume":"268","author":[{"family":"Tanenhaus","given":"Michael K"},{"family":"Spivey-knowlton","given":"Michael J"},{"family":"Eberhard","given":"Kathleen M"},{"family":"Sedivy","given":"Julie C"},{"family":"Tanenhaus","given":"Michael K"},{"family":"Spivey-knowlton","given":"Michael J"},{"family":"Eberhard","given":"Kathleen M"},{"family":"Sedivy","given":"Julie C"}],"issued":{"date-parts":[["1995"]]}}}],"schema":"https://github.com/citation-style-language/schema/raw/master/csl-citation.json"}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(Tanenhaus et al., 1995)</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and all stimuli were a combination of a visual array consisting of three pictures and an aurally presented sentence. Stimuli for this task were adapted from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{"citationID":"LX1A7wnA","properties":{"formattedCitation":"(Pouscoulous &amp; Tomasello, 2020)","plainCitation":"(Pouscoulous &amp; Tomasello, 2020)","dontUpdate":true,"noteIndex":0},"citationItems":[{"id":1759,"uris":["http://zotero.org/users/10108531/items/M4MLME44"],"itemData":{"id":1759,"type":"article-journal","abstract":"To assess children's cognitive capacities to understand (rather than explain or paraphrase) metaphors, we investigated how 3-year-olds (n = 36; 3;0–3;3) fare with novel metaphors corresponding to their world knowledge and linguistic competences using a behavioural choice paradigm. In a game, participants had to give the experimenter one of two objects referred to by a metaphorical expression. Unlike what previous literature suggests, our results indicate that 3-year-olds are able to understand novel metaphors that are appropriate for their vocabulary and world knowledge, based on action measures rather than metalinguistic responses. We discuss how factors other than incompetence with pragmatic inferencing can explain difficulties with metaphor comprehension.","container-title":"Journal of Pragmatics","DOI":"10.1016/j.pragma.2019.05.021","ISSN":"0378-2166","journalAbbreviation":"Journal of Pragmatics","language":"en","page":"160-167","source":"ScienceDirect","title":"Early birds: Metaphor understanding in 3-year-olds","title-short":"Early birds","volume":"156","author":[{"family":"Pouscoulous","given":"Nausicaa"},{"family":"Tomasello","given":"Michael"}],"issued":{"date-parts":[["2020",1,1]]}}}],"schema":"https://github.com/citation-style-language/schema/raw/master/csl-citation.json"}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Pouscoulous and Tomasello (2020)</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and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{"citationID":"vVvV36ZO","properties":{"formattedCitation":"(Di Paola et al., 2020)","plainCitation":"(Di Paola et al., 2020)","dontUpdate":true,"noteIndex":0},"citationItems":[{"id":107,"uris":["http://zotero.org/users/10108531/items/SB33HKQC"],"itemData":{"id":107,"type":"article-journal","abstract":"Metaphor understanding is traditionally thought to emerge late in childhood. Although recent findings suggest that even pre-schoolers can understand metaphor in more age appropriate paradigms, it is still unclear which skills scaffold the development of metaphorical abilities. Metaphor comprehension is a complex process relying on multiple cognitive abilities with different developmental paths, such as Alternative Naming (i.e., accepting two labels for the same referent) and Analogy Perception (i.e., detecting similarities across objects). These two abilities may prove crucial to explain the development of metaphoric competence because difficulties in one or both of them may impose additional demands linked to children's general cognitive development. This might contribute to slow down the development of metaphor understanding. This study aims at teasing apart the contribution of Alternative Naming and Analogy Perception in the development of metaphor understanding. Using a unified picture-matching paradigm, we tested 3- and 4-year-olds in three tasks: Metaphor Comprehension, Alternative Naming and Analogy Perception. Results reveal that children with better alternative naming and analogical abilities show a better performance in the metaphor task, suggesting that both Alternative Naming and Analogy Perception play a role in the development of metaphoric competence.","container-title":"Journal of Pragmatics","DOI":"10.1016/j.pragma.2019.08.008","ISSN":"03782166","note":"publisher: Elsevier B.V.","page":"235-251","title":"Metaphorical developing minds: The role of multiple factors in the development of metaphor comprehension","volume":"156","author":[{"family":"Di Paola","given":"Simona"},{"family":"Domaneschi","given":"Filippo"},{"family":"Pouscoulous","given":"Nausicaa"}],"issued":{"date-parts":[["2020",1,1]]}}}],"schema":"https://github.com/citation-style-language/schema/raw/master/csl-citation.json"}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Di Paola et al. (2020)</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New novel metaphors were created to have more suitable stimuli for adult participants. Twenty pairs of novel metaphors and corresponding literal expressions in the form [The X with the Y], where (Y) was figurative in the metaphor condition, were constructed. Sentences were similar in length. Nouns used in the (X) and (Y) positions were frequent and concrete. To check for words concreteness and frequency, we used ratings from </w:t>
      </w:r>
      <w:r w:rsidRPr="00A056BE">
        <w:rPr>
          <w:lang w:val="en-US"/>
        </w:rPr>
        <w:fldChar w:fldCharType="begin"/>
      </w:r>
      <w:r w:rsidRPr="00A056BE">
        <w:rPr>
          <w:rFonts w:ascii="Times New Roman" w:hAnsi="Times New Roman" w:cs="Times New Roman"/>
          <w:sz w:val="24"/>
          <w:szCs w:val="24"/>
          <w:lang w:val="en-US"/>
        </w:rPr>
        <w:instrText xml:space="preserve"> ADDIN ZOTERO_ITEM CSL_CITATION {"citationID":"GwJ0rpwc","properties":{"formattedCitation":"(Brysbaert et al., 2014)","plainCitation":"(Brysbaert et al., 2014)","dontUpdate":true,"noteIndex":0},"citationItems":[{"id":1727,"uris":["http://zotero.org/users/10108531/items/T49I63HT"],"itemData":{"id":1727,"type":"article-journal","abstract":"Concreteness ratings are presented for 37,058 English words and 2,896 two-word expressions (such as zebra crossing and zoom in), obtained from over 4,000 participants by means of a norming study using Internet crowdsourcing for data collection. Although the instructions stressed that the assessment of word concreteness would be based on experiences involving all senses and motor responses, a comparison with the existing concreteness norms indicates that participants, as before, largely focused on visual and haptic experiences. The reported data set is a subset of a comprehensive list of English lemmas and contains all lemmas known by at least 85 % of the raters. It can be used in future research as a reference list of generally known English lemmas.","container-title":"Behavior Research Methods","DOI":"10.3758/s13428-013-0403-5","ISSN":"1554-3528","issue":"3","journalAbbreviation":"Behav Res","language":"en","page":"904-911","source":"Springer Link","title":"Concreteness ratings for 40 thousand generally known English word lemmas","volume":"46","author":[{"family":"Brysbaert","given":"Marc"},{"family":"Warriner","given":"Amy Beth"},{"family":"Kuperman","given":"Victor"}],"issued":{"date-parts":[["2014",9,1]]}}}],"schema":"https://github.com/citation-style-language/schema/raw/master/csl-citation.json"} </w:instrText>
      </w:r>
      <w:r w:rsidRPr="00A056BE">
        <w:rPr>
          <w:lang w:val="en-US"/>
        </w:rPr>
        <w:fldChar w:fldCharType="separate"/>
      </w:r>
      <w:r w:rsidRPr="00A056BE">
        <w:rPr>
          <w:rFonts w:ascii="Times New Roman" w:hAnsi="Times New Roman" w:cs="Times New Roman"/>
          <w:noProof/>
          <w:sz w:val="24"/>
          <w:szCs w:val="24"/>
          <w:lang w:val="en-US"/>
        </w:rPr>
        <w:t>Brysbaert et al., (2014)</w:t>
      </w:r>
      <w:r w:rsidRPr="00A056BE">
        <w:rPr>
          <w:lang w:val="en-US"/>
        </w:rPr>
        <w:fldChar w:fldCharType="end"/>
      </w:r>
      <w:r w:rsidRPr="00A056BE">
        <w:rPr>
          <w:rFonts w:ascii="Times New Roman" w:hAnsi="Times New Roman" w:cs="Times New Roman"/>
          <w:sz w:val="24"/>
          <w:szCs w:val="24"/>
          <w:lang w:val="en-US"/>
        </w:rPr>
        <w:t xml:space="preserve"> and </w:t>
      </w:r>
      <w:r w:rsidRPr="00A056BE">
        <w:rPr>
          <w:lang w:val="en-US"/>
        </w:rPr>
        <w:fldChar w:fldCharType="begin"/>
      </w:r>
      <w:r w:rsidRPr="00A056BE">
        <w:rPr>
          <w:rFonts w:ascii="Times New Roman" w:hAnsi="Times New Roman" w:cs="Times New Roman"/>
          <w:sz w:val="24"/>
          <w:szCs w:val="24"/>
          <w:lang w:val="en-US"/>
        </w:rPr>
        <w:instrText xml:space="preserve"> ADDIN ZOTERO_ITEM CSL_CITATION {"citationID":"aKCmeQ1j","properties":{"formattedCitation":"(van Heuven et al., 2014)","plainCitation":"(van Heuven et al., 2014)","dontUpdate":true,"noteIndex":0},"citationItems":[{"id":1764,"uris":["http://zotero.org/users/10108531/items/FN3MZ2JA"],"itemData":{"id":1764,"type":"article-journal","abstract":"We present word frequencies based on subtitles of British television programmes. We show that the SUBTLEX-UK word frequencies explain more of the variance in the lexical decision times of the British Lexicon Project than the word frequencies based on the British National Corpus and the SUBTLEX-US frequencies. In addition to the word form frequencies, we also present measures of contextual diversity part-of-speech specific word frequencies, word frequencies in children programmes, and word bigram frequencies, giving researchers of British English access to the full range of norms recently made available for other languages. Finally, we introduce a new measure of word frequency, the Zipf scale, which we hope will stop the current misunderstandings of the word frequency effect.","container-title":"Quarterly Journal of Experimental Psychology","DOI":"10.1080/17470218.2013.850521","ISSN":"1747-0218","issue":"6","language":"en","note":"publisher: SAGE Publications","page":"1176-1190","source":"SAGE Journals","title":"Subtlex-UK: A New and Improved Word Frequency Database for British English","title-short":"Subtlex-UK","volume":"67","author":[{"family":"Heuven","given":"Walter J. B.","non-dropping-particle":"van"},{"family":"Mandera","given":"Pawel"},{"family":"Keuleers","given":"Emmanuel"},{"family":"Brysbaert","given":"Marc"}],"issued":{"date-parts":[["2014",6,1]]}}}],"schema":"https://github.com/citation-style-language/schema/raw/master/csl-citation.json"} </w:instrText>
      </w:r>
      <w:r w:rsidRPr="00A056BE">
        <w:rPr>
          <w:lang w:val="en-US"/>
        </w:rPr>
        <w:fldChar w:fldCharType="separate"/>
      </w:r>
      <w:r w:rsidRPr="00A056BE">
        <w:rPr>
          <w:rFonts w:ascii="Times New Roman" w:hAnsi="Times New Roman" w:cs="Times New Roman"/>
          <w:noProof/>
          <w:sz w:val="24"/>
          <w:szCs w:val="24"/>
          <w:lang w:val="en-US"/>
        </w:rPr>
        <w:t>van Heuven et al. (2014)</w:t>
      </w:r>
      <w:r w:rsidRPr="00A056BE">
        <w:rPr>
          <w:lang w:val="en-US"/>
        </w:rPr>
        <w:fldChar w:fldCharType="end"/>
      </w:r>
      <w:r w:rsidRPr="00A056BE">
        <w:rPr>
          <w:rFonts w:ascii="Times New Roman" w:hAnsi="Times New Roman" w:cs="Times New Roman"/>
          <w:sz w:val="24"/>
          <w:szCs w:val="24"/>
          <w:lang w:val="en-US"/>
        </w:rPr>
        <w:t xml:space="preserve">. For each trial, a target picture and two control pictures were sourced: (1) the target picture showed the target object referred to either metaphorically or literally (e.g., a cup with handles for </w:t>
      </w:r>
      <w:r w:rsidRPr="00A056BE">
        <w:rPr>
          <w:rFonts w:ascii="Times New Roman" w:hAnsi="Times New Roman" w:cs="Times New Roman"/>
          <w:i/>
          <w:iCs/>
          <w:sz w:val="24"/>
          <w:szCs w:val="24"/>
          <w:lang w:val="en-US"/>
        </w:rPr>
        <w:t>The cup with the ears/handles</w:t>
      </w:r>
      <w:r w:rsidRPr="00A056BE">
        <w:rPr>
          <w:rFonts w:ascii="Times New Roman" w:hAnsi="Times New Roman" w:cs="Times New Roman"/>
          <w:sz w:val="24"/>
          <w:szCs w:val="24"/>
          <w:lang w:val="en-US"/>
        </w:rPr>
        <w:t>), (2) the irrelevant illustrated the metaphor target without the relevant property (e.g., a cup without handles), and (3) the distractor was a literal competitor, literally showing both target and vehicle (e.g., a cup and a boy pointing at his ears) (see Figure 1).</w:t>
      </w:r>
    </w:p>
    <w:p w14:paraId="37351397" w14:textId="77777777" w:rsidR="001A0280" w:rsidRPr="00A056BE" w:rsidRDefault="001A0280" w:rsidP="001A0280">
      <w:pPr>
        <w:spacing w:line="240" w:lineRule="auto"/>
        <w:contextualSpacing/>
        <w:jc w:val="both"/>
        <w:rPr>
          <w:rFonts w:ascii="Times New Roman" w:hAnsi="Times New Roman" w:cs="Times New Roman"/>
          <w:sz w:val="24"/>
          <w:szCs w:val="24"/>
          <w:lang w:val="en-US"/>
        </w:rPr>
      </w:pPr>
    </w:p>
    <w:p w14:paraId="0A747D03" w14:textId="30EEA847" w:rsidR="001E6A38" w:rsidRDefault="001E6A38" w:rsidP="00985EAA">
      <w:pPr>
        <w:keepNext/>
        <w:spacing w:line="240" w:lineRule="auto"/>
        <w:contextualSpacing/>
        <w:jc w:val="both"/>
        <w:rPr>
          <w:rFonts w:ascii="Times New Roman" w:hAnsi="Times New Roman" w:cs="Times New Roman"/>
          <w:lang w:val="en-US"/>
        </w:rPr>
      </w:pPr>
    </w:p>
    <w:tbl>
      <w:tblPr>
        <w:tblStyle w:val="TableGrid"/>
        <w:tblW w:w="0" w:type="auto"/>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28"/>
      </w:tblGrid>
      <w:tr w:rsidR="001E6A38" w14:paraId="4787FF1E" w14:textId="77777777" w:rsidTr="001E6A38">
        <w:tc>
          <w:tcPr>
            <w:tcW w:w="9628" w:type="dxa"/>
          </w:tcPr>
          <w:p w14:paraId="31EA8B58" w14:textId="77777777" w:rsidR="001E6A38" w:rsidRDefault="001E6A38" w:rsidP="001E6A38">
            <w:pPr>
              <w:keepNext/>
              <w:spacing w:line="240" w:lineRule="auto"/>
              <w:contextualSpacing/>
              <w:jc w:val="both"/>
              <w:rPr>
                <w:rFonts w:ascii="Times New Roman" w:hAnsi="Times New Roman" w:cs="Times New Roman"/>
                <w:lang w:val="en-US"/>
              </w:rPr>
            </w:pPr>
            <w:r w:rsidRPr="00A056BE">
              <w:rPr>
                <w:rFonts w:ascii="Times New Roman" w:hAnsi="Times New Roman" w:cs="Times New Roman"/>
                <w:noProof/>
                <w:lang w:val="en-US"/>
              </w:rPr>
              <w:drawing>
                <wp:inline distT="0" distB="0" distL="0" distR="0" wp14:anchorId="24D07A6C" wp14:editId="6CF54172">
                  <wp:extent cx="5731510" cy="1877695"/>
                  <wp:effectExtent l="0" t="0" r="0" b="1905"/>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5731510" cy="1877695"/>
                          </a:xfrm>
                          <a:prstGeom prst="rect">
                            <a:avLst/>
                          </a:prstGeom>
                        </pic:spPr>
                      </pic:pic>
                    </a:graphicData>
                  </a:graphic>
                </wp:inline>
              </w:drawing>
            </w:r>
          </w:p>
          <w:p w14:paraId="6A292547" w14:textId="77777777" w:rsidR="001E6A38" w:rsidRDefault="001E6A38" w:rsidP="00985EAA">
            <w:pPr>
              <w:keepNext/>
              <w:spacing w:line="240" w:lineRule="auto"/>
              <w:contextualSpacing/>
              <w:jc w:val="both"/>
              <w:rPr>
                <w:rFonts w:ascii="Times New Roman" w:hAnsi="Times New Roman" w:cs="Times New Roman"/>
                <w:lang w:val="en-US"/>
              </w:rPr>
            </w:pPr>
          </w:p>
        </w:tc>
      </w:tr>
      <w:tr w:rsidR="001E6A38" w14:paraId="52C16A50" w14:textId="77777777" w:rsidTr="001E6A38">
        <w:tc>
          <w:tcPr>
            <w:tcW w:w="9628" w:type="dxa"/>
          </w:tcPr>
          <w:p w14:paraId="301782A2" w14:textId="77777777" w:rsidR="001E6A38" w:rsidRDefault="001E6A38" w:rsidP="001E6A38">
            <w:pPr>
              <w:keepNext/>
              <w:spacing w:line="240" w:lineRule="auto"/>
              <w:contextualSpacing/>
              <w:jc w:val="both"/>
              <w:rPr>
                <w:rFonts w:ascii="Times New Roman" w:hAnsi="Times New Roman" w:cs="Times New Roman"/>
                <w:noProof/>
                <w:lang w:val="en-US"/>
              </w:rPr>
            </w:pPr>
          </w:p>
          <w:tbl>
            <w:tblPr>
              <w:tblStyle w:val="TableGrid"/>
              <w:tblW w:w="0" w:type="auto"/>
              <w:tblInd w:w="0" w:type="dxa"/>
              <w:tblLook w:val="04A0" w:firstRow="1" w:lastRow="0" w:firstColumn="1" w:lastColumn="0" w:noHBand="0" w:noVBand="1"/>
            </w:tblPr>
            <w:tblGrid>
              <w:gridCol w:w="1803"/>
              <w:gridCol w:w="1803"/>
              <w:gridCol w:w="1803"/>
              <w:gridCol w:w="1803"/>
              <w:gridCol w:w="1804"/>
            </w:tblGrid>
            <w:tr w:rsidR="001E6A38" w:rsidRPr="00A056BE" w14:paraId="248E61FD" w14:textId="77777777" w:rsidTr="00FF026A">
              <w:tc>
                <w:tcPr>
                  <w:tcW w:w="1803" w:type="dxa"/>
                  <w:tcBorders>
                    <w:top w:val="single" w:sz="4" w:space="0" w:color="auto"/>
                    <w:left w:val="single" w:sz="4" w:space="0" w:color="auto"/>
                    <w:bottom w:val="single" w:sz="4" w:space="0" w:color="auto"/>
                    <w:right w:val="single" w:sz="4" w:space="0" w:color="auto"/>
                  </w:tcBorders>
                  <w:hideMark/>
                </w:tcPr>
                <w:p w14:paraId="10FB402B" w14:textId="77777777" w:rsidR="001E6A38" w:rsidRPr="00A056BE" w:rsidRDefault="001E6A38" w:rsidP="001E6A38">
                  <w:pPr>
                    <w:spacing w:after="0" w:line="240" w:lineRule="auto"/>
                    <w:jc w:val="both"/>
                    <w:rPr>
                      <w:rFonts w:ascii="Times New Roman" w:hAnsi="Times New Roman" w:cs="Times New Roman"/>
                      <w:bCs/>
                      <w:lang w:val="en-US"/>
                    </w:rPr>
                  </w:pPr>
                  <w:r w:rsidRPr="00A056BE">
                    <w:rPr>
                      <w:rFonts w:ascii="Times New Roman" w:hAnsi="Times New Roman" w:cs="Times New Roman"/>
                      <w:bCs/>
                      <w:i/>
                      <w:iCs/>
                      <w:lang w:val="en-US"/>
                    </w:rPr>
                    <w:t>500ms</w:t>
                  </w:r>
                </w:p>
              </w:tc>
              <w:tc>
                <w:tcPr>
                  <w:tcW w:w="1803" w:type="dxa"/>
                  <w:tcBorders>
                    <w:top w:val="single" w:sz="4" w:space="0" w:color="auto"/>
                    <w:left w:val="single" w:sz="4" w:space="0" w:color="auto"/>
                    <w:bottom w:val="single" w:sz="4" w:space="0" w:color="auto"/>
                    <w:right w:val="single" w:sz="4" w:space="0" w:color="auto"/>
                  </w:tcBorders>
                  <w:hideMark/>
                </w:tcPr>
                <w:p w14:paraId="11D977C2" w14:textId="77777777" w:rsidR="001E6A38" w:rsidRPr="00A056BE" w:rsidRDefault="001E6A38" w:rsidP="001E6A38">
                  <w:pPr>
                    <w:spacing w:after="0" w:line="240" w:lineRule="auto"/>
                    <w:jc w:val="both"/>
                    <w:rPr>
                      <w:rFonts w:ascii="Times New Roman" w:hAnsi="Times New Roman" w:cs="Times New Roman"/>
                      <w:bCs/>
                      <w:lang w:val="en-US"/>
                    </w:rPr>
                  </w:pPr>
                  <w:r w:rsidRPr="00A056BE">
                    <w:rPr>
                      <w:rFonts w:ascii="Times New Roman" w:hAnsi="Times New Roman" w:cs="Times New Roman"/>
                      <w:bCs/>
                      <w:lang w:val="en-US"/>
                    </w:rPr>
                    <w:t>The</w:t>
                  </w:r>
                </w:p>
              </w:tc>
              <w:tc>
                <w:tcPr>
                  <w:tcW w:w="1803" w:type="dxa"/>
                  <w:tcBorders>
                    <w:top w:val="single" w:sz="4" w:space="0" w:color="auto"/>
                    <w:left w:val="single" w:sz="4" w:space="0" w:color="auto"/>
                    <w:bottom w:val="single" w:sz="4" w:space="0" w:color="auto"/>
                    <w:right w:val="single" w:sz="4" w:space="0" w:color="auto"/>
                  </w:tcBorders>
                  <w:hideMark/>
                </w:tcPr>
                <w:p w14:paraId="5ED4018D" w14:textId="77777777" w:rsidR="001E6A38" w:rsidRPr="00A056BE" w:rsidRDefault="001E6A38" w:rsidP="001E6A38">
                  <w:pPr>
                    <w:spacing w:after="0" w:line="240" w:lineRule="auto"/>
                    <w:jc w:val="both"/>
                    <w:rPr>
                      <w:rFonts w:ascii="Times New Roman" w:hAnsi="Times New Roman" w:cs="Times New Roman"/>
                      <w:bCs/>
                      <w:lang w:val="en-US"/>
                    </w:rPr>
                  </w:pPr>
                  <w:r w:rsidRPr="00A056BE">
                    <w:rPr>
                      <w:rFonts w:ascii="Times New Roman" w:hAnsi="Times New Roman" w:cs="Times New Roman"/>
                      <w:bCs/>
                      <w:lang w:val="en-US"/>
                    </w:rPr>
                    <w:t>cup with the</w:t>
                  </w:r>
                </w:p>
              </w:tc>
              <w:tc>
                <w:tcPr>
                  <w:tcW w:w="1803" w:type="dxa"/>
                  <w:tcBorders>
                    <w:top w:val="single" w:sz="4" w:space="0" w:color="auto"/>
                    <w:left w:val="single" w:sz="4" w:space="0" w:color="auto"/>
                    <w:bottom w:val="single" w:sz="4" w:space="0" w:color="auto"/>
                    <w:right w:val="single" w:sz="4" w:space="0" w:color="auto"/>
                  </w:tcBorders>
                  <w:hideMark/>
                </w:tcPr>
                <w:p w14:paraId="064C6148" w14:textId="77777777" w:rsidR="001E6A38" w:rsidRPr="00A056BE" w:rsidRDefault="001E6A38" w:rsidP="001E6A38">
                  <w:pPr>
                    <w:spacing w:after="0" w:line="240" w:lineRule="auto"/>
                    <w:jc w:val="both"/>
                    <w:rPr>
                      <w:rFonts w:ascii="Times New Roman" w:hAnsi="Times New Roman" w:cs="Times New Roman"/>
                      <w:bCs/>
                      <w:lang w:val="en-US"/>
                    </w:rPr>
                  </w:pPr>
                  <w:r w:rsidRPr="00A056BE">
                    <w:rPr>
                      <w:rFonts w:ascii="Times New Roman" w:hAnsi="Times New Roman" w:cs="Times New Roman"/>
                      <w:bCs/>
                      <w:lang w:val="en-US"/>
                    </w:rPr>
                    <w:t>ears</w:t>
                  </w:r>
                </w:p>
              </w:tc>
              <w:tc>
                <w:tcPr>
                  <w:tcW w:w="1804" w:type="dxa"/>
                  <w:tcBorders>
                    <w:top w:val="single" w:sz="4" w:space="0" w:color="auto"/>
                    <w:left w:val="single" w:sz="4" w:space="0" w:color="auto"/>
                    <w:bottom w:val="single" w:sz="4" w:space="0" w:color="auto"/>
                    <w:right w:val="single" w:sz="4" w:space="0" w:color="auto"/>
                  </w:tcBorders>
                  <w:hideMark/>
                </w:tcPr>
                <w:p w14:paraId="3B3CBF94" w14:textId="77777777" w:rsidR="001E6A38" w:rsidRPr="00A056BE" w:rsidRDefault="001E6A38" w:rsidP="001E6A38">
                  <w:pPr>
                    <w:spacing w:after="0" w:line="240" w:lineRule="auto"/>
                    <w:jc w:val="both"/>
                    <w:rPr>
                      <w:rFonts w:ascii="Times New Roman" w:hAnsi="Times New Roman" w:cs="Times New Roman"/>
                      <w:bCs/>
                      <w:lang w:val="en-US"/>
                    </w:rPr>
                  </w:pPr>
                  <w:r w:rsidRPr="00A056BE">
                    <w:rPr>
                      <w:rFonts w:ascii="Times New Roman" w:hAnsi="Times New Roman" w:cs="Times New Roman"/>
                      <w:bCs/>
                      <w:i/>
                      <w:iCs/>
                      <w:lang w:val="en-US"/>
                    </w:rPr>
                    <w:t>2000 ms</w:t>
                  </w:r>
                </w:p>
              </w:tc>
            </w:tr>
            <w:tr w:rsidR="001E6A38" w:rsidRPr="00A056BE" w14:paraId="108E0FB3" w14:textId="77777777" w:rsidTr="00FF026A">
              <w:tc>
                <w:tcPr>
                  <w:tcW w:w="1803" w:type="dxa"/>
                  <w:tcBorders>
                    <w:top w:val="single" w:sz="4" w:space="0" w:color="auto"/>
                    <w:left w:val="single" w:sz="4" w:space="0" w:color="auto"/>
                    <w:bottom w:val="single" w:sz="4" w:space="0" w:color="auto"/>
                    <w:right w:val="single" w:sz="4" w:space="0" w:color="auto"/>
                  </w:tcBorders>
                  <w:hideMark/>
                </w:tcPr>
                <w:p w14:paraId="0551FCDB" w14:textId="77777777" w:rsidR="001E6A38" w:rsidRPr="00A056BE" w:rsidRDefault="001E6A38" w:rsidP="001E6A38">
                  <w:pPr>
                    <w:spacing w:after="255" w:line="240" w:lineRule="auto"/>
                    <w:contextualSpacing/>
                    <w:jc w:val="both"/>
                    <w:rPr>
                      <w:rFonts w:ascii="Times New Roman" w:hAnsi="Times New Roman" w:cs="Times New Roman"/>
                      <w:bCs/>
                      <w:lang w:val="en-US"/>
                    </w:rPr>
                  </w:pPr>
                  <w:r w:rsidRPr="00A056BE">
                    <w:rPr>
                      <w:rFonts w:ascii="Times New Roman" w:hAnsi="Times New Roman" w:cs="Times New Roman"/>
                      <w:bCs/>
                      <w:lang w:val="en-US"/>
                    </w:rPr>
                    <w:t>Blank</w:t>
                  </w:r>
                </w:p>
              </w:tc>
              <w:tc>
                <w:tcPr>
                  <w:tcW w:w="1803" w:type="dxa"/>
                  <w:tcBorders>
                    <w:top w:val="single" w:sz="4" w:space="0" w:color="auto"/>
                    <w:left w:val="single" w:sz="4" w:space="0" w:color="auto"/>
                    <w:bottom w:val="single" w:sz="4" w:space="0" w:color="auto"/>
                    <w:right w:val="single" w:sz="4" w:space="0" w:color="auto"/>
                  </w:tcBorders>
                  <w:hideMark/>
                </w:tcPr>
                <w:p w14:paraId="355E1E26" w14:textId="77777777" w:rsidR="001E6A38" w:rsidRPr="00A056BE" w:rsidRDefault="001E6A38" w:rsidP="001E6A38">
                  <w:pPr>
                    <w:spacing w:after="255" w:line="240" w:lineRule="auto"/>
                    <w:contextualSpacing/>
                    <w:jc w:val="both"/>
                    <w:rPr>
                      <w:rFonts w:ascii="Times New Roman" w:hAnsi="Times New Roman" w:cs="Times New Roman"/>
                      <w:bCs/>
                      <w:lang w:val="en-US"/>
                    </w:rPr>
                  </w:pPr>
                  <w:r w:rsidRPr="00A056BE">
                    <w:rPr>
                      <w:rFonts w:ascii="Times New Roman" w:hAnsi="Times New Roman" w:cs="Times New Roman"/>
                      <w:bCs/>
                      <w:lang w:val="en-US"/>
                    </w:rPr>
                    <w:t>Det1</w:t>
                  </w:r>
                </w:p>
              </w:tc>
              <w:tc>
                <w:tcPr>
                  <w:tcW w:w="1803" w:type="dxa"/>
                  <w:tcBorders>
                    <w:top w:val="single" w:sz="4" w:space="0" w:color="auto"/>
                    <w:left w:val="single" w:sz="4" w:space="0" w:color="auto"/>
                    <w:bottom w:val="single" w:sz="4" w:space="0" w:color="auto"/>
                    <w:right w:val="single" w:sz="4" w:space="0" w:color="auto"/>
                  </w:tcBorders>
                  <w:hideMark/>
                </w:tcPr>
                <w:p w14:paraId="76B7614E" w14:textId="77777777" w:rsidR="001E6A38" w:rsidRPr="00A056BE" w:rsidRDefault="001E6A38" w:rsidP="001E6A38">
                  <w:pPr>
                    <w:spacing w:after="255" w:line="240" w:lineRule="auto"/>
                    <w:contextualSpacing/>
                    <w:jc w:val="both"/>
                    <w:rPr>
                      <w:rFonts w:ascii="Times New Roman" w:hAnsi="Times New Roman" w:cs="Times New Roman"/>
                      <w:bCs/>
                      <w:lang w:val="en-US"/>
                    </w:rPr>
                  </w:pPr>
                  <w:r w:rsidRPr="00A056BE">
                    <w:rPr>
                      <w:rFonts w:ascii="Times New Roman" w:hAnsi="Times New Roman" w:cs="Times New Roman"/>
                      <w:bCs/>
                      <w:lang w:val="en-US"/>
                    </w:rPr>
                    <w:t>NP1+PP+Det2</w:t>
                  </w:r>
                </w:p>
              </w:tc>
              <w:tc>
                <w:tcPr>
                  <w:tcW w:w="1803" w:type="dxa"/>
                  <w:tcBorders>
                    <w:top w:val="single" w:sz="4" w:space="0" w:color="auto"/>
                    <w:left w:val="single" w:sz="4" w:space="0" w:color="auto"/>
                    <w:bottom w:val="single" w:sz="4" w:space="0" w:color="auto"/>
                    <w:right w:val="single" w:sz="4" w:space="0" w:color="auto"/>
                  </w:tcBorders>
                  <w:hideMark/>
                </w:tcPr>
                <w:p w14:paraId="741CF4CE" w14:textId="77777777" w:rsidR="001E6A38" w:rsidRPr="00A056BE" w:rsidRDefault="001E6A38" w:rsidP="001E6A38">
                  <w:pPr>
                    <w:spacing w:after="255" w:line="240" w:lineRule="auto"/>
                    <w:contextualSpacing/>
                    <w:jc w:val="both"/>
                    <w:rPr>
                      <w:rFonts w:ascii="Times New Roman" w:hAnsi="Times New Roman" w:cs="Times New Roman"/>
                      <w:bCs/>
                      <w:lang w:val="en-US"/>
                    </w:rPr>
                  </w:pPr>
                  <w:r w:rsidRPr="00A056BE">
                    <w:rPr>
                      <w:rFonts w:ascii="Times New Roman" w:hAnsi="Times New Roman" w:cs="Times New Roman"/>
                      <w:bCs/>
                      <w:lang w:val="en-US"/>
                    </w:rPr>
                    <w:t>NP2</w:t>
                  </w:r>
                </w:p>
              </w:tc>
              <w:tc>
                <w:tcPr>
                  <w:tcW w:w="1804" w:type="dxa"/>
                  <w:tcBorders>
                    <w:top w:val="single" w:sz="4" w:space="0" w:color="auto"/>
                    <w:left w:val="single" w:sz="4" w:space="0" w:color="auto"/>
                    <w:bottom w:val="single" w:sz="4" w:space="0" w:color="auto"/>
                    <w:right w:val="single" w:sz="4" w:space="0" w:color="auto"/>
                  </w:tcBorders>
                  <w:hideMark/>
                </w:tcPr>
                <w:p w14:paraId="15E86C43" w14:textId="77777777" w:rsidR="001E6A38" w:rsidRPr="00A056BE" w:rsidRDefault="001E6A38" w:rsidP="001E6A38">
                  <w:pPr>
                    <w:spacing w:after="255" w:line="240" w:lineRule="auto"/>
                    <w:contextualSpacing/>
                    <w:jc w:val="both"/>
                    <w:rPr>
                      <w:rFonts w:ascii="Times New Roman" w:hAnsi="Times New Roman" w:cs="Times New Roman"/>
                      <w:bCs/>
                      <w:lang w:val="en-US"/>
                    </w:rPr>
                  </w:pPr>
                  <w:r w:rsidRPr="00A056BE">
                    <w:rPr>
                      <w:rFonts w:ascii="Times New Roman" w:hAnsi="Times New Roman" w:cs="Times New Roman"/>
                      <w:bCs/>
                      <w:lang w:val="en-US"/>
                    </w:rPr>
                    <w:t>Ending/Button Press</w:t>
                  </w:r>
                </w:p>
              </w:tc>
            </w:tr>
          </w:tbl>
          <w:p w14:paraId="5CA9AA5A" w14:textId="00F3B930" w:rsidR="001E6A38" w:rsidRDefault="001E6A38" w:rsidP="001E6A38">
            <w:pPr>
              <w:keepNext/>
              <w:spacing w:line="240" w:lineRule="auto"/>
              <w:contextualSpacing/>
              <w:jc w:val="both"/>
              <w:rPr>
                <w:rFonts w:ascii="Times New Roman" w:hAnsi="Times New Roman" w:cs="Times New Roman"/>
                <w:noProof/>
                <w:lang w:val="en-US"/>
              </w:rPr>
            </w:pPr>
            <w:r>
              <w:rPr>
                <w:rFonts w:ascii="Times New Roman" w:hAnsi="Times New Roman" w:cs="Times New Roman"/>
                <w:noProof/>
                <w:lang w:val="en-US"/>
              </w:rPr>
              <w:t xml:space="preserve"> </w:t>
            </w:r>
          </w:p>
          <w:p w14:paraId="70FDC6D2" w14:textId="14BC55D6" w:rsidR="001E6A38" w:rsidRPr="00A056BE" w:rsidRDefault="001E6A38" w:rsidP="001E6A38">
            <w:pPr>
              <w:keepNext/>
              <w:spacing w:line="240" w:lineRule="auto"/>
              <w:contextualSpacing/>
              <w:jc w:val="both"/>
              <w:rPr>
                <w:rFonts w:ascii="Times New Roman" w:hAnsi="Times New Roman" w:cs="Times New Roman"/>
                <w:noProof/>
                <w:lang w:val="en-US"/>
              </w:rPr>
            </w:pPr>
          </w:p>
        </w:tc>
      </w:tr>
    </w:tbl>
    <w:p w14:paraId="5DC534E1" w14:textId="77777777" w:rsidR="001E6A38" w:rsidRPr="00A056BE" w:rsidRDefault="001E6A38" w:rsidP="00985EAA">
      <w:pPr>
        <w:keepNext/>
        <w:spacing w:line="240" w:lineRule="auto"/>
        <w:contextualSpacing/>
        <w:jc w:val="both"/>
        <w:rPr>
          <w:rFonts w:ascii="Times New Roman" w:hAnsi="Times New Roman" w:cs="Times New Roman"/>
          <w:lang w:val="en-US"/>
        </w:rPr>
      </w:pPr>
    </w:p>
    <w:p w14:paraId="3480D557" w14:textId="647BEE02" w:rsidR="00985EAA" w:rsidRPr="00A056BE" w:rsidRDefault="00985EAA" w:rsidP="00985EAA">
      <w:pPr>
        <w:widowControl w:val="0"/>
        <w:autoSpaceDE w:val="0"/>
        <w:autoSpaceDN w:val="0"/>
        <w:adjustRightInd w:val="0"/>
        <w:spacing w:line="240" w:lineRule="auto"/>
        <w:rPr>
          <w:rFonts w:ascii="Times New Roman" w:hAnsi="Times New Roman" w:cs="Times New Roman"/>
          <w:b/>
          <w:bCs/>
          <w:i/>
          <w:iCs/>
          <w:noProof/>
          <w:lang w:val="en-US"/>
        </w:rPr>
      </w:pPr>
      <w:r w:rsidRPr="00A056BE">
        <w:rPr>
          <w:rFonts w:ascii="Times New Roman" w:hAnsi="Times New Roman" w:cs="Times New Roman"/>
          <w:b/>
          <w:bCs/>
          <w:lang w:val="en-US"/>
        </w:rPr>
        <w:t xml:space="preserve">Figure 1. </w:t>
      </w:r>
      <w:r w:rsidRPr="00A056BE">
        <w:rPr>
          <w:rFonts w:ascii="Times New Roman" w:hAnsi="Times New Roman" w:cs="Times New Roman"/>
          <w:lang w:val="en-US"/>
        </w:rPr>
        <w:t>Example visual array ‘The cup with the ears’ and the literal item ‘The cup with the handles’: (1) target picture, (2) irrelevant, and (3) distractor.</w:t>
      </w:r>
      <w:r w:rsidR="00C75B14">
        <w:rPr>
          <w:rFonts w:ascii="Times New Roman" w:hAnsi="Times New Roman" w:cs="Times New Roman"/>
          <w:lang w:val="en-US"/>
        </w:rPr>
        <w:t xml:space="preserve"> The b</w:t>
      </w:r>
      <w:r w:rsidR="00C75B14" w:rsidRPr="00C75B14">
        <w:rPr>
          <w:rFonts w:ascii="Times New Roman" w:hAnsi="Times New Roman" w:cs="Times New Roman"/>
          <w:lang w:val="en-US"/>
        </w:rPr>
        <w:t>ottom panel shows the key time points for dividing the sentence into critical time periods</w:t>
      </w:r>
      <w:r w:rsidR="00C75B14">
        <w:rPr>
          <w:rFonts w:ascii="Times New Roman" w:hAnsi="Times New Roman" w:cs="Times New Roman"/>
          <w:lang w:val="en-US"/>
        </w:rPr>
        <w:t>.</w:t>
      </w:r>
    </w:p>
    <w:p w14:paraId="6BCC0A05" w14:textId="77777777" w:rsidR="001A0280" w:rsidRPr="00A056BE" w:rsidRDefault="001A0280" w:rsidP="001A0280">
      <w:pPr>
        <w:spacing w:line="240" w:lineRule="auto"/>
        <w:jc w:val="both"/>
        <w:rPr>
          <w:rFonts w:ascii="Times New Roman" w:hAnsi="Times New Roman" w:cs="Times New Roman"/>
          <w:lang w:val="en-US"/>
        </w:rPr>
      </w:pPr>
    </w:p>
    <w:p w14:paraId="58599BDC" w14:textId="77777777" w:rsidR="00C75B14" w:rsidRDefault="001E6A38" w:rsidP="00C75B14">
      <w:pPr>
        <w:spacing w:line="240" w:lineRule="auto"/>
        <w:ind w:firstLine="709"/>
        <w:contextualSpacing/>
        <w:jc w:val="both"/>
        <w:rPr>
          <w:rFonts w:ascii="Times New Roman" w:hAnsi="Times New Roman" w:cs="Times New Roman"/>
          <w:bCs/>
          <w:iCs/>
          <w:sz w:val="24"/>
          <w:szCs w:val="24"/>
          <w:lang w:val="en-US"/>
        </w:rPr>
      </w:pPr>
      <w:r w:rsidRPr="00AC10A4">
        <w:rPr>
          <w:rFonts w:ascii="Times New Roman" w:hAnsi="Times New Roman" w:cs="Times New Roman"/>
          <w:bCs/>
          <w:sz w:val="24"/>
          <w:szCs w:val="24"/>
          <w:lang w:val="en-US"/>
        </w:rPr>
        <w:t xml:space="preserve">We defined five key time points for each trial (see </w:t>
      </w:r>
      <w:r>
        <w:rPr>
          <w:rFonts w:ascii="Times New Roman" w:hAnsi="Times New Roman" w:cs="Times New Roman"/>
          <w:bCs/>
          <w:sz w:val="24"/>
          <w:szCs w:val="24"/>
          <w:lang w:val="en-US"/>
        </w:rPr>
        <w:t>Figure 1</w:t>
      </w:r>
      <w:r w:rsidR="00C75B14">
        <w:rPr>
          <w:rFonts w:ascii="Times New Roman" w:hAnsi="Times New Roman" w:cs="Times New Roman"/>
          <w:bCs/>
          <w:sz w:val="24"/>
          <w:szCs w:val="24"/>
          <w:lang w:val="en-US"/>
        </w:rPr>
        <w:t>, bottom panel</w:t>
      </w:r>
      <w:r w:rsidRPr="00AC10A4">
        <w:rPr>
          <w:rFonts w:ascii="Times New Roman" w:hAnsi="Times New Roman" w:cs="Times New Roman"/>
          <w:bCs/>
          <w:sz w:val="24"/>
          <w:szCs w:val="24"/>
          <w:lang w:val="en-US"/>
        </w:rPr>
        <w:t>).</w:t>
      </w:r>
      <w:r w:rsidR="00C75B14">
        <w:rPr>
          <w:rFonts w:ascii="Times New Roman" w:hAnsi="Times New Roman" w:cs="Times New Roman"/>
          <w:bCs/>
          <w:iCs/>
          <w:sz w:val="24"/>
          <w:szCs w:val="24"/>
          <w:lang w:val="en-US"/>
        </w:rPr>
        <w:t xml:space="preserve"> </w:t>
      </w:r>
      <w:r w:rsidRPr="00073BFB">
        <w:rPr>
          <w:rFonts w:ascii="Times New Roman" w:hAnsi="Times New Roman" w:cs="Times New Roman"/>
          <w:sz w:val="24"/>
          <w:szCs w:val="24"/>
          <w:lang w:val="en-US"/>
        </w:rPr>
        <w:t xml:space="preserve">Based on the key time points, we </w:t>
      </w:r>
      <w:proofErr w:type="spellStart"/>
      <w:r w:rsidRPr="00073BFB">
        <w:rPr>
          <w:rFonts w:ascii="Times New Roman" w:hAnsi="Times New Roman" w:cs="Times New Roman"/>
          <w:sz w:val="24"/>
          <w:szCs w:val="24"/>
          <w:lang w:val="en-US"/>
        </w:rPr>
        <w:t>analysed</w:t>
      </w:r>
      <w:proofErr w:type="spellEnd"/>
      <w:r w:rsidRPr="00073BFB">
        <w:rPr>
          <w:rFonts w:ascii="Times New Roman" w:hAnsi="Times New Roman" w:cs="Times New Roman"/>
          <w:sz w:val="24"/>
          <w:szCs w:val="24"/>
          <w:lang w:val="en-US"/>
        </w:rPr>
        <w:t xml:space="preserve"> three time windows. The first (Region 1) was from the onset of the picture to the onset of NP1. Recall that the pictures appeared on the screen and there was 500 ms of silence before the sentence began. The second time window (Region 2) was from the onset of NP1 to the mid-point of NP2. The mean time of this region of interest was approximately 900 ms. The final time window (Region 3) was from the mid-point of NP2 to when the participant made a button response. We started this time point at the mid-point of NP2 in order to allow some time for word recognition and eye movement planning to occur (i.e. this is the earliest point in time in which participants attention could be shifted to the target picture). </w:t>
      </w:r>
    </w:p>
    <w:p w14:paraId="0DA9591B" w14:textId="2F472B6C" w:rsidR="001A0280" w:rsidRPr="00C75B14" w:rsidRDefault="001A0280" w:rsidP="00C75B14">
      <w:pPr>
        <w:spacing w:line="240" w:lineRule="auto"/>
        <w:ind w:firstLine="709"/>
        <w:contextualSpacing/>
        <w:jc w:val="both"/>
        <w:rPr>
          <w:rFonts w:ascii="Times New Roman" w:hAnsi="Times New Roman" w:cs="Times New Roman"/>
          <w:bCs/>
          <w:iCs/>
          <w:sz w:val="24"/>
          <w:szCs w:val="24"/>
          <w:lang w:val="en-US"/>
        </w:rPr>
      </w:pPr>
      <w:r w:rsidRPr="00A056BE">
        <w:rPr>
          <w:rFonts w:ascii="Times New Roman" w:hAnsi="Times New Roman" w:cs="Times New Roman"/>
          <w:sz w:val="24"/>
          <w:szCs w:val="24"/>
          <w:lang w:val="en-US"/>
        </w:rPr>
        <w:t xml:space="preserve">Metaphors were normed on a 7-points Likert scale for their familiarity, aptness, and conventionality following the same procedure, as in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{"citationID":"DG7LOyEo","properties":{"formattedCitation":"(Dulcinati et al., 2014)","plainCitation":"(Dulcinati et al., 2014)","dontUpdate":true,"noteIndex":0},"citationItems":[{"id":1767,"uris":["http://zotero.org/users/10108531/items/6J8GHPSN"],"itemData":{"id":1767,"type":"article-journal","abstract":"According to the ‘career of metaphor’ hypothesis (Bowdle &amp; Gentner, 2005) metaphor interpretation shifts from a comparison process to a categorization process when the metaphor vehicle becomes conventional, and little importance is given to the conventionality of the topicvehicle pairing (i.e., metaphor familiarity). In this study, we used a form-preference paradigm to investigate whether highly familiar and conventional metaphors are preferred in the categorization form. We manipulated conventionality and familiarity and we controlled for aptness. Results did not show clear effects of conventionality or familiarity while they confirmed previous findings that aptness is an important predictor of form preference. An additional post-hoc analysis on the role of dominance (i.e., relative frequency) of metaphorical versus literal uses of the vehicle in the form-preference task suggests that this factor plays a key role on this task.","language":"en","page":"17","source":"Zotero","title":"Processing metaphor: The role of conventionality, familiarity and dominance","author":[{"family":"Dulcinati","given":"Giulio"},{"family":"Mazzarella","given":"Diana"},{"family":"Pouscoulous","given":"Nausicaa"}],"issued":{"date-parts":[["2014"]]}}}],"schema":"https://github.com/citation-style-language/schema/raw/master/csl-citation.json"}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Dulcinati et al. (2014)</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Target pictures were normed for their suitability to the sentence (i.e., </w:t>
      </w:r>
      <w:r w:rsidRPr="00A056BE">
        <w:rPr>
          <w:rFonts w:ascii="Times New Roman" w:hAnsi="Times New Roman" w:cs="Times New Roman"/>
          <w:i/>
          <w:iCs/>
          <w:sz w:val="24"/>
          <w:szCs w:val="24"/>
          <w:lang w:val="en-US"/>
        </w:rPr>
        <w:t>How suitable is this image to represent the sentence?</w:t>
      </w:r>
      <w:r w:rsidRPr="00A056BE">
        <w:rPr>
          <w:rFonts w:ascii="Times New Roman" w:hAnsi="Times New Roman" w:cs="Times New Roman"/>
          <w:sz w:val="24"/>
          <w:szCs w:val="24"/>
          <w:lang w:val="en-US"/>
        </w:rPr>
        <w:t xml:space="preserve">). A total of 120 native English speakers recruited through Prolific (www.prolific.co), took part in the norming task and were paid for their time, with groups of 30 unique participants assigned to each survey (see </w:t>
      </w:r>
      <w:r w:rsidR="00056FD3">
        <w:rPr>
          <w:rFonts w:ascii="Times New Roman" w:hAnsi="Times New Roman" w:cs="Times New Roman"/>
          <w:sz w:val="24"/>
          <w:szCs w:val="24"/>
          <w:lang w:val="en-US"/>
        </w:rPr>
        <w:t>Online</w:t>
      </w:r>
      <w:r w:rsidRPr="00A056BE">
        <w:rPr>
          <w:rFonts w:ascii="Times New Roman" w:hAnsi="Times New Roman" w:cs="Times New Roman"/>
          <w:sz w:val="24"/>
          <w:szCs w:val="24"/>
          <w:lang w:val="en-US"/>
        </w:rPr>
        <w:t xml:space="preserve"> Materials for norming data). Three sentences were considered as outliers and removed from the study. Two sentences showed high familiarity or conventionality ratings (between 4 and 7 points). One showed a low picture suitability (less than 3 points). All sentences were considered apt metaphors (i.e., are perceived as providing an accurate description of the topic). One sentence was taken as a practice item. A total of 16 sentences rated as apt novel metaphors were included in the study together with their 16 literal corresponding expressions and 32 fillers (half of the fillers were idioms, and half were literal controls in which the sentence referred to only one picture). </w:t>
      </w:r>
    </w:p>
    <w:p w14:paraId="34CC1AE1" w14:textId="77777777" w:rsidR="001A0280" w:rsidRPr="00A056BE" w:rsidRDefault="001A0280" w:rsidP="001A0280">
      <w:pPr>
        <w:spacing w:line="240" w:lineRule="auto"/>
        <w:ind w:firstLine="708"/>
        <w:contextualSpacing/>
        <w:jc w:val="both"/>
        <w:rPr>
          <w:rFonts w:ascii="Times New Roman" w:hAnsi="Times New Roman" w:cs="Times New Roman"/>
          <w:sz w:val="24"/>
          <w:szCs w:val="24"/>
          <w:lang w:val="en-US"/>
        </w:rPr>
      </w:pPr>
    </w:p>
    <w:p w14:paraId="152FFAD0" w14:textId="12FB5753" w:rsidR="001A0280" w:rsidRDefault="00056FD3" w:rsidP="001A0280">
      <w:pPr>
        <w:spacing w:line="240" w:lineRule="auto"/>
        <w:contextualSpacing/>
        <w:jc w:val="both"/>
        <w:rPr>
          <w:rFonts w:ascii="Times New Roman" w:hAnsi="Times New Roman" w:cs="Times New Roman"/>
          <w:b/>
          <w:i/>
          <w:sz w:val="24"/>
          <w:szCs w:val="24"/>
          <w:lang w:val="en-US"/>
        </w:rPr>
      </w:pPr>
      <w:r>
        <w:rPr>
          <w:rFonts w:ascii="Times New Roman" w:hAnsi="Times New Roman" w:cs="Times New Roman"/>
          <w:b/>
          <w:i/>
          <w:sz w:val="24"/>
          <w:szCs w:val="24"/>
          <w:lang w:val="en-US"/>
        </w:rPr>
        <w:t>Online</w:t>
      </w:r>
      <w:r w:rsidR="001A0280" w:rsidRPr="00A056BE">
        <w:rPr>
          <w:rFonts w:ascii="Times New Roman" w:hAnsi="Times New Roman" w:cs="Times New Roman"/>
          <w:b/>
          <w:i/>
          <w:sz w:val="24"/>
          <w:szCs w:val="24"/>
          <w:lang w:val="en-US"/>
        </w:rPr>
        <w:t xml:space="preserve"> Materials</w:t>
      </w:r>
    </w:p>
    <w:p w14:paraId="6CB5C591" w14:textId="77777777" w:rsidR="001A0280" w:rsidRPr="00A056BE" w:rsidRDefault="001A0280" w:rsidP="001A0280">
      <w:pPr>
        <w:spacing w:line="240" w:lineRule="auto"/>
        <w:contextualSpacing/>
        <w:jc w:val="both"/>
        <w:rPr>
          <w:rFonts w:ascii="Times New Roman" w:hAnsi="Times New Roman" w:cs="Times New Roman"/>
          <w:b/>
          <w:i/>
          <w:sz w:val="24"/>
          <w:szCs w:val="24"/>
          <w:lang w:val="en-US"/>
        </w:rPr>
      </w:pPr>
    </w:p>
    <w:p w14:paraId="14693ADF" w14:textId="77777777" w:rsidR="001A0280" w:rsidRPr="00A056BE" w:rsidRDefault="001A0280" w:rsidP="001A0280">
      <w:pPr>
        <w:spacing w:line="240" w:lineRule="auto"/>
        <w:contextualSpacing/>
        <w:jc w:val="both"/>
        <w:rPr>
          <w:rFonts w:ascii="Times New Roman" w:hAnsi="Times New Roman" w:cs="Times New Roman"/>
          <w:i/>
          <w:iCs/>
          <w:sz w:val="24"/>
          <w:szCs w:val="24"/>
          <w:lang w:val="en-US"/>
        </w:rPr>
      </w:pPr>
      <w:r w:rsidRPr="00A056BE">
        <w:rPr>
          <w:rFonts w:ascii="Times New Roman" w:hAnsi="Times New Roman" w:cs="Times New Roman"/>
          <w:sz w:val="24"/>
          <w:szCs w:val="24"/>
          <w:lang w:val="en-US"/>
        </w:rPr>
        <w:t xml:space="preserve">Materials and norming results are available </w:t>
      </w:r>
      <w:bookmarkStart w:id="1" w:name="OLE_LINK6"/>
      <w:r w:rsidRPr="00A056BE">
        <w:rPr>
          <w:rFonts w:ascii="Times New Roman" w:hAnsi="Times New Roman" w:cs="Times New Roman"/>
          <w:sz w:val="24"/>
          <w:szCs w:val="24"/>
          <w:lang w:val="en-US"/>
        </w:rPr>
        <w:t xml:space="preserve">on the Open Science Framework online data repository </w:t>
      </w:r>
      <w:bookmarkEnd w:id="1"/>
      <w:r w:rsidRPr="00A056BE">
        <w:rPr>
          <w:rFonts w:ascii="Times New Roman" w:hAnsi="Times New Roman" w:cs="Times New Roman"/>
          <w:sz w:val="24"/>
          <w:szCs w:val="24"/>
          <w:lang w:val="en-US"/>
        </w:rPr>
        <w:t>(</w:t>
      </w:r>
      <w:hyperlink r:id="rId9" w:history="1">
        <w:r w:rsidRPr="00A056BE">
          <w:rPr>
            <w:rStyle w:val="Hyperlink"/>
            <w:rFonts w:ascii="Times New Roman" w:hAnsi="Times New Roman" w:cs="Times New Roman"/>
            <w:color w:val="auto"/>
            <w:sz w:val="24"/>
            <w:szCs w:val="24"/>
            <w:lang w:val="en-US"/>
          </w:rPr>
          <w:t>https://osf.io/39bxk/</w:t>
        </w:r>
      </w:hyperlink>
      <w:r w:rsidRPr="00A056BE">
        <w:rPr>
          <w:rFonts w:ascii="Times New Roman" w:hAnsi="Times New Roman" w:cs="Times New Roman"/>
          <w:sz w:val="24"/>
          <w:szCs w:val="24"/>
          <w:lang w:val="en-US"/>
        </w:rPr>
        <w:t>).</w:t>
      </w:r>
      <w:r w:rsidRPr="00A056BE">
        <w:rPr>
          <w:rFonts w:ascii="Times New Roman" w:hAnsi="Times New Roman" w:cs="Times New Roman"/>
          <w:i/>
          <w:iCs/>
          <w:sz w:val="24"/>
          <w:szCs w:val="24"/>
          <w:lang w:val="en-US"/>
        </w:rPr>
        <w:t xml:space="preserve"> </w:t>
      </w:r>
    </w:p>
    <w:p w14:paraId="240445C5" w14:textId="77777777" w:rsidR="001A0280" w:rsidRPr="00A056BE" w:rsidRDefault="001A0280" w:rsidP="001A0280">
      <w:pPr>
        <w:spacing w:line="240" w:lineRule="auto"/>
        <w:contextualSpacing/>
        <w:jc w:val="both"/>
        <w:rPr>
          <w:rFonts w:ascii="Times New Roman" w:hAnsi="Times New Roman" w:cs="Times New Roman"/>
          <w:bCs/>
          <w:i/>
          <w:sz w:val="24"/>
          <w:szCs w:val="24"/>
          <w:lang w:val="en-US"/>
        </w:rPr>
      </w:pPr>
    </w:p>
    <w:p w14:paraId="52F5585A" w14:textId="77777777" w:rsidR="001A0280" w:rsidRDefault="001A0280" w:rsidP="001A0280">
      <w:pPr>
        <w:spacing w:line="240" w:lineRule="auto"/>
        <w:contextualSpacing/>
        <w:jc w:val="both"/>
        <w:rPr>
          <w:rFonts w:ascii="Times New Roman" w:hAnsi="Times New Roman" w:cs="Times New Roman"/>
          <w:b/>
          <w:i/>
          <w:sz w:val="24"/>
          <w:szCs w:val="24"/>
          <w:lang w:val="en-US"/>
        </w:rPr>
      </w:pPr>
      <w:r w:rsidRPr="00A056BE">
        <w:rPr>
          <w:rFonts w:ascii="Times New Roman" w:hAnsi="Times New Roman" w:cs="Times New Roman"/>
          <w:b/>
          <w:i/>
          <w:sz w:val="24"/>
          <w:szCs w:val="24"/>
          <w:lang w:val="en-US"/>
        </w:rPr>
        <w:t>Apparatus</w:t>
      </w:r>
    </w:p>
    <w:p w14:paraId="294B60F8" w14:textId="77777777" w:rsidR="001A0280" w:rsidRPr="00A056BE" w:rsidRDefault="001A0280" w:rsidP="001A0280">
      <w:pPr>
        <w:spacing w:line="240" w:lineRule="auto"/>
        <w:contextualSpacing/>
        <w:jc w:val="both"/>
        <w:rPr>
          <w:rFonts w:ascii="Times New Roman" w:hAnsi="Times New Roman" w:cs="Times New Roman"/>
          <w:b/>
          <w:i/>
          <w:sz w:val="24"/>
          <w:szCs w:val="24"/>
          <w:lang w:val="en-US"/>
        </w:rPr>
      </w:pPr>
    </w:p>
    <w:p w14:paraId="4BD3CFA0" w14:textId="77777777" w:rsidR="001A0280" w:rsidRPr="00A056BE" w:rsidRDefault="001A0280" w:rsidP="001A0280">
      <w:pPr>
        <w:spacing w:line="240" w:lineRule="auto"/>
        <w:contextualSpacing/>
        <w:jc w:val="both"/>
        <w:rPr>
          <w:rFonts w:ascii="Times New Roman" w:hAnsi="Times New Roman" w:cs="Times New Roman"/>
          <w:bCs/>
          <w:i/>
          <w:sz w:val="24"/>
          <w:szCs w:val="24"/>
          <w:lang w:val="en-US"/>
        </w:rPr>
      </w:pPr>
      <w:r w:rsidRPr="00A056BE">
        <w:rPr>
          <w:rFonts w:ascii="Times New Roman" w:hAnsi="Times New Roman" w:cs="Times New Roman"/>
          <w:sz w:val="24"/>
          <w:szCs w:val="24"/>
          <w:lang w:val="en-US"/>
        </w:rPr>
        <w:t xml:space="preserve">Eye movements were recorded with an SR Research Ltd. </w:t>
      </w:r>
      <w:proofErr w:type="spellStart"/>
      <w:r w:rsidRPr="00A056BE">
        <w:rPr>
          <w:rFonts w:ascii="Times New Roman" w:hAnsi="Times New Roman" w:cs="Times New Roman"/>
          <w:sz w:val="24"/>
          <w:szCs w:val="24"/>
          <w:lang w:val="en-US"/>
        </w:rPr>
        <w:t>EyeLink</w:t>
      </w:r>
      <w:proofErr w:type="spellEnd"/>
      <w:r w:rsidRPr="00A056BE">
        <w:rPr>
          <w:rFonts w:ascii="Times New Roman" w:hAnsi="Times New Roman" w:cs="Times New Roman"/>
          <w:sz w:val="24"/>
          <w:szCs w:val="24"/>
          <w:lang w:val="en-US"/>
        </w:rPr>
        <w:t xml:space="preserve"> 1000 eye-tracker, which records the position of the reader’s eye every millisecond. Head movements were </w:t>
      </w:r>
      <w:proofErr w:type="spellStart"/>
      <w:r w:rsidRPr="00A056BE">
        <w:rPr>
          <w:rFonts w:ascii="Times New Roman" w:hAnsi="Times New Roman" w:cs="Times New Roman"/>
          <w:sz w:val="24"/>
          <w:szCs w:val="24"/>
          <w:lang w:val="en-US"/>
        </w:rPr>
        <w:t>minimised</w:t>
      </w:r>
      <w:proofErr w:type="spellEnd"/>
      <w:r w:rsidRPr="00A056BE">
        <w:rPr>
          <w:rFonts w:ascii="Times New Roman" w:hAnsi="Times New Roman" w:cs="Times New Roman"/>
          <w:sz w:val="24"/>
          <w:szCs w:val="24"/>
          <w:lang w:val="en-US"/>
        </w:rPr>
        <w:t xml:space="preserve"> with a chin rest. Eye movements were recorded from the right eye. Experiment Builder was used to program the experiment, and Data Viewer was used to extract the interest area reports for eye movements. The sentences were aurally presented through a speaker.</w:t>
      </w:r>
    </w:p>
    <w:p w14:paraId="17D11C8C" w14:textId="77777777" w:rsidR="001A0280" w:rsidRPr="00A056BE" w:rsidRDefault="001A0280" w:rsidP="001A0280">
      <w:pPr>
        <w:spacing w:line="240" w:lineRule="auto"/>
        <w:contextualSpacing/>
        <w:jc w:val="both"/>
        <w:rPr>
          <w:rFonts w:ascii="Times New Roman" w:hAnsi="Times New Roman" w:cs="Times New Roman"/>
          <w:bCs/>
          <w:i/>
          <w:sz w:val="24"/>
          <w:szCs w:val="24"/>
          <w:lang w:val="en-US"/>
        </w:rPr>
      </w:pPr>
    </w:p>
    <w:p w14:paraId="4C40DE28" w14:textId="77777777" w:rsidR="001A0280" w:rsidRDefault="001A0280" w:rsidP="001A0280">
      <w:pPr>
        <w:spacing w:line="240" w:lineRule="auto"/>
        <w:contextualSpacing/>
        <w:jc w:val="both"/>
        <w:rPr>
          <w:rFonts w:ascii="Times New Roman" w:hAnsi="Times New Roman" w:cs="Times New Roman"/>
          <w:b/>
          <w:i/>
          <w:sz w:val="24"/>
          <w:szCs w:val="24"/>
          <w:lang w:val="en-US"/>
        </w:rPr>
      </w:pPr>
      <w:r w:rsidRPr="00A056BE">
        <w:rPr>
          <w:rFonts w:ascii="Times New Roman" w:hAnsi="Times New Roman" w:cs="Times New Roman"/>
          <w:b/>
          <w:i/>
          <w:sz w:val="24"/>
          <w:szCs w:val="24"/>
          <w:lang w:val="en-US"/>
        </w:rPr>
        <w:t>Design and Procedure</w:t>
      </w:r>
    </w:p>
    <w:p w14:paraId="6F978051" w14:textId="77777777" w:rsidR="001A0280" w:rsidRPr="00A056BE" w:rsidRDefault="001A0280" w:rsidP="001A0280">
      <w:pPr>
        <w:spacing w:line="240" w:lineRule="auto"/>
        <w:contextualSpacing/>
        <w:jc w:val="both"/>
        <w:rPr>
          <w:rFonts w:ascii="Times New Roman" w:hAnsi="Times New Roman" w:cs="Times New Roman"/>
          <w:b/>
          <w:i/>
          <w:sz w:val="24"/>
          <w:szCs w:val="24"/>
          <w:lang w:val="en-US"/>
        </w:rPr>
      </w:pPr>
    </w:p>
    <w:p w14:paraId="222290D3" w14:textId="77777777" w:rsidR="001A0280" w:rsidRPr="00A056BE" w:rsidRDefault="001A0280" w:rsidP="001A0280">
      <w:pPr>
        <w:spacing w:line="240" w:lineRule="auto"/>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 xml:space="preserve">The task was designed after the Visual World Paradigm </w:t>
      </w:r>
      <w:r w:rsidRPr="00A056BE">
        <w:rPr>
          <w:rFonts w:ascii="Times New Roman" w:hAnsi="Times New Roman" w:cs="Times New Roman"/>
          <w:sz w:val="24"/>
          <w:szCs w:val="24"/>
          <w:lang w:val="en-US"/>
        </w:rPr>
        <w:fldChar w:fldCharType="begin"/>
      </w:r>
      <w:r w:rsidRPr="00A056BE">
        <w:rPr>
          <w:rFonts w:ascii="Times New Roman" w:hAnsi="Times New Roman" w:cs="Times New Roman"/>
          <w:sz w:val="24"/>
          <w:szCs w:val="24"/>
          <w:lang w:val="en-US"/>
        </w:rPr>
        <w:instrText xml:space="preserve"> ADDIN ZOTERO_ITEM CSL_CITATION {"citationID":"WrzhAxci","properties":{"formattedCitation":"(Tanenhaus et al., 1995)","plainCitation":"(Tanenhaus et al., 1995)","noteIndex":0},"citationItems":[{"id":237,"uris":["http://zotero.org/users/10108531/items/7VH3B8HA"],"itemData":{"id":237,"type":"article-journal","container-title":"Science","issue":"5217","page":"1632-1634","title":"Integration of Visual and Linguistic Information in Spoken Language Comprehension Published by : American Association for the Advancement of Science Stable URL : http://www.jstor.org/stable/2888637 JSTOR is a not-for-profit service that helps scholars , r","volume":"268","author":[{"family":"Tanenhaus","given":"Michael K"},{"family":"Spivey-knowlton","given":"Michael J"},{"family":"Eberhard","given":"Kathleen M"},{"family":"Sedivy","given":"Julie C"},{"family":"Tanenhaus","given":"Michael K"},{"family":"Spivey-knowlton","given":"Michael J"},{"family":"Eberhard","given":"Kathleen M"},{"family":"Sedivy","given":"Julie C"}],"issued":{"date-parts":[["1995"]]}}}],"schema":"https://github.com/citation-style-language/schema/raw/master/csl-citation.json"} </w:instrText>
      </w:r>
      <w:r w:rsidRPr="00A056BE">
        <w:rPr>
          <w:rFonts w:ascii="Times New Roman" w:hAnsi="Times New Roman" w:cs="Times New Roman"/>
          <w:sz w:val="24"/>
          <w:szCs w:val="24"/>
          <w:lang w:val="en-US"/>
        </w:rPr>
        <w:fldChar w:fldCharType="separate"/>
      </w:r>
      <w:r w:rsidRPr="00A056BE">
        <w:rPr>
          <w:rFonts w:ascii="Times New Roman" w:hAnsi="Times New Roman" w:cs="Times New Roman"/>
          <w:noProof/>
          <w:sz w:val="24"/>
          <w:szCs w:val="24"/>
          <w:lang w:val="en-US"/>
        </w:rPr>
        <w:t>(Tanenhaus et al., 1995)</w:t>
      </w:r>
      <w:r w:rsidRPr="00A056BE">
        <w:rPr>
          <w:rFonts w:ascii="Times New Roman" w:hAnsi="Times New Roman" w:cs="Times New Roman"/>
          <w:sz w:val="24"/>
          <w:szCs w:val="24"/>
          <w:lang w:val="en-US"/>
        </w:rPr>
        <w:fldChar w:fldCharType="end"/>
      </w:r>
      <w:r w:rsidRPr="00A056BE">
        <w:rPr>
          <w:rFonts w:ascii="Times New Roman" w:hAnsi="Times New Roman" w:cs="Times New Roman"/>
          <w:sz w:val="24"/>
          <w:szCs w:val="24"/>
          <w:lang w:val="en-US"/>
        </w:rPr>
        <w:t xml:space="preserve">. The design was a 2 </w:t>
      </w:r>
      <m:oMath>
        <m:r>
          <w:rPr>
            <w:rFonts w:ascii="Cambria Math" w:hAnsi="Cambria Math" w:cs="Times New Roman"/>
            <w:sz w:val="24"/>
            <w:szCs w:val="24"/>
            <w:lang w:val="en-US"/>
          </w:rPr>
          <m:t>×</m:t>
        </m:r>
      </m:oMath>
      <w:r w:rsidRPr="00A056BE">
        <w:rPr>
          <w:rFonts w:ascii="Times New Roman" w:hAnsi="Times New Roman" w:cs="Times New Roman"/>
          <w:sz w:val="24"/>
          <w:szCs w:val="24"/>
          <w:lang w:val="en-US"/>
        </w:rPr>
        <w:t xml:space="preserve"> 2 (Sentence Type </w:t>
      </w:r>
      <m:oMath>
        <m:r>
          <w:rPr>
            <w:rFonts w:ascii="Cambria Math" w:hAnsi="Cambria Math" w:cs="Times New Roman"/>
            <w:sz w:val="24"/>
            <w:szCs w:val="24"/>
            <w:lang w:val="en-US"/>
          </w:rPr>
          <m:t>×</m:t>
        </m:r>
      </m:oMath>
      <w:r w:rsidRPr="00A056BE">
        <w:rPr>
          <w:rFonts w:ascii="Times New Roman" w:hAnsi="Times New Roman" w:cs="Times New Roman"/>
          <w:sz w:val="24"/>
          <w:szCs w:val="24"/>
          <w:lang w:val="en-US"/>
        </w:rPr>
        <w:t xml:space="preserve"> Group), in which sentence type (literal and metaphorical) was within subject. Participants completed two practice trials, 32 experimental trials, and 36 fillers. Trials were presented in a random order for each participant. Critical trials were rotated in a Latin Square design, and images were rotated across the three possible positions. Thus, there were six lists of stimuli. </w:t>
      </w:r>
    </w:p>
    <w:p w14:paraId="231AA99F" w14:textId="77777777" w:rsidR="001A0280" w:rsidRDefault="001A0280" w:rsidP="001A0280">
      <w:pPr>
        <w:spacing w:line="240" w:lineRule="auto"/>
        <w:ind w:firstLine="720"/>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 xml:space="preserve">Before the experiment, participants were provided with a set of instructions that detailed the experimental procedure. The researcher added further explanations, if required. Participants then sat at the eye tracker and responded to on-screen instructions using the keyboard. At the beginning of each trial, a message appeared asking the participant to press a button when they were ready to continue. After participants pressed the button, they were required to fixate a drift-correction dot, which appeared in the centre of the screen. The experimenter then initiated the trial. There were two practice trials. If the participant was ready and had no more questions, they proceeded to the critical trials. Participants heard the sentences, </w:t>
      </w:r>
      <w:r w:rsidRPr="00A056BE">
        <w:rPr>
          <w:rFonts w:ascii="Calibri" w:hAnsi="Calibri" w:cs="Calibri"/>
          <w:sz w:val="24"/>
          <w:szCs w:val="24"/>
          <w:lang w:val="en-US"/>
        </w:rPr>
        <w:t>﻿</w:t>
      </w:r>
      <w:r w:rsidRPr="00A056BE">
        <w:rPr>
          <w:rFonts w:ascii="Times New Roman" w:hAnsi="Times New Roman" w:cs="Times New Roman"/>
          <w:sz w:val="24"/>
          <w:szCs w:val="24"/>
          <w:lang w:val="en-US"/>
        </w:rPr>
        <w:t>while simultaneously being presented with three pictures.</w:t>
      </w:r>
    </w:p>
    <w:p w14:paraId="12DD45AF" w14:textId="77777777" w:rsidR="00985EAA" w:rsidRDefault="001A0280" w:rsidP="001A0280">
      <w:pPr>
        <w:spacing w:line="240" w:lineRule="auto"/>
        <w:ind w:firstLine="720"/>
        <w:contextualSpacing/>
        <w:jc w:val="both"/>
        <w:rPr>
          <w:rFonts w:ascii="Times New Roman" w:hAnsi="Times New Roman" w:cs="Times New Roman"/>
          <w:sz w:val="24"/>
          <w:szCs w:val="24"/>
          <w:lang w:val="en-US"/>
        </w:rPr>
      </w:pPr>
      <w:r w:rsidRPr="00A056BE">
        <w:rPr>
          <w:rFonts w:ascii="Times New Roman" w:hAnsi="Times New Roman" w:cs="Times New Roman"/>
          <w:sz w:val="24"/>
          <w:szCs w:val="24"/>
          <w:lang w:val="en-US"/>
        </w:rPr>
        <w:t>For each trial, the audio file started 500 ms after the pictures appeared. There was a 2000 ms time window following the sentence in which participants needed to make their choice about which picture they thought best fit the sentence. They were asked to press ‘1’ if they wanted to choose the left picture, ‘2’ for the centre picture, and ‘3’ for the picture on the right. The eye-tracking testing session for each participant lasted approximately 5 minutes. To avoid any bias, participants were not informed of the inclusion of figurative language among the sentences. During the debrief, the aim of the experiment was explained in detail.</w:t>
      </w:r>
    </w:p>
    <w:p w14:paraId="6BB5FDF3" w14:textId="77777777" w:rsidR="00697F1B" w:rsidRPr="00A056BE" w:rsidRDefault="00697F1B" w:rsidP="00073BFB">
      <w:pPr>
        <w:pStyle w:val="BodyText2"/>
        <w:spacing w:after="0" w:line="240" w:lineRule="auto"/>
        <w:ind w:firstLine="708"/>
        <w:contextualSpacing/>
        <w:jc w:val="both"/>
        <w:rPr>
          <w:shd w:val="clear" w:color="auto" w:fill="FFFFFF"/>
        </w:rPr>
      </w:pPr>
    </w:p>
    <w:p w14:paraId="1DD8F0EE" w14:textId="7F477960" w:rsidR="007654F7" w:rsidRPr="00A056BE" w:rsidRDefault="007654F7" w:rsidP="00073BFB">
      <w:pPr>
        <w:spacing w:line="240" w:lineRule="auto"/>
        <w:jc w:val="both"/>
        <w:rPr>
          <w:rFonts w:ascii="Times New Roman" w:hAnsi="Times New Roman" w:cs="Times New Roman"/>
          <w:b/>
          <w:bCs/>
          <w:iCs/>
          <w:sz w:val="24"/>
          <w:szCs w:val="24"/>
          <w:lang w:val="en-US"/>
        </w:rPr>
      </w:pPr>
      <w:r w:rsidRPr="00A056BE">
        <w:rPr>
          <w:rFonts w:ascii="Times New Roman" w:hAnsi="Times New Roman" w:cs="Times New Roman"/>
          <w:b/>
          <w:bCs/>
          <w:iCs/>
          <w:sz w:val="24"/>
          <w:szCs w:val="24"/>
          <w:lang w:val="en-US"/>
        </w:rPr>
        <w:t>6. Results</w:t>
      </w:r>
    </w:p>
    <w:p w14:paraId="3A9FD360" w14:textId="3F54E95B" w:rsidR="001A0280" w:rsidRDefault="00574396" w:rsidP="00574396">
      <w:pPr>
        <w:spacing w:line="240" w:lineRule="auto"/>
        <w:contextualSpacing/>
        <w:jc w:val="both"/>
        <w:rPr>
          <w:rFonts w:ascii="Times New Roman" w:hAnsi="Times New Roman" w:cs="Times New Roman"/>
          <w:bCs/>
          <w:sz w:val="24"/>
          <w:szCs w:val="24"/>
          <w:lang w:val="en-US"/>
        </w:rPr>
      </w:pPr>
      <w:bookmarkStart w:id="2" w:name="_Hlk183691173"/>
      <w:r w:rsidRPr="00A95C9B">
        <w:rPr>
          <w:rFonts w:ascii="Times New Roman" w:hAnsi="Times New Roman" w:cs="Times New Roman"/>
          <w:bCs/>
          <w:sz w:val="24"/>
          <w:szCs w:val="24"/>
          <w:lang w:val="en-US"/>
        </w:rPr>
        <w:t xml:space="preserve">Outliers were defined by examining standardized scores and histogram plots. We used a threshold of 3 SDs from the mean. Two reaction time outliers were identified in the control group, </w:t>
      </w:r>
      <w:r>
        <w:rPr>
          <w:rFonts w:ascii="Times New Roman" w:hAnsi="Times New Roman" w:cs="Times New Roman"/>
          <w:bCs/>
          <w:sz w:val="24"/>
          <w:szCs w:val="24"/>
          <w:lang w:val="en-US"/>
        </w:rPr>
        <w:t xml:space="preserve">and </w:t>
      </w:r>
      <w:r w:rsidRPr="00A95C9B">
        <w:rPr>
          <w:rFonts w:ascii="Times New Roman" w:hAnsi="Times New Roman" w:cs="Times New Roman"/>
          <w:bCs/>
          <w:sz w:val="24"/>
          <w:szCs w:val="24"/>
          <w:lang w:val="en-US"/>
        </w:rPr>
        <w:t xml:space="preserve">two from the dyslexia </w:t>
      </w:r>
      <w:r>
        <w:rPr>
          <w:rFonts w:ascii="Times New Roman" w:hAnsi="Times New Roman" w:cs="Times New Roman"/>
          <w:bCs/>
          <w:sz w:val="24"/>
          <w:szCs w:val="24"/>
          <w:lang w:val="en-US"/>
        </w:rPr>
        <w:t>group. T</w:t>
      </w:r>
      <w:r w:rsidRPr="00A95C9B">
        <w:rPr>
          <w:rFonts w:ascii="Times New Roman" w:hAnsi="Times New Roman" w:cs="Times New Roman"/>
          <w:bCs/>
          <w:sz w:val="24"/>
          <w:szCs w:val="24"/>
          <w:lang w:val="en-US"/>
        </w:rPr>
        <w:t xml:space="preserve">hey were eliminated from all analyses. Results are presented in the following order: </w:t>
      </w:r>
      <w:r>
        <w:rPr>
          <w:rFonts w:ascii="Times New Roman" w:hAnsi="Times New Roman" w:cs="Times New Roman"/>
          <w:bCs/>
          <w:sz w:val="24"/>
          <w:szCs w:val="24"/>
          <w:lang w:val="en-US"/>
        </w:rPr>
        <w:t>assessment of i</w:t>
      </w:r>
      <w:r w:rsidRPr="00A023C1">
        <w:rPr>
          <w:rFonts w:ascii="Times New Roman" w:hAnsi="Times New Roman" w:cs="Times New Roman"/>
          <w:bCs/>
          <w:sz w:val="24"/>
          <w:szCs w:val="24"/>
          <w:lang w:val="en-US"/>
        </w:rPr>
        <w:t>ndividual differences in cognitive abilities</w:t>
      </w:r>
      <w:r>
        <w:rPr>
          <w:rFonts w:ascii="Times New Roman" w:hAnsi="Times New Roman" w:cs="Times New Roman"/>
          <w:bCs/>
          <w:sz w:val="24"/>
          <w:szCs w:val="24"/>
          <w:lang w:val="en-US"/>
        </w:rPr>
        <w:t xml:space="preserve">, </w:t>
      </w:r>
      <w:r w:rsidRPr="00A95C9B">
        <w:rPr>
          <w:rFonts w:ascii="Times New Roman" w:hAnsi="Times New Roman" w:cs="Times New Roman"/>
          <w:bCs/>
          <w:sz w:val="24"/>
          <w:szCs w:val="24"/>
          <w:lang w:val="en-US"/>
        </w:rPr>
        <w:t xml:space="preserve">comprehension accuracy, reaction time, </w:t>
      </w:r>
      <w:r>
        <w:rPr>
          <w:rFonts w:ascii="Times New Roman" w:hAnsi="Times New Roman" w:cs="Times New Roman"/>
          <w:bCs/>
          <w:sz w:val="24"/>
          <w:szCs w:val="24"/>
          <w:lang w:val="en-US"/>
        </w:rPr>
        <w:t>summed dwell time, and divergence point analysis</w:t>
      </w:r>
      <w:r w:rsidRPr="00A95C9B">
        <w:rPr>
          <w:rFonts w:ascii="Times New Roman" w:hAnsi="Times New Roman" w:cs="Times New Roman"/>
          <w:bCs/>
          <w:sz w:val="24"/>
          <w:szCs w:val="24"/>
          <w:lang w:val="en-US"/>
        </w:rPr>
        <w:t xml:space="preserve">. Inferential analyses were conducted using R (R Core Team, 2012). The complete code and output </w:t>
      </w:r>
      <w:r w:rsidR="00F727CA">
        <w:rPr>
          <w:rFonts w:ascii="Times New Roman" w:hAnsi="Times New Roman" w:cs="Times New Roman"/>
          <w:bCs/>
          <w:sz w:val="24"/>
          <w:szCs w:val="24"/>
          <w:lang w:val="en-US"/>
        </w:rPr>
        <w:t xml:space="preserve">are available at the </w:t>
      </w:r>
      <w:r w:rsidRPr="00A056BE">
        <w:rPr>
          <w:rFonts w:ascii="Times New Roman" w:hAnsi="Times New Roman" w:cs="Times New Roman"/>
          <w:sz w:val="24"/>
          <w:szCs w:val="24"/>
          <w:lang w:val="en-US"/>
        </w:rPr>
        <w:t>Open Science Framework online data repository (</w:t>
      </w:r>
      <w:hyperlink r:id="rId10" w:history="1">
        <w:r w:rsidRPr="00A056BE">
          <w:rPr>
            <w:rStyle w:val="Hyperlink"/>
            <w:rFonts w:ascii="Times New Roman" w:hAnsi="Times New Roman" w:cs="Times New Roman"/>
            <w:color w:val="auto"/>
            <w:sz w:val="24"/>
            <w:szCs w:val="24"/>
            <w:lang w:val="en-US"/>
          </w:rPr>
          <w:t>https://osf.io/39bxk/</w:t>
        </w:r>
      </w:hyperlink>
      <w:r w:rsidRPr="00A056BE">
        <w:rPr>
          <w:rFonts w:ascii="Times New Roman" w:hAnsi="Times New Roman" w:cs="Times New Roman"/>
          <w:sz w:val="24"/>
          <w:szCs w:val="24"/>
          <w:lang w:val="en-US"/>
        </w:rPr>
        <w:t>)</w:t>
      </w:r>
      <w:r w:rsidRPr="00A95C9B">
        <w:rPr>
          <w:rFonts w:ascii="Times New Roman" w:hAnsi="Times New Roman" w:cs="Times New Roman"/>
          <w:sz w:val="24"/>
          <w:szCs w:val="24"/>
          <w:lang w:val="en-US"/>
        </w:rPr>
        <w:t>.</w:t>
      </w:r>
      <w:bookmarkEnd w:id="2"/>
      <w:r w:rsidRPr="00A056BE">
        <w:rPr>
          <w:rFonts w:ascii="Times New Roman" w:hAnsi="Times New Roman" w:cs="Times New Roman"/>
          <w:sz w:val="24"/>
          <w:szCs w:val="24"/>
          <w:lang w:val="en-US"/>
        </w:rPr>
        <w:t xml:space="preserve">   </w:t>
      </w:r>
      <w:r w:rsidRPr="00A056BE">
        <w:rPr>
          <w:rFonts w:ascii="Times New Roman" w:hAnsi="Times New Roman" w:cs="Times New Roman"/>
          <w:sz w:val="24"/>
          <w:szCs w:val="24"/>
          <w:lang w:val="en-US" w:eastAsia="it-IT"/>
        </w:rPr>
        <w:t xml:space="preserve"> </w:t>
      </w:r>
    </w:p>
    <w:p w14:paraId="7C7464D5" w14:textId="77777777" w:rsidR="00574396" w:rsidRDefault="00574396" w:rsidP="001A0280">
      <w:pPr>
        <w:spacing w:line="240" w:lineRule="auto"/>
        <w:ind w:firstLine="720"/>
        <w:contextualSpacing/>
        <w:jc w:val="both"/>
        <w:rPr>
          <w:rFonts w:ascii="Times New Roman" w:hAnsi="Times New Roman" w:cs="Times New Roman"/>
          <w:bCs/>
          <w:sz w:val="24"/>
          <w:szCs w:val="24"/>
          <w:lang w:val="en-US"/>
        </w:rPr>
      </w:pPr>
    </w:p>
    <w:p w14:paraId="207CE823" w14:textId="3EA5D60B" w:rsidR="001A0280" w:rsidRDefault="001A0280" w:rsidP="001A0280">
      <w:pPr>
        <w:spacing w:line="240" w:lineRule="auto"/>
        <w:contextualSpacing/>
        <w:rPr>
          <w:rFonts w:ascii="Times New Roman" w:hAnsi="Times New Roman" w:cs="Times New Roman"/>
          <w:b/>
          <w:i/>
          <w:sz w:val="24"/>
          <w:szCs w:val="24"/>
          <w:lang w:val="en-US"/>
        </w:rPr>
      </w:pPr>
      <w:r w:rsidRPr="00073BFB">
        <w:rPr>
          <w:rFonts w:ascii="Times New Roman" w:hAnsi="Times New Roman" w:cs="Times New Roman"/>
          <w:b/>
          <w:i/>
          <w:sz w:val="24"/>
          <w:szCs w:val="24"/>
          <w:lang w:val="en-US"/>
        </w:rPr>
        <w:t xml:space="preserve">Individual </w:t>
      </w:r>
      <w:r w:rsidR="00F95F34">
        <w:rPr>
          <w:rFonts w:ascii="Times New Roman" w:hAnsi="Times New Roman" w:cs="Times New Roman"/>
          <w:b/>
          <w:i/>
          <w:sz w:val="24"/>
          <w:szCs w:val="24"/>
          <w:lang w:val="en-US"/>
        </w:rPr>
        <w:t>D</w:t>
      </w:r>
      <w:r w:rsidRPr="00073BFB">
        <w:rPr>
          <w:rFonts w:ascii="Times New Roman" w:hAnsi="Times New Roman" w:cs="Times New Roman"/>
          <w:b/>
          <w:i/>
          <w:sz w:val="24"/>
          <w:szCs w:val="24"/>
          <w:lang w:val="en-US"/>
        </w:rPr>
        <w:t xml:space="preserve">ifferences in </w:t>
      </w:r>
      <w:r w:rsidR="00F95F34">
        <w:rPr>
          <w:rFonts w:ascii="Times New Roman" w:hAnsi="Times New Roman" w:cs="Times New Roman"/>
          <w:b/>
          <w:i/>
          <w:sz w:val="24"/>
          <w:szCs w:val="24"/>
          <w:lang w:val="en-US"/>
        </w:rPr>
        <w:t>C</w:t>
      </w:r>
      <w:r w:rsidRPr="00073BFB">
        <w:rPr>
          <w:rFonts w:ascii="Times New Roman" w:hAnsi="Times New Roman" w:cs="Times New Roman"/>
          <w:b/>
          <w:i/>
          <w:sz w:val="24"/>
          <w:szCs w:val="24"/>
          <w:lang w:val="en-US"/>
        </w:rPr>
        <w:t xml:space="preserve">ognitive </w:t>
      </w:r>
      <w:r w:rsidR="00F95F34">
        <w:rPr>
          <w:rFonts w:ascii="Times New Roman" w:hAnsi="Times New Roman" w:cs="Times New Roman"/>
          <w:b/>
          <w:i/>
          <w:sz w:val="24"/>
          <w:szCs w:val="24"/>
          <w:lang w:val="en-US"/>
        </w:rPr>
        <w:t>A</w:t>
      </w:r>
      <w:r w:rsidRPr="00073BFB">
        <w:rPr>
          <w:rFonts w:ascii="Times New Roman" w:hAnsi="Times New Roman" w:cs="Times New Roman"/>
          <w:b/>
          <w:i/>
          <w:sz w:val="24"/>
          <w:szCs w:val="24"/>
          <w:lang w:val="en-US"/>
        </w:rPr>
        <w:t>bilities</w:t>
      </w:r>
    </w:p>
    <w:p w14:paraId="72E24D85" w14:textId="77777777" w:rsidR="001A0280" w:rsidRPr="00073BFB" w:rsidRDefault="001A0280" w:rsidP="001A0280">
      <w:pPr>
        <w:spacing w:line="240" w:lineRule="auto"/>
        <w:contextualSpacing/>
        <w:rPr>
          <w:rFonts w:ascii="Times New Roman" w:hAnsi="Times New Roman" w:cs="Times New Roman"/>
          <w:b/>
          <w:i/>
          <w:sz w:val="24"/>
          <w:szCs w:val="24"/>
          <w:lang w:val="en-US"/>
        </w:rPr>
      </w:pPr>
    </w:p>
    <w:p w14:paraId="6EC4DA1B" w14:textId="5B6E36F2" w:rsidR="001A0280" w:rsidRPr="000D1B24" w:rsidRDefault="001A0280" w:rsidP="001A0280">
      <w:pPr>
        <w:spacing w:line="240" w:lineRule="auto"/>
        <w:contextualSpacing/>
        <w:jc w:val="both"/>
        <w:rPr>
          <w:rFonts w:ascii="Times New Roman" w:hAnsi="Times New Roman" w:cs="Times New Roman"/>
          <w:bCs/>
          <w:iCs/>
          <w:sz w:val="24"/>
          <w:szCs w:val="24"/>
          <w:lang w:val="en-US"/>
        </w:rPr>
      </w:pPr>
      <w:r w:rsidRPr="00073BFB">
        <w:rPr>
          <w:rFonts w:ascii="Times New Roman" w:hAnsi="Times New Roman" w:cs="Times New Roman"/>
          <w:bCs/>
          <w:iCs/>
          <w:sz w:val="24"/>
          <w:szCs w:val="24"/>
          <w:lang w:val="en-US"/>
        </w:rPr>
        <w:t xml:space="preserve">Groups were matched on age and gender but differed significantly on the three dyslexia screening measures (see Table 2). These findings show that our groups were well matched on key demographic variables and show the expected differences with respect to dyslexia (all screening effect sizes were large). With respect to cognitive abilities, our groups differed in forward digit span and </w:t>
      </w:r>
      <w:proofErr w:type="spellStart"/>
      <w:r w:rsidRPr="00073BFB">
        <w:rPr>
          <w:rFonts w:ascii="Times New Roman" w:hAnsi="Times New Roman" w:cs="Times New Roman"/>
          <w:bCs/>
          <w:iCs/>
          <w:sz w:val="24"/>
          <w:szCs w:val="24"/>
          <w:lang w:val="en-US"/>
        </w:rPr>
        <w:t>ToM</w:t>
      </w:r>
      <w:proofErr w:type="spellEnd"/>
      <w:r w:rsidRPr="00073BFB">
        <w:rPr>
          <w:rFonts w:ascii="Times New Roman" w:hAnsi="Times New Roman" w:cs="Times New Roman"/>
          <w:bCs/>
          <w:iCs/>
          <w:sz w:val="24"/>
          <w:szCs w:val="24"/>
          <w:lang w:val="en-US"/>
        </w:rPr>
        <w:t>, but they did not differ in vocabulary and backwards digit span</w:t>
      </w:r>
      <w:r w:rsidR="001E6A38">
        <w:rPr>
          <w:rFonts w:ascii="Times New Roman" w:hAnsi="Times New Roman" w:cs="Times New Roman"/>
          <w:bCs/>
          <w:iCs/>
          <w:sz w:val="24"/>
          <w:szCs w:val="24"/>
          <w:lang w:val="en-US"/>
        </w:rPr>
        <w:t>.</w:t>
      </w:r>
      <w:r w:rsidR="00056FD3">
        <w:rPr>
          <w:rFonts w:ascii="Times New Roman" w:hAnsi="Times New Roman" w:cs="Times New Roman"/>
          <w:bCs/>
          <w:iCs/>
          <w:sz w:val="24"/>
          <w:szCs w:val="24"/>
          <w:lang w:val="en-US"/>
        </w:rPr>
        <w:t xml:space="preserve"> </w:t>
      </w:r>
      <w:r w:rsidR="001E6A38">
        <w:rPr>
          <w:rFonts w:ascii="Times New Roman" w:hAnsi="Times New Roman" w:cs="Times New Roman"/>
          <w:bCs/>
          <w:iCs/>
          <w:sz w:val="24"/>
          <w:szCs w:val="24"/>
          <w:lang w:val="en-US"/>
        </w:rPr>
        <w:t xml:space="preserve">For a description of the tests used for the assessment, </w:t>
      </w:r>
      <w:r w:rsidR="00056FD3">
        <w:rPr>
          <w:rFonts w:ascii="Times New Roman" w:hAnsi="Times New Roman" w:cs="Times New Roman"/>
          <w:bCs/>
          <w:iCs/>
          <w:sz w:val="24"/>
          <w:szCs w:val="24"/>
          <w:lang w:val="en-US"/>
        </w:rPr>
        <w:t xml:space="preserve">see Supplementary Materials, </w:t>
      </w:r>
      <w:r w:rsidR="001E6A38">
        <w:rPr>
          <w:rFonts w:ascii="Times New Roman" w:hAnsi="Times New Roman" w:cs="Times New Roman"/>
          <w:bCs/>
          <w:iCs/>
          <w:sz w:val="24"/>
          <w:szCs w:val="24"/>
          <w:lang w:val="en-US"/>
        </w:rPr>
        <w:t>S</w:t>
      </w:r>
      <w:r w:rsidR="00056FD3">
        <w:rPr>
          <w:rFonts w:ascii="Times New Roman" w:hAnsi="Times New Roman" w:cs="Times New Roman"/>
          <w:bCs/>
          <w:iCs/>
          <w:sz w:val="24"/>
          <w:szCs w:val="24"/>
          <w:lang w:val="en-US"/>
        </w:rPr>
        <w:t>ection B</w:t>
      </w:r>
      <w:r w:rsidRPr="00073BFB">
        <w:rPr>
          <w:rFonts w:ascii="Times New Roman" w:hAnsi="Times New Roman" w:cs="Times New Roman"/>
          <w:bCs/>
          <w:iCs/>
          <w:sz w:val="24"/>
          <w:szCs w:val="24"/>
          <w:lang w:val="en-US"/>
        </w:rPr>
        <w:t xml:space="preserve">. </w:t>
      </w:r>
    </w:p>
    <w:p w14:paraId="10F02224" w14:textId="77777777" w:rsidR="001A0280" w:rsidRPr="00A056BE" w:rsidRDefault="001A0280" w:rsidP="001A0280">
      <w:pPr>
        <w:spacing w:line="240" w:lineRule="auto"/>
        <w:ind w:firstLine="720"/>
        <w:contextualSpacing/>
        <w:jc w:val="both"/>
        <w:rPr>
          <w:rFonts w:ascii="Times New Roman" w:hAnsi="Times New Roman" w:cs="Times New Roman"/>
          <w:bCs/>
          <w:sz w:val="24"/>
          <w:szCs w:val="24"/>
          <w:lang w:val="en-US"/>
        </w:rPr>
      </w:pPr>
    </w:p>
    <w:p w14:paraId="675A7AF2" w14:textId="77777777" w:rsidR="001A0280" w:rsidRPr="00E05B40" w:rsidRDefault="001A0280" w:rsidP="001A0280">
      <w:pPr>
        <w:spacing w:line="240" w:lineRule="auto"/>
        <w:contextualSpacing/>
        <w:jc w:val="both"/>
        <w:rPr>
          <w:rFonts w:ascii="Times New Roman" w:hAnsi="Times New Roman" w:cs="Times New Roman"/>
          <w:b/>
          <w:i/>
          <w:sz w:val="24"/>
          <w:szCs w:val="24"/>
          <w:lang w:val="en-US"/>
        </w:rPr>
      </w:pPr>
      <w:r w:rsidRPr="00073BFB">
        <w:rPr>
          <w:rFonts w:ascii="Times New Roman" w:hAnsi="Times New Roman" w:cs="Times New Roman"/>
          <w:b/>
          <w:i/>
          <w:sz w:val="24"/>
          <w:szCs w:val="24"/>
          <w:lang w:val="en-US"/>
        </w:rPr>
        <w:lastRenderedPageBreak/>
        <w:t>Comprehension Accuracy</w:t>
      </w:r>
    </w:p>
    <w:p w14:paraId="152B74C7" w14:textId="77777777" w:rsidR="001A0280" w:rsidRDefault="001A0280" w:rsidP="001A0280">
      <w:pPr>
        <w:spacing w:line="240" w:lineRule="auto"/>
        <w:contextualSpacing/>
        <w:jc w:val="both"/>
        <w:rPr>
          <w:rFonts w:ascii="Times New Roman" w:hAnsi="Times New Roman" w:cs="Times New Roman"/>
          <w:bCs/>
          <w:sz w:val="24"/>
          <w:szCs w:val="24"/>
          <w:lang w:val="en-US"/>
        </w:rPr>
      </w:pPr>
    </w:p>
    <w:p w14:paraId="08DD7F16" w14:textId="10FC255C" w:rsidR="001A0280" w:rsidRPr="00AC10A4" w:rsidRDefault="001A0280" w:rsidP="00AF4F4F">
      <w:pPr>
        <w:spacing w:line="240" w:lineRule="auto"/>
        <w:contextualSpacing/>
        <w:jc w:val="both"/>
        <w:rPr>
          <w:rFonts w:ascii="Times New Roman" w:hAnsi="Times New Roman" w:cs="Times New Roman"/>
          <w:bCs/>
          <w:sz w:val="24"/>
          <w:szCs w:val="24"/>
          <w:lang w:val="en-US"/>
        </w:rPr>
      </w:pPr>
      <w:r w:rsidRPr="000B2DF1">
        <w:rPr>
          <w:rFonts w:ascii="Times New Roman" w:hAnsi="Times New Roman" w:cs="Times New Roman"/>
          <w:bCs/>
          <w:sz w:val="24"/>
          <w:szCs w:val="24"/>
          <w:lang w:val="en-US"/>
        </w:rPr>
        <w:t xml:space="preserve">For comprehension accuracy, we fitted a generalized linear mixed model with comprehension accuracy as the outcome </w:t>
      </w:r>
      <w:r w:rsidRPr="00AC10A4">
        <w:rPr>
          <w:rFonts w:ascii="Times New Roman" w:hAnsi="Times New Roman" w:cs="Times New Roman"/>
          <w:bCs/>
          <w:sz w:val="24"/>
          <w:szCs w:val="24"/>
          <w:lang w:val="en-US"/>
        </w:rPr>
        <w:t>variable (binomial), condition (metaphorical, literal) and group (</w:t>
      </w:r>
      <w:r w:rsidRPr="00AC10A4">
        <w:rPr>
          <w:rFonts w:ascii="Times New Roman" w:hAnsi="Times New Roman" w:cs="Times New Roman"/>
          <w:bCs/>
          <w:sz w:val="24"/>
          <w:szCs w:val="24"/>
        </w:rPr>
        <w:t>DYS</w:t>
      </w:r>
      <w:r w:rsidRPr="00AC10A4">
        <w:rPr>
          <w:rFonts w:ascii="Times New Roman" w:hAnsi="Times New Roman" w:cs="Times New Roman"/>
          <w:bCs/>
          <w:sz w:val="24"/>
          <w:szCs w:val="24"/>
          <w:lang w:val="en-US"/>
        </w:rPr>
        <w:t>, TD) as fixed effects, and item and participant as random effects. C</w:t>
      </w:r>
      <w:r w:rsidRPr="004E7764">
        <w:rPr>
          <w:rFonts w:ascii="Times New Roman" w:hAnsi="Times New Roman" w:cs="Times New Roman"/>
          <w:bCs/>
          <w:sz w:val="24"/>
          <w:szCs w:val="24"/>
          <w:lang w:val="en-US"/>
        </w:rPr>
        <w:t>ontrasts were set with metaphorical items and the control group as the baseline.</w:t>
      </w:r>
      <w:r w:rsidR="00AF4F4F">
        <w:rPr>
          <w:rFonts w:ascii="Times New Roman" w:hAnsi="Times New Roman" w:cs="Times New Roman"/>
          <w:bCs/>
          <w:sz w:val="24"/>
          <w:szCs w:val="24"/>
          <w:lang w:val="en-US"/>
        </w:rPr>
        <w:t xml:space="preserve"> </w:t>
      </w:r>
      <w:r w:rsidRPr="00AC10A4">
        <w:rPr>
          <w:rFonts w:ascii="Times New Roman" w:hAnsi="Times New Roman" w:cs="Times New Roman"/>
          <w:bCs/>
          <w:sz w:val="24"/>
          <w:szCs w:val="24"/>
          <w:lang w:val="en-US"/>
        </w:rPr>
        <w:t>Results showed a significant main effect of sentence type, in which the literal trials had higher comprehension than did the metaphorical trials</w:t>
      </w:r>
      <w:r w:rsidR="00933FE3">
        <w:rPr>
          <w:rFonts w:ascii="Times New Roman" w:hAnsi="Times New Roman" w:cs="Times New Roman"/>
          <w:bCs/>
          <w:sz w:val="24"/>
          <w:szCs w:val="24"/>
          <w:lang w:val="en-US"/>
        </w:rPr>
        <w:t xml:space="preserve"> (see Figure 2 and Table 3)</w:t>
      </w:r>
      <w:r w:rsidRPr="00AC10A4">
        <w:rPr>
          <w:rFonts w:ascii="Times New Roman" w:hAnsi="Times New Roman" w:cs="Times New Roman"/>
          <w:sz w:val="24"/>
          <w:szCs w:val="24"/>
          <w:lang w:val="en-US"/>
        </w:rPr>
        <w:t xml:space="preserve">. The main effect of group and the interaction were not significant. </w:t>
      </w:r>
    </w:p>
    <w:p w14:paraId="34612FF5" w14:textId="77777777" w:rsidR="001A0280" w:rsidRDefault="001A0280" w:rsidP="001A0280">
      <w:pPr>
        <w:spacing w:line="240" w:lineRule="auto"/>
        <w:contextualSpacing/>
        <w:jc w:val="both"/>
        <w:rPr>
          <w:rFonts w:ascii="Times New Roman" w:hAnsi="Times New Roman" w:cs="Times New Roman"/>
          <w:b/>
          <w:i/>
          <w:sz w:val="24"/>
          <w:szCs w:val="24"/>
          <w:lang w:val="en-US"/>
        </w:rPr>
      </w:pPr>
    </w:p>
    <w:p w14:paraId="0F798FFD" w14:textId="2B40CD88" w:rsidR="001A0280" w:rsidRDefault="001A0280" w:rsidP="00F95F34">
      <w:pPr>
        <w:spacing w:line="240" w:lineRule="auto"/>
        <w:contextualSpacing/>
        <w:rPr>
          <w:rFonts w:ascii="Times New Roman" w:hAnsi="Times New Roman" w:cs="Times New Roman"/>
          <w:bCs/>
          <w:i/>
          <w:sz w:val="24"/>
          <w:szCs w:val="24"/>
          <w:vertAlign w:val="subscript"/>
          <w:lang w:val="en-US"/>
        </w:rPr>
      </w:pPr>
    </w:p>
    <w:p w14:paraId="2B570963" w14:textId="77777777" w:rsidR="00F727CA" w:rsidRDefault="00F727CA" w:rsidP="00F727CA">
      <w:pPr>
        <w:spacing w:after="0" w:line="240" w:lineRule="auto"/>
        <w:contextualSpacing/>
        <w:rPr>
          <w:rFonts w:ascii="Times New Roman" w:eastAsia="Times New Roman" w:hAnsi="Times New Roman"/>
          <w:i/>
          <w:iCs/>
          <w:sz w:val="24"/>
          <w:szCs w:val="24"/>
        </w:rPr>
      </w:pPr>
      <w:r w:rsidRPr="00B0769A">
        <w:rPr>
          <w:rFonts w:ascii="Times New Roman" w:eastAsia="Times New Roman" w:hAnsi="Times New Roman"/>
          <w:b/>
          <w:bCs/>
          <w:sz w:val="24"/>
          <w:szCs w:val="24"/>
        </w:rPr>
        <w:t xml:space="preserve">Table 3 - </w:t>
      </w:r>
      <w:r>
        <w:rPr>
          <w:rFonts w:ascii="Times New Roman" w:eastAsia="Times New Roman" w:hAnsi="Times New Roman"/>
          <w:i/>
          <w:iCs/>
          <w:sz w:val="24"/>
          <w:szCs w:val="24"/>
        </w:rPr>
        <w:t>Estimates, standard errors, t-values of the linear mixed effects models.</w:t>
      </w:r>
    </w:p>
    <w:p w14:paraId="450FF51B" w14:textId="77777777" w:rsidR="00F727CA" w:rsidRPr="004717C6" w:rsidRDefault="00F727CA" w:rsidP="00F727CA">
      <w:pPr>
        <w:spacing w:after="0" w:line="240" w:lineRule="auto"/>
        <w:contextualSpacing/>
        <w:rPr>
          <w:rFonts w:ascii="Times New Roman" w:eastAsia="Times New Roman" w:hAnsi="Times New Roman"/>
          <w:i/>
          <w:iCs/>
          <w:sz w:val="24"/>
          <w:szCs w:val="24"/>
        </w:rPr>
      </w:pPr>
      <w:r w:rsidRPr="004717C6">
        <w:rPr>
          <w:rFonts w:ascii="Times New Roman" w:eastAsia="Times New Roman" w:hAnsi="Times New Roman"/>
          <w:noProof/>
          <w:sz w:val="24"/>
          <w:szCs w:val="24"/>
        </w:rPr>
        <mc:AlternateContent>
          <mc:Choice Requires="wps">
            <w:drawing>
              <wp:anchor distT="4294967295" distB="4294967295" distL="114300" distR="114300" simplePos="0" relativeHeight="251660288" behindDoc="0" locked="0" layoutInCell="1" allowOverlap="1" wp14:anchorId="2F38EE5F" wp14:editId="361D8682">
                <wp:simplePos x="0" y="0"/>
                <wp:positionH relativeFrom="column">
                  <wp:posOffset>-114300</wp:posOffset>
                </wp:positionH>
                <wp:positionV relativeFrom="paragraph">
                  <wp:posOffset>85725</wp:posOffset>
                </wp:positionV>
                <wp:extent cx="5824220" cy="0"/>
                <wp:effectExtent l="19050" t="19050" r="1460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4220" cy="0"/>
                        </a:xfrm>
                        <a:prstGeom prst="line">
                          <a:avLst/>
                        </a:prstGeom>
                        <a:noFill/>
                        <a:ln w="2527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82BDBA9" id="Straight Connector 1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6.75pt" to="449.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" strokeweight="1.99pt">
                <v:stroke joinstyle="miter"/>
              </v:line>
            </w:pict>
          </mc:Fallback>
        </mc:AlternateContent>
      </w:r>
    </w:p>
    <w:p w14:paraId="103AD3FE" w14:textId="77777777" w:rsidR="00F727CA" w:rsidRPr="004717C6" w:rsidRDefault="00F727CA" w:rsidP="00F727CA">
      <w:pPr>
        <w:spacing w:after="0" w:line="240" w:lineRule="auto"/>
        <w:contextualSpacing/>
        <w:rPr>
          <w:rFonts w:ascii="Times New Roman" w:eastAsia="Times New Roman" w:hAnsi="Times New Roman"/>
          <w:i/>
          <w:iCs/>
          <w:sz w:val="24"/>
          <w:szCs w:val="24"/>
        </w:rPr>
      </w:pPr>
      <w:r>
        <w:rPr>
          <w:rFonts w:ascii="Times New Roman" w:eastAsia="Times New Roman" w:hAnsi="Times New Roman"/>
          <w:sz w:val="24"/>
          <w:szCs w:val="24"/>
        </w:rPr>
        <w:t xml:space="preserve">Fixed Effect </w:t>
      </w:r>
      <w:r w:rsidRPr="004717C6">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Estimate</w:t>
      </w:r>
      <w:r>
        <w:rPr>
          <w:rFonts w:ascii="Times New Roman" w:eastAsia="Times New Roman" w:hAnsi="Times New Roman"/>
          <w:sz w:val="24"/>
          <w:szCs w:val="24"/>
        </w:rPr>
        <w:tab/>
        <w:t xml:space="preserve">    Std. Err.</w:t>
      </w:r>
      <w:r>
        <w:rPr>
          <w:rFonts w:ascii="Times New Roman" w:eastAsia="Times New Roman" w:hAnsi="Times New Roman"/>
          <w:sz w:val="24"/>
          <w:szCs w:val="24"/>
        </w:rPr>
        <w:tab/>
        <w:t xml:space="preserve">    </w:t>
      </w:r>
      <w:r>
        <w:rPr>
          <w:rFonts w:ascii="Times New Roman" w:eastAsia="Times New Roman" w:hAnsi="Times New Roman"/>
          <w:i/>
          <w:iCs/>
          <w:sz w:val="24"/>
          <w:szCs w:val="24"/>
        </w:rPr>
        <w:t>t–</w:t>
      </w:r>
      <w:r w:rsidRPr="00B93CFD">
        <w:rPr>
          <w:rFonts w:ascii="Times New Roman" w:eastAsia="Times New Roman" w:hAnsi="Times New Roman"/>
          <w:sz w:val="24"/>
          <w:szCs w:val="24"/>
        </w:rPr>
        <w:t>value</w:t>
      </w:r>
      <w:r>
        <w:rPr>
          <w:rFonts w:ascii="Times New Roman" w:eastAsia="Times New Roman" w:hAnsi="Times New Roman"/>
          <w:i/>
          <w:iCs/>
          <w:sz w:val="24"/>
          <w:szCs w:val="24"/>
        </w:rPr>
        <w:t xml:space="preserve"> </w:t>
      </w:r>
      <w:r>
        <w:rPr>
          <w:rFonts w:ascii="Times New Roman" w:eastAsia="Times New Roman" w:hAnsi="Times New Roman"/>
          <w:i/>
          <w:iCs/>
          <w:sz w:val="24"/>
          <w:szCs w:val="24"/>
        </w:rPr>
        <w:tab/>
        <w:t xml:space="preserve">    </w:t>
      </w:r>
      <w:proofErr w:type="spellStart"/>
      <w:proofErr w:type="gramStart"/>
      <w:r>
        <w:rPr>
          <w:rFonts w:ascii="Times New Roman" w:eastAsia="Times New Roman" w:hAnsi="Times New Roman"/>
          <w:sz w:val="24"/>
          <w:szCs w:val="24"/>
        </w:rPr>
        <w:t>Pr</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&gt; |</w:t>
      </w:r>
      <w:r>
        <w:rPr>
          <w:rFonts w:ascii="Times New Roman" w:eastAsia="Times New Roman" w:hAnsi="Times New Roman"/>
          <w:i/>
          <w:iCs/>
          <w:sz w:val="24"/>
          <w:szCs w:val="24"/>
        </w:rPr>
        <w:t>t</w:t>
      </w:r>
      <w:r>
        <w:rPr>
          <w:rFonts w:ascii="Times New Roman" w:eastAsia="Times New Roman" w:hAnsi="Times New Roman"/>
          <w:sz w:val="24"/>
          <w:szCs w:val="24"/>
        </w:rPr>
        <w:t>|)</w:t>
      </w:r>
      <w:r w:rsidRPr="004717C6">
        <w:rPr>
          <w:rFonts w:ascii="Times New Roman" w:eastAsia="Times New Roman" w:hAnsi="Times New Roman"/>
          <w:sz w:val="24"/>
          <w:szCs w:val="24"/>
        </w:rPr>
        <w:tab/>
        <w:t xml:space="preserve"> </w:t>
      </w:r>
    </w:p>
    <w:p w14:paraId="3BE3802E" w14:textId="77777777" w:rsidR="00F727CA" w:rsidRPr="004717C6" w:rsidRDefault="00F727CA" w:rsidP="00F727CA">
      <w:pPr>
        <w:spacing w:after="0" w:line="240" w:lineRule="auto"/>
        <w:contextualSpacing/>
        <w:rPr>
          <w:rFonts w:ascii="Times New Roman" w:eastAsia="Times New Roman" w:hAnsi="Times New Roman"/>
          <w:sz w:val="24"/>
          <w:szCs w:val="24"/>
        </w:rPr>
      </w:pPr>
      <w:r w:rsidRPr="004717C6">
        <w:rPr>
          <w:rFonts w:ascii="Times New Roman" w:eastAsia="Times New Roman" w:hAnsi="Times New Roman"/>
          <w:noProof/>
          <w:sz w:val="24"/>
          <w:szCs w:val="24"/>
        </w:rPr>
        <mc:AlternateContent>
          <mc:Choice Requires="wps">
            <w:drawing>
              <wp:anchor distT="4294967294" distB="4294967294" distL="114300" distR="114300" simplePos="0" relativeHeight="251659264" behindDoc="0" locked="0" layoutInCell="1" allowOverlap="1" wp14:anchorId="25BDF475" wp14:editId="0357EE12">
                <wp:simplePos x="0" y="0"/>
                <wp:positionH relativeFrom="column">
                  <wp:posOffset>-114300</wp:posOffset>
                </wp:positionH>
                <wp:positionV relativeFrom="paragraph">
                  <wp:posOffset>92709</wp:posOffset>
                </wp:positionV>
                <wp:extent cx="582422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4220" cy="0"/>
                        </a:xfrm>
                        <a:prstGeom prst="line">
                          <a:avLst/>
                        </a:prstGeom>
                        <a:noFill/>
                        <a:ln w="158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82709F" id="Straight Connector 19"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7.3pt" to="449.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" strokeweight=".44mm">
                <v:stroke joinstyle="miter"/>
              </v:line>
            </w:pict>
          </mc:Fallback>
        </mc:AlternateContent>
      </w:r>
      <w:r w:rsidRPr="004717C6">
        <w:rPr>
          <w:rFonts w:ascii="Times New Roman" w:eastAsia="Times New Roman" w:hAnsi="Times New Roman"/>
          <w:sz w:val="24"/>
          <w:szCs w:val="24"/>
        </w:rPr>
        <w:t xml:space="preserve"> </w:t>
      </w:r>
    </w:p>
    <w:p w14:paraId="21B93470" w14:textId="77777777" w:rsidR="00F727CA" w:rsidRPr="00B93CFD" w:rsidRDefault="00F727CA" w:rsidP="00F727CA">
      <w:pPr>
        <w:spacing w:after="0" w:line="240" w:lineRule="auto"/>
        <w:contextualSpacing/>
        <w:rPr>
          <w:rFonts w:ascii="Times New Roman" w:eastAsia="Times New Roman" w:hAnsi="Times New Roman"/>
          <w:sz w:val="24"/>
          <w:szCs w:val="24"/>
          <w:u w:val="single"/>
        </w:rPr>
      </w:pPr>
      <w:r>
        <w:rPr>
          <w:rFonts w:ascii="Times New Roman" w:eastAsia="Times New Roman" w:hAnsi="Times New Roman"/>
          <w:sz w:val="24"/>
          <w:szCs w:val="24"/>
          <w:u w:val="single"/>
        </w:rPr>
        <w:t>Comprehension</w:t>
      </w:r>
    </w:p>
    <w:p w14:paraId="591D6A5A" w14:textId="77777777" w:rsidR="00F727CA" w:rsidRPr="00A254B5"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Intercept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A254B5">
        <w:rPr>
          <w:rFonts w:ascii="Times New Roman" w:eastAsia="Times New Roman" w:hAnsi="Times New Roman"/>
          <w:sz w:val="24"/>
          <w:szCs w:val="24"/>
        </w:rPr>
        <w:t>0.6783             0.3805            1.782 (</w:t>
      </w:r>
      <w:proofErr w:type="gramStart"/>
      <w:r w:rsidRPr="00A254B5">
        <w:rPr>
          <w:rFonts w:ascii="Times New Roman" w:eastAsia="Times New Roman" w:hAnsi="Times New Roman"/>
          <w:i/>
          <w:iCs/>
          <w:sz w:val="24"/>
          <w:szCs w:val="24"/>
        </w:rPr>
        <w:t>z</w:t>
      </w:r>
      <w:r w:rsidRPr="00A254B5">
        <w:rPr>
          <w:rFonts w:ascii="Times New Roman" w:eastAsia="Times New Roman" w:hAnsi="Times New Roman"/>
          <w:sz w:val="24"/>
          <w:szCs w:val="24"/>
        </w:rPr>
        <w:t xml:space="preserve">)   </w:t>
      </w:r>
      <w:proofErr w:type="gramEnd"/>
      <w:r w:rsidRPr="00A254B5">
        <w:rPr>
          <w:rFonts w:ascii="Times New Roman" w:eastAsia="Times New Roman" w:hAnsi="Times New Roman"/>
          <w:sz w:val="24"/>
          <w:szCs w:val="24"/>
        </w:rPr>
        <w:t xml:space="preserve">         0.074</w:t>
      </w:r>
      <w:r>
        <w:rPr>
          <w:rFonts w:ascii="Times New Roman" w:eastAsia="Times New Roman" w:hAnsi="Times New Roman"/>
          <w:sz w:val="24"/>
          <w:szCs w:val="24"/>
        </w:rPr>
        <w:t>*</w:t>
      </w:r>
    </w:p>
    <w:p w14:paraId="5885EB57" w14:textId="77777777" w:rsidR="00F727CA" w:rsidRPr="00A254B5"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Group</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A254B5">
        <w:rPr>
          <w:rFonts w:ascii="Times New Roman" w:eastAsia="Times New Roman" w:hAnsi="Times New Roman"/>
          <w:sz w:val="24"/>
          <w:szCs w:val="24"/>
        </w:rPr>
        <w:t>-0.2954            0.4443            -0.665 (</w:t>
      </w:r>
      <w:proofErr w:type="gramStart"/>
      <w:r w:rsidRPr="00A254B5">
        <w:rPr>
          <w:rFonts w:ascii="Times New Roman" w:eastAsia="Times New Roman" w:hAnsi="Times New Roman"/>
          <w:i/>
          <w:iCs/>
          <w:sz w:val="24"/>
          <w:szCs w:val="24"/>
        </w:rPr>
        <w:t>z</w:t>
      </w:r>
      <w:r w:rsidRPr="00A254B5">
        <w:rPr>
          <w:rFonts w:ascii="Times New Roman" w:eastAsia="Times New Roman" w:hAnsi="Times New Roman"/>
          <w:sz w:val="24"/>
          <w:szCs w:val="24"/>
        </w:rPr>
        <w:t xml:space="preserve">)   </w:t>
      </w:r>
      <w:proofErr w:type="gramEnd"/>
      <w:r w:rsidRPr="00A254B5">
        <w:rPr>
          <w:rFonts w:ascii="Times New Roman" w:eastAsia="Times New Roman" w:hAnsi="Times New Roman"/>
          <w:sz w:val="24"/>
          <w:szCs w:val="24"/>
        </w:rPr>
        <w:t xml:space="preserve">        0.506 </w:t>
      </w:r>
      <w:r>
        <w:rPr>
          <w:rFonts w:ascii="Times New Roman" w:eastAsia="Times New Roman" w:hAnsi="Times New Roman"/>
          <w:sz w:val="24"/>
          <w:szCs w:val="24"/>
        </w:rPr>
        <w:tab/>
      </w:r>
    </w:p>
    <w:p w14:paraId="24A250FC" w14:textId="77777777" w:rsidR="00F727CA" w:rsidRPr="00A254B5"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 xml:space="preserve">Sentence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A254B5">
        <w:rPr>
          <w:rFonts w:ascii="Times New Roman" w:eastAsia="Times New Roman" w:hAnsi="Times New Roman"/>
          <w:sz w:val="24"/>
          <w:szCs w:val="24"/>
        </w:rPr>
        <w:t>30.4270           13.0034          2.340 (</w:t>
      </w:r>
      <w:proofErr w:type="gramStart"/>
      <w:r w:rsidRPr="00A254B5">
        <w:rPr>
          <w:rFonts w:ascii="Times New Roman" w:eastAsia="Times New Roman" w:hAnsi="Times New Roman"/>
          <w:i/>
          <w:iCs/>
          <w:sz w:val="24"/>
          <w:szCs w:val="24"/>
        </w:rPr>
        <w:t>z</w:t>
      </w:r>
      <w:r w:rsidRPr="00A254B5">
        <w:rPr>
          <w:rFonts w:ascii="Times New Roman" w:eastAsia="Times New Roman" w:hAnsi="Times New Roman"/>
          <w:sz w:val="24"/>
          <w:szCs w:val="24"/>
        </w:rPr>
        <w:t xml:space="preserve">)   </w:t>
      </w:r>
      <w:proofErr w:type="gramEnd"/>
      <w:r w:rsidRPr="00A254B5">
        <w:rPr>
          <w:rFonts w:ascii="Times New Roman" w:eastAsia="Times New Roman" w:hAnsi="Times New Roman"/>
          <w:sz w:val="24"/>
          <w:szCs w:val="24"/>
        </w:rPr>
        <w:t xml:space="preserve">          0.019</w:t>
      </w:r>
      <w:r>
        <w:rPr>
          <w:rFonts w:ascii="Times New Roman" w:eastAsia="Times New Roman" w:hAnsi="Times New Roman"/>
          <w:sz w:val="24"/>
          <w:szCs w:val="24"/>
        </w:rPr>
        <w:t>*</w:t>
      </w:r>
    </w:p>
    <w:p w14:paraId="02098800" w14:textId="77777777" w:rsidR="00F727CA" w:rsidRPr="00A254B5"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Group: Sentence</w:t>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A254B5">
        <w:rPr>
          <w:rFonts w:ascii="Times New Roman" w:eastAsia="Times New Roman" w:hAnsi="Times New Roman"/>
          <w:sz w:val="24"/>
          <w:szCs w:val="24"/>
        </w:rPr>
        <w:t>-4.8631            17.1950         -0.283 (</w:t>
      </w:r>
      <w:proofErr w:type="gramStart"/>
      <w:r w:rsidRPr="00A254B5">
        <w:rPr>
          <w:rFonts w:ascii="Times New Roman" w:eastAsia="Times New Roman" w:hAnsi="Times New Roman"/>
          <w:i/>
          <w:iCs/>
          <w:sz w:val="24"/>
          <w:szCs w:val="24"/>
        </w:rPr>
        <w:t>z</w:t>
      </w:r>
      <w:r w:rsidRPr="00A254B5">
        <w:rPr>
          <w:rFonts w:ascii="Times New Roman" w:eastAsia="Times New Roman" w:hAnsi="Times New Roman"/>
          <w:sz w:val="24"/>
          <w:szCs w:val="24"/>
        </w:rPr>
        <w:t xml:space="preserve">)   </w:t>
      </w:r>
      <w:proofErr w:type="gramEnd"/>
      <w:r w:rsidRPr="00A254B5">
        <w:rPr>
          <w:rFonts w:ascii="Times New Roman" w:eastAsia="Times New Roman" w:hAnsi="Times New Roman"/>
          <w:sz w:val="24"/>
          <w:szCs w:val="24"/>
        </w:rPr>
        <w:t xml:space="preserve">         0.777</w:t>
      </w:r>
    </w:p>
    <w:p w14:paraId="42B3212C" w14:textId="77777777" w:rsidR="00F727CA" w:rsidRDefault="00F727CA" w:rsidP="00F727CA">
      <w:pPr>
        <w:spacing w:after="0" w:line="240" w:lineRule="auto"/>
        <w:contextualSpacing/>
        <w:rPr>
          <w:rFonts w:ascii="Times New Roman" w:eastAsia="Times New Roman" w:hAnsi="Times New Roman"/>
          <w:sz w:val="24"/>
          <w:szCs w:val="24"/>
        </w:rPr>
      </w:pPr>
    </w:p>
    <w:p w14:paraId="6D0C5F2A" w14:textId="77777777" w:rsidR="00F727CA" w:rsidRPr="00B93CFD" w:rsidRDefault="00F727CA" w:rsidP="00F727CA">
      <w:pPr>
        <w:spacing w:after="0" w:line="240" w:lineRule="auto"/>
        <w:contextualSpacing/>
        <w:rPr>
          <w:rFonts w:ascii="Times New Roman" w:eastAsia="Times New Roman" w:hAnsi="Times New Roman"/>
          <w:sz w:val="24"/>
          <w:szCs w:val="24"/>
          <w:u w:val="single"/>
        </w:rPr>
      </w:pPr>
      <w:r>
        <w:rPr>
          <w:rFonts w:ascii="Times New Roman" w:eastAsia="Times New Roman" w:hAnsi="Times New Roman"/>
          <w:sz w:val="24"/>
          <w:szCs w:val="24"/>
          <w:u w:val="single"/>
        </w:rPr>
        <w:t>Reaction Time (all trials)</w:t>
      </w:r>
    </w:p>
    <w:p w14:paraId="0EABB85C" w14:textId="77777777" w:rsidR="00F727CA" w:rsidRPr="00A254B5"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Intercept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A254B5">
        <w:rPr>
          <w:rFonts w:ascii="Times New Roman" w:eastAsia="Times New Roman" w:hAnsi="Times New Roman"/>
          <w:sz w:val="24"/>
          <w:szCs w:val="24"/>
        </w:rPr>
        <w:t>2499.66           94.49              26.454             &lt; 0.001</w:t>
      </w:r>
      <w:r>
        <w:rPr>
          <w:rFonts w:ascii="Times New Roman" w:eastAsia="Times New Roman" w:hAnsi="Times New Roman"/>
          <w:sz w:val="24"/>
          <w:szCs w:val="24"/>
        </w:rPr>
        <w:t>*</w:t>
      </w:r>
    </w:p>
    <w:p w14:paraId="6CCC5CB0" w14:textId="77777777" w:rsidR="00F727CA" w:rsidRPr="00A254B5"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Group</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A254B5">
        <w:rPr>
          <w:rFonts w:ascii="Times New Roman" w:eastAsia="Times New Roman" w:hAnsi="Times New Roman"/>
          <w:sz w:val="24"/>
          <w:szCs w:val="24"/>
        </w:rPr>
        <w:t>447.35            125.57             3.563</w:t>
      </w:r>
      <w:r>
        <w:rPr>
          <w:rFonts w:ascii="Times New Roman" w:eastAsia="Times New Roman" w:hAnsi="Times New Roman"/>
          <w:sz w:val="24"/>
          <w:szCs w:val="24"/>
        </w:rPr>
        <w:tab/>
        <w:t xml:space="preserve">   </w:t>
      </w:r>
      <w:r w:rsidRPr="00A254B5">
        <w:rPr>
          <w:rFonts w:ascii="Times New Roman" w:eastAsia="Times New Roman" w:hAnsi="Times New Roman"/>
          <w:sz w:val="24"/>
          <w:szCs w:val="24"/>
        </w:rPr>
        <w:t>&lt; 0.001</w:t>
      </w:r>
      <w:r>
        <w:rPr>
          <w:rFonts w:ascii="Times New Roman" w:eastAsia="Times New Roman" w:hAnsi="Times New Roman"/>
          <w:sz w:val="24"/>
          <w:szCs w:val="24"/>
        </w:rPr>
        <w:t>*</w:t>
      </w:r>
    </w:p>
    <w:p w14:paraId="770CBFC6" w14:textId="77777777" w:rsidR="00F727CA" w:rsidRPr="00A254B5"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 xml:space="preserve">Sentence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1E7F71">
        <w:rPr>
          <w:rFonts w:ascii="Times New Roman" w:eastAsia="Times New Roman" w:hAnsi="Times New Roman"/>
          <w:sz w:val="24"/>
          <w:szCs w:val="24"/>
        </w:rPr>
        <w:t>-343.46           103.04            -3.333</w:t>
      </w:r>
      <w:r w:rsidRPr="001E7F71">
        <w:rPr>
          <w:rFonts w:ascii="Times New Roman" w:eastAsia="Times New Roman" w:hAnsi="Times New Roman"/>
          <w:sz w:val="24"/>
          <w:szCs w:val="24"/>
        </w:rPr>
        <w:tab/>
        <w:t xml:space="preserve">   </w:t>
      </w:r>
      <w:r w:rsidRPr="00A254B5">
        <w:rPr>
          <w:rFonts w:ascii="Times New Roman" w:eastAsia="Times New Roman" w:hAnsi="Times New Roman"/>
          <w:sz w:val="24"/>
          <w:szCs w:val="24"/>
        </w:rPr>
        <w:t>&lt; 0.001</w:t>
      </w:r>
      <w:r>
        <w:rPr>
          <w:rFonts w:ascii="Times New Roman" w:eastAsia="Times New Roman" w:hAnsi="Times New Roman"/>
          <w:sz w:val="24"/>
          <w:szCs w:val="24"/>
        </w:rPr>
        <w:t>*</w:t>
      </w:r>
    </w:p>
    <w:p w14:paraId="3F26083D" w14:textId="44CDFC45" w:rsidR="00F727CA" w:rsidRPr="00A254B5"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Group: Sentence</w:t>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1E7F71">
        <w:rPr>
          <w:rFonts w:ascii="Times New Roman" w:eastAsia="Times New Roman" w:hAnsi="Times New Roman"/>
          <w:sz w:val="24"/>
          <w:szCs w:val="24"/>
        </w:rPr>
        <w:t>-256.52           123.15            -2.083</w:t>
      </w:r>
      <w:r w:rsidRPr="001E7F71">
        <w:rPr>
          <w:rFonts w:ascii="Times New Roman" w:eastAsia="Times New Roman" w:hAnsi="Times New Roman"/>
          <w:sz w:val="24"/>
          <w:szCs w:val="24"/>
        </w:rPr>
        <w:tab/>
        <w:t xml:space="preserve">   </w:t>
      </w:r>
      <w:r w:rsidRPr="00A254B5">
        <w:rPr>
          <w:rFonts w:ascii="Times New Roman" w:eastAsia="Times New Roman" w:hAnsi="Times New Roman"/>
          <w:sz w:val="24"/>
          <w:szCs w:val="24"/>
        </w:rPr>
        <w:t>&lt; 0.0</w:t>
      </w:r>
      <w:r w:rsidR="005F0E12">
        <w:rPr>
          <w:rFonts w:ascii="Times New Roman" w:eastAsia="Times New Roman" w:hAnsi="Times New Roman"/>
          <w:sz w:val="24"/>
          <w:szCs w:val="24"/>
        </w:rPr>
        <w:t>37</w:t>
      </w:r>
      <w:r>
        <w:rPr>
          <w:rFonts w:ascii="Times New Roman" w:eastAsia="Times New Roman" w:hAnsi="Times New Roman"/>
          <w:sz w:val="24"/>
          <w:szCs w:val="24"/>
        </w:rPr>
        <w:t>*</w:t>
      </w:r>
    </w:p>
    <w:p w14:paraId="3116E8FF" w14:textId="77777777" w:rsidR="00F727CA" w:rsidRDefault="00F727CA" w:rsidP="00F727CA">
      <w:pPr>
        <w:spacing w:after="0" w:line="240" w:lineRule="auto"/>
        <w:contextualSpacing/>
        <w:rPr>
          <w:rFonts w:ascii="Times New Roman" w:eastAsia="Times New Roman" w:hAnsi="Times New Roman"/>
          <w:sz w:val="24"/>
          <w:szCs w:val="24"/>
        </w:rPr>
      </w:pPr>
    </w:p>
    <w:p w14:paraId="56F55A7F" w14:textId="77777777" w:rsidR="00F727CA" w:rsidRPr="00B93CFD" w:rsidRDefault="00F727CA" w:rsidP="00F727CA">
      <w:pPr>
        <w:spacing w:after="0" w:line="240" w:lineRule="auto"/>
        <w:contextualSpacing/>
        <w:rPr>
          <w:rFonts w:ascii="Times New Roman" w:eastAsia="Times New Roman" w:hAnsi="Times New Roman"/>
          <w:sz w:val="24"/>
          <w:szCs w:val="24"/>
          <w:u w:val="single"/>
        </w:rPr>
      </w:pPr>
      <w:r w:rsidRPr="00B93CFD">
        <w:rPr>
          <w:rFonts w:ascii="Times New Roman" w:eastAsia="Times New Roman" w:hAnsi="Times New Roman"/>
          <w:sz w:val="24"/>
          <w:szCs w:val="24"/>
          <w:u w:val="single"/>
        </w:rPr>
        <w:t>Reaction Time (all trials) – paired comparisons</w:t>
      </w:r>
    </w:p>
    <w:p w14:paraId="1D9DAE81" w14:textId="6FEF0A7C" w:rsidR="00F727CA" w:rsidRPr="00A254B5" w:rsidRDefault="00F727CA" w:rsidP="00F727CA">
      <w:pPr>
        <w:spacing w:after="0"/>
        <w:contextualSpacing/>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TD:Metaphor</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DYS:Metapho</w:t>
      </w:r>
      <w:r w:rsidR="001B4C2F">
        <w:rPr>
          <w:rFonts w:ascii="Times New Roman" w:eastAsia="Times New Roman" w:hAnsi="Times New Roman"/>
          <w:sz w:val="24"/>
          <w:szCs w:val="24"/>
        </w:rPr>
        <w:t>r</w:t>
      </w:r>
      <w:proofErr w:type="spellEnd"/>
      <w:r w:rsidR="00830EB5">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A254B5">
        <w:rPr>
          <w:rFonts w:ascii="Times New Roman" w:eastAsia="Times New Roman" w:hAnsi="Times New Roman"/>
          <w:sz w:val="24"/>
          <w:szCs w:val="24"/>
        </w:rPr>
        <w:t>-447                 126</w:t>
      </w:r>
      <w:r>
        <w:rPr>
          <w:rFonts w:ascii="Times New Roman" w:eastAsia="Times New Roman" w:hAnsi="Times New Roman"/>
          <w:sz w:val="24"/>
          <w:szCs w:val="24"/>
        </w:rPr>
        <w:tab/>
        <w:t xml:space="preserve">               -</w:t>
      </w:r>
      <w:r w:rsidRPr="00A254B5">
        <w:rPr>
          <w:rFonts w:ascii="Times New Roman" w:eastAsia="Times New Roman" w:hAnsi="Times New Roman"/>
          <w:sz w:val="24"/>
          <w:szCs w:val="24"/>
        </w:rPr>
        <w:t>3.563</w:t>
      </w:r>
      <w:r>
        <w:rPr>
          <w:rFonts w:ascii="Times New Roman" w:eastAsia="Times New Roman" w:hAnsi="Times New Roman"/>
          <w:sz w:val="24"/>
          <w:szCs w:val="24"/>
        </w:rPr>
        <w:t xml:space="preserve"> </w:t>
      </w:r>
      <w:r w:rsidRPr="00C2645A">
        <w:rPr>
          <w:rFonts w:ascii="Times New Roman" w:eastAsia="Times New Roman" w:hAnsi="Times New Roman"/>
          <w:sz w:val="24"/>
          <w:szCs w:val="24"/>
        </w:rPr>
        <w:t>(</w:t>
      </w:r>
      <w:r w:rsidRPr="00C2645A">
        <w:rPr>
          <w:rFonts w:ascii="Times New Roman" w:eastAsia="Times New Roman" w:hAnsi="Times New Roman"/>
          <w:i/>
          <w:iCs/>
          <w:sz w:val="24"/>
          <w:szCs w:val="24"/>
        </w:rPr>
        <w:t>z</w:t>
      </w:r>
      <w:r w:rsidRPr="00C2645A">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A254B5">
        <w:rPr>
          <w:rFonts w:ascii="Times New Roman" w:eastAsia="Times New Roman" w:hAnsi="Times New Roman"/>
          <w:sz w:val="24"/>
          <w:szCs w:val="24"/>
        </w:rPr>
        <w:t>0.002</w:t>
      </w:r>
      <w:r>
        <w:rPr>
          <w:rFonts w:ascii="Times New Roman" w:eastAsia="Times New Roman" w:hAnsi="Times New Roman"/>
          <w:sz w:val="24"/>
          <w:szCs w:val="24"/>
        </w:rPr>
        <w:t>*</w:t>
      </w:r>
    </w:p>
    <w:p w14:paraId="453C41B6" w14:textId="77777777" w:rsidR="00F727CA" w:rsidRPr="001E7F71" w:rsidRDefault="00F727CA" w:rsidP="00F727CA">
      <w:pPr>
        <w:spacing w:after="0"/>
        <w:contextualSpacing/>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TD:Literal</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DYS:Literal</w:t>
      </w:r>
      <w:proofErr w:type="spellEnd"/>
      <w:r>
        <w:rPr>
          <w:rFonts w:ascii="Times New Roman" w:eastAsia="Times New Roman" w:hAnsi="Times New Roman"/>
          <w:sz w:val="24"/>
          <w:szCs w:val="24"/>
        </w:rPr>
        <w:t xml:space="preserve">               </w:t>
      </w:r>
      <w:r w:rsidRPr="001E7F71">
        <w:rPr>
          <w:rFonts w:ascii="Times New Roman" w:eastAsia="Times New Roman" w:hAnsi="Times New Roman"/>
          <w:sz w:val="24"/>
          <w:szCs w:val="24"/>
        </w:rPr>
        <w:t xml:space="preserve">-191 </w:t>
      </w:r>
      <w:r>
        <w:rPr>
          <w:rFonts w:ascii="Times New Roman" w:eastAsia="Times New Roman" w:hAnsi="Times New Roman"/>
          <w:sz w:val="24"/>
          <w:szCs w:val="24"/>
        </w:rPr>
        <w:t xml:space="preserve">               </w:t>
      </w:r>
      <w:r w:rsidRPr="001E7F71">
        <w:rPr>
          <w:rFonts w:ascii="Times New Roman" w:eastAsia="Times New Roman" w:hAnsi="Times New Roman"/>
          <w:sz w:val="24"/>
          <w:szCs w:val="24"/>
        </w:rPr>
        <w:t>100</w:t>
      </w:r>
      <w:r>
        <w:rPr>
          <w:rFonts w:ascii="Times New Roman" w:eastAsia="Times New Roman" w:hAnsi="Times New Roman"/>
          <w:sz w:val="24"/>
          <w:szCs w:val="24"/>
        </w:rPr>
        <w:t xml:space="preserve">               </w:t>
      </w:r>
      <w:r w:rsidRPr="001E7F71">
        <w:rPr>
          <w:rFonts w:ascii="Times New Roman" w:eastAsia="Times New Roman" w:hAnsi="Times New Roman"/>
          <w:sz w:val="24"/>
          <w:szCs w:val="24"/>
        </w:rPr>
        <w:t xml:space="preserve">  -1.902 </w:t>
      </w:r>
      <w:r w:rsidRPr="00C2645A">
        <w:rPr>
          <w:rFonts w:ascii="Times New Roman" w:eastAsia="Times New Roman" w:hAnsi="Times New Roman"/>
          <w:sz w:val="24"/>
          <w:szCs w:val="24"/>
        </w:rPr>
        <w:t>(</w:t>
      </w:r>
      <w:r w:rsidRPr="00C2645A">
        <w:rPr>
          <w:rFonts w:ascii="Times New Roman" w:eastAsia="Times New Roman" w:hAnsi="Times New Roman"/>
          <w:i/>
          <w:iCs/>
          <w:sz w:val="24"/>
          <w:szCs w:val="24"/>
        </w:rPr>
        <w:t>z</w:t>
      </w:r>
      <w:r w:rsidRPr="00C2645A">
        <w:rPr>
          <w:rFonts w:ascii="Times New Roman" w:eastAsia="Times New Roman" w:hAnsi="Times New Roman"/>
          <w:sz w:val="24"/>
          <w:szCs w:val="24"/>
        </w:rPr>
        <w:t>)</w:t>
      </w:r>
      <w:r>
        <w:rPr>
          <w:rFonts w:ascii="Times New Roman" w:eastAsia="Times New Roman" w:hAnsi="Times New Roman"/>
          <w:sz w:val="24"/>
          <w:szCs w:val="24"/>
        </w:rPr>
        <w:t xml:space="preserve">         </w:t>
      </w:r>
      <w:r w:rsidRPr="001E7F71">
        <w:rPr>
          <w:rFonts w:ascii="Times New Roman" w:eastAsia="Times New Roman" w:hAnsi="Times New Roman"/>
          <w:sz w:val="24"/>
          <w:szCs w:val="24"/>
        </w:rPr>
        <w:t>0.227</w:t>
      </w:r>
    </w:p>
    <w:p w14:paraId="33B1BB75" w14:textId="77777777" w:rsidR="00F727CA" w:rsidRDefault="00F727CA" w:rsidP="00F727CA">
      <w:pPr>
        <w:tabs>
          <w:tab w:val="left" w:pos="3236"/>
        </w:tabs>
        <w:spacing w:after="0"/>
        <w:contextualSpacing/>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TD:Metaphor</w:t>
      </w:r>
      <w:proofErr w:type="spellEnd"/>
      <w:proofErr w:type="gramEnd"/>
      <w:r>
        <w:rPr>
          <w:rFonts w:ascii="Times New Roman" w:eastAsia="Times New Roman" w:hAnsi="Times New Roman"/>
          <w:sz w:val="24"/>
          <w:szCs w:val="24"/>
        </w:rPr>
        <w:t xml:space="preserve"> TD:Literal             </w:t>
      </w:r>
      <w:r w:rsidRPr="001E7F71">
        <w:rPr>
          <w:rFonts w:ascii="Times New Roman" w:eastAsia="Times New Roman" w:hAnsi="Times New Roman"/>
          <w:sz w:val="24"/>
          <w:szCs w:val="24"/>
        </w:rPr>
        <w:t xml:space="preserve">343 </w:t>
      </w:r>
      <w:r>
        <w:rPr>
          <w:rFonts w:ascii="Times New Roman" w:eastAsia="Times New Roman" w:hAnsi="Times New Roman"/>
          <w:sz w:val="24"/>
          <w:szCs w:val="24"/>
        </w:rPr>
        <w:t xml:space="preserve">                </w:t>
      </w:r>
      <w:r w:rsidRPr="001E7F71">
        <w:rPr>
          <w:rFonts w:ascii="Times New Roman" w:eastAsia="Times New Roman" w:hAnsi="Times New Roman"/>
          <w:sz w:val="24"/>
          <w:szCs w:val="24"/>
        </w:rPr>
        <w:t xml:space="preserve">103 </w:t>
      </w:r>
      <w:r>
        <w:rPr>
          <w:rFonts w:ascii="Times New Roman" w:eastAsia="Times New Roman" w:hAnsi="Times New Roman"/>
          <w:sz w:val="24"/>
          <w:szCs w:val="24"/>
        </w:rPr>
        <w:t xml:space="preserve">              </w:t>
      </w:r>
      <w:r w:rsidRPr="001E7F71">
        <w:rPr>
          <w:rFonts w:ascii="Times New Roman" w:eastAsia="Times New Roman" w:hAnsi="Times New Roman"/>
          <w:sz w:val="24"/>
          <w:szCs w:val="24"/>
        </w:rPr>
        <w:t xml:space="preserve">   3.333 </w:t>
      </w:r>
      <w:r w:rsidRPr="00C2645A">
        <w:rPr>
          <w:rFonts w:ascii="Times New Roman" w:eastAsia="Times New Roman" w:hAnsi="Times New Roman"/>
          <w:sz w:val="24"/>
          <w:szCs w:val="24"/>
        </w:rPr>
        <w:t>(</w:t>
      </w:r>
      <w:r w:rsidRPr="00C2645A">
        <w:rPr>
          <w:rFonts w:ascii="Times New Roman" w:eastAsia="Times New Roman" w:hAnsi="Times New Roman"/>
          <w:i/>
          <w:iCs/>
          <w:sz w:val="24"/>
          <w:szCs w:val="24"/>
        </w:rPr>
        <w:t>z</w:t>
      </w:r>
      <w:r w:rsidRPr="00C2645A">
        <w:rPr>
          <w:rFonts w:ascii="Times New Roman" w:eastAsia="Times New Roman" w:hAnsi="Times New Roman"/>
          <w:sz w:val="24"/>
          <w:szCs w:val="24"/>
        </w:rPr>
        <w:t>)</w:t>
      </w:r>
      <w:r w:rsidRPr="001E7F71">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1E7F71">
        <w:rPr>
          <w:rFonts w:ascii="Times New Roman" w:eastAsia="Times New Roman" w:hAnsi="Times New Roman"/>
          <w:sz w:val="24"/>
          <w:szCs w:val="24"/>
        </w:rPr>
        <w:t>0.004</w:t>
      </w:r>
      <w:r>
        <w:rPr>
          <w:rFonts w:ascii="Times New Roman" w:eastAsia="Times New Roman" w:hAnsi="Times New Roman"/>
          <w:sz w:val="24"/>
          <w:szCs w:val="24"/>
        </w:rPr>
        <w:t>*</w:t>
      </w:r>
    </w:p>
    <w:p w14:paraId="44715743" w14:textId="77777777" w:rsidR="00F727CA" w:rsidRPr="001E7F71" w:rsidRDefault="00F727CA" w:rsidP="00F727CA">
      <w:pPr>
        <w:spacing w:after="0"/>
        <w:contextualSpacing/>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DYS:Metaphor</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DYS:Literal</w:t>
      </w:r>
      <w:proofErr w:type="spellEnd"/>
      <w:r>
        <w:rPr>
          <w:rFonts w:ascii="Times New Roman" w:eastAsia="Times New Roman" w:hAnsi="Times New Roman"/>
          <w:sz w:val="24"/>
          <w:szCs w:val="24"/>
        </w:rPr>
        <w:t xml:space="preserve">       </w:t>
      </w:r>
      <w:r w:rsidRPr="001E7F71">
        <w:rPr>
          <w:rFonts w:ascii="Times New Roman" w:eastAsia="Times New Roman" w:hAnsi="Times New Roman"/>
          <w:sz w:val="24"/>
          <w:szCs w:val="24"/>
        </w:rPr>
        <w:t xml:space="preserve">600                  132 </w:t>
      </w:r>
      <w:r>
        <w:rPr>
          <w:rFonts w:ascii="Times New Roman" w:eastAsia="Times New Roman" w:hAnsi="Times New Roman"/>
          <w:sz w:val="24"/>
          <w:szCs w:val="24"/>
        </w:rPr>
        <w:t xml:space="preserve">               </w:t>
      </w:r>
      <w:r w:rsidRPr="001E7F71">
        <w:rPr>
          <w:rFonts w:ascii="Times New Roman" w:eastAsia="Times New Roman" w:hAnsi="Times New Roman"/>
          <w:sz w:val="24"/>
          <w:szCs w:val="24"/>
        </w:rPr>
        <w:t xml:space="preserve">  4.550</w:t>
      </w:r>
      <w:r>
        <w:rPr>
          <w:rFonts w:ascii="Times New Roman" w:eastAsia="Times New Roman" w:hAnsi="Times New Roman"/>
          <w:sz w:val="24"/>
          <w:szCs w:val="24"/>
        </w:rPr>
        <w:t xml:space="preserve"> </w:t>
      </w:r>
      <w:r w:rsidRPr="00C2645A">
        <w:rPr>
          <w:rFonts w:ascii="Times New Roman" w:eastAsia="Times New Roman" w:hAnsi="Times New Roman"/>
          <w:sz w:val="24"/>
          <w:szCs w:val="24"/>
        </w:rPr>
        <w:t>(</w:t>
      </w:r>
      <w:r w:rsidRPr="00C2645A">
        <w:rPr>
          <w:rFonts w:ascii="Times New Roman" w:eastAsia="Times New Roman" w:hAnsi="Times New Roman"/>
          <w:i/>
          <w:iCs/>
          <w:sz w:val="24"/>
          <w:szCs w:val="24"/>
        </w:rPr>
        <w:t>z</w:t>
      </w:r>
      <w:r w:rsidRPr="00C2645A">
        <w:rPr>
          <w:rFonts w:ascii="Times New Roman" w:eastAsia="Times New Roman" w:hAnsi="Times New Roman"/>
          <w:sz w:val="24"/>
          <w:szCs w:val="24"/>
        </w:rPr>
        <w:t>)</w:t>
      </w:r>
      <w:r w:rsidRPr="001E7F71">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1E7F71">
        <w:rPr>
          <w:rFonts w:ascii="Times New Roman" w:eastAsia="Times New Roman" w:hAnsi="Times New Roman"/>
          <w:sz w:val="24"/>
          <w:szCs w:val="24"/>
        </w:rPr>
        <w:t>&lt;.001</w:t>
      </w:r>
      <w:r>
        <w:rPr>
          <w:rFonts w:ascii="Times New Roman" w:eastAsia="Times New Roman" w:hAnsi="Times New Roman"/>
          <w:sz w:val="24"/>
          <w:szCs w:val="24"/>
        </w:rPr>
        <w:t>*</w:t>
      </w:r>
    </w:p>
    <w:p w14:paraId="4B2D846C" w14:textId="77777777" w:rsidR="00F727CA" w:rsidRDefault="00F727CA" w:rsidP="00F727CA">
      <w:pPr>
        <w:spacing w:after="0" w:line="240" w:lineRule="auto"/>
        <w:contextualSpacing/>
        <w:rPr>
          <w:rFonts w:ascii="Times New Roman" w:eastAsia="Times New Roman" w:hAnsi="Times New Roman"/>
          <w:sz w:val="24"/>
          <w:szCs w:val="24"/>
        </w:rPr>
      </w:pPr>
    </w:p>
    <w:p w14:paraId="2C3E1055" w14:textId="77777777" w:rsidR="00F727CA" w:rsidRDefault="00F727CA" w:rsidP="00F727CA">
      <w:pPr>
        <w:spacing w:after="0" w:line="240" w:lineRule="auto"/>
        <w:contextualSpacing/>
        <w:rPr>
          <w:rFonts w:ascii="Times New Roman" w:eastAsia="Times New Roman" w:hAnsi="Times New Roman"/>
          <w:sz w:val="24"/>
          <w:szCs w:val="24"/>
          <w:u w:val="single"/>
        </w:rPr>
      </w:pPr>
      <w:r>
        <w:rPr>
          <w:rFonts w:ascii="Times New Roman" w:eastAsia="Times New Roman" w:hAnsi="Times New Roman"/>
          <w:sz w:val="24"/>
          <w:szCs w:val="24"/>
          <w:u w:val="single"/>
        </w:rPr>
        <w:t>Reaction Time (correct trials)</w:t>
      </w:r>
    </w:p>
    <w:p w14:paraId="64055256" w14:textId="77777777" w:rsidR="00F727CA" w:rsidRPr="001E7F71"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Intercept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1E7F71">
        <w:rPr>
          <w:rFonts w:ascii="Times New Roman" w:eastAsia="Times New Roman" w:hAnsi="Times New Roman"/>
          <w:sz w:val="24"/>
          <w:szCs w:val="24"/>
        </w:rPr>
        <w:t>2729.8             119.8              22.783            &lt;.001</w:t>
      </w:r>
      <w:r>
        <w:rPr>
          <w:rFonts w:ascii="Times New Roman" w:eastAsia="Times New Roman" w:hAnsi="Times New Roman"/>
          <w:sz w:val="24"/>
          <w:szCs w:val="24"/>
        </w:rPr>
        <w:t>*</w:t>
      </w:r>
    </w:p>
    <w:p w14:paraId="3B3495B1" w14:textId="77777777" w:rsidR="00F727CA" w:rsidRPr="001E7F71"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Group</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1E7F71">
        <w:rPr>
          <w:rFonts w:ascii="Times New Roman" w:eastAsia="Times New Roman" w:hAnsi="Times New Roman"/>
          <w:sz w:val="24"/>
          <w:szCs w:val="24"/>
        </w:rPr>
        <w:t>427.8               150.5              2.842              0.004</w:t>
      </w:r>
      <w:r>
        <w:rPr>
          <w:rFonts w:ascii="Times New Roman" w:eastAsia="Times New Roman" w:hAnsi="Times New Roman"/>
          <w:sz w:val="24"/>
          <w:szCs w:val="24"/>
        </w:rPr>
        <w:t>*</w:t>
      </w:r>
    </w:p>
    <w:p w14:paraId="6B5F8914" w14:textId="77777777" w:rsidR="00F727CA" w:rsidRPr="001E7F71"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 xml:space="preserve">Sentence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1E7F71">
        <w:rPr>
          <w:rFonts w:ascii="Times New Roman" w:eastAsia="Times New Roman" w:hAnsi="Times New Roman"/>
          <w:sz w:val="24"/>
          <w:szCs w:val="24"/>
        </w:rPr>
        <w:t>-567.9              116.1             -4.890</w:t>
      </w:r>
      <w:r>
        <w:rPr>
          <w:rFonts w:ascii="Times New Roman" w:eastAsia="Times New Roman" w:hAnsi="Times New Roman"/>
          <w:sz w:val="24"/>
          <w:szCs w:val="24"/>
        </w:rPr>
        <w:t xml:space="preserve">            </w:t>
      </w:r>
      <w:r w:rsidRPr="001E7F71">
        <w:rPr>
          <w:rFonts w:ascii="Times New Roman" w:eastAsia="Times New Roman" w:hAnsi="Times New Roman"/>
          <w:sz w:val="24"/>
          <w:szCs w:val="24"/>
        </w:rPr>
        <w:t>&lt;.001</w:t>
      </w:r>
      <w:r>
        <w:rPr>
          <w:rFonts w:ascii="Times New Roman" w:eastAsia="Times New Roman" w:hAnsi="Times New Roman"/>
          <w:sz w:val="24"/>
          <w:szCs w:val="24"/>
        </w:rPr>
        <w:t>*</w:t>
      </w:r>
    </w:p>
    <w:p w14:paraId="4B1AC60B" w14:textId="77777777" w:rsidR="00F727CA" w:rsidRPr="00830EB5" w:rsidRDefault="00F727CA" w:rsidP="00F727CA">
      <w:pPr>
        <w:spacing w:after="0"/>
        <w:contextualSpacing/>
        <w:rPr>
          <w:rFonts w:ascii="Times New Roman" w:eastAsia="Times New Roman" w:hAnsi="Times New Roman"/>
          <w:sz w:val="24"/>
          <w:szCs w:val="24"/>
          <w:lang w:val="en-US"/>
        </w:rPr>
      </w:pPr>
      <w:r>
        <w:rPr>
          <w:rFonts w:ascii="Times New Roman" w:eastAsia="Times New Roman" w:hAnsi="Times New Roman"/>
          <w:sz w:val="24"/>
          <w:szCs w:val="24"/>
        </w:rPr>
        <w:t>Group: Sentence</w:t>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830EB5">
        <w:rPr>
          <w:rFonts w:ascii="Times New Roman" w:eastAsia="Times New Roman" w:hAnsi="Times New Roman"/>
          <w:sz w:val="24"/>
          <w:szCs w:val="24"/>
          <w:lang w:val="en-US"/>
        </w:rPr>
        <w:t>-235.7              155.5             -1.515             0.129</w:t>
      </w:r>
    </w:p>
    <w:p w14:paraId="5D2C5E8C" w14:textId="77777777" w:rsidR="00F727CA" w:rsidRDefault="00F727CA" w:rsidP="00F727CA">
      <w:pPr>
        <w:spacing w:after="0" w:line="240" w:lineRule="auto"/>
        <w:contextualSpacing/>
        <w:rPr>
          <w:rFonts w:ascii="Times New Roman" w:eastAsia="Times New Roman" w:hAnsi="Times New Roman"/>
          <w:sz w:val="24"/>
          <w:szCs w:val="24"/>
        </w:rPr>
      </w:pPr>
    </w:p>
    <w:p w14:paraId="0A3416CD" w14:textId="77777777" w:rsidR="00F727CA" w:rsidRPr="000F3650" w:rsidRDefault="00F727CA" w:rsidP="00F727CA">
      <w:pPr>
        <w:spacing w:after="0" w:line="240" w:lineRule="auto"/>
        <w:contextualSpacing/>
        <w:rPr>
          <w:rFonts w:ascii="Times New Roman" w:eastAsia="Times New Roman" w:hAnsi="Times New Roman"/>
          <w:sz w:val="24"/>
          <w:szCs w:val="24"/>
          <w:u w:val="single"/>
        </w:rPr>
      </w:pPr>
      <w:r>
        <w:rPr>
          <w:rFonts w:ascii="Times New Roman" w:eastAsia="Times New Roman" w:hAnsi="Times New Roman"/>
          <w:sz w:val="24"/>
          <w:szCs w:val="24"/>
          <w:u w:val="single"/>
        </w:rPr>
        <w:t>Summed Dwell Time (correct trials)</w:t>
      </w:r>
    </w:p>
    <w:p w14:paraId="0B5B6635" w14:textId="77777777" w:rsidR="00F727CA" w:rsidRPr="00A40E10"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Intercept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A40E10">
        <w:rPr>
          <w:rFonts w:ascii="Times New Roman" w:eastAsia="Times New Roman" w:hAnsi="Times New Roman"/>
          <w:sz w:val="24"/>
          <w:szCs w:val="24"/>
        </w:rPr>
        <w:t>629.9302          30.0172         20.986          &lt; 0.001*</w:t>
      </w:r>
    </w:p>
    <w:p w14:paraId="4C6CA76A" w14:textId="77777777" w:rsidR="00F727CA" w:rsidRPr="00A40E10"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Group</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A40E10">
        <w:rPr>
          <w:rFonts w:ascii="Times New Roman" w:eastAsia="Times New Roman" w:hAnsi="Times New Roman"/>
          <w:sz w:val="24"/>
          <w:szCs w:val="24"/>
        </w:rPr>
        <w:t>47.6510            38.3801         1.242              0.214</w:t>
      </w:r>
      <w:r>
        <w:rPr>
          <w:rFonts w:ascii="Times New Roman" w:eastAsia="Times New Roman" w:hAnsi="Times New Roman"/>
          <w:sz w:val="24"/>
          <w:szCs w:val="24"/>
        </w:rPr>
        <w:tab/>
      </w:r>
      <w:r>
        <w:rPr>
          <w:rFonts w:ascii="Times New Roman" w:eastAsia="Times New Roman" w:hAnsi="Times New Roman"/>
          <w:sz w:val="24"/>
          <w:szCs w:val="24"/>
        </w:rPr>
        <w:tab/>
      </w:r>
    </w:p>
    <w:p w14:paraId="7F5F7521" w14:textId="77777777" w:rsidR="00F727CA" w:rsidRPr="00A40E10"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 xml:space="preserve">Sentence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A40E10">
        <w:rPr>
          <w:rFonts w:ascii="Times New Roman" w:eastAsia="Times New Roman" w:hAnsi="Times New Roman"/>
          <w:sz w:val="24"/>
          <w:szCs w:val="24"/>
        </w:rPr>
        <w:t>-52.8495            30.9133        -1.710             0.08</w:t>
      </w:r>
      <w:r>
        <w:rPr>
          <w:rFonts w:ascii="Times New Roman" w:eastAsia="Times New Roman" w:hAnsi="Times New Roman"/>
          <w:sz w:val="24"/>
          <w:szCs w:val="24"/>
        </w:rPr>
        <w:t>7*</w:t>
      </w:r>
    </w:p>
    <w:p w14:paraId="0C1D7B36" w14:textId="77777777" w:rsidR="00F727CA" w:rsidRPr="00A40E10"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 xml:space="preserve">Picture                                        </w:t>
      </w:r>
      <w:r w:rsidRPr="00A40E10">
        <w:rPr>
          <w:rFonts w:ascii="Times New Roman" w:eastAsia="Times New Roman" w:hAnsi="Times New Roman"/>
          <w:sz w:val="24"/>
          <w:szCs w:val="24"/>
        </w:rPr>
        <w:t xml:space="preserve">0.9967              </w:t>
      </w:r>
      <w:r>
        <w:rPr>
          <w:rFonts w:ascii="Times New Roman" w:eastAsia="Times New Roman" w:hAnsi="Times New Roman"/>
          <w:sz w:val="24"/>
          <w:szCs w:val="24"/>
        </w:rPr>
        <w:t xml:space="preserve"> </w:t>
      </w:r>
      <w:r w:rsidRPr="00A40E10">
        <w:rPr>
          <w:rFonts w:ascii="Times New Roman" w:eastAsia="Times New Roman" w:hAnsi="Times New Roman"/>
          <w:sz w:val="24"/>
          <w:szCs w:val="24"/>
        </w:rPr>
        <w:t xml:space="preserve">48.1707   </w:t>
      </w:r>
      <w:r>
        <w:rPr>
          <w:rFonts w:ascii="Times New Roman" w:eastAsia="Times New Roman" w:hAnsi="Times New Roman"/>
          <w:sz w:val="24"/>
          <w:szCs w:val="24"/>
        </w:rPr>
        <w:t xml:space="preserve">      </w:t>
      </w:r>
      <w:r w:rsidRPr="00A40E10">
        <w:rPr>
          <w:rFonts w:ascii="Times New Roman" w:eastAsia="Times New Roman" w:hAnsi="Times New Roman"/>
          <w:sz w:val="24"/>
          <w:szCs w:val="24"/>
        </w:rPr>
        <w:t>0.021             0.983</w:t>
      </w:r>
    </w:p>
    <w:p w14:paraId="620C82C8" w14:textId="77777777" w:rsidR="00F727CA" w:rsidRPr="00884A53"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Group: Sentence</w:t>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884A53">
        <w:rPr>
          <w:rFonts w:ascii="Times New Roman" w:eastAsia="Times New Roman" w:hAnsi="Times New Roman"/>
          <w:sz w:val="24"/>
          <w:szCs w:val="24"/>
        </w:rPr>
        <w:t xml:space="preserve">-42.7155            48.3739  </w:t>
      </w:r>
      <w:r>
        <w:rPr>
          <w:rFonts w:ascii="Times New Roman" w:eastAsia="Times New Roman" w:hAnsi="Times New Roman"/>
          <w:sz w:val="24"/>
          <w:szCs w:val="24"/>
        </w:rPr>
        <w:t xml:space="preserve">      </w:t>
      </w:r>
      <w:r w:rsidRPr="00884A53">
        <w:rPr>
          <w:rFonts w:ascii="Times New Roman" w:eastAsia="Times New Roman" w:hAnsi="Times New Roman"/>
          <w:sz w:val="24"/>
          <w:szCs w:val="24"/>
        </w:rPr>
        <w:t>-0.883             0.377</w:t>
      </w:r>
    </w:p>
    <w:p w14:paraId="15022D64" w14:textId="77777777" w:rsidR="00F727CA" w:rsidRPr="00884A53"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 xml:space="preserve">Group: Picture                           </w:t>
      </w:r>
      <w:r w:rsidRPr="00884A53">
        <w:rPr>
          <w:rFonts w:ascii="Times New Roman" w:eastAsia="Times New Roman" w:hAnsi="Times New Roman"/>
          <w:sz w:val="24"/>
          <w:szCs w:val="24"/>
        </w:rPr>
        <w:t xml:space="preserve">-81.1757            59.5289       </w:t>
      </w:r>
      <w:r>
        <w:rPr>
          <w:rFonts w:ascii="Times New Roman" w:eastAsia="Times New Roman" w:hAnsi="Times New Roman"/>
          <w:sz w:val="24"/>
          <w:szCs w:val="24"/>
        </w:rPr>
        <w:t xml:space="preserve"> </w:t>
      </w:r>
      <w:r w:rsidRPr="00884A53">
        <w:rPr>
          <w:rFonts w:ascii="Times New Roman" w:eastAsia="Times New Roman" w:hAnsi="Times New Roman"/>
          <w:sz w:val="24"/>
          <w:szCs w:val="24"/>
        </w:rPr>
        <w:t>-1.364              0.172</w:t>
      </w:r>
    </w:p>
    <w:p w14:paraId="0F941D0A" w14:textId="77777777" w:rsidR="00F727CA" w:rsidRPr="00884A53" w:rsidRDefault="00F727CA" w:rsidP="00F727CA">
      <w:pPr>
        <w:spacing w:after="0"/>
        <w:contextualSpacing/>
        <w:rPr>
          <w:rFonts w:ascii="Times New Roman" w:eastAsia="Times New Roman" w:hAnsi="Times New Roman"/>
          <w:sz w:val="24"/>
          <w:szCs w:val="24"/>
        </w:rPr>
      </w:pPr>
      <w:r>
        <w:rPr>
          <w:rFonts w:ascii="Times New Roman" w:eastAsia="Times New Roman" w:hAnsi="Times New Roman"/>
          <w:sz w:val="24"/>
          <w:szCs w:val="24"/>
        </w:rPr>
        <w:t xml:space="preserve">Sentence: Picture                      </w:t>
      </w:r>
      <w:r w:rsidRPr="00884A53">
        <w:rPr>
          <w:rFonts w:ascii="Times New Roman" w:eastAsia="Times New Roman" w:hAnsi="Times New Roman"/>
          <w:sz w:val="24"/>
          <w:szCs w:val="24"/>
        </w:rPr>
        <w:t xml:space="preserve">-135.5143          </w:t>
      </w:r>
      <w:r>
        <w:rPr>
          <w:rFonts w:ascii="Times New Roman" w:eastAsia="Times New Roman" w:hAnsi="Times New Roman"/>
          <w:sz w:val="24"/>
          <w:szCs w:val="24"/>
        </w:rPr>
        <w:t xml:space="preserve"> </w:t>
      </w:r>
      <w:r w:rsidRPr="00884A53">
        <w:rPr>
          <w:rFonts w:ascii="Times New Roman" w:eastAsia="Times New Roman" w:hAnsi="Times New Roman"/>
          <w:sz w:val="24"/>
          <w:szCs w:val="24"/>
        </w:rPr>
        <w:t xml:space="preserve">50.3454 </w:t>
      </w:r>
      <w:r>
        <w:rPr>
          <w:rFonts w:ascii="Times New Roman" w:eastAsia="Times New Roman" w:hAnsi="Times New Roman"/>
          <w:sz w:val="24"/>
          <w:szCs w:val="24"/>
        </w:rPr>
        <w:t xml:space="preserve">      </w:t>
      </w:r>
      <w:r w:rsidRPr="00884A53">
        <w:rPr>
          <w:rFonts w:ascii="Times New Roman" w:eastAsia="Times New Roman" w:hAnsi="Times New Roman"/>
          <w:sz w:val="24"/>
          <w:szCs w:val="24"/>
        </w:rPr>
        <w:t xml:space="preserve"> -2.692              0.007</w:t>
      </w:r>
      <w:r>
        <w:rPr>
          <w:rFonts w:ascii="Times New Roman" w:eastAsia="Times New Roman" w:hAnsi="Times New Roman"/>
          <w:sz w:val="24"/>
          <w:szCs w:val="24"/>
        </w:rPr>
        <w:t>*</w:t>
      </w:r>
    </w:p>
    <w:p w14:paraId="402AB597" w14:textId="61F9FDAA" w:rsidR="00F727CA" w:rsidRPr="001B4C2F" w:rsidRDefault="00F727CA" w:rsidP="00F727CA">
      <w:pPr>
        <w:spacing w:after="0"/>
        <w:contextualSpacing/>
        <w:rPr>
          <w:rFonts w:ascii="Times New Roman" w:eastAsia="Times New Roman" w:hAnsi="Times New Roman"/>
          <w:sz w:val="24"/>
          <w:szCs w:val="24"/>
          <w:lang w:val="en-US"/>
        </w:rPr>
      </w:pPr>
      <w:r>
        <w:rPr>
          <w:rFonts w:ascii="Times New Roman" w:eastAsia="Times New Roman" w:hAnsi="Times New Roman"/>
          <w:sz w:val="24"/>
          <w:szCs w:val="24"/>
        </w:rPr>
        <w:t xml:space="preserve">Group: Sentence: Picture.         </w:t>
      </w:r>
      <w:r w:rsidRPr="001B4C2F">
        <w:rPr>
          <w:rFonts w:ascii="Times New Roman" w:eastAsia="Times New Roman" w:hAnsi="Times New Roman"/>
          <w:sz w:val="24"/>
          <w:szCs w:val="24"/>
          <w:lang w:val="en-US"/>
        </w:rPr>
        <w:t>78.2925              73.4840         1.065              0.286</w:t>
      </w:r>
    </w:p>
    <w:p w14:paraId="059D094D" w14:textId="77777777" w:rsidR="008D4113" w:rsidRDefault="008D4113" w:rsidP="008D4113">
      <w:pPr>
        <w:spacing w:after="0" w:line="240" w:lineRule="auto"/>
        <w:contextualSpacing/>
        <w:rPr>
          <w:rFonts w:ascii="Times New Roman" w:eastAsia="Times New Roman" w:hAnsi="Times New Roman"/>
          <w:sz w:val="24"/>
          <w:szCs w:val="24"/>
          <w:u w:val="single"/>
        </w:rPr>
      </w:pPr>
    </w:p>
    <w:p w14:paraId="69B47CC4" w14:textId="17CD32C5" w:rsidR="008D4113" w:rsidRDefault="008D4113" w:rsidP="008D4113">
      <w:pPr>
        <w:spacing w:after="0" w:line="240" w:lineRule="auto"/>
        <w:contextualSpacing/>
        <w:rPr>
          <w:rFonts w:ascii="Times New Roman" w:eastAsia="Times New Roman" w:hAnsi="Times New Roman"/>
          <w:sz w:val="24"/>
          <w:szCs w:val="24"/>
          <w:u w:val="single"/>
        </w:rPr>
      </w:pPr>
      <w:r>
        <w:rPr>
          <w:rFonts w:ascii="Times New Roman" w:eastAsia="Times New Roman" w:hAnsi="Times New Roman"/>
          <w:sz w:val="24"/>
          <w:szCs w:val="24"/>
          <w:u w:val="single"/>
        </w:rPr>
        <w:t>Summed Dwell Time (correct trials) – Sentence</w:t>
      </w:r>
      <w:r w:rsidR="007A59F0">
        <w:rPr>
          <w:rFonts w:ascii="Times New Roman" w:eastAsia="Times New Roman" w:hAnsi="Times New Roman"/>
          <w:sz w:val="24"/>
          <w:szCs w:val="24"/>
          <w:u w:val="single"/>
        </w:rPr>
        <w:t xml:space="preserve"> </w:t>
      </w:r>
      <w:r>
        <w:rPr>
          <w:rFonts w:ascii="Times New Roman" w:eastAsia="Times New Roman" w:hAnsi="Times New Roman"/>
          <w:sz w:val="24"/>
          <w:szCs w:val="24"/>
          <w:u w:val="single"/>
        </w:rPr>
        <w:t>:</w:t>
      </w:r>
      <w:r w:rsidR="007A59F0">
        <w:rPr>
          <w:rFonts w:ascii="Times New Roman" w:eastAsia="Times New Roman" w:hAnsi="Times New Roman"/>
          <w:sz w:val="24"/>
          <w:szCs w:val="24"/>
          <w:u w:val="single"/>
        </w:rPr>
        <w:t xml:space="preserve"> </w:t>
      </w:r>
      <w:r>
        <w:rPr>
          <w:rFonts w:ascii="Times New Roman" w:eastAsia="Times New Roman" w:hAnsi="Times New Roman"/>
          <w:sz w:val="24"/>
          <w:szCs w:val="24"/>
          <w:u w:val="single"/>
        </w:rPr>
        <w:t>Picture paired comparisons</w:t>
      </w:r>
    </w:p>
    <w:p w14:paraId="382C04D6" w14:textId="54DFB2E6" w:rsidR="001B4C2F" w:rsidRPr="001B4C2F" w:rsidRDefault="001B4C2F" w:rsidP="001B4C2F">
      <w:pPr>
        <w:spacing w:after="0" w:line="240" w:lineRule="auto"/>
        <w:contextualSpacing/>
        <w:rPr>
          <w:rFonts w:ascii="Times New Roman" w:eastAsia="Times New Roman" w:hAnsi="Times New Roman"/>
          <w:sz w:val="24"/>
          <w:szCs w:val="24"/>
        </w:rPr>
      </w:pPr>
      <w:r w:rsidRPr="001B4C2F">
        <w:rPr>
          <w:rFonts w:ascii="Times New Roman" w:eastAsia="Times New Roman" w:hAnsi="Times New Roman"/>
          <w:sz w:val="24"/>
          <w:szCs w:val="24"/>
        </w:rPr>
        <w:t>Met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Target - Lit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Target            74.2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24.1</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   3.084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0.011</w:t>
      </w:r>
      <w:r>
        <w:rPr>
          <w:rFonts w:ascii="Times New Roman" w:eastAsia="Times New Roman" w:hAnsi="Times New Roman"/>
          <w:sz w:val="24"/>
          <w:szCs w:val="24"/>
        </w:rPr>
        <w:t>*</w:t>
      </w:r>
    </w:p>
    <w:p w14:paraId="0BC26953" w14:textId="19D0E74D" w:rsidR="001B4C2F" w:rsidRPr="001B4C2F" w:rsidRDefault="001B4C2F" w:rsidP="001B4C2F">
      <w:pPr>
        <w:spacing w:after="0" w:line="240" w:lineRule="auto"/>
        <w:contextualSpacing/>
        <w:rPr>
          <w:rFonts w:ascii="Times New Roman" w:eastAsia="Times New Roman" w:hAnsi="Times New Roman"/>
          <w:sz w:val="24"/>
          <w:szCs w:val="24"/>
        </w:rPr>
      </w:pPr>
      <w:proofErr w:type="spellStart"/>
      <w:r w:rsidRPr="001B4C2F">
        <w:rPr>
          <w:rFonts w:ascii="Times New Roman" w:eastAsia="Times New Roman" w:hAnsi="Times New Roman"/>
          <w:sz w:val="24"/>
          <w:szCs w:val="24"/>
        </w:rPr>
        <w:lastRenderedPageBreak/>
        <w:t>Met</w:t>
      </w:r>
      <w:r>
        <w:rPr>
          <w:rFonts w:ascii="Times New Roman" w:eastAsia="Times New Roman" w:hAnsi="Times New Roman"/>
          <w:sz w:val="24"/>
          <w:szCs w:val="24"/>
        </w:rPr>
        <w:t>.</w:t>
      </w:r>
      <w:r w:rsidRPr="001B4C2F">
        <w:rPr>
          <w:rFonts w:ascii="Times New Roman" w:eastAsia="Times New Roman" w:hAnsi="Times New Roman"/>
          <w:sz w:val="24"/>
          <w:szCs w:val="24"/>
        </w:rPr>
        <w:t>Target</w:t>
      </w:r>
      <w:proofErr w:type="spellEnd"/>
      <w:r w:rsidRPr="001B4C2F">
        <w:rPr>
          <w:rFonts w:ascii="Times New Roman" w:eastAsia="Times New Roman" w:hAnsi="Times New Roman"/>
          <w:sz w:val="24"/>
          <w:szCs w:val="24"/>
        </w:rPr>
        <w:t xml:space="preserve"> </w:t>
      </w:r>
      <w:r>
        <w:rPr>
          <w:rFonts w:ascii="Times New Roman" w:eastAsia="Times New Roman" w:hAnsi="Times New Roman"/>
          <w:sz w:val="24"/>
          <w:szCs w:val="24"/>
        </w:rPr>
        <w:t>-</w:t>
      </w:r>
      <w:r w:rsidRPr="001B4C2F">
        <w:rPr>
          <w:rFonts w:ascii="Times New Roman" w:eastAsia="Times New Roman" w:hAnsi="Times New Roman"/>
          <w:sz w:val="24"/>
          <w:szCs w:val="24"/>
        </w:rPr>
        <w:t xml:space="preserve"> </w:t>
      </w:r>
      <w:proofErr w:type="spellStart"/>
      <w:r w:rsidRPr="001B4C2F">
        <w:rPr>
          <w:rFonts w:ascii="Times New Roman" w:eastAsia="Times New Roman" w:hAnsi="Times New Roman"/>
          <w:sz w:val="24"/>
          <w:szCs w:val="24"/>
        </w:rPr>
        <w:t>Met</w:t>
      </w:r>
      <w:r>
        <w:rPr>
          <w:rFonts w:ascii="Times New Roman" w:eastAsia="Times New Roman" w:hAnsi="Times New Roman"/>
          <w:sz w:val="24"/>
          <w:szCs w:val="24"/>
        </w:rPr>
        <w:t>.</w:t>
      </w:r>
      <w:r w:rsidRPr="001B4C2F">
        <w:rPr>
          <w:rFonts w:ascii="Times New Roman" w:eastAsia="Times New Roman" w:hAnsi="Times New Roman"/>
          <w:sz w:val="24"/>
          <w:szCs w:val="24"/>
        </w:rPr>
        <w:t>Distractor</w:t>
      </w:r>
      <w:proofErr w:type="spellEnd"/>
      <w:r w:rsidRPr="001B4C2F">
        <w:rPr>
          <w:rFonts w:ascii="Times New Roman" w:eastAsia="Times New Roman" w:hAnsi="Times New Roman"/>
          <w:sz w:val="24"/>
          <w:szCs w:val="24"/>
        </w:rPr>
        <w:t xml:space="preserve">     39.6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46.3 </w:t>
      </w:r>
      <w:r>
        <w:rPr>
          <w:rFonts w:ascii="Times New Roman" w:eastAsia="Times New Roman" w:hAnsi="Times New Roman"/>
          <w:sz w:val="24"/>
          <w:szCs w:val="24"/>
        </w:rPr>
        <w:t xml:space="preserve">             0</w:t>
      </w:r>
      <w:r w:rsidRPr="001B4C2F">
        <w:rPr>
          <w:rFonts w:ascii="Times New Roman" w:eastAsia="Times New Roman" w:hAnsi="Times New Roman"/>
          <w:sz w:val="24"/>
          <w:szCs w:val="24"/>
        </w:rPr>
        <w:t xml:space="preserve">.855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0.828</w:t>
      </w:r>
    </w:p>
    <w:p w14:paraId="3C4F57FD" w14:textId="788BDD69" w:rsidR="001B4C2F" w:rsidRPr="001B4C2F" w:rsidRDefault="001B4C2F" w:rsidP="001B4C2F">
      <w:pPr>
        <w:spacing w:after="0" w:line="240" w:lineRule="auto"/>
        <w:contextualSpacing/>
        <w:rPr>
          <w:rFonts w:ascii="Times New Roman" w:eastAsia="Times New Roman" w:hAnsi="Times New Roman"/>
          <w:sz w:val="24"/>
          <w:szCs w:val="24"/>
        </w:rPr>
      </w:pPr>
      <w:r w:rsidRPr="001B4C2F">
        <w:rPr>
          <w:rFonts w:ascii="Times New Roman" w:eastAsia="Times New Roman" w:hAnsi="Times New Roman"/>
          <w:sz w:val="24"/>
          <w:szCs w:val="24"/>
        </w:rPr>
        <w:t>Met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Target - Lit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Distractor     210.2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34.0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6.189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&lt;.001</w:t>
      </w:r>
      <w:r>
        <w:rPr>
          <w:rFonts w:ascii="Times New Roman" w:eastAsia="Times New Roman" w:hAnsi="Times New Roman"/>
          <w:sz w:val="24"/>
          <w:szCs w:val="24"/>
        </w:rPr>
        <w:t>*</w:t>
      </w:r>
    </w:p>
    <w:p w14:paraId="4AEF5FA6" w14:textId="53225DD4" w:rsidR="001B4C2F" w:rsidRPr="001B4C2F" w:rsidRDefault="001B4C2F" w:rsidP="001B4C2F">
      <w:pPr>
        <w:spacing w:after="0" w:line="240" w:lineRule="auto"/>
        <w:contextualSpacing/>
        <w:rPr>
          <w:rFonts w:ascii="Times New Roman" w:eastAsia="Times New Roman" w:hAnsi="Times New Roman"/>
          <w:sz w:val="24"/>
          <w:szCs w:val="24"/>
        </w:rPr>
      </w:pPr>
      <w:r w:rsidRPr="001B4C2F">
        <w:rPr>
          <w:rFonts w:ascii="Times New Roman" w:eastAsia="Times New Roman" w:hAnsi="Times New Roman"/>
          <w:sz w:val="24"/>
          <w:szCs w:val="24"/>
        </w:rPr>
        <w:t>Lit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Target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Met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Distractor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-34.6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43.3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 -0.800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0.854</w:t>
      </w:r>
    </w:p>
    <w:p w14:paraId="5C353BDE" w14:textId="7CE0A39B" w:rsidR="001B4C2F" w:rsidRPr="001B4C2F" w:rsidRDefault="001B4C2F" w:rsidP="001B4C2F">
      <w:pPr>
        <w:spacing w:after="0" w:line="240" w:lineRule="auto"/>
        <w:contextualSpacing/>
        <w:rPr>
          <w:rFonts w:ascii="Times New Roman" w:eastAsia="Times New Roman" w:hAnsi="Times New Roman"/>
          <w:sz w:val="24"/>
          <w:szCs w:val="24"/>
        </w:rPr>
      </w:pPr>
      <w:r w:rsidRPr="001B4C2F">
        <w:rPr>
          <w:rFonts w:ascii="Times New Roman" w:eastAsia="Times New Roman" w:hAnsi="Times New Roman"/>
          <w:sz w:val="24"/>
          <w:szCs w:val="24"/>
        </w:rPr>
        <w:t>Lit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Target - Lit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Distractor      136.0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29.9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   4.543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&lt;.001</w:t>
      </w:r>
      <w:r>
        <w:rPr>
          <w:rFonts w:ascii="Times New Roman" w:eastAsia="Times New Roman" w:hAnsi="Times New Roman"/>
          <w:sz w:val="24"/>
          <w:szCs w:val="24"/>
        </w:rPr>
        <w:t>*</w:t>
      </w:r>
    </w:p>
    <w:p w14:paraId="4E8544FD" w14:textId="5D8B3F95" w:rsidR="008D4113" w:rsidRPr="001B4C2F" w:rsidRDefault="001B4C2F" w:rsidP="001B4C2F">
      <w:pPr>
        <w:spacing w:after="0" w:line="240" w:lineRule="auto"/>
        <w:contextualSpacing/>
        <w:rPr>
          <w:rFonts w:ascii="Times New Roman" w:eastAsia="Times New Roman" w:hAnsi="Times New Roman"/>
          <w:sz w:val="24"/>
          <w:szCs w:val="24"/>
        </w:rPr>
      </w:pPr>
      <w:r w:rsidRPr="001B4C2F">
        <w:rPr>
          <w:rFonts w:ascii="Times New Roman" w:eastAsia="Times New Roman" w:hAnsi="Times New Roman"/>
          <w:sz w:val="24"/>
          <w:szCs w:val="24"/>
        </w:rPr>
        <w:t>Met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Distr</w:t>
      </w:r>
      <w:r>
        <w:rPr>
          <w:rFonts w:ascii="Times New Roman" w:eastAsia="Times New Roman" w:hAnsi="Times New Roman"/>
          <w:sz w:val="24"/>
          <w:szCs w:val="24"/>
        </w:rPr>
        <w:t>.</w:t>
      </w:r>
      <w:r w:rsidRPr="001B4C2F">
        <w:rPr>
          <w:rFonts w:ascii="Times New Roman" w:eastAsia="Times New Roman" w:hAnsi="Times New Roman"/>
          <w:sz w:val="24"/>
          <w:szCs w:val="24"/>
        </w:rPr>
        <w:t xml:space="preserve"> - Lit</w:t>
      </w:r>
      <w:r>
        <w:rPr>
          <w:rFonts w:ascii="Times New Roman" w:eastAsia="Times New Roman" w:hAnsi="Times New Roman"/>
          <w:sz w:val="24"/>
          <w:szCs w:val="24"/>
        </w:rPr>
        <w:t>.</w:t>
      </w:r>
      <w:r w:rsidRPr="001B4C2F">
        <w:rPr>
          <w:rFonts w:ascii="Times New Roman" w:eastAsia="Times New Roman" w:hAnsi="Times New Roman"/>
          <w:sz w:val="24"/>
          <w:szCs w:val="24"/>
        </w:rPr>
        <w:t xml:space="preserve"> Distr</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170.6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31.4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 xml:space="preserve">5.440  </w:t>
      </w:r>
      <w:r>
        <w:rPr>
          <w:rFonts w:ascii="Times New Roman" w:eastAsia="Times New Roman" w:hAnsi="Times New Roman"/>
          <w:sz w:val="24"/>
          <w:szCs w:val="24"/>
        </w:rPr>
        <w:t xml:space="preserve">         </w:t>
      </w:r>
      <w:r w:rsidRPr="001B4C2F">
        <w:rPr>
          <w:rFonts w:ascii="Times New Roman" w:eastAsia="Times New Roman" w:hAnsi="Times New Roman"/>
          <w:sz w:val="24"/>
          <w:szCs w:val="24"/>
        </w:rPr>
        <w:t>&lt;.001</w:t>
      </w:r>
      <w:r>
        <w:rPr>
          <w:rFonts w:ascii="Times New Roman" w:eastAsia="Times New Roman" w:hAnsi="Times New Roman"/>
          <w:sz w:val="24"/>
          <w:szCs w:val="24"/>
        </w:rPr>
        <w:t>*</w:t>
      </w:r>
    </w:p>
    <w:p w14:paraId="41853B18" w14:textId="77777777" w:rsidR="00F727CA" w:rsidRPr="004717C6" w:rsidRDefault="00F727CA" w:rsidP="00F727CA">
      <w:pPr>
        <w:spacing w:after="0" w:line="240" w:lineRule="auto"/>
        <w:contextualSpacing/>
        <w:rPr>
          <w:rFonts w:ascii="Times New Roman" w:eastAsia="Times New Roman" w:hAnsi="Times New Roman"/>
          <w:sz w:val="24"/>
          <w:szCs w:val="24"/>
        </w:rPr>
      </w:pPr>
      <w:r w:rsidRPr="004717C6">
        <w:rPr>
          <w:rFonts w:ascii="Times New Roman" w:eastAsia="Times New Roman" w:hAnsi="Times New Roman"/>
          <w:noProof/>
          <w:sz w:val="24"/>
          <w:szCs w:val="24"/>
        </w:rPr>
        <mc:AlternateContent>
          <mc:Choice Requires="wps">
            <w:drawing>
              <wp:anchor distT="4294967294" distB="4294967294" distL="114300" distR="114300" simplePos="0" relativeHeight="251661312" behindDoc="0" locked="0" layoutInCell="1" allowOverlap="1" wp14:anchorId="5F54D98A" wp14:editId="552A7B64">
                <wp:simplePos x="0" y="0"/>
                <wp:positionH relativeFrom="column">
                  <wp:posOffset>-114300</wp:posOffset>
                </wp:positionH>
                <wp:positionV relativeFrom="paragraph">
                  <wp:posOffset>87629</wp:posOffset>
                </wp:positionV>
                <wp:extent cx="5760085"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9FC8D8"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6.9pt" to="444.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" strokeweight=".26mm">
                <v:stroke joinstyle="miter"/>
              </v:line>
            </w:pict>
          </mc:Fallback>
        </mc:AlternateContent>
      </w:r>
    </w:p>
    <w:p w14:paraId="7F200308" w14:textId="77777777" w:rsidR="00F95F34" w:rsidRDefault="00F95F34" w:rsidP="00F95F34">
      <w:pPr>
        <w:spacing w:line="240" w:lineRule="auto"/>
        <w:contextualSpacing/>
        <w:rPr>
          <w:rFonts w:ascii="Times New Roman" w:hAnsi="Times New Roman" w:cs="Times New Roman"/>
          <w:bCs/>
          <w:i/>
          <w:sz w:val="24"/>
          <w:szCs w:val="24"/>
          <w:vertAlign w:val="subscript"/>
          <w:lang w:val="en-US"/>
        </w:rPr>
      </w:pPr>
    </w:p>
    <w:p w14:paraId="217179DB" w14:textId="77777777" w:rsidR="00F95F34" w:rsidRDefault="00F95F34" w:rsidP="00F95F34">
      <w:pPr>
        <w:spacing w:line="240" w:lineRule="auto"/>
        <w:contextualSpacing/>
        <w:rPr>
          <w:rFonts w:ascii="Times New Roman" w:hAnsi="Times New Roman" w:cs="Times New Roman"/>
          <w:bCs/>
          <w:i/>
          <w:sz w:val="24"/>
          <w:szCs w:val="24"/>
          <w:vertAlign w:val="subscript"/>
          <w:lang w:val="en-US"/>
        </w:rPr>
      </w:pPr>
    </w:p>
    <w:p w14:paraId="0293FC79" w14:textId="2E3EC9B1" w:rsidR="00F95F34" w:rsidRPr="00A056BE" w:rsidRDefault="00F95F34" w:rsidP="00F95F34">
      <w:pPr>
        <w:spacing w:line="240" w:lineRule="auto"/>
        <w:contextualSpacing/>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1E70B1F" wp14:editId="27A2891D">
            <wp:extent cx="4556824" cy="3017520"/>
            <wp:effectExtent l="0" t="0" r="2540" b="5080"/>
            <wp:docPr id="205353349" name="Immagine 15" descr="Immagine che contiene schermata, testo, diagramm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3349" name="Immagine 15" descr="Immagine che contiene schermata, testo, diagramma, Rettangol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0681" cy="3020074"/>
                    </a:xfrm>
                    <a:prstGeom prst="rect">
                      <a:avLst/>
                    </a:prstGeom>
                  </pic:spPr>
                </pic:pic>
              </a:graphicData>
            </a:graphic>
          </wp:inline>
        </w:drawing>
      </w:r>
    </w:p>
    <w:p w14:paraId="0C2158AD" w14:textId="16960CE3" w:rsidR="00F95F34" w:rsidRPr="00AC10A4" w:rsidRDefault="00F95F34" w:rsidP="00F95F34">
      <w:pPr>
        <w:spacing w:line="240" w:lineRule="auto"/>
        <w:contextualSpacing/>
        <w:rPr>
          <w:rFonts w:ascii="Times New Roman" w:hAnsi="Times New Roman" w:cs="Times New Roman"/>
          <w:bCs/>
          <w:i/>
          <w:sz w:val="24"/>
          <w:szCs w:val="24"/>
          <w:vertAlign w:val="subscript"/>
          <w:lang w:val="en-US"/>
        </w:rPr>
      </w:pPr>
      <w:r w:rsidRPr="00A056BE">
        <w:rPr>
          <w:rFonts w:ascii="Times New Roman" w:hAnsi="Times New Roman" w:cs="Times New Roman"/>
          <w:b/>
          <w:bCs/>
          <w:lang w:val="en-US"/>
        </w:rPr>
        <w:t>Figure 2</w:t>
      </w:r>
      <w:r w:rsidRPr="00A056BE">
        <w:rPr>
          <w:rFonts w:ascii="Times New Roman" w:hAnsi="Times New Roman" w:cs="Times New Roman"/>
          <w:noProof/>
          <w:lang w:val="en-US"/>
        </w:rPr>
        <w:t>.</w:t>
      </w:r>
      <w:r w:rsidRPr="00A056BE">
        <w:rPr>
          <w:rFonts w:ascii="Times New Roman" w:hAnsi="Times New Roman" w:cs="Times New Roman"/>
          <w:lang w:val="en-US"/>
        </w:rPr>
        <w:t xml:space="preserve"> </w:t>
      </w:r>
      <w:r w:rsidRPr="00A056BE">
        <w:rPr>
          <w:rFonts w:ascii="Times New Roman" w:hAnsi="Times New Roman" w:cs="Times New Roman"/>
          <w:i/>
          <w:iCs/>
          <w:lang w:val="en-US"/>
        </w:rPr>
        <w:t xml:space="preserve">Means of comprehension accuracy. Error bars show the </w:t>
      </w:r>
      <w:r>
        <w:rPr>
          <w:rFonts w:ascii="Times New Roman" w:hAnsi="Times New Roman" w:cs="Times New Roman"/>
          <w:i/>
          <w:iCs/>
          <w:lang w:val="en-US"/>
        </w:rPr>
        <w:t>95% confidence intervals</w:t>
      </w:r>
      <w:r w:rsidRPr="00A056BE">
        <w:rPr>
          <w:rFonts w:ascii="Times New Roman" w:hAnsi="Times New Roman" w:cs="Times New Roman"/>
          <w:i/>
          <w:iCs/>
          <w:lang w:val="en-US"/>
        </w:rPr>
        <w:t>.</w:t>
      </w:r>
    </w:p>
    <w:p w14:paraId="4595A969" w14:textId="77777777" w:rsidR="001A0280" w:rsidRPr="00AC10A4" w:rsidRDefault="001A0280" w:rsidP="001A0280">
      <w:pPr>
        <w:spacing w:line="240" w:lineRule="auto"/>
        <w:contextualSpacing/>
        <w:jc w:val="both"/>
        <w:rPr>
          <w:rFonts w:ascii="Times New Roman" w:hAnsi="Times New Roman" w:cs="Times New Roman"/>
          <w:bCs/>
          <w:i/>
          <w:sz w:val="24"/>
          <w:szCs w:val="24"/>
          <w:lang w:val="en-US"/>
        </w:rPr>
      </w:pPr>
    </w:p>
    <w:p w14:paraId="4E729E9F" w14:textId="77777777" w:rsidR="00F95F34" w:rsidRDefault="00F95F34" w:rsidP="001A0280">
      <w:pPr>
        <w:spacing w:line="240" w:lineRule="auto"/>
        <w:contextualSpacing/>
        <w:jc w:val="both"/>
        <w:rPr>
          <w:rFonts w:ascii="Times New Roman" w:hAnsi="Times New Roman" w:cs="Times New Roman"/>
          <w:b/>
          <w:i/>
          <w:sz w:val="24"/>
          <w:szCs w:val="24"/>
          <w:lang w:val="en-US"/>
        </w:rPr>
      </w:pPr>
    </w:p>
    <w:p w14:paraId="19910C72" w14:textId="1E3C170D" w:rsidR="001A0280" w:rsidRPr="00AC10A4" w:rsidRDefault="001A0280" w:rsidP="001A0280">
      <w:pPr>
        <w:spacing w:line="240" w:lineRule="auto"/>
        <w:contextualSpacing/>
        <w:jc w:val="both"/>
        <w:rPr>
          <w:rFonts w:ascii="Times New Roman" w:hAnsi="Times New Roman" w:cs="Times New Roman"/>
          <w:b/>
          <w:i/>
          <w:sz w:val="24"/>
          <w:szCs w:val="24"/>
          <w:lang w:val="en-US"/>
        </w:rPr>
      </w:pPr>
      <w:r w:rsidRPr="00AC10A4">
        <w:rPr>
          <w:rFonts w:ascii="Times New Roman" w:hAnsi="Times New Roman" w:cs="Times New Roman"/>
          <w:b/>
          <w:i/>
          <w:sz w:val="24"/>
          <w:szCs w:val="24"/>
          <w:lang w:val="en-US"/>
        </w:rPr>
        <w:t>Reaction Time</w:t>
      </w:r>
    </w:p>
    <w:p w14:paraId="3DE603B9" w14:textId="77777777" w:rsidR="001E6A38" w:rsidRDefault="001E6A38" w:rsidP="001E6A38">
      <w:pPr>
        <w:spacing w:line="240" w:lineRule="auto"/>
        <w:contextualSpacing/>
        <w:jc w:val="both"/>
        <w:rPr>
          <w:rFonts w:ascii="Times New Roman" w:hAnsi="Times New Roman" w:cs="Times New Roman"/>
          <w:bCs/>
          <w:sz w:val="24"/>
          <w:szCs w:val="24"/>
          <w:lang w:val="en-US"/>
        </w:rPr>
      </w:pPr>
    </w:p>
    <w:p w14:paraId="7E100941" w14:textId="56E446D9" w:rsidR="001A0280" w:rsidRPr="00AC10A4" w:rsidRDefault="001E6A38" w:rsidP="001E6A38">
      <w:pPr>
        <w:spacing w:line="240" w:lineRule="auto"/>
        <w:contextualSpacing/>
        <w:jc w:val="both"/>
        <w:rPr>
          <w:rFonts w:ascii="Times New Roman" w:hAnsi="Times New Roman" w:cs="Times New Roman"/>
          <w:bCs/>
          <w:sz w:val="24"/>
          <w:szCs w:val="24"/>
          <w:lang w:val="en-US"/>
        </w:rPr>
      </w:pPr>
      <w:r w:rsidRPr="001E6A38">
        <w:rPr>
          <w:rFonts w:ascii="Times New Roman" w:hAnsi="Times New Roman" w:cs="Times New Roman"/>
          <w:bCs/>
          <w:sz w:val="24"/>
          <w:szCs w:val="24"/>
          <w:lang w:val="en-US"/>
        </w:rPr>
        <w:t xml:space="preserve">Reaction times were computed from the </w:t>
      </w:r>
      <w:r w:rsidR="0011173E">
        <w:rPr>
          <w:rFonts w:ascii="Times New Roman" w:hAnsi="Times New Roman" w:cs="Times New Roman"/>
          <w:bCs/>
          <w:sz w:val="24"/>
          <w:szCs w:val="24"/>
          <w:lang w:val="en-US"/>
        </w:rPr>
        <w:t>midpoint</w:t>
      </w:r>
      <w:r w:rsidRPr="001E6A38">
        <w:rPr>
          <w:rFonts w:ascii="Times New Roman" w:hAnsi="Times New Roman" w:cs="Times New Roman"/>
          <w:bCs/>
          <w:sz w:val="24"/>
          <w:szCs w:val="24"/>
          <w:lang w:val="en-US"/>
        </w:rPr>
        <w:t xml:space="preserve"> of NP2 (</w:t>
      </w:r>
      <w:r w:rsidR="0011173E">
        <w:rPr>
          <w:rFonts w:ascii="Times New Roman" w:hAnsi="Times New Roman" w:cs="Times New Roman"/>
          <w:bCs/>
          <w:sz w:val="24"/>
          <w:szCs w:val="24"/>
          <w:lang w:val="en-US"/>
        </w:rPr>
        <w:t>Region</w:t>
      </w:r>
      <w:r w:rsidRPr="001E6A38">
        <w:rPr>
          <w:rFonts w:ascii="Times New Roman" w:hAnsi="Times New Roman" w:cs="Times New Roman"/>
          <w:bCs/>
          <w:sz w:val="24"/>
          <w:szCs w:val="24"/>
          <w:lang w:val="en-US"/>
        </w:rPr>
        <w:t xml:space="preserve"> 3) to when participants made the button press </w:t>
      </w:r>
      <w:r>
        <w:rPr>
          <w:rFonts w:ascii="Times New Roman" w:hAnsi="Times New Roman" w:cs="Times New Roman"/>
          <w:bCs/>
          <w:sz w:val="24"/>
          <w:szCs w:val="24"/>
          <w:lang w:val="en-US"/>
        </w:rPr>
        <w:t xml:space="preserve">to select a response </w:t>
      </w:r>
      <w:r w:rsidRPr="001E6A38">
        <w:rPr>
          <w:rFonts w:ascii="Times New Roman" w:hAnsi="Times New Roman" w:cs="Times New Roman"/>
          <w:bCs/>
          <w:sz w:val="24"/>
          <w:szCs w:val="24"/>
          <w:lang w:val="en-US"/>
        </w:rPr>
        <w:t xml:space="preserve">(see </w:t>
      </w:r>
      <w:r w:rsidR="00C75B14">
        <w:rPr>
          <w:rFonts w:ascii="Times New Roman" w:hAnsi="Times New Roman" w:cs="Times New Roman"/>
          <w:bCs/>
          <w:sz w:val="24"/>
          <w:szCs w:val="24"/>
          <w:lang w:val="en-US"/>
        </w:rPr>
        <w:t>Figure 1</w:t>
      </w:r>
      <w:r w:rsidRPr="001E6A38">
        <w:rPr>
          <w:rFonts w:ascii="Times New Roman" w:hAnsi="Times New Roman" w:cs="Times New Roman"/>
          <w:bCs/>
          <w:sz w:val="24"/>
          <w:szCs w:val="24"/>
          <w:lang w:val="en-US"/>
        </w:rPr>
        <w:t>).</w:t>
      </w:r>
      <w:r w:rsidR="00402040">
        <w:rPr>
          <w:rFonts w:ascii="Times New Roman" w:hAnsi="Times New Roman" w:cs="Times New Roman"/>
          <w:bCs/>
          <w:sz w:val="24"/>
          <w:szCs w:val="24"/>
          <w:lang w:val="en-US"/>
        </w:rPr>
        <w:t xml:space="preserve">  </w:t>
      </w:r>
      <w:r w:rsidR="008D4113">
        <w:rPr>
          <w:rFonts w:ascii="Times New Roman" w:hAnsi="Times New Roman" w:cs="Times New Roman"/>
          <w:bCs/>
          <w:sz w:val="24"/>
          <w:szCs w:val="24"/>
          <w:lang w:val="en-US"/>
        </w:rPr>
        <w:t>Reaction times were checked for outliers below 80ms or over 8000ms, however all data fell within 80-8000ms</w:t>
      </w:r>
      <w:r w:rsidR="00402040">
        <w:rPr>
          <w:rFonts w:ascii="Times New Roman" w:hAnsi="Times New Roman" w:cs="Times New Roman"/>
          <w:bCs/>
          <w:sz w:val="24"/>
          <w:szCs w:val="24"/>
          <w:lang w:val="en-US"/>
        </w:rPr>
        <w:t>,</w:t>
      </w:r>
      <w:r w:rsidR="00A069F4">
        <w:rPr>
          <w:rFonts w:ascii="Times New Roman" w:hAnsi="Times New Roman" w:cs="Times New Roman"/>
          <w:bCs/>
          <w:sz w:val="24"/>
          <w:szCs w:val="24"/>
          <w:lang w:val="en-US"/>
        </w:rPr>
        <w:t xml:space="preserve"> so the full data set was </w:t>
      </w:r>
      <w:proofErr w:type="spellStart"/>
      <w:r w:rsidR="00A069F4">
        <w:rPr>
          <w:rFonts w:ascii="Times New Roman" w:hAnsi="Times New Roman" w:cs="Times New Roman"/>
          <w:bCs/>
          <w:sz w:val="24"/>
          <w:szCs w:val="24"/>
          <w:lang w:val="en-US"/>
        </w:rPr>
        <w:t>analysed</w:t>
      </w:r>
      <w:proofErr w:type="spellEnd"/>
      <w:r w:rsidR="00A069F4">
        <w:rPr>
          <w:rFonts w:ascii="Times New Roman" w:hAnsi="Times New Roman" w:cs="Times New Roman"/>
          <w:bCs/>
          <w:sz w:val="24"/>
          <w:szCs w:val="24"/>
          <w:lang w:val="en-US"/>
        </w:rPr>
        <w:t>.</w:t>
      </w:r>
      <w:r w:rsidR="001B4C2F">
        <w:rPr>
          <w:rFonts w:ascii="Times New Roman" w:hAnsi="Times New Roman" w:cs="Times New Roman"/>
          <w:bCs/>
          <w:sz w:val="24"/>
          <w:szCs w:val="24"/>
          <w:lang w:val="en-US"/>
        </w:rPr>
        <w:t xml:space="preserve"> </w:t>
      </w:r>
      <w:r w:rsidR="00A069F4">
        <w:rPr>
          <w:rFonts w:ascii="Times New Roman" w:hAnsi="Times New Roman" w:cs="Times New Roman"/>
          <w:bCs/>
          <w:sz w:val="24"/>
          <w:szCs w:val="24"/>
          <w:lang w:val="en-US"/>
        </w:rPr>
        <w:t>The distribution of the</w:t>
      </w:r>
      <w:r w:rsidR="001A0280" w:rsidRPr="00AC10A4">
        <w:rPr>
          <w:rFonts w:ascii="Times New Roman" w:hAnsi="Times New Roman" w:cs="Times New Roman"/>
          <w:bCs/>
          <w:sz w:val="24"/>
          <w:szCs w:val="24"/>
          <w:lang w:val="en-US"/>
        </w:rPr>
        <w:t xml:space="preserve"> </w:t>
      </w:r>
      <w:r w:rsidR="00A069F4">
        <w:rPr>
          <w:rFonts w:ascii="Times New Roman" w:hAnsi="Times New Roman" w:cs="Times New Roman"/>
          <w:bCs/>
          <w:sz w:val="24"/>
          <w:szCs w:val="24"/>
          <w:lang w:val="en-US"/>
        </w:rPr>
        <w:t>reaction time</w:t>
      </w:r>
      <w:r w:rsidR="001A0280" w:rsidRPr="00AC10A4">
        <w:rPr>
          <w:rFonts w:ascii="Times New Roman" w:hAnsi="Times New Roman" w:cs="Times New Roman"/>
          <w:bCs/>
          <w:sz w:val="24"/>
          <w:szCs w:val="24"/>
          <w:lang w:val="en-US"/>
        </w:rPr>
        <w:t xml:space="preserve"> exhibited a positive skew, which necessitated adjustments in the modeling approach to ensure appropriate handling of the data distribution. We specified the models using an identity link function, which assumes a linear relationship between the predictors and the observed responses, and a Gamma distribution</w:t>
      </w:r>
      <w:r w:rsidR="005560EF">
        <w:rPr>
          <w:rFonts w:ascii="Times New Roman" w:hAnsi="Times New Roman" w:cs="Times New Roman"/>
          <w:bCs/>
          <w:sz w:val="24"/>
          <w:szCs w:val="24"/>
          <w:lang w:val="en-US"/>
        </w:rPr>
        <w:t xml:space="preserve"> </w:t>
      </w:r>
      <w:r w:rsidR="005560EF">
        <w:rPr>
          <w:rFonts w:ascii="Times New Roman" w:hAnsi="Times New Roman" w:cs="Times New Roman"/>
          <w:bCs/>
          <w:sz w:val="24"/>
          <w:szCs w:val="24"/>
          <w:lang w:val="en-US"/>
        </w:rPr>
        <w:fldChar w:fldCharType="begin"/>
      </w:r>
      <w:r w:rsidR="005560EF">
        <w:rPr>
          <w:rFonts w:ascii="Times New Roman" w:hAnsi="Times New Roman" w:cs="Times New Roman"/>
          <w:bCs/>
          <w:sz w:val="24"/>
          <w:szCs w:val="24"/>
          <w:lang w:val="en-US"/>
        </w:rPr>
        <w:instrText xml:space="preserve"> ADDIN ZOTERO_ITEM CSL_CITATION {"citationID":"UYyUXqJ1","properties":{"formattedCitation":"(Lo &amp; Andrews, 2015)","plainCitation":"(Lo &amp; Andrews, 2015)","noteIndex":0},"citationItems":[{"id":5384,"uris":["http://zotero.org/users/10108531/items/E7PTPK2C"],"itemData":{"id":5384,"type":"article-journal","container-title":"Frontiers in psychology","note":"publisher: Frontiers Media SA","page":"1171","source":"Google Scholar","title":"To transform or not to transform: Using generalized linear mixed models to analyse reaction time data","title-short":"To transform or not to transform","volume":"6","author":[{"family":"Lo","given":"Steson"},{"family":"Andrews","given":"Sally"}],"issued":{"date-parts":[["2015"]]}}}],"schema":"https://github.com/citation-style-language/schema/raw/master/csl-citation.json"} </w:instrText>
      </w:r>
      <w:r w:rsidR="005560EF">
        <w:rPr>
          <w:rFonts w:ascii="Times New Roman" w:hAnsi="Times New Roman" w:cs="Times New Roman"/>
          <w:bCs/>
          <w:sz w:val="24"/>
          <w:szCs w:val="24"/>
          <w:lang w:val="en-US"/>
        </w:rPr>
        <w:fldChar w:fldCharType="separate"/>
      </w:r>
      <w:r w:rsidR="005560EF">
        <w:rPr>
          <w:rFonts w:ascii="Times New Roman" w:hAnsi="Times New Roman" w:cs="Times New Roman"/>
          <w:bCs/>
          <w:noProof/>
          <w:sz w:val="24"/>
          <w:szCs w:val="24"/>
          <w:lang w:val="en-US"/>
        </w:rPr>
        <w:t>(Lo &amp; Andrews, 2015)</w:t>
      </w:r>
      <w:r w:rsidR="005560EF">
        <w:rPr>
          <w:rFonts w:ascii="Times New Roman" w:hAnsi="Times New Roman" w:cs="Times New Roman"/>
          <w:bCs/>
          <w:sz w:val="24"/>
          <w:szCs w:val="24"/>
          <w:lang w:val="en-US"/>
        </w:rPr>
        <w:fldChar w:fldCharType="end"/>
      </w:r>
      <w:r w:rsidR="001A0280" w:rsidRPr="00AC10A4">
        <w:rPr>
          <w:rFonts w:ascii="Times New Roman" w:hAnsi="Times New Roman" w:cs="Times New Roman"/>
          <w:bCs/>
          <w:sz w:val="24"/>
          <w:szCs w:val="24"/>
          <w:lang w:val="en-US"/>
        </w:rPr>
        <w:t>, to accommodate the positively skewed nature of duration data.</w:t>
      </w:r>
    </w:p>
    <w:p w14:paraId="5A965F39" w14:textId="1180EA1A" w:rsidR="001A0280" w:rsidRPr="00AC10A4" w:rsidRDefault="001A0280" w:rsidP="00933FE3">
      <w:pPr>
        <w:spacing w:line="240" w:lineRule="auto"/>
        <w:ind w:firstLine="720"/>
        <w:contextualSpacing/>
        <w:jc w:val="both"/>
        <w:rPr>
          <w:rFonts w:ascii="Times New Roman" w:hAnsi="Times New Roman" w:cs="Times New Roman"/>
          <w:bCs/>
          <w:sz w:val="24"/>
          <w:szCs w:val="24"/>
          <w:lang w:val="en-US"/>
        </w:rPr>
      </w:pPr>
      <w:r w:rsidRPr="00AC10A4">
        <w:rPr>
          <w:rFonts w:ascii="Times New Roman" w:hAnsi="Times New Roman" w:cs="Times New Roman"/>
          <w:bCs/>
          <w:sz w:val="24"/>
          <w:szCs w:val="24"/>
          <w:lang w:val="en-US"/>
        </w:rPr>
        <w:t>This approach enabled us to fit a maximally specified model, with reaction time as the outcome variable. Fixed effects included </w:t>
      </w:r>
      <w:r w:rsidR="00F727CA">
        <w:rPr>
          <w:rFonts w:ascii="Times New Roman" w:hAnsi="Times New Roman" w:cs="Times New Roman"/>
          <w:bCs/>
          <w:sz w:val="24"/>
          <w:szCs w:val="24"/>
          <w:lang w:val="en-US"/>
        </w:rPr>
        <w:t>sentence type</w:t>
      </w:r>
      <w:r w:rsidRPr="00AC10A4">
        <w:rPr>
          <w:rFonts w:ascii="Times New Roman" w:hAnsi="Times New Roman" w:cs="Times New Roman"/>
          <w:bCs/>
          <w:sz w:val="24"/>
          <w:szCs w:val="24"/>
          <w:lang w:val="en-US"/>
        </w:rPr>
        <w:t> (metaphorical, literal) and group (DYS, TD), while random effects accounted for variability across items and participants. To facilitate meaningful interpretation, contrasts were set with metaphorical items and the control group as the baseline.</w:t>
      </w:r>
      <w:r w:rsidR="00933FE3">
        <w:rPr>
          <w:rFonts w:ascii="Times New Roman" w:hAnsi="Times New Roman" w:cs="Times New Roman"/>
          <w:bCs/>
          <w:sz w:val="24"/>
          <w:szCs w:val="24"/>
          <w:lang w:val="en-US"/>
        </w:rPr>
        <w:t xml:space="preserve"> </w:t>
      </w:r>
    </w:p>
    <w:p w14:paraId="26963924" w14:textId="7B214200" w:rsidR="001A0280" w:rsidRPr="00AC10A4" w:rsidRDefault="001A0280" w:rsidP="00933FE3">
      <w:pPr>
        <w:spacing w:line="240" w:lineRule="auto"/>
        <w:ind w:firstLine="720"/>
        <w:contextualSpacing/>
        <w:jc w:val="both"/>
        <w:rPr>
          <w:rFonts w:ascii="Times New Roman" w:hAnsi="Times New Roman" w:cs="Times New Roman"/>
          <w:bCs/>
          <w:sz w:val="24"/>
          <w:szCs w:val="24"/>
          <w:lang w:val="en-US"/>
        </w:rPr>
      </w:pPr>
      <w:r w:rsidRPr="00AC10A4">
        <w:rPr>
          <w:rFonts w:ascii="Times New Roman" w:hAnsi="Times New Roman" w:cs="Times New Roman"/>
          <w:bCs/>
          <w:sz w:val="24"/>
          <w:szCs w:val="24"/>
          <w:lang w:val="en-US"/>
        </w:rPr>
        <w:t>Results for all trials showed significant main effects of sentence type</w:t>
      </w:r>
      <w:r w:rsidRPr="00AC10A4">
        <w:rPr>
          <w:rFonts w:ascii="Times New Roman" w:hAnsi="Times New Roman" w:cs="Times New Roman"/>
          <w:sz w:val="24"/>
          <w:szCs w:val="24"/>
          <w:lang w:val="en-US"/>
        </w:rPr>
        <w:t>, in which literal trials were processed more quickly,</w:t>
      </w:r>
      <w:r w:rsidRPr="00AC10A4">
        <w:rPr>
          <w:rFonts w:ascii="Times New Roman" w:hAnsi="Times New Roman" w:cs="Times New Roman"/>
          <w:bCs/>
          <w:sz w:val="24"/>
          <w:szCs w:val="24"/>
          <w:lang w:val="en-US"/>
        </w:rPr>
        <w:t xml:space="preserve"> </w:t>
      </w:r>
      <w:r w:rsidRPr="00AC10A4">
        <w:rPr>
          <w:rFonts w:ascii="Times New Roman" w:hAnsi="Times New Roman" w:cs="Times New Roman"/>
          <w:sz w:val="24"/>
          <w:szCs w:val="24"/>
          <w:lang w:val="en-US"/>
        </w:rPr>
        <w:t>and group, where controls had shorter reaction times than did the participants with dyslexia (see Figure 3). The interaction was also significant</w:t>
      </w:r>
      <w:r w:rsidR="00933FE3">
        <w:rPr>
          <w:rFonts w:ascii="Times New Roman" w:hAnsi="Times New Roman" w:cs="Times New Roman"/>
          <w:sz w:val="24"/>
          <w:szCs w:val="24"/>
          <w:lang w:val="en-US"/>
        </w:rPr>
        <w:t xml:space="preserve"> (see Table 3)</w:t>
      </w:r>
      <w:r w:rsidRPr="00AC10A4">
        <w:rPr>
          <w:rFonts w:ascii="Times New Roman" w:hAnsi="Times New Roman" w:cs="Times New Roman"/>
          <w:sz w:val="24"/>
          <w:szCs w:val="24"/>
          <w:lang w:val="en-US"/>
        </w:rPr>
        <w:t xml:space="preserve">. </w:t>
      </w:r>
      <w:r w:rsidRPr="00AC10A4">
        <w:rPr>
          <w:rFonts w:ascii="Times New Roman" w:hAnsi="Times New Roman" w:cs="Times New Roman"/>
          <w:bCs/>
          <w:sz w:val="24"/>
          <w:szCs w:val="24"/>
          <w:lang w:val="en-US"/>
        </w:rPr>
        <w:t xml:space="preserve">The </w:t>
      </w:r>
      <w:proofErr w:type="spellStart"/>
      <w:r w:rsidRPr="00AC10A4">
        <w:rPr>
          <w:rFonts w:ascii="Times New Roman" w:hAnsi="Times New Roman" w:cs="Times New Roman"/>
          <w:bCs/>
          <w:i/>
          <w:iCs/>
          <w:sz w:val="24"/>
          <w:szCs w:val="24"/>
          <w:lang w:val="en-US"/>
        </w:rPr>
        <w:t>emmeans</w:t>
      </w:r>
      <w:proofErr w:type="spellEnd"/>
      <w:r w:rsidRPr="00AC10A4">
        <w:rPr>
          <w:rFonts w:ascii="Times New Roman" w:hAnsi="Times New Roman" w:cs="Times New Roman"/>
          <w:bCs/>
          <w:sz w:val="24"/>
          <w:szCs w:val="24"/>
          <w:lang w:val="en-US"/>
        </w:rPr>
        <w:t xml:space="preserve"> package </w:t>
      </w:r>
      <w:r w:rsidRPr="00AC10A4">
        <w:rPr>
          <w:rFonts w:ascii="Times New Roman" w:hAnsi="Times New Roman" w:cs="Times New Roman"/>
          <w:bCs/>
          <w:sz w:val="24"/>
          <w:szCs w:val="24"/>
          <w:lang w:val="it-IT"/>
        </w:rPr>
        <w:fldChar w:fldCharType="begin"/>
      </w:r>
      <w:r w:rsidRPr="00AC10A4">
        <w:rPr>
          <w:rFonts w:ascii="Times New Roman" w:hAnsi="Times New Roman" w:cs="Times New Roman"/>
          <w:bCs/>
          <w:sz w:val="24"/>
          <w:szCs w:val="24"/>
          <w:lang w:val="en-US"/>
        </w:rPr>
        <w:instrText xml:space="preserve"> ADDIN ZOTERO_ITEM CSL_CITATION {"citationID":"kUIFwv7v","properties":{"formattedCitation":"(Lenth, 2022)","plainCitation":"(Lenth, 2022)","noteIndex":0},"citationItems":[{"id":2317,"uris":["http://zotero.org/users/10108531/items/WDYJKJP5"],"itemData":{"id":2317,"type":"software","title":"emmeans: Estimated Marginal Means, aka Least-Squares Means.","URL":"https://CRAN.R-project.org/package=emmeans","version":"1.8.2.","author":[{"family":"Lenth","given":"Russell"}],"issued":{"date-parts":[["2022"]]}}}],"schema":"https://github.com/citation-style-language/schema/raw/master/csl-citation.json"} </w:instrText>
      </w:r>
      <w:r w:rsidRPr="00AC10A4">
        <w:rPr>
          <w:rFonts w:ascii="Times New Roman" w:hAnsi="Times New Roman" w:cs="Times New Roman"/>
          <w:bCs/>
          <w:sz w:val="24"/>
          <w:szCs w:val="24"/>
          <w:lang w:val="it-IT"/>
        </w:rPr>
        <w:fldChar w:fldCharType="separate"/>
      </w:r>
      <w:r w:rsidRPr="00AC10A4">
        <w:rPr>
          <w:rFonts w:ascii="Times New Roman" w:hAnsi="Times New Roman" w:cs="Times New Roman"/>
          <w:bCs/>
          <w:sz w:val="24"/>
          <w:szCs w:val="24"/>
          <w:lang w:val="en-US"/>
        </w:rPr>
        <w:t>(Lenth, 2022)</w:t>
      </w:r>
      <w:r w:rsidRPr="00AC10A4">
        <w:rPr>
          <w:rFonts w:ascii="Times New Roman" w:hAnsi="Times New Roman" w:cs="Times New Roman"/>
          <w:bCs/>
          <w:sz w:val="24"/>
          <w:szCs w:val="24"/>
          <w:lang w:val="en-US"/>
        </w:rPr>
        <w:fldChar w:fldCharType="end"/>
      </w:r>
      <w:r w:rsidRPr="00AC10A4">
        <w:rPr>
          <w:rFonts w:ascii="Times New Roman" w:hAnsi="Times New Roman" w:cs="Times New Roman"/>
          <w:bCs/>
          <w:sz w:val="24"/>
          <w:szCs w:val="24"/>
          <w:lang w:val="en-US"/>
        </w:rPr>
        <w:t xml:space="preserve"> was used to break-down the significant interaction. </w:t>
      </w:r>
      <w:r w:rsidRPr="00AC10A4">
        <w:rPr>
          <w:rFonts w:ascii="Times New Roman" w:hAnsi="Times New Roman" w:cs="Times New Roman"/>
          <w:sz w:val="24"/>
          <w:szCs w:val="24"/>
          <w:lang w:val="en-US"/>
        </w:rPr>
        <w:t>Paired comparisons showed significant differences between literal and metaphorical items for both groups</w:t>
      </w:r>
      <w:r w:rsidR="00F727CA">
        <w:rPr>
          <w:rFonts w:ascii="Times New Roman" w:hAnsi="Times New Roman" w:cs="Times New Roman"/>
          <w:sz w:val="24"/>
          <w:szCs w:val="24"/>
          <w:lang w:val="en-US"/>
        </w:rPr>
        <w:t xml:space="preserve"> (see Table 3)</w:t>
      </w:r>
      <w:r w:rsidRPr="00AC10A4">
        <w:rPr>
          <w:rFonts w:ascii="Times New Roman" w:hAnsi="Times New Roman" w:cs="Times New Roman"/>
          <w:sz w:val="24"/>
          <w:szCs w:val="24"/>
          <w:lang w:val="en-US"/>
        </w:rPr>
        <w:t xml:space="preserve">. The comparison of DYS vs. TD showed significant differences for metaphorical trials, but not for literal trials. Thus, the interaction </w:t>
      </w:r>
      <w:r>
        <w:rPr>
          <w:rFonts w:ascii="Times New Roman" w:hAnsi="Times New Roman" w:cs="Times New Roman"/>
          <w:sz w:val="24"/>
          <w:szCs w:val="24"/>
          <w:lang w:val="en-US"/>
        </w:rPr>
        <w:t>was</w:t>
      </w:r>
      <w:r w:rsidRPr="00AC10A4">
        <w:rPr>
          <w:rFonts w:ascii="Times New Roman" w:hAnsi="Times New Roman" w:cs="Times New Roman"/>
          <w:sz w:val="24"/>
          <w:szCs w:val="24"/>
          <w:lang w:val="en-US"/>
        </w:rPr>
        <w:t xml:space="preserve"> based primarily on the elevated reaction times for metaphorical trials in individuals with dyslexia. </w:t>
      </w:r>
    </w:p>
    <w:p w14:paraId="629EAEDC" w14:textId="77777777" w:rsidR="00F95F34" w:rsidRDefault="00F95F34" w:rsidP="00F95F34">
      <w:pPr>
        <w:spacing w:line="240" w:lineRule="auto"/>
        <w:rPr>
          <w:rFonts w:ascii="Times New Roman" w:hAnsi="Times New Roman" w:cs="Times New Roman"/>
          <w:sz w:val="24"/>
          <w:szCs w:val="24"/>
          <w:lang w:val="en-US"/>
        </w:rPr>
      </w:pPr>
    </w:p>
    <w:p w14:paraId="033AE2FD" w14:textId="77777777" w:rsidR="00F95F34" w:rsidRPr="00A056BE" w:rsidRDefault="00F95F34" w:rsidP="00F95F34">
      <w:pPr>
        <w:spacing w:line="240" w:lineRule="auto"/>
        <w:contextualSpacing/>
        <w:jc w:val="both"/>
        <w:rPr>
          <w:rFonts w:ascii="Times New Roman" w:hAnsi="Times New Roman" w:cs="Times New Roman"/>
          <w:sz w:val="24"/>
          <w:szCs w:val="24"/>
          <w:lang w:val="en-US"/>
        </w:rPr>
      </w:pPr>
      <w:r>
        <w:rPr>
          <w:noProof/>
        </w:rPr>
        <w:lastRenderedPageBreak/>
        <w:drawing>
          <wp:inline distT="0" distB="0" distL="0" distR="0" wp14:anchorId="1F8906A7" wp14:editId="66D0E4FC">
            <wp:extent cx="4473600" cy="3024554"/>
            <wp:effectExtent l="0" t="0" r="0" b="0"/>
            <wp:docPr id="1645855666" name="Immagine 8"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55666" name="Immagine 8" descr="Immagine che contiene testo, linea, diagramma, Diagramma&#10;&#10;Descrizione generat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346"/>
                    <a:stretch/>
                  </pic:blipFill>
                  <pic:spPr bwMode="auto">
                    <a:xfrm>
                      <a:off x="0" y="0"/>
                      <a:ext cx="4498884" cy="3041648"/>
                    </a:xfrm>
                    <a:prstGeom prst="rect">
                      <a:avLst/>
                    </a:prstGeom>
                    <a:noFill/>
                    <a:ln>
                      <a:noFill/>
                    </a:ln>
                    <a:extLst>
                      <a:ext uri="{53640926-AAD7-44D8-BBD7-CCE9431645EC}">
                        <a14:shadowObscured xmlns:a14="http://schemas.microsoft.com/office/drawing/2010/main"/>
                      </a:ext>
                    </a:extLst>
                  </pic:spPr>
                </pic:pic>
              </a:graphicData>
            </a:graphic>
          </wp:inline>
        </w:drawing>
      </w:r>
    </w:p>
    <w:p w14:paraId="31401A3A" w14:textId="3C3C79CE" w:rsidR="00F95F34" w:rsidRDefault="00F95F34" w:rsidP="00F95F34">
      <w:pPr>
        <w:spacing w:line="240" w:lineRule="auto"/>
        <w:rPr>
          <w:rFonts w:ascii="Times New Roman" w:hAnsi="Times New Roman" w:cs="Times New Roman"/>
          <w:lang w:val="en-US"/>
        </w:rPr>
      </w:pPr>
      <w:r w:rsidRPr="00A056BE">
        <w:rPr>
          <w:rFonts w:ascii="Times New Roman" w:hAnsi="Times New Roman" w:cs="Times New Roman"/>
          <w:b/>
          <w:bCs/>
          <w:lang w:val="en-US"/>
        </w:rPr>
        <w:t>Figure 3.</w:t>
      </w:r>
      <w:r w:rsidRPr="00A056BE">
        <w:rPr>
          <w:rFonts w:ascii="Times New Roman" w:hAnsi="Times New Roman" w:cs="Times New Roman"/>
          <w:lang w:val="en-US"/>
        </w:rPr>
        <w:t xml:space="preserve"> </w:t>
      </w:r>
      <w:r w:rsidRPr="00F95F34">
        <w:rPr>
          <w:rFonts w:ascii="Times New Roman" w:hAnsi="Times New Roman" w:cs="Times New Roman"/>
          <w:i/>
          <w:iCs/>
          <w:lang w:val="en-US"/>
        </w:rPr>
        <w:t>Means of reaction time for all trials.</w:t>
      </w:r>
      <w:r>
        <w:rPr>
          <w:rFonts w:ascii="Times New Roman" w:hAnsi="Times New Roman" w:cs="Times New Roman"/>
          <w:lang w:val="en-US"/>
        </w:rPr>
        <w:t xml:space="preserve"> </w:t>
      </w:r>
      <w:r w:rsidRPr="00A056BE">
        <w:rPr>
          <w:rFonts w:ascii="Times New Roman" w:hAnsi="Times New Roman" w:cs="Times New Roman"/>
          <w:i/>
          <w:iCs/>
          <w:lang w:val="en-US"/>
        </w:rPr>
        <w:t xml:space="preserve">Error bars show the </w:t>
      </w:r>
      <w:r>
        <w:rPr>
          <w:rFonts w:ascii="Times New Roman" w:hAnsi="Times New Roman" w:cs="Times New Roman"/>
          <w:i/>
          <w:iCs/>
          <w:lang w:val="en-US"/>
        </w:rPr>
        <w:t>95% confidence intervals</w:t>
      </w:r>
      <w:r w:rsidRPr="00A056BE">
        <w:rPr>
          <w:rFonts w:ascii="Times New Roman" w:hAnsi="Times New Roman" w:cs="Times New Roman"/>
          <w:i/>
          <w:iCs/>
          <w:lang w:val="en-US"/>
        </w:rPr>
        <w:t>.</w:t>
      </w:r>
    </w:p>
    <w:p w14:paraId="1283524E" w14:textId="77777777" w:rsidR="00F95F34" w:rsidRPr="00AC10A4" w:rsidRDefault="00F95F34" w:rsidP="00F95F34">
      <w:pPr>
        <w:spacing w:line="240" w:lineRule="auto"/>
        <w:rPr>
          <w:rFonts w:ascii="Times New Roman" w:hAnsi="Times New Roman" w:cs="Times New Roman"/>
          <w:sz w:val="24"/>
          <w:szCs w:val="24"/>
          <w:lang w:val="en-US"/>
        </w:rPr>
      </w:pPr>
    </w:p>
    <w:p w14:paraId="5FEA6C7F" w14:textId="077362E4" w:rsidR="001A0280" w:rsidRPr="00AC10A4" w:rsidRDefault="001A0280" w:rsidP="001A0280">
      <w:pPr>
        <w:spacing w:line="240" w:lineRule="auto"/>
        <w:ind w:firstLine="720"/>
        <w:contextualSpacing/>
        <w:jc w:val="both"/>
        <w:rPr>
          <w:rFonts w:ascii="Times New Roman" w:hAnsi="Times New Roman" w:cs="Times New Roman"/>
          <w:strike/>
          <w:sz w:val="24"/>
          <w:szCs w:val="24"/>
          <w:lang w:val="en-US"/>
        </w:rPr>
      </w:pPr>
      <w:r w:rsidRPr="00AC10A4">
        <w:rPr>
          <w:rFonts w:ascii="Times New Roman" w:hAnsi="Times New Roman" w:cs="Times New Roman"/>
          <w:sz w:val="24"/>
          <w:szCs w:val="24"/>
          <w:lang w:val="en-US"/>
        </w:rPr>
        <w:t xml:space="preserve">Reaction times for correct trials confirmed </w:t>
      </w:r>
      <w:r w:rsidRPr="00AC10A4">
        <w:rPr>
          <w:rFonts w:ascii="Times New Roman" w:hAnsi="Times New Roman" w:cs="Times New Roman"/>
          <w:bCs/>
          <w:sz w:val="24"/>
          <w:szCs w:val="24"/>
          <w:lang w:val="en-US"/>
        </w:rPr>
        <w:t xml:space="preserve">significant main effects of sentence type </w:t>
      </w:r>
      <w:r w:rsidRPr="00AC10A4">
        <w:rPr>
          <w:rFonts w:ascii="Times New Roman" w:hAnsi="Times New Roman" w:cs="Times New Roman"/>
          <w:sz w:val="24"/>
          <w:szCs w:val="24"/>
          <w:lang w:val="en-US"/>
        </w:rPr>
        <w:t>and group</w:t>
      </w:r>
      <w:r w:rsidRPr="00AC10A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but</w:t>
      </w:r>
      <w:r w:rsidRPr="00AC10A4">
        <w:rPr>
          <w:rFonts w:ascii="Times New Roman" w:hAnsi="Times New Roman" w:cs="Times New Roman"/>
          <w:bCs/>
          <w:sz w:val="24"/>
          <w:szCs w:val="24"/>
          <w:lang w:val="en-US"/>
        </w:rPr>
        <w:t xml:space="preserve"> no significant interaction between variables</w:t>
      </w:r>
      <w:r w:rsidRPr="00AC10A4">
        <w:rPr>
          <w:rFonts w:ascii="Times New Roman" w:hAnsi="Times New Roman" w:cs="Times New Roman"/>
          <w:sz w:val="24"/>
          <w:szCs w:val="24"/>
          <w:lang w:val="en-US"/>
        </w:rPr>
        <w:t xml:space="preserve"> (see Figure 4</w:t>
      </w:r>
      <w:r w:rsidR="00933FE3">
        <w:rPr>
          <w:rFonts w:ascii="Times New Roman" w:hAnsi="Times New Roman" w:cs="Times New Roman"/>
          <w:sz w:val="24"/>
          <w:szCs w:val="24"/>
          <w:lang w:val="en-US"/>
        </w:rPr>
        <w:t xml:space="preserve"> and Table 3</w:t>
      </w:r>
      <w:r w:rsidRPr="00AC10A4">
        <w:rPr>
          <w:rFonts w:ascii="Times New Roman" w:hAnsi="Times New Roman" w:cs="Times New Roman"/>
          <w:sz w:val="24"/>
          <w:szCs w:val="24"/>
          <w:lang w:val="en-US"/>
        </w:rPr>
        <w:t xml:space="preserve">). Metaphor trials had longer reaction times and participants with dyslexia were slower than controls. </w:t>
      </w:r>
    </w:p>
    <w:p w14:paraId="3F51331B" w14:textId="77777777" w:rsidR="001A0280" w:rsidRPr="00AC10A4" w:rsidRDefault="001A0280" w:rsidP="001A0280">
      <w:pPr>
        <w:spacing w:line="240" w:lineRule="auto"/>
        <w:ind w:firstLine="720"/>
        <w:contextualSpacing/>
        <w:jc w:val="both"/>
        <w:rPr>
          <w:rFonts w:ascii="Times New Roman" w:hAnsi="Times New Roman" w:cs="Times New Roman"/>
          <w:strike/>
          <w:sz w:val="24"/>
          <w:szCs w:val="24"/>
          <w:lang w:val="en-US"/>
        </w:rPr>
      </w:pPr>
    </w:p>
    <w:p w14:paraId="29226D06" w14:textId="049A3572" w:rsidR="001A0280" w:rsidRDefault="001A0280" w:rsidP="00F95F34">
      <w:pPr>
        <w:spacing w:line="240" w:lineRule="auto"/>
        <w:rPr>
          <w:rFonts w:ascii="Times New Roman" w:hAnsi="Times New Roman" w:cs="Times New Roman"/>
          <w:sz w:val="24"/>
          <w:szCs w:val="24"/>
          <w:lang w:val="en-US"/>
        </w:rPr>
      </w:pPr>
    </w:p>
    <w:p w14:paraId="633B521C" w14:textId="401E0620" w:rsidR="00F95F34" w:rsidRDefault="00F95F34" w:rsidP="00F95F34">
      <w:pPr>
        <w:spacing w:line="240" w:lineRule="auto"/>
        <w:rPr>
          <w:rFonts w:ascii="Times New Roman" w:hAnsi="Times New Roman" w:cs="Times New Roman"/>
          <w:sz w:val="24"/>
          <w:szCs w:val="24"/>
          <w:lang w:val="en-US"/>
        </w:rPr>
      </w:pPr>
      <w:r>
        <w:rPr>
          <w:noProof/>
        </w:rPr>
        <w:drawing>
          <wp:inline distT="0" distB="0" distL="0" distR="0" wp14:anchorId="5ADDD87C" wp14:editId="08BA5E2F">
            <wp:extent cx="6120130" cy="2179320"/>
            <wp:effectExtent l="0" t="0" r="0" b="0"/>
            <wp:docPr id="113218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84363" name=""/>
                    <pic:cNvPicPr/>
                  </pic:nvPicPr>
                  <pic:blipFill>
                    <a:blip r:embed="rId13"/>
                    <a:stretch>
                      <a:fillRect/>
                    </a:stretch>
                  </pic:blipFill>
                  <pic:spPr>
                    <a:xfrm>
                      <a:off x="0" y="0"/>
                      <a:ext cx="6120130" cy="2179320"/>
                    </a:xfrm>
                    <a:prstGeom prst="rect">
                      <a:avLst/>
                    </a:prstGeom>
                  </pic:spPr>
                </pic:pic>
              </a:graphicData>
            </a:graphic>
          </wp:inline>
        </w:drawing>
      </w:r>
    </w:p>
    <w:p w14:paraId="4CB7120F" w14:textId="263CADB5" w:rsidR="00F95F34" w:rsidRPr="00AC10A4" w:rsidRDefault="00F95F34" w:rsidP="00F95F34">
      <w:pPr>
        <w:spacing w:line="240" w:lineRule="auto"/>
        <w:rPr>
          <w:rFonts w:ascii="Times New Roman" w:hAnsi="Times New Roman" w:cs="Times New Roman"/>
          <w:sz w:val="24"/>
          <w:szCs w:val="24"/>
          <w:lang w:val="en-US"/>
        </w:rPr>
      </w:pPr>
      <w:r w:rsidRPr="00C23CB5">
        <w:rPr>
          <w:rFonts w:ascii="Times New Roman" w:hAnsi="Times New Roman" w:cs="Times New Roman"/>
          <w:b/>
          <w:bCs/>
          <w:lang w:val="en-US"/>
        </w:rPr>
        <w:t>Figure 4.</w:t>
      </w:r>
      <w:r w:rsidRPr="00C23CB5">
        <w:rPr>
          <w:rFonts w:ascii="Times New Roman" w:hAnsi="Times New Roman" w:cs="Times New Roman"/>
          <w:lang w:val="en-US"/>
        </w:rPr>
        <w:t xml:space="preserve"> </w:t>
      </w:r>
      <w:r w:rsidRPr="00F95F34">
        <w:rPr>
          <w:rFonts w:ascii="Times New Roman" w:hAnsi="Times New Roman" w:cs="Times New Roman"/>
          <w:i/>
          <w:iCs/>
          <w:lang w:val="en-US"/>
        </w:rPr>
        <w:t>Means of reaction time for correct trials (left panel). Means of reaction time for metaphor incorrect trials (right panel). Error bars show 95% confidence intervals.</w:t>
      </w:r>
    </w:p>
    <w:p w14:paraId="28BD4D55" w14:textId="77777777" w:rsidR="001A0280" w:rsidRPr="00AC10A4" w:rsidRDefault="001A0280" w:rsidP="001A0280">
      <w:pPr>
        <w:spacing w:line="240" w:lineRule="auto"/>
        <w:rPr>
          <w:rFonts w:ascii="Times New Roman" w:hAnsi="Times New Roman" w:cs="Times New Roman"/>
          <w:sz w:val="24"/>
          <w:szCs w:val="24"/>
          <w:lang w:val="en-US"/>
        </w:rPr>
      </w:pPr>
    </w:p>
    <w:p w14:paraId="014C7AAB" w14:textId="1D79011B" w:rsidR="001A0280" w:rsidRPr="00AC10A4" w:rsidRDefault="001A0280" w:rsidP="001A0280">
      <w:pPr>
        <w:spacing w:line="240" w:lineRule="auto"/>
        <w:ind w:firstLine="708"/>
        <w:jc w:val="both"/>
        <w:rPr>
          <w:rFonts w:ascii="Times New Roman" w:hAnsi="Times New Roman" w:cs="Times New Roman"/>
          <w:bCs/>
          <w:sz w:val="24"/>
          <w:szCs w:val="24"/>
          <w:lang w:val="en-US"/>
        </w:rPr>
      </w:pPr>
      <w:r w:rsidRPr="00AC10A4">
        <w:rPr>
          <w:rFonts w:ascii="Times New Roman" w:hAnsi="Times New Roman" w:cs="Times New Roman"/>
          <w:sz w:val="24"/>
          <w:szCs w:val="24"/>
          <w:lang w:val="en-US"/>
        </w:rPr>
        <w:t>We also considered the reaction times for incorrect metaphor trials. The literal trials showed very few incorrect responses (&lt;</w:t>
      </w:r>
      <w:r w:rsidR="00933FE3">
        <w:rPr>
          <w:rFonts w:ascii="Times New Roman" w:hAnsi="Times New Roman" w:cs="Times New Roman"/>
          <w:sz w:val="24"/>
          <w:szCs w:val="24"/>
          <w:lang w:val="en-US"/>
        </w:rPr>
        <w:t>5</w:t>
      </w:r>
      <w:r w:rsidRPr="00AC10A4">
        <w:rPr>
          <w:rFonts w:ascii="Times New Roman" w:hAnsi="Times New Roman" w:cs="Times New Roman"/>
          <w:sz w:val="24"/>
          <w:szCs w:val="24"/>
          <w:lang w:val="en-US"/>
        </w:rPr>
        <w:t>%)</w:t>
      </w:r>
      <w:r>
        <w:rPr>
          <w:rFonts w:ascii="Times New Roman" w:hAnsi="Times New Roman" w:cs="Times New Roman"/>
          <w:sz w:val="24"/>
          <w:szCs w:val="24"/>
          <w:lang w:val="en-US"/>
        </w:rPr>
        <w:t>, and so, we did not analyze them</w:t>
      </w:r>
      <w:r w:rsidRPr="00AC10A4">
        <w:rPr>
          <w:rFonts w:ascii="Times New Roman" w:hAnsi="Times New Roman" w:cs="Times New Roman"/>
          <w:sz w:val="24"/>
          <w:szCs w:val="24"/>
          <w:lang w:val="en-US"/>
        </w:rPr>
        <w:t xml:space="preserve">. </w:t>
      </w:r>
      <w:r w:rsidRPr="00AC10A4">
        <w:rPr>
          <w:rFonts w:ascii="Times New Roman" w:hAnsi="Times New Roman" w:cs="Times New Roman"/>
          <w:bCs/>
          <w:sz w:val="24"/>
          <w:szCs w:val="24"/>
          <w:lang w:val="en-US"/>
        </w:rPr>
        <w:t xml:space="preserve">A </w:t>
      </w:r>
      <w:r w:rsidRPr="00AC10A4">
        <w:rPr>
          <w:rFonts w:ascii="Times New Roman" w:hAnsi="Times New Roman" w:cs="Times New Roman"/>
          <w:bCs/>
          <w:i/>
          <w:iCs/>
          <w:sz w:val="24"/>
          <w:szCs w:val="24"/>
          <w:lang w:val="en-US"/>
        </w:rPr>
        <w:t>t</w:t>
      </w:r>
      <w:r w:rsidRPr="00AC10A4">
        <w:rPr>
          <w:rFonts w:ascii="Times New Roman" w:hAnsi="Times New Roman" w:cs="Times New Roman"/>
          <w:bCs/>
          <w:sz w:val="24"/>
          <w:szCs w:val="24"/>
          <w:lang w:val="en-US"/>
        </w:rPr>
        <w:t xml:space="preserve">-test </w:t>
      </w:r>
      <w:r>
        <w:rPr>
          <w:rFonts w:ascii="Times New Roman" w:hAnsi="Times New Roman" w:cs="Times New Roman"/>
          <w:bCs/>
          <w:sz w:val="24"/>
          <w:szCs w:val="24"/>
          <w:lang w:val="en-US"/>
        </w:rPr>
        <w:t xml:space="preserve">for metaphor incorrect trials </w:t>
      </w:r>
      <w:r w:rsidRPr="00AC10A4">
        <w:rPr>
          <w:rFonts w:ascii="Times New Roman" w:hAnsi="Times New Roman" w:cs="Times New Roman"/>
          <w:bCs/>
          <w:sz w:val="24"/>
          <w:szCs w:val="24"/>
          <w:lang w:val="en-US"/>
        </w:rPr>
        <w:t>revealed a significant difference between groups (</w:t>
      </w:r>
      <w:r w:rsidRPr="00AC10A4">
        <w:rPr>
          <w:rFonts w:ascii="Times New Roman" w:hAnsi="Times New Roman" w:cs="Times New Roman"/>
          <w:bCs/>
          <w:i/>
          <w:iCs/>
          <w:sz w:val="24"/>
          <w:szCs w:val="24"/>
          <w:lang w:val="en-US"/>
        </w:rPr>
        <w:t>t</w:t>
      </w:r>
      <w:r w:rsidRPr="00AC10A4">
        <w:rPr>
          <w:rFonts w:ascii="Times New Roman" w:hAnsi="Times New Roman" w:cs="Times New Roman"/>
          <w:bCs/>
          <w:sz w:val="24"/>
          <w:szCs w:val="24"/>
          <w:lang w:val="en-US"/>
        </w:rPr>
        <w:t xml:space="preserve"> = -3.37, </w:t>
      </w:r>
      <w:r w:rsidRPr="00AC10A4">
        <w:rPr>
          <w:rFonts w:ascii="Times New Roman" w:hAnsi="Times New Roman" w:cs="Times New Roman"/>
          <w:bCs/>
          <w:i/>
          <w:iCs/>
          <w:sz w:val="24"/>
          <w:szCs w:val="24"/>
          <w:lang w:val="en-US"/>
        </w:rPr>
        <w:t xml:space="preserve">p </w:t>
      </w:r>
      <w:r w:rsidRPr="00AC10A4">
        <w:rPr>
          <w:rFonts w:ascii="Times New Roman" w:hAnsi="Times New Roman" w:cs="Times New Roman"/>
          <w:bCs/>
          <w:sz w:val="24"/>
          <w:szCs w:val="24"/>
          <w:lang w:val="en-US"/>
        </w:rPr>
        <w:t>&lt; .001), in which the participants with dyslexia had longer reaction times</w:t>
      </w:r>
      <w:r w:rsidR="00F727CA">
        <w:rPr>
          <w:rFonts w:ascii="Times New Roman" w:hAnsi="Times New Roman" w:cs="Times New Roman"/>
          <w:bCs/>
          <w:sz w:val="24"/>
          <w:szCs w:val="24"/>
          <w:lang w:val="en-US"/>
        </w:rPr>
        <w:t xml:space="preserve"> </w:t>
      </w:r>
      <w:r w:rsidR="00F727CA" w:rsidRPr="00AC10A4">
        <w:rPr>
          <w:rFonts w:ascii="Times New Roman" w:hAnsi="Times New Roman" w:cs="Times New Roman"/>
          <w:sz w:val="24"/>
          <w:szCs w:val="24"/>
          <w:lang w:val="en-US"/>
        </w:rPr>
        <w:t xml:space="preserve">(see Figure </w:t>
      </w:r>
      <w:r w:rsidR="00F727CA">
        <w:rPr>
          <w:rFonts w:ascii="Times New Roman" w:hAnsi="Times New Roman" w:cs="Times New Roman"/>
          <w:sz w:val="24"/>
          <w:szCs w:val="24"/>
          <w:lang w:val="en-US"/>
        </w:rPr>
        <w:t>4</w:t>
      </w:r>
      <w:r w:rsidR="00F727CA" w:rsidRPr="00AC10A4">
        <w:rPr>
          <w:rFonts w:ascii="Times New Roman" w:hAnsi="Times New Roman" w:cs="Times New Roman"/>
          <w:sz w:val="24"/>
          <w:szCs w:val="24"/>
          <w:lang w:val="en-US"/>
        </w:rPr>
        <w:t>)</w:t>
      </w:r>
      <w:r w:rsidRPr="00AC10A4">
        <w:rPr>
          <w:rFonts w:ascii="Times New Roman" w:hAnsi="Times New Roman" w:cs="Times New Roman"/>
          <w:bCs/>
          <w:sz w:val="24"/>
          <w:szCs w:val="24"/>
          <w:lang w:val="en-US"/>
        </w:rPr>
        <w:t>.</w:t>
      </w:r>
    </w:p>
    <w:p w14:paraId="22D7CCC2" w14:textId="77777777" w:rsidR="001A0280" w:rsidRPr="00AC10A4" w:rsidRDefault="001A0280" w:rsidP="001A0280">
      <w:pPr>
        <w:spacing w:line="240" w:lineRule="auto"/>
        <w:rPr>
          <w:rFonts w:ascii="Times New Roman" w:hAnsi="Times New Roman" w:cs="Times New Roman"/>
          <w:lang w:val="en-US"/>
        </w:rPr>
      </w:pPr>
    </w:p>
    <w:p w14:paraId="4BD6F150" w14:textId="0ED7B229" w:rsidR="001A0280" w:rsidRPr="00AC10A4" w:rsidRDefault="001A0280" w:rsidP="001A0280">
      <w:pPr>
        <w:spacing w:line="240" w:lineRule="auto"/>
        <w:contextualSpacing/>
        <w:jc w:val="both"/>
        <w:rPr>
          <w:rFonts w:ascii="Times New Roman" w:hAnsi="Times New Roman" w:cs="Times New Roman"/>
          <w:b/>
          <w:i/>
          <w:sz w:val="24"/>
          <w:szCs w:val="24"/>
          <w:lang w:val="en-US"/>
        </w:rPr>
      </w:pPr>
      <w:r w:rsidRPr="00AC10A4">
        <w:rPr>
          <w:rFonts w:ascii="Times New Roman" w:hAnsi="Times New Roman" w:cs="Times New Roman"/>
          <w:b/>
          <w:i/>
          <w:sz w:val="24"/>
          <w:szCs w:val="24"/>
          <w:lang w:val="en-US"/>
        </w:rPr>
        <w:t>Eye Movements</w:t>
      </w:r>
      <w:r w:rsidR="00F95F34">
        <w:rPr>
          <w:rFonts w:ascii="Times New Roman" w:hAnsi="Times New Roman" w:cs="Times New Roman"/>
          <w:b/>
          <w:i/>
          <w:sz w:val="24"/>
          <w:szCs w:val="24"/>
          <w:lang w:val="en-US"/>
        </w:rPr>
        <w:t xml:space="preserve"> – Summed Dwell Time</w:t>
      </w:r>
    </w:p>
    <w:p w14:paraId="0FF464CE" w14:textId="77777777" w:rsidR="001A0280" w:rsidRPr="00AC10A4" w:rsidRDefault="001A0280" w:rsidP="001A0280">
      <w:pPr>
        <w:spacing w:line="240" w:lineRule="auto"/>
        <w:contextualSpacing/>
        <w:jc w:val="both"/>
        <w:rPr>
          <w:rFonts w:ascii="Times New Roman" w:hAnsi="Times New Roman" w:cs="Times New Roman"/>
          <w:b/>
          <w:i/>
          <w:sz w:val="24"/>
          <w:szCs w:val="24"/>
          <w:lang w:val="en-US"/>
        </w:rPr>
      </w:pPr>
    </w:p>
    <w:p w14:paraId="3E89B10B" w14:textId="41082B81" w:rsidR="001E6A38" w:rsidRDefault="00C75B14" w:rsidP="00C75B14">
      <w:pPr>
        <w:spacing w:line="240" w:lineRule="auto"/>
        <w:ind w:firstLine="709"/>
        <w:contextualSpacing/>
        <w:jc w:val="both"/>
        <w:rPr>
          <w:rFonts w:ascii="Times New Roman" w:hAnsi="Times New Roman" w:cs="Times New Roman"/>
          <w:sz w:val="24"/>
          <w:szCs w:val="24"/>
          <w:lang w:val="en-US"/>
        </w:rPr>
      </w:pPr>
      <w:r>
        <w:rPr>
          <w:rFonts w:ascii="Times New Roman" w:hAnsi="Times New Roman" w:cs="Times New Roman"/>
          <w:bCs/>
          <w:iCs/>
          <w:sz w:val="24"/>
          <w:szCs w:val="24"/>
        </w:rPr>
        <w:lastRenderedPageBreak/>
        <w:t>Summed d</w:t>
      </w:r>
      <w:r w:rsidRPr="00C75B14">
        <w:rPr>
          <w:rFonts w:ascii="Times New Roman" w:hAnsi="Times New Roman" w:cs="Times New Roman"/>
          <w:bCs/>
          <w:iCs/>
          <w:sz w:val="24"/>
          <w:szCs w:val="24"/>
        </w:rPr>
        <w:t>well time was calculated over the same time window as RTs</w:t>
      </w:r>
      <w:r>
        <w:rPr>
          <w:rFonts w:ascii="Times New Roman" w:hAnsi="Times New Roman" w:cs="Times New Roman"/>
          <w:bCs/>
          <w:iCs/>
          <w:sz w:val="24"/>
          <w:szCs w:val="24"/>
        </w:rPr>
        <w:t xml:space="preserve">, </w:t>
      </w:r>
      <w:r w:rsidRPr="001E6A38">
        <w:rPr>
          <w:rFonts w:ascii="Times New Roman" w:hAnsi="Times New Roman" w:cs="Times New Roman"/>
          <w:bCs/>
          <w:sz w:val="24"/>
          <w:szCs w:val="24"/>
          <w:lang w:val="en-US"/>
        </w:rPr>
        <w:t xml:space="preserve">from the </w:t>
      </w:r>
      <w:r w:rsidR="0011173E">
        <w:rPr>
          <w:rFonts w:ascii="Times New Roman" w:hAnsi="Times New Roman" w:cs="Times New Roman"/>
          <w:bCs/>
          <w:sz w:val="24"/>
          <w:szCs w:val="24"/>
          <w:lang w:val="en-US"/>
        </w:rPr>
        <w:t xml:space="preserve">midpoint </w:t>
      </w:r>
      <w:r w:rsidRPr="001E6A38">
        <w:rPr>
          <w:rFonts w:ascii="Times New Roman" w:hAnsi="Times New Roman" w:cs="Times New Roman"/>
          <w:bCs/>
          <w:sz w:val="24"/>
          <w:szCs w:val="24"/>
          <w:lang w:val="en-US"/>
        </w:rPr>
        <w:t>of NP2 (</w:t>
      </w:r>
      <w:r w:rsidR="0011173E">
        <w:rPr>
          <w:rFonts w:ascii="Times New Roman" w:hAnsi="Times New Roman" w:cs="Times New Roman"/>
          <w:bCs/>
          <w:sz w:val="24"/>
          <w:szCs w:val="24"/>
          <w:lang w:val="en-US"/>
        </w:rPr>
        <w:t>Region</w:t>
      </w:r>
      <w:r w:rsidRPr="001E6A38">
        <w:rPr>
          <w:rFonts w:ascii="Times New Roman" w:hAnsi="Times New Roman" w:cs="Times New Roman"/>
          <w:bCs/>
          <w:sz w:val="24"/>
          <w:szCs w:val="24"/>
          <w:lang w:val="en-US"/>
        </w:rPr>
        <w:t xml:space="preserve"> 3) to when participants</w:t>
      </w:r>
      <w:r>
        <w:rPr>
          <w:rFonts w:ascii="Times New Roman" w:hAnsi="Times New Roman" w:cs="Times New Roman"/>
          <w:bCs/>
          <w:sz w:val="24"/>
          <w:szCs w:val="24"/>
          <w:lang w:val="en-US"/>
        </w:rPr>
        <w:t xml:space="preserve"> selected a response</w:t>
      </w:r>
      <w:r w:rsidRPr="00C75B14">
        <w:rPr>
          <w:rFonts w:ascii="Times New Roman" w:hAnsi="Times New Roman" w:cs="Times New Roman"/>
          <w:bCs/>
          <w:iCs/>
          <w:sz w:val="24"/>
          <w:szCs w:val="24"/>
        </w:rPr>
        <w:t>.</w:t>
      </w:r>
      <w:r>
        <w:rPr>
          <w:rFonts w:ascii="Times New Roman" w:hAnsi="Times New Roman" w:cs="Times New Roman"/>
          <w:bCs/>
          <w:iCs/>
          <w:sz w:val="24"/>
          <w:szCs w:val="24"/>
        </w:rPr>
        <w:t xml:space="preserve"> </w:t>
      </w:r>
      <w:r w:rsidR="001A0280" w:rsidRPr="00AC10A4">
        <w:rPr>
          <w:rFonts w:ascii="Times New Roman" w:hAnsi="Times New Roman" w:cs="Times New Roman"/>
          <w:bCs/>
          <w:iCs/>
          <w:sz w:val="24"/>
          <w:szCs w:val="24"/>
          <w:lang w:val="en-US"/>
        </w:rPr>
        <w:t xml:space="preserve">For eye movements, we fitted a model following the same procedure as </w:t>
      </w:r>
      <w:r w:rsidR="001A0280">
        <w:rPr>
          <w:rFonts w:ascii="Times New Roman" w:hAnsi="Times New Roman" w:cs="Times New Roman"/>
          <w:bCs/>
          <w:iCs/>
          <w:sz w:val="24"/>
          <w:szCs w:val="24"/>
          <w:lang w:val="en-US"/>
        </w:rPr>
        <w:t>before</w:t>
      </w:r>
      <w:r w:rsidR="001A0280" w:rsidRPr="00AC10A4">
        <w:rPr>
          <w:rFonts w:ascii="Times New Roman" w:hAnsi="Times New Roman" w:cs="Times New Roman"/>
          <w:bCs/>
          <w:iCs/>
          <w:sz w:val="24"/>
          <w:szCs w:val="24"/>
          <w:lang w:val="en-US"/>
        </w:rPr>
        <w:t xml:space="preserve">, </w:t>
      </w:r>
      <w:r w:rsidR="001A0280">
        <w:rPr>
          <w:rFonts w:ascii="Times New Roman" w:hAnsi="Times New Roman" w:cs="Times New Roman"/>
          <w:bCs/>
          <w:iCs/>
          <w:sz w:val="24"/>
          <w:szCs w:val="24"/>
          <w:lang w:val="en-US"/>
        </w:rPr>
        <w:t xml:space="preserve">but </w:t>
      </w:r>
      <w:r w:rsidR="001A0280" w:rsidRPr="00AC10A4">
        <w:rPr>
          <w:rFonts w:ascii="Times New Roman" w:hAnsi="Times New Roman" w:cs="Times New Roman"/>
          <w:bCs/>
          <w:iCs/>
          <w:sz w:val="24"/>
          <w:szCs w:val="24"/>
          <w:lang w:val="en-US"/>
        </w:rPr>
        <w:t xml:space="preserve">with dwell time (i.e., the </w:t>
      </w:r>
      <w:r w:rsidR="001A0280">
        <w:rPr>
          <w:rFonts w:ascii="Times New Roman" w:hAnsi="Times New Roman" w:cs="Times New Roman"/>
          <w:bCs/>
          <w:iCs/>
          <w:sz w:val="24"/>
          <w:szCs w:val="24"/>
          <w:lang w:val="en-US"/>
        </w:rPr>
        <w:t>summed</w:t>
      </w:r>
      <w:r w:rsidR="001A0280" w:rsidRPr="00AC10A4">
        <w:rPr>
          <w:rFonts w:ascii="Times New Roman" w:hAnsi="Times New Roman" w:cs="Times New Roman"/>
          <w:bCs/>
          <w:iCs/>
          <w:sz w:val="24"/>
          <w:szCs w:val="24"/>
          <w:lang w:val="en-US"/>
        </w:rPr>
        <w:t xml:space="preserve"> fixation</w:t>
      </w:r>
      <w:r w:rsidR="001A0280">
        <w:rPr>
          <w:rFonts w:ascii="Times New Roman" w:hAnsi="Times New Roman" w:cs="Times New Roman"/>
          <w:bCs/>
          <w:iCs/>
          <w:sz w:val="24"/>
          <w:szCs w:val="24"/>
          <w:lang w:val="en-US"/>
        </w:rPr>
        <w:t xml:space="preserve"> duration</w:t>
      </w:r>
      <w:r w:rsidR="001A0280" w:rsidRPr="00AC10A4">
        <w:rPr>
          <w:rFonts w:ascii="Times New Roman" w:hAnsi="Times New Roman" w:cs="Times New Roman"/>
          <w:bCs/>
          <w:iCs/>
          <w:sz w:val="24"/>
          <w:szCs w:val="24"/>
          <w:lang w:val="en-US"/>
        </w:rPr>
        <w:t xml:space="preserve"> on each picture) as the outcome variable. </w:t>
      </w:r>
      <w:r w:rsidR="00DB169E">
        <w:rPr>
          <w:rFonts w:ascii="Times New Roman" w:hAnsi="Times New Roman" w:cs="Times New Roman"/>
          <w:bCs/>
          <w:iCs/>
          <w:sz w:val="24"/>
          <w:szCs w:val="24"/>
          <w:lang w:val="en-US"/>
        </w:rPr>
        <w:t>Sentence type</w:t>
      </w:r>
      <w:r w:rsidR="001A0280" w:rsidRPr="00AC10A4">
        <w:rPr>
          <w:rFonts w:ascii="Times New Roman" w:hAnsi="Times New Roman" w:cs="Times New Roman"/>
          <w:bCs/>
          <w:iCs/>
          <w:sz w:val="24"/>
          <w:szCs w:val="24"/>
          <w:lang w:val="en-US"/>
        </w:rPr>
        <w:t xml:space="preserve"> (metaphorical, literal), group (</w:t>
      </w:r>
      <w:r w:rsidR="001A0280" w:rsidRPr="00AC10A4">
        <w:rPr>
          <w:rFonts w:ascii="Times New Roman" w:hAnsi="Times New Roman" w:cs="Times New Roman"/>
          <w:bCs/>
          <w:iCs/>
          <w:sz w:val="24"/>
          <w:szCs w:val="24"/>
        </w:rPr>
        <w:t>DYS</w:t>
      </w:r>
      <w:r w:rsidR="001A0280" w:rsidRPr="00AC10A4">
        <w:rPr>
          <w:rFonts w:ascii="Times New Roman" w:hAnsi="Times New Roman" w:cs="Times New Roman"/>
          <w:bCs/>
          <w:iCs/>
          <w:sz w:val="24"/>
          <w:szCs w:val="24"/>
          <w:lang w:val="en-US"/>
        </w:rPr>
        <w:t>, TD)</w:t>
      </w:r>
      <w:r w:rsidR="001A0280">
        <w:rPr>
          <w:rFonts w:ascii="Times New Roman" w:hAnsi="Times New Roman" w:cs="Times New Roman"/>
          <w:bCs/>
          <w:iCs/>
          <w:sz w:val="24"/>
          <w:szCs w:val="24"/>
          <w:lang w:val="en-US"/>
        </w:rPr>
        <w:t>,</w:t>
      </w:r>
      <w:r w:rsidR="001A0280" w:rsidRPr="00AC10A4">
        <w:rPr>
          <w:rFonts w:ascii="Times New Roman" w:hAnsi="Times New Roman" w:cs="Times New Roman"/>
          <w:bCs/>
          <w:iCs/>
          <w:sz w:val="24"/>
          <w:szCs w:val="24"/>
          <w:lang w:val="en-US"/>
        </w:rPr>
        <w:t xml:space="preserve"> and picture </w:t>
      </w:r>
      <w:r w:rsidR="00DB169E">
        <w:rPr>
          <w:rFonts w:ascii="Times New Roman" w:hAnsi="Times New Roman" w:cs="Times New Roman"/>
          <w:bCs/>
          <w:iCs/>
          <w:sz w:val="24"/>
          <w:szCs w:val="24"/>
          <w:lang w:val="en-US"/>
        </w:rPr>
        <w:t xml:space="preserve">type </w:t>
      </w:r>
      <w:r w:rsidR="001A0280" w:rsidRPr="00AC10A4">
        <w:rPr>
          <w:rFonts w:ascii="Times New Roman" w:hAnsi="Times New Roman" w:cs="Times New Roman"/>
          <w:bCs/>
          <w:iCs/>
          <w:sz w:val="24"/>
          <w:szCs w:val="24"/>
          <w:lang w:val="en-US"/>
        </w:rPr>
        <w:t xml:space="preserve">(target, distractor) were the fixed effects, and item and participant as random effects. We did not include the irrelevant picture in these analyses, and only </w:t>
      </w:r>
      <w:proofErr w:type="spellStart"/>
      <w:r w:rsidR="001A0280" w:rsidRPr="00AC10A4">
        <w:rPr>
          <w:rFonts w:ascii="Times New Roman" w:hAnsi="Times New Roman" w:cs="Times New Roman"/>
          <w:bCs/>
          <w:iCs/>
          <w:sz w:val="24"/>
          <w:szCs w:val="24"/>
          <w:lang w:val="en-US"/>
        </w:rPr>
        <w:t>analysed</w:t>
      </w:r>
      <w:proofErr w:type="spellEnd"/>
      <w:r w:rsidR="001A0280" w:rsidRPr="00AC10A4">
        <w:rPr>
          <w:rFonts w:ascii="Times New Roman" w:hAnsi="Times New Roman" w:cs="Times New Roman"/>
          <w:bCs/>
          <w:iCs/>
          <w:sz w:val="24"/>
          <w:szCs w:val="24"/>
          <w:lang w:val="en-US"/>
        </w:rPr>
        <w:t xml:space="preserve"> eye movements for correct trials</w:t>
      </w:r>
      <w:r w:rsidR="008D4113">
        <w:rPr>
          <w:rFonts w:ascii="Times New Roman" w:hAnsi="Times New Roman" w:cs="Times New Roman"/>
          <w:sz w:val="24"/>
          <w:szCs w:val="24"/>
        </w:rPr>
        <w:t>.</w:t>
      </w:r>
    </w:p>
    <w:p w14:paraId="0EC74FBE" w14:textId="5E7C29E5" w:rsidR="001A0280" w:rsidRPr="003D1C20" w:rsidRDefault="001A0280" w:rsidP="00C75B14">
      <w:pPr>
        <w:spacing w:line="240" w:lineRule="auto"/>
        <w:ind w:firstLine="709"/>
        <w:contextualSpacing/>
        <w:jc w:val="both"/>
        <w:rPr>
          <w:rFonts w:ascii="Times New Roman" w:hAnsi="Times New Roman" w:cs="Times New Roman"/>
          <w:sz w:val="24"/>
          <w:szCs w:val="24"/>
          <w:lang w:val="en-US"/>
        </w:rPr>
      </w:pPr>
      <w:r w:rsidRPr="00AC10A4">
        <w:rPr>
          <w:rFonts w:ascii="Times New Roman" w:hAnsi="Times New Roman" w:cs="Times New Roman"/>
          <w:sz w:val="24"/>
          <w:szCs w:val="24"/>
        </w:rPr>
        <w:t>The models were run for each time window</w:t>
      </w:r>
      <w:r w:rsidR="00C75B14">
        <w:rPr>
          <w:rFonts w:ascii="Times New Roman" w:hAnsi="Times New Roman" w:cs="Times New Roman"/>
          <w:sz w:val="24"/>
          <w:szCs w:val="24"/>
        </w:rPr>
        <w:t xml:space="preserve"> (</w:t>
      </w:r>
      <w:r w:rsidR="00933FE3">
        <w:rPr>
          <w:rFonts w:ascii="Times New Roman" w:hAnsi="Times New Roman" w:cs="Times New Roman"/>
          <w:sz w:val="24"/>
          <w:szCs w:val="24"/>
        </w:rPr>
        <w:t xml:space="preserve">the results for </w:t>
      </w:r>
      <w:proofErr w:type="gramStart"/>
      <w:r w:rsidR="00933FE3">
        <w:rPr>
          <w:rFonts w:ascii="Times New Roman" w:hAnsi="Times New Roman" w:cs="Times New Roman"/>
          <w:sz w:val="24"/>
          <w:szCs w:val="24"/>
        </w:rPr>
        <w:t>Regions</w:t>
      </w:r>
      <w:proofErr w:type="gramEnd"/>
      <w:r w:rsidR="00933FE3">
        <w:rPr>
          <w:rFonts w:ascii="Times New Roman" w:hAnsi="Times New Roman" w:cs="Times New Roman"/>
          <w:sz w:val="24"/>
          <w:szCs w:val="24"/>
        </w:rPr>
        <w:t xml:space="preserve"> 1 and 2 are presented in the Supplementary Materials</w:t>
      </w:r>
      <w:r w:rsidR="00DB169E">
        <w:rPr>
          <w:rFonts w:ascii="Times New Roman" w:hAnsi="Times New Roman" w:cs="Times New Roman"/>
          <w:sz w:val="24"/>
          <w:szCs w:val="24"/>
        </w:rPr>
        <w:t xml:space="preserve">, section </w:t>
      </w:r>
      <w:r w:rsidR="00056FD3">
        <w:rPr>
          <w:rFonts w:ascii="Times New Roman" w:hAnsi="Times New Roman" w:cs="Times New Roman"/>
          <w:sz w:val="24"/>
          <w:szCs w:val="24"/>
        </w:rPr>
        <w:t>C</w:t>
      </w:r>
      <w:r w:rsidR="00DB169E">
        <w:rPr>
          <w:rFonts w:ascii="Times New Roman" w:hAnsi="Times New Roman" w:cs="Times New Roman"/>
          <w:sz w:val="24"/>
          <w:szCs w:val="24"/>
        </w:rPr>
        <w:t>)</w:t>
      </w:r>
      <w:r w:rsidR="00933FE3">
        <w:rPr>
          <w:rFonts w:ascii="Times New Roman" w:hAnsi="Times New Roman" w:cs="Times New Roman"/>
          <w:sz w:val="24"/>
          <w:szCs w:val="24"/>
        </w:rPr>
        <w:t xml:space="preserve">. </w:t>
      </w:r>
      <w:r w:rsidR="008D4113">
        <w:rPr>
          <w:rFonts w:ascii="Times New Roman" w:hAnsi="Times New Roman" w:cs="Times New Roman"/>
          <w:sz w:val="24"/>
          <w:szCs w:val="24"/>
        </w:rPr>
        <w:t xml:space="preserve">For </w:t>
      </w:r>
      <w:r w:rsidR="001B4C2F">
        <w:rPr>
          <w:rFonts w:ascii="Times New Roman" w:hAnsi="Times New Roman" w:cs="Times New Roman"/>
          <w:sz w:val="24"/>
          <w:szCs w:val="24"/>
        </w:rPr>
        <w:t>R</w:t>
      </w:r>
      <w:r w:rsidR="008D4113">
        <w:rPr>
          <w:rFonts w:ascii="Times New Roman" w:hAnsi="Times New Roman" w:cs="Times New Roman"/>
          <w:sz w:val="24"/>
          <w:szCs w:val="24"/>
        </w:rPr>
        <w:t xml:space="preserve">egion 3, dwell time was checked for outliers, and any value below 80ms or above 8000ms was removed (10.05% of the data). </w:t>
      </w:r>
      <w:r w:rsidR="00933FE3">
        <w:rPr>
          <w:rFonts w:ascii="Times New Roman" w:hAnsi="Times New Roman" w:cs="Times New Roman"/>
          <w:sz w:val="24"/>
          <w:szCs w:val="24"/>
        </w:rPr>
        <w:t xml:space="preserve">Region 3 showed a marginally significant main effect of group and a significant interaction between sentence type and picture type (see Figure </w:t>
      </w:r>
      <w:r w:rsidR="009A5431">
        <w:rPr>
          <w:rFonts w:ascii="Times New Roman" w:hAnsi="Times New Roman" w:cs="Times New Roman"/>
          <w:sz w:val="24"/>
          <w:szCs w:val="24"/>
        </w:rPr>
        <w:t>5</w:t>
      </w:r>
      <w:r w:rsidR="00933FE3">
        <w:rPr>
          <w:rFonts w:ascii="Times New Roman" w:hAnsi="Times New Roman" w:cs="Times New Roman"/>
          <w:sz w:val="24"/>
          <w:szCs w:val="24"/>
        </w:rPr>
        <w:t xml:space="preserve"> and Table 3). The dyslexics had longer dwell times, consistent with the reaction time analysis. The interaction between sentence and picture showed a larger difference in dwell time between the target and distractor for literal trials and similar dwell time on target and distractor for metaphorical trials</w:t>
      </w:r>
      <w:r w:rsidR="00DB169E">
        <w:rPr>
          <w:rFonts w:ascii="Times New Roman" w:hAnsi="Times New Roman" w:cs="Times New Roman"/>
          <w:sz w:val="24"/>
          <w:szCs w:val="24"/>
        </w:rPr>
        <w:t xml:space="preserve"> (see Figure </w:t>
      </w:r>
      <w:r w:rsidR="009A5431">
        <w:rPr>
          <w:rFonts w:ascii="Times New Roman" w:hAnsi="Times New Roman" w:cs="Times New Roman"/>
          <w:sz w:val="24"/>
          <w:szCs w:val="24"/>
        </w:rPr>
        <w:t>5</w:t>
      </w:r>
      <w:r w:rsidR="00DB169E">
        <w:rPr>
          <w:rFonts w:ascii="Times New Roman" w:hAnsi="Times New Roman" w:cs="Times New Roman"/>
          <w:sz w:val="24"/>
          <w:szCs w:val="24"/>
        </w:rPr>
        <w:t>)</w:t>
      </w:r>
      <w:r w:rsidR="00933FE3">
        <w:rPr>
          <w:rFonts w:ascii="Times New Roman" w:hAnsi="Times New Roman" w:cs="Times New Roman"/>
          <w:sz w:val="24"/>
          <w:szCs w:val="24"/>
        </w:rPr>
        <w:t xml:space="preserve">. </w:t>
      </w:r>
    </w:p>
    <w:p w14:paraId="0A6D68D2" w14:textId="131E95D6" w:rsidR="00F95F34" w:rsidRDefault="00F95F34" w:rsidP="001A0280">
      <w:pPr>
        <w:spacing w:line="240" w:lineRule="auto"/>
        <w:ind w:firstLine="709"/>
        <w:contextualSpacing/>
        <w:jc w:val="both"/>
        <w:rPr>
          <w:rFonts w:ascii="Times New Roman" w:hAnsi="Times New Roman" w:cs="Times New Roman"/>
          <w:sz w:val="24"/>
          <w:szCs w:val="24"/>
        </w:rPr>
      </w:pPr>
    </w:p>
    <w:p w14:paraId="16E490C4" w14:textId="17A99937" w:rsidR="00F95F34" w:rsidRDefault="00F95F34" w:rsidP="00F95F34">
      <w:pPr>
        <w:spacing w:line="240" w:lineRule="auto"/>
        <w:contextualSpacing/>
        <w:jc w:val="both"/>
        <w:rPr>
          <w:rFonts w:ascii="Times New Roman" w:hAnsi="Times New Roman" w:cs="Times New Roman"/>
          <w:sz w:val="24"/>
          <w:szCs w:val="24"/>
        </w:rPr>
      </w:pPr>
      <w:r>
        <w:rPr>
          <w:noProof/>
        </w:rPr>
        <w:drawing>
          <wp:inline distT="0" distB="0" distL="0" distR="0" wp14:anchorId="60678D46" wp14:editId="75C4CA0D">
            <wp:extent cx="5850928" cy="2258118"/>
            <wp:effectExtent l="0" t="0" r="3810" b="2540"/>
            <wp:docPr id="208007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77976" name=""/>
                    <pic:cNvPicPr/>
                  </pic:nvPicPr>
                  <pic:blipFill rotWithShape="1">
                    <a:blip r:embed="rId14"/>
                    <a:srcRect t="7562"/>
                    <a:stretch/>
                  </pic:blipFill>
                  <pic:spPr bwMode="auto">
                    <a:xfrm>
                      <a:off x="0" y="0"/>
                      <a:ext cx="5857967" cy="2260835"/>
                    </a:xfrm>
                    <a:prstGeom prst="rect">
                      <a:avLst/>
                    </a:prstGeom>
                    <a:ln>
                      <a:noFill/>
                    </a:ln>
                    <a:extLst>
                      <a:ext uri="{53640926-AAD7-44D8-BBD7-CCE9431645EC}">
                        <a14:shadowObscured xmlns:a14="http://schemas.microsoft.com/office/drawing/2010/main"/>
                      </a:ext>
                    </a:extLst>
                  </pic:spPr>
                </pic:pic>
              </a:graphicData>
            </a:graphic>
          </wp:inline>
        </w:drawing>
      </w:r>
    </w:p>
    <w:p w14:paraId="5599E232" w14:textId="667674D0" w:rsidR="00F95F34" w:rsidRPr="00866465" w:rsidRDefault="00F95F34" w:rsidP="00F95F34">
      <w:pPr>
        <w:rPr>
          <w:lang w:val="en-US"/>
        </w:rPr>
      </w:pPr>
      <w:r w:rsidRPr="009B1416">
        <w:rPr>
          <w:rFonts w:ascii="Times New Roman" w:hAnsi="Times New Roman" w:cs="Times New Roman"/>
          <w:b/>
          <w:bCs/>
          <w:color w:val="000000" w:themeColor="text1"/>
          <w:lang w:val="en-US"/>
        </w:rPr>
        <w:t xml:space="preserve">Figure </w:t>
      </w:r>
      <w:r w:rsidR="00933FE3">
        <w:rPr>
          <w:rFonts w:ascii="Times New Roman" w:hAnsi="Times New Roman" w:cs="Times New Roman"/>
          <w:b/>
          <w:bCs/>
          <w:color w:val="000000" w:themeColor="text1"/>
          <w:lang w:val="en-US"/>
        </w:rPr>
        <w:t>5</w:t>
      </w:r>
      <w:r w:rsidRPr="009B1416">
        <w:rPr>
          <w:rFonts w:ascii="Times New Roman" w:hAnsi="Times New Roman" w:cs="Times New Roman"/>
          <w:b/>
          <w:bCs/>
          <w:noProof/>
          <w:color w:val="000000" w:themeColor="text1"/>
          <w:lang w:val="en-US"/>
        </w:rPr>
        <w:t>.</w:t>
      </w:r>
      <w:r w:rsidRPr="009B1416">
        <w:rPr>
          <w:rFonts w:ascii="Times New Roman" w:hAnsi="Times New Roman" w:cs="Times New Roman"/>
          <w:color w:val="000000" w:themeColor="text1"/>
          <w:lang w:val="en-US"/>
        </w:rPr>
        <w:t xml:space="preserve"> </w:t>
      </w:r>
      <w:r w:rsidR="00933FE3" w:rsidRPr="00933FE3">
        <w:rPr>
          <w:rFonts w:ascii="Times New Roman" w:hAnsi="Times New Roman" w:cs="Times New Roman"/>
          <w:i/>
          <w:iCs/>
          <w:color w:val="000000" w:themeColor="text1"/>
          <w:lang w:val="en-US"/>
        </w:rPr>
        <w:t>Means for dwell time in region 3 (left panel). Means for the significant i</w:t>
      </w:r>
      <w:r w:rsidRPr="00933FE3">
        <w:rPr>
          <w:rFonts w:ascii="Times New Roman" w:hAnsi="Times New Roman" w:cs="Times New Roman"/>
          <w:i/>
          <w:iCs/>
          <w:lang w:val="en-US"/>
        </w:rPr>
        <w:t xml:space="preserve">nteraction </w:t>
      </w:r>
      <w:r w:rsidR="00933FE3" w:rsidRPr="00933FE3">
        <w:rPr>
          <w:rFonts w:ascii="Times New Roman" w:hAnsi="Times New Roman" w:cs="Times New Roman"/>
          <w:i/>
          <w:iCs/>
          <w:lang w:val="en-US"/>
        </w:rPr>
        <w:t xml:space="preserve">of </w:t>
      </w:r>
      <w:r w:rsidRPr="00933FE3">
        <w:rPr>
          <w:rFonts w:ascii="Times New Roman" w:hAnsi="Times New Roman" w:cs="Times New Roman"/>
          <w:i/>
          <w:iCs/>
          <w:lang w:val="en-US"/>
        </w:rPr>
        <w:t>sentence</w:t>
      </w:r>
      <w:r w:rsidR="00933FE3" w:rsidRPr="00933FE3">
        <w:rPr>
          <w:rFonts w:ascii="Times New Roman" w:hAnsi="Times New Roman" w:cs="Times New Roman"/>
          <w:i/>
          <w:iCs/>
          <w:lang w:val="en-US"/>
        </w:rPr>
        <w:t xml:space="preserve"> type and picture type (right panel). Error bars show the 95% confidence interval.</w:t>
      </w:r>
      <w:r w:rsidR="00933FE3">
        <w:rPr>
          <w:rFonts w:ascii="Times New Roman" w:hAnsi="Times New Roman" w:cs="Times New Roman"/>
          <w:lang w:val="en-US"/>
        </w:rPr>
        <w:t xml:space="preserve"> </w:t>
      </w:r>
    </w:p>
    <w:p w14:paraId="66EE7CD5" w14:textId="77777777" w:rsidR="00933FE3" w:rsidRDefault="00933FE3" w:rsidP="00F95F34">
      <w:pPr>
        <w:spacing w:line="240" w:lineRule="auto"/>
        <w:contextualSpacing/>
        <w:jc w:val="both"/>
        <w:rPr>
          <w:rFonts w:ascii="Times New Roman" w:hAnsi="Times New Roman" w:cs="Times New Roman"/>
          <w:b/>
          <w:i/>
          <w:sz w:val="24"/>
          <w:szCs w:val="24"/>
          <w:lang w:val="en-US"/>
        </w:rPr>
      </w:pPr>
    </w:p>
    <w:p w14:paraId="4470281E" w14:textId="77777777" w:rsidR="00933FE3" w:rsidRDefault="00933FE3" w:rsidP="00F95F34">
      <w:pPr>
        <w:spacing w:line="240" w:lineRule="auto"/>
        <w:contextualSpacing/>
        <w:jc w:val="both"/>
        <w:rPr>
          <w:rFonts w:ascii="Times New Roman" w:hAnsi="Times New Roman" w:cs="Times New Roman"/>
          <w:b/>
          <w:i/>
          <w:sz w:val="24"/>
          <w:szCs w:val="24"/>
          <w:lang w:val="en-US"/>
        </w:rPr>
      </w:pPr>
    </w:p>
    <w:p w14:paraId="6F8376CB" w14:textId="795EC9C9" w:rsidR="00F95F34" w:rsidRPr="00AC10A4" w:rsidRDefault="00F95F34" w:rsidP="00F95F34">
      <w:pPr>
        <w:spacing w:line="240" w:lineRule="auto"/>
        <w:contextualSpacing/>
        <w:jc w:val="both"/>
        <w:rPr>
          <w:rFonts w:ascii="Times New Roman" w:hAnsi="Times New Roman" w:cs="Times New Roman"/>
          <w:b/>
          <w:i/>
          <w:sz w:val="24"/>
          <w:szCs w:val="24"/>
          <w:lang w:val="en-US"/>
        </w:rPr>
      </w:pPr>
      <w:r w:rsidRPr="00AC10A4">
        <w:rPr>
          <w:rFonts w:ascii="Times New Roman" w:hAnsi="Times New Roman" w:cs="Times New Roman"/>
          <w:b/>
          <w:i/>
          <w:sz w:val="24"/>
          <w:szCs w:val="24"/>
          <w:lang w:val="en-US"/>
        </w:rPr>
        <w:t>Eye Movements</w:t>
      </w:r>
      <w:r>
        <w:rPr>
          <w:rFonts w:ascii="Times New Roman" w:hAnsi="Times New Roman" w:cs="Times New Roman"/>
          <w:b/>
          <w:i/>
          <w:sz w:val="24"/>
          <w:szCs w:val="24"/>
          <w:lang w:val="en-US"/>
        </w:rPr>
        <w:t xml:space="preserve"> – Divergence Point Analysis</w:t>
      </w:r>
    </w:p>
    <w:p w14:paraId="35B0AAEC" w14:textId="77777777" w:rsidR="00F95F34" w:rsidRDefault="00F95F34" w:rsidP="00F95F34">
      <w:pPr>
        <w:spacing w:line="240" w:lineRule="auto"/>
        <w:contextualSpacing/>
        <w:jc w:val="both"/>
        <w:rPr>
          <w:rFonts w:ascii="Times New Roman" w:hAnsi="Times New Roman" w:cs="Times New Roman"/>
          <w:sz w:val="24"/>
          <w:szCs w:val="24"/>
        </w:rPr>
      </w:pPr>
    </w:p>
    <w:p w14:paraId="60565994" w14:textId="77777777" w:rsidR="00F95F34" w:rsidRDefault="00F95F34" w:rsidP="001A0280">
      <w:pPr>
        <w:spacing w:line="240" w:lineRule="auto"/>
        <w:ind w:firstLine="709"/>
        <w:contextualSpacing/>
        <w:jc w:val="both"/>
        <w:rPr>
          <w:rFonts w:ascii="Times New Roman" w:hAnsi="Times New Roman" w:cs="Times New Roman"/>
          <w:sz w:val="24"/>
          <w:szCs w:val="24"/>
        </w:rPr>
      </w:pPr>
    </w:p>
    <w:p w14:paraId="497DBFDE" w14:textId="11A744F7" w:rsidR="001A0280" w:rsidRDefault="001A0280" w:rsidP="00F95F34">
      <w:pPr>
        <w:spacing w:line="240" w:lineRule="auto"/>
        <w:ind w:firstLine="709"/>
        <w:contextualSpacing/>
        <w:jc w:val="both"/>
        <w:rPr>
          <w:rFonts w:ascii="Times New Roman" w:hAnsi="Times New Roman" w:cs="Times New Roman"/>
          <w:sz w:val="24"/>
          <w:szCs w:val="24"/>
        </w:rPr>
      </w:pPr>
      <w:r w:rsidRPr="00AC10A4">
        <w:rPr>
          <w:rFonts w:ascii="Times New Roman" w:hAnsi="Times New Roman" w:cs="Times New Roman"/>
          <w:sz w:val="24"/>
          <w:szCs w:val="24"/>
        </w:rPr>
        <w:t xml:space="preserve">The time course of fixations on Region 3 was </w:t>
      </w:r>
      <w:proofErr w:type="spellStart"/>
      <w:r w:rsidRPr="00AC10A4">
        <w:rPr>
          <w:rFonts w:ascii="Times New Roman" w:hAnsi="Times New Roman" w:cs="Times New Roman"/>
          <w:sz w:val="24"/>
          <w:szCs w:val="24"/>
        </w:rPr>
        <w:t>analyzed</w:t>
      </w:r>
      <w:proofErr w:type="spellEnd"/>
      <w:r w:rsidRPr="00AC10A4">
        <w:rPr>
          <w:rFonts w:ascii="Times New Roman" w:hAnsi="Times New Roman" w:cs="Times New Roman"/>
          <w:sz w:val="24"/>
          <w:szCs w:val="24"/>
        </w:rPr>
        <w:t xml:space="preserve"> using Divergence Point Analysis (DPA; Stone et al., 2020), a non-parametric bootstrapping method that enables group comparisons through the estimation of confidence intervals (CIs). This method is particularly well-suited for </w:t>
      </w:r>
      <w:proofErr w:type="spellStart"/>
      <w:r w:rsidRPr="00AC10A4">
        <w:rPr>
          <w:rFonts w:ascii="Times New Roman" w:hAnsi="Times New Roman" w:cs="Times New Roman"/>
          <w:sz w:val="24"/>
          <w:szCs w:val="24"/>
        </w:rPr>
        <w:t>analyzing</w:t>
      </w:r>
      <w:proofErr w:type="spellEnd"/>
      <w:r w:rsidRPr="00AC10A4">
        <w:rPr>
          <w:rFonts w:ascii="Times New Roman" w:hAnsi="Times New Roman" w:cs="Times New Roman"/>
          <w:sz w:val="24"/>
          <w:szCs w:val="24"/>
        </w:rPr>
        <w:t xml:space="preserve"> time-course data, as it identifies the point at which fixation patterns between groups or conditions diverge. DPA employs a series of t-tests to compare fixations between the Target and Distractor pictures across consecutive </w:t>
      </w:r>
      <w:r>
        <w:rPr>
          <w:rFonts w:ascii="Times New Roman" w:hAnsi="Times New Roman" w:cs="Times New Roman"/>
          <w:sz w:val="24"/>
          <w:szCs w:val="24"/>
        </w:rPr>
        <w:t xml:space="preserve">50 ms </w:t>
      </w:r>
      <w:r w:rsidRPr="00AC10A4">
        <w:rPr>
          <w:rFonts w:ascii="Times New Roman" w:hAnsi="Times New Roman" w:cs="Times New Roman"/>
          <w:sz w:val="24"/>
          <w:szCs w:val="24"/>
        </w:rPr>
        <w:t>time bins, with divergence determined after at least four consecutive bins (200 ms) show</w:t>
      </w:r>
      <w:r w:rsidR="009A5431">
        <w:rPr>
          <w:rFonts w:ascii="Times New Roman" w:hAnsi="Times New Roman" w:cs="Times New Roman"/>
          <w:sz w:val="24"/>
          <w:szCs w:val="24"/>
        </w:rPr>
        <w:t>ing</w:t>
      </w:r>
      <w:r w:rsidRPr="00AC10A4">
        <w:rPr>
          <w:rFonts w:ascii="Times New Roman" w:hAnsi="Times New Roman" w:cs="Times New Roman"/>
          <w:sz w:val="24"/>
          <w:szCs w:val="24"/>
        </w:rPr>
        <w:t xml:space="preserve"> a difference</w:t>
      </w:r>
      <w:r w:rsidR="009A5431">
        <w:rPr>
          <w:rFonts w:ascii="Times New Roman" w:hAnsi="Times New Roman" w:cs="Times New Roman"/>
          <w:sz w:val="24"/>
          <w:szCs w:val="24"/>
        </w:rPr>
        <w:t xml:space="preserve"> between groups</w:t>
      </w:r>
      <w:r w:rsidRPr="00AC10A4">
        <w:rPr>
          <w:rFonts w:ascii="Times New Roman" w:hAnsi="Times New Roman" w:cs="Times New Roman"/>
          <w:sz w:val="24"/>
          <w:szCs w:val="24"/>
        </w:rPr>
        <w:t>. By resampling the original dataset using bootstrapping, 2000 new datasets are generated, allowing for the estimation of a new divergence point for each iteration. The mean divergence point and its associated CI are then calculated.</w:t>
      </w:r>
      <w:r w:rsidR="00F95F34">
        <w:rPr>
          <w:rFonts w:ascii="Times New Roman" w:hAnsi="Times New Roman" w:cs="Times New Roman"/>
          <w:sz w:val="24"/>
          <w:szCs w:val="24"/>
        </w:rPr>
        <w:t xml:space="preserve"> </w:t>
      </w:r>
      <w:r w:rsidRPr="00AC10A4">
        <w:rPr>
          <w:rFonts w:ascii="Times New Roman" w:hAnsi="Times New Roman" w:cs="Times New Roman"/>
          <w:sz w:val="24"/>
          <w:szCs w:val="24"/>
        </w:rPr>
        <w:t xml:space="preserve">We first </w:t>
      </w:r>
      <w:proofErr w:type="spellStart"/>
      <w:r w:rsidRPr="00AC10A4">
        <w:rPr>
          <w:rFonts w:ascii="Times New Roman" w:hAnsi="Times New Roman" w:cs="Times New Roman"/>
          <w:sz w:val="24"/>
          <w:szCs w:val="24"/>
        </w:rPr>
        <w:t>analyzed</w:t>
      </w:r>
      <w:proofErr w:type="spellEnd"/>
      <w:r w:rsidRPr="00AC10A4">
        <w:rPr>
          <w:rFonts w:ascii="Times New Roman" w:hAnsi="Times New Roman" w:cs="Times New Roman"/>
          <w:sz w:val="24"/>
          <w:szCs w:val="24"/>
        </w:rPr>
        <w:t xml:space="preserve"> the time course of fixations for correct </w:t>
      </w:r>
      <w:r w:rsidR="00DB169E">
        <w:rPr>
          <w:rFonts w:ascii="Times New Roman" w:hAnsi="Times New Roman" w:cs="Times New Roman"/>
          <w:sz w:val="24"/>
          <w:szCs w:val="24"/>
        </w:rPr>
        <w:t xml:space="preserve">literal and metaphorical </w:t>
      </w:r>
      <w:r w:rsidRPr="00AC10A4">
        <w:rPr>
          <w:rFonts w:ascii="Times New Roman" w:hAnsi="Times New Roman" w:cs="Times New Roman"/>
          <w:sz w:val="24"/>
          <w:szCs w:val="24"/>
        </w:rPr>
        <w:t>trials (Figure 6).</w:t>
      </w:r>
    </w:p>
    <w:p w14:paraId="299DF4DB" w14:textId="77777777" w:rsidR="00F95F34" w:rsidRPr="00AC10A4" w:rsidRDefault="00F95F34" w:rsidP="00F95F34">
      <w:pPr>
        <w:spacing w:line="240" w:lineRule="auto"/>
        <w:ind w:firstLine="709"/>
        <w:contextualSpacing/>
        <w:jc w:val="both"/>
        <w:rPr>
          <w:rFonts w:ascii="Times New Roman" w:hAnsi="Times New Roman" w:cs="Times New Roman"/>
          <w:sz w:val="24"/>
          <w:szCs w:val="24"/>
        </w:rPr>
      </w:pPr>
    </w:p>
    <w:p w14:paraId="78367486" w14:textId="77777777" w:rsidR="001A0280" w:rsidRPr="00AC10A4" w:rsidRDefault="001A0280" w:rsidP="001A0280">
      <w:pPr>
        <w:spacing w:line="240" w:lineRule="auto"/>
        <w:ind w:firstLine="709"/>
        <w:contextualSpacing/>
        <w:jc w:val="both"/>
        <w:rPr>
          <w:rFonts w:ascii="Times New Roman" w:hAnsi="Times New Roman" w:cs="Times New Roman"/>
          <w:sz w:val="24"/>
          <w:szCs w:val="24"/>
        </w:rPr>
      </w:pPr>
    </w:p>
    <w:p w14:paraId="02578C87" w14:textId="77777777" w:rsidR="00F95F34" w:rsidRDefault="00F95F34" w:rsidP="00F95F34">
      <w:r>
        <w:rPr>
          <w:noProof/>
        </w:rPr>
        <w:lastRenderedPageBreak/>
        <w:drawing>
          <wp:inline distT="0" distB="0" distL="0" distR="0" wp14:anchorId="45EEA8B7" wp14:editId="6FCB550F">
            <wp:extent cx="4751705" cy="3206964"/>
            <wp:effectExtent l="0" t="0" r="0" b="6350"/>
            <wp:docPr id="1106154805" name="Immagine 16" descr="Immagine che contiene testo, diagramm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57500" name="Immagine 16" descr="Immagine che contiene testo, diagramma, Diagramma, schermata&#10;&#10;Descrizione generata automa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11"/>
                    <a:stretch/>
                  </pic:blipFill>
                  <pic:spPr bwMode="auto">
                    <a:xfrm>
                      <a:off x="0" y="0"/>
                      <a:ext cx="4776874" cy="3223951"/>
                    </a:xfrm>
                    <a:prstGeom prst="rect">
                      <a:avLst/>
                    </a:prstGeom>
                    <a:noFill/>
                    <a:ln>
                      <a:noFill/>
                    </a:ln>
                    <a:extLst>
                      <a:ext uri="{53640926-AAD7-44D8-BBD7-CCE9431645EC}">
                        <a14:shadowObscured xmlns:a14="http://schemas.microsoft.com/office/drawing/2010/main"/>
                      </a:ext>
                    </a:extLst>
                  </pic:spPr>
                </pic:pic>
              </a:graphicData>
            </a:graphic>
          </wp:inline>
        </w:drawing>
      </w:r>
    </w:p>
    <w:p w14:paraId="7DE6F201" w14:textId="760CDF9F" w:rsidR="001A0280" w:rsidRDefault="00F95F34" w:rsidP="00F95F34">
      <w:pPr>
        <w:spacing w:line="240" w:lineRule="auto"/>
        <w:contextualSpacing/>
        <w:jc w:val="both"/>
        <w:rPr>
          <w:rFonts w:ascii="Times New Roman" w:hAnsi="Times New Roman" w:cs="Times New Roman"/>
          <w:sz w:val="24"/>
          <w:szCs w:val="24"/>
        </w:rPr>
      </w:pPr>
      <w:r w:rsidRPr="009B1416">
        <w:rPr>
          <w:rFonts w:ascii="Times New Roman" w:hAnsi="Times New Roman" w:cs="Times New Roman"/>
          <w:b/>
          <w:bCs/>
          <w:color w:val="000000" w:themeColor="text1"/>
          <w:lang w:val="en-US"/>
        </w:rPr>
        <w:t xml:space="preserve">Figure </w:t>
      </w:r>
      <w:r w:rsidR="00933FE3">
        <w:rPr>
          <w:rFonts w:ascii="Times New Roman" w:hAnsi="Times New Roman" w:cs="Times New Roman"/>
          <w:b/>
          <w:bCs/>
          <w:color w:val="000000" w:themeColor="text1"/>
          <w:lang w:val="en-US"/>
        </w:rPr>
        <w:t>6</w:t>
      </w:r>
      <w:r w:rsidRPr="009B1416">
        <w:rPr>
          <w:rFonts w:ascii="Times New Roman" w:hAnsi="Times New Roman" w:cs="Times New Roman"/>
          <w:b/>
          <w:bCs/>
          <w:noProof/>
          <w:color w:val="000000" w:themeColor="text1"/>
          <w:lang w:val="en-US"/>
        </w:rPr>
        <w:t>.</w:t>
      </w:r>
      <w:r w:rsidRPr="009B1416">
        <w:rPr>
          <w:rFonts w:ascii="Times New Roman" w:hAnsi="Times New Roman" w:cs="Times New Roman"/>
          <w:color w:val="000000" w:themeColor="text1"/>
          <w:lang w:val="en-US"/>
        </w:rPr>
        <w:t xml:space="preserve"> </w:t>
      </w:r>
      <w:r w:rsidRPr="00DB169E">
        <w:rPr>
          <w:rFonts w:ascii="Times New Roman" w:hAnsi="Times New Roman" w:cs="Times New Roman"/>
          <w:i/>
          <w:iCs/>
          <w:lang w:val="en-US"/>
        </w:rPr>
        <w:t>Time course analysis for correct trials (literal and metaphorical) between groups.</w:t>
      </w:r>
    </w:p>
    <w:p w14:paraId="73E3B9B0" w14:textId="77777777" w:rsidR="00F95F34" w:rsidRPr="00AC10A4" w:rsidRDefault="00F95F34" w:rsidP="00F95F34">
      <w:pPr>
        <w:spacing w:line="240" w:lineRule="auto"/>
        <w:contextualSpacing/>
        <w:jc w:val="both"/>
        <w:rPr>
          <w:rFonts w:ascii="Times New Roman" w:hAnsi="Times New Roman" w:cs="Times New Roman"/>
          <w:sz w:val="24"/>
          <w:szCs w:val="24"/>
        </w:rPr>
      </w:pPr>
    </w:p>
    <w:p w14:paraId="1FDF17D6" w14:textId="590D843B" w:rsidR="001A0280" w:rsidRPr="00AC10A4" w:rsidRDefault="001A0280" w:rsidP="001A0280">
      <w:pPr>
        <w:spacing w:line="240" w:lineRule="auto"/>
        <w:ind w:firstLine="709"/>
        <w:contextualSpacing/>
        <w:jc w:val="both"/>
        <w:rPr>
          <w:rFonts w:ascii="Times New Roman" w:hAnsi="Times New Roman" w:cs="Times New Roman"/>
          <w:sz w:val="24"/>
          <w:szCs w:val="24"/>
        </w:rPr>
      </w:pPr>
      <w:r w:rsidRPr="00AC10A4">
        <w:rPr>
          <w:rFonts w:ascii="Times New Roman" w:hAnsi="Times New Roman" w:cs="Times New Roman"/>
          <w:sz w:val="24"/>
          <w:szCs w:val="24"/>
        </w:rPr>
        <w:t xml:space="preserve"> Results for literal trials revealed that for the control group, the divergence point (DP) was observed at 583 ms [CI: 500, 850]. For the dyslexia group, the DP occurred at 625 ms [CI: 300, 105</w:t>
      </w:r>
      <w:r w:rsidR="00182634">
        <w:rPr>
          <w:rFonts w:ascii="Times New Roman" w:hAnsi="Times New Roman" w:cs="Times New Roman"/>
          <w:sz w:val="24"/>
          <w:szCs w:val="24"/>
        </w:rPr>
        <w:t>0</w:t>
      </w:r>
      <w:r w:rsidRPr="00AC10A4">
        <w:rPr>
          <w:rFonts w:ascii="Times New Roman" w:hAnsi="Times New Roman" w:cs="Times New Roman"/>
          <w:sz w:val="24"/>
          <w:szCs w:val="24"/>
        </w:rPr>
        <w:t>7]. The estimated difference between the two groups was approximately 44 ms [CI: -400, 500]. Since the CI includes 0, no difference was detected between the groups</w:t>
      </w:r>
      <w:r w:rsidR="00DB169E">
        <w:rPr>
          <w:rFonts w:ascii="Times New Roman" w:hAnsi="Times New Roman" w:cs="Times New Roman"/>
          <w:sz w:val="24"/>
          <w:szCs w:val="24"/>
        </w:rPr>
        <w:t xml:space="preserve"> (see Figure 7)</w:t>
      </w:r>
      <w:r w:rsidRPr="00AC10A4">
        <w:rPr>
          <w:rFonts w:ascii="Times New Roman" w:hAnsi="Times New Roman" w:cs="Times New Roman"/>
          <w:sz w:val="24"/>
          <w:szCs w:val="24"/>
        </w:rPr>
        <w:t xml:space="preserve">. </w:t>
      </w:r>
    </w:p>
    <w:p w14:paraId="4CA22FCD" w14:textId="77777777" w:rsidR="001A0280" w:rsidRPr="00AC10A4" w:rsidRDefault="001A0280" w:rsidP="001A0280">
      <w:pPr>
        <w:spacing w:line="240" w:lineRule="auto"/>
        <w:ind w:firstLine="709"/>
        <w:contextualSpacing/>
        <w:jc w:val="both"/>
        <w:rPr>
          <w:rFonts w:ascii="Times New Roman" w:hAnsi="Times New Roman" w:cs="Times New Roman"/>
          <w:sz w:val="24"/>
          <w:szCs w:val="24"/>
        </w:rPr>
      </w:pPr>
    </w:p>
    <w:p w14:paraId="0510BB1F" w14:textId="50544559" w:rsidR="001A0280" w:rsidRDefault="00F95F34" w:rsidP="00F95F34">
      <w:pPr>
        <w:spacing w:line="240" w:lineRule="auto"/>
        <w:rPr>
          <w:rFonts w:ascii="Times New Roman" w:hAnsi="Times New Roman" w:cs="Times New Roman"/>
          <w:sz w:val="24"/>
          <w:szCs w:val="24"/>
          <w:lang w:val="en-US"/>
        </w:rPr>
      </w:pPr>
      <w:r>
        <w:rPr>
          <w:noProof/>
        </w:rPr>
        <w:drawing>
          <wp:inline distT="0" distB="0" distL="0" distR="0" wp14:anchorId="4BF553E7" wp14:editId="2A19B8A9">
            <wp:extent cx="6120130" cy="2288540"/>
            <wp:effectExtent l="0" t="0" r="0" b="0"/>
            <wp:docPr id="81317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75550" name=""/>
                    <pic:cNvPicPr/>
                  </pic:nvPicPr>
                  <pic:blipFill>
                    <a:blip r:embed="rId16"/>
                    <a:stretch>
                      <a:fillRect/>
                    </a:stretch>
                  </pic:blipFill>
                  <pic:spPr>
                    <a:xfrm>
                      <a:off x="0" y="0"/>
                      <a:ext cx="6120130" cy="2288540"/>
                    </a:xfrm>
                    <a:prstGeom prst="rect">
                      <a:avLst/>
                    </a:prstGeom>
                  </pic:spPr>
                </pic:pic>
              </a:graphicData>
            </a:graphic>
          </wp:inline>
        </w:drawing>
      </w:r>
    </w:p>
    <w:p w14:paraId="6465D546" w14:textId="5A29B375" w:rsidR="00F95F34" w:rsidRPr="00AC10A4" w:rsidRDefault="00F95F34" w:rsidP="00F95F34">
      <w:pPr>
        <w:spacing w:line="240" w:lineRule="auto"/>
        <w:rPr>
          <w:rFonts w:ascii="Times New Roman" w:hAnsi="Times New Roman" w:cs="Times New Roman"/>
          <w:sz w:val="24"/>
          <w:szCs w:val="24"/>
          <w:lang w:val="en-US"/>
        </w:rPr>
      </w:pPr>
      <w:r w:rsidRPr="009B1416">
        <w:rPr>
          <w:rFonts w:ascii="Times New Roman" w:hAnsi="Times New Roman" w:cs="Times New Roman"/>
          <w:b/>
          <w:bCs/>
          <w:color w:val="000000" w:themeColor="text1"/>
          <w:lang w:val="en-US"/>
        </w:rPr>
        <w:t xml:space="preserve">Figure </w:t>
      </w:r>
      <w:r w:rsidR="00933FE3">
        <w:rPr>
          <w:rFonts w:ascii="Times New Roman" w:hAnsi="Times New Roman" w:cs="Times New Roman"/>
          <w:b/>
          <w:bCs/>
          <w:color w:val="000000" w:themeColor="text1"/>
          <w:lang w:val="en-US"/>
        </w:rPr>
        <w:t>7</w:t>
      </w:r>
      <w:r w:rsidRPr="009B1416">
        <w:rPr>
          <w:rFonts w:ascii="Times New Roman" w:hAnsi="Times New Roman" w:cs="Times New Roman"/>
          <w:b/>
          <w:bCs/>
          <w:noProof/>
          <w:color w:val="000000" w:themeColor="text1"/>
          <w:lang w:val="en-US"/>
        </w:rPr>
        <w:t>.</w:t>
      </w:r>
      <w:r w:rsidRPr="009B1416">
        <w:rPr>
          <w:rFonts w:ascii="Times New Roman" w:hAnsi="Times New Roman" w:cs="Times New Roman"/>
          <w:color w:val="000000" w:themeColor="text1"/>
          <w:lang w:val="en-US"/>
        </w:rPr>
        <w:t xml:space="preserve"> </w:t>
      </w:r>
      <w:r w:rsidR="00DB169E">
        <w:rPr>
          <w:rFonts w:ascii="Times New Roman" w:hAnsi="Times New Roman" w:cs="Times New Roman"/>
          <w:i/>
          <w:iCs/>
          <w:color w:val="000000" w:themeColor="text1"/>
          <w:lang w:val="en-US"/>
        </w:rPr>
        <w:t>Left panel shows the d</w:t>
      </w:r>
      <w:r w:rsidRPr="00DB169E">
        <w:rPr>
          <w:rFonts w:ascii="Times New Roman" w:hAnsi="Times New Roman" w:cs="Times New Roman"/>
          <w:i/>
          <w:iCs/>
          <w:lang w:val="en-US"/>
        </w:rPr>
        <w:t>ivergence points for correct literal trials</w:t>
      </w:r>
      <w:r w:rsidR="00DB169E">
        <w:rPr>
          <w:rFonts w:ascii="Times New Roman" w:hAnsi="Times New Roman" w:cs="Times New Roman"/>
          <w:i/>
          <w:iCs/>
          <w:lang w:val="en-US"/>
        </w:rPr>
        <w:t>, and the right panel shows the divergence points for correct metaphorical trials.</w:t>
      </w:r>
    </w:p>
    <w:p w14:paraId="6DE73A19" w14:textId="77777777" w:rsidR="001A0280" w:rsidRPr="00AC10A4" w:rsidRDefault="001A0280" w:rsidP="001A0280">
      <w:pPr>
        <w:spacing w:line="240" w:lineRule="auto"/>
        <w:ind w:firstLine="709"/>
        <w:contextualSpacing/>
        <w:jc w:val="both"/>
        <w:rPr>
          <w:rFonts w:ascii="Times New Roman" w:hAnsi="Times New Roman" w:cs="Times New Roman"/>
          <w:sz w:val="24"/>
          <w:szCs w:val="24"/>
        </w:rPr>
      </w:pPr>
    </w:p>
    <w:p w14:paraId="3222FD98" w14:textId="7696B6BA" w:rsidR="001A0280" w:rsidRDefault="001A0280" w:rsidP="0050615E">
      <w:pPr>
        <w:spacing w:line="240" w:lineRule="auto"/>
        <w:ind w:firstLine="709"/>
        <w:contextualSpacing/>
        <w:jc w:val="both"/>
        <w:rPr>
          <w:rFonts w:ascii="Times New Roman" w:hAnsi="Times New Roman" w:cs="Times New Roman"/>
          <w:sz w:val="24"/>
          <w:szCs w:val="24"/>
        </w:rPr>
      </w:pPr>
      <w:r w:rsidRPr="00AC10A4">
        <w:rPr>
          <w:rFonts w:ascii="Times New Roman" w:hAnsi="Times New Roman" w:cs="Times New Roman"/>
          <w:sz w:val="24"/>
          <w:szCs w:val="24"/>
        </w:rPr>
        <w:t xml:space="preserve">Results for metaphorical trials (Figure </w:t>
      </w:r>
      <w:r w:rsidR="0050615E">
        <w:rPr>
          <w:rFonts w:ascii="Times New Roman" w:hAnsi="Times New Roman" w:cs="Times New Roman"/>
          <w:sz w:val="24"/>
          <w:szCs w:val="24"/>
        </w:rPr>
        <w:t>7</w:t>
      </w:r>
      <w:r w:rsidRPr="00AC10A4">
        <w:rPr>
          <w:rFonts w:ascii="Times New Roman" w:hAnsi="Times New Roman" w:cs="Times New Roman"/>
          <w:sz w:val="24"/>
          <w:szCs w:val="24"/>
        </w:rPr>
        <w:t>) showed that in the control group, no DP was identified, suggesting no clear distinction between fixations on the Target and Distractor. In contrast, for the dyslexia group, a DP was detected at 675 ms [CI: 700, 750].</w:t>
      </w:r>
      <w:r w:rsidR="0050615E">
        <w:rPr>
          <w:rFonts w:ascii="Times New Roman" w:hAnsi="Times New Roman" w:cs="Times New Roman"/>
          <w:sz w:val="24"/>
          <w:szCs w:val="24"/>
        </w:rPr>
        <w:t xml:space="preserve"> </w:t>
      </w:r>
      <w:r>
        <w:rPr>
          <w:rFonts w:ascii="Times New Roman" w:hAnsi="Times New Roman" w:cs="Times New Roman"/>
          <w:sz w:val="24"/>
          <w:szCs w:val="24"/>
        </w:rPr>
        <w:t xml:space="preserve">For incorrect trials (Figure </w:t>
      </w:r>
      <w:r w:rsidR="0050615E">
        <w:rPr>
          <w:rFonts w:ascii="Times New Roman" w:hAnsi="Times New Roman" w:cs="Times New Roman"/>
          <w:sz w:val="24"/>
          <w:szCs w:val="24"/>
        </w:rPr>
        <w:t>8</w:t>
      </w:r>
      <w:r>
        <w:rPr>
          <w:rFonts w:ascii="Times New Roman" w:hAnsi="Times New Roman" w:cs="Times New Roman"/>
          <w:sz w:val="24"/>
          <w:szCs w:val="24"/>
        </w:rPr>
        <w:t>), n</w:t>
      </w:r>
      <w:r w:rsidRPr="00AC10A4">
        <w:rPr>
          <w:rFonts w:ascii="Times New Roman" w:hAnsi="Times New Roman" w:cs="Times New Roman"/>
          <w:sz w:val="24"/>
          <w:szCs w:val="24"/>
        </w:rPr>
        <w:t xml:space="preserve">o divergence points were identified for either the control or dyslexia groups in the metaphorical </w:t>
      </w:r>
      <w:r>
        <w:rPr>
          <w:rFonts w:ascii="Times New Roman" w:hAnsi="Times New Roman" w:cs="Times New Roman"/>
          <w:sz w:val="24"/>
          <w:szCs w:val="24"/>
        </w:rPr>
        <w:t>condition</w:t>
      </w:r>
      <w:r w:rsidRPr="00AC10A4">
        <w:rPr>
          <w:rFonts w:ascii="Times New Roman" w:hAnsi="Times New Roman" w:cs="Times New Roman"/>
          <w:sz w:val="24"/>
          <w:szCs w:val="24"/>
        </w:rPr>
        <w:t xml:space="preserve"> (Figure</w:t>
      </w:r>
      <w:r>
        <w:rPr>
          <w:rFonts w:ascii="Times New Roman" w:hAnsi="Times New Roman" w:cs="Times New Roman"/>
          <w:sz w:val="24"/>
          <w:szCs w:val="24"/>
        </w:rPr>
        <w:t xml:space="preserve"> </w:t>
      </w:r>
      <w:r w:rsidR="006715EE">
        <w:rPr>
          <w:rFonts w:ascii="Times New Roman" w:hAnsi="Times New Roman" w:cs="Times New Roman"/>
          <w:sz w:val="24"/>
          <w:szCs w:val="24"/>
        </w:rPr>
        <w:t>8</w:t>
      </w:r>
      <w:r w:rsidRPr="00AC10A4">
        <w:rPr>
          <w:rFonts w:ascii="Times New Roman" w:hAnsi="Times New Roman" w:cs="Times New Roman"/>
          <w:sz w:val="24"/>
          <w:szCs w:val="24"/>
        </w:rPr>
        <w:t>).</w:t>
      </w:r>
    </w:p>
    <w:p w14:paraId="036772E9" w14:textId="77777777" w:rsidR="001A0280" w:rsidRPr="00AC10A4" w:rsidRDefault="001A0280" w:rsidP="001A0280">
      <w:pPr>
        <w:spacing w:line="240" w:lineRule="auto"/>
        <w:ind w:firstLine="709"/>
        <w:contextualSpacing/>
        <w:jc w:val="both"/>
        <w:rPr>
          <w:rFonts w:ascii="Times New Roman" w:hAnsi="Times New Roman" w:cs="Times New Roman"/>
          <w:sz w:val="24"/>
          <w:szCs w:val="24"/>
        </w:rPr>
      </w:pPr>
    </w:p>
    <w:p w14:paraId="32AFFB15" w14:textId="77777777" w:rsidR="001A0280" w:rsidRPr="00AC10A4" w:rsidRDefault="001A0280" w:rsidP="001A0280">
      <w:pPr>
        <w:spacing w:line="240" w:lineRule="auto"/>
        <w:ind w:firstLine="709"/>
        <w:contextualSpacing/>
        <w:jc w:val="both"/>
        <w:rPr>
          <w:rFonts w:ascii="Times New Roman" w:hAnsi="Times New Roman" w:cs="Times New Roman"/>
          <w:sz w:val="24"/>
          <w:szCs w:val="24"/>
        </w:rPr>
      </w:pPr>
    </w:p>
    <w:p w14:paraId="4C538886" w14:textId="3BBEB818" w:rsidR="000572BB" w:rsidRDefault="00A55415" w:rsidP="001A0280">
      <w:pPr>
        <w:spacing w:line="240" w:lineRule="auto"/>
        <w:jc w:val="both"/>
        <w:rPr>
          <w:rFonts w:ascii="Times New Roman" w:hAnsi="Times New Roman" w:cs="Times New Roman"/>
          <w:bCs/>
          <w:iCs/>
          <w:sz w:val="24"/>
          <w:szCs w:val="24"/>
          <w:lang w:val="en-US"/>
        </w:rPr>
      </w:pPr>
      <w:r>
        <w:rPr>
          <w:noProof/>
        </w:rPr>
        <w:lastRenderedPageBreak/>
        <w:drawing>
          <wp:inline distT="0" distB="0" distL="0" distR="0" wp14:anchorId="1EA945EA" wp14:editId="681DB47C">
            <wp:extent cx="6120130" cy="2178685"/>
            <wp:effectExtent l="0" t="0" r="0" b="0"/>
            <wp:docPr id="8086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9664" name=""/>
                    <pic:cNvPicPr/>
                  </pic:nvPicPr>
                  <pic:blipFill>
                    <a:blip r:embed="rId17"/>
                    <a:stretch>
                      <a:fillRect/>
                    </a:stretch>
                  </pic:blipFill>
                  <pic:spPr>
                    <a:xfrm>
                      <a:off x="0" y="0"/>
                      <a:ext cx="6120130" cy="2178685"/>
                    </a:xfrm>
                    <a:prstGeom prst="rect">
                      <a:avLst/>
                    </a:prstGeom>
                  </pic:spPr>
                </pic:pic>
              </a:graphicData>
            </a:graphic>
          </wp:inline>
        </w:drawing>
      </w:r>
    </w:p>
    <w:p w14:paraId="4528B097" w14:textId="361B7D72" w:rsidR="00A55415" w:rsidRPr="00DB169E" w:rsidRDefault="00A55415" w:rsidP="00A55415">
      <w:pPr>
        <w:rPr>
          <w:i/>
          <w:iCs/>
          <w:lang w:val="en-US"/>
        </w:rPr>
      </w:pPr>
      <w:r w:rsidRPr="009B1416">
        <w:rPr>
          <w:rFonts w:ascii="Times New Roman" w:hAnsi="Times New Roman" w:cs="Times New Roman"/>
          <w:b/>
          <w:bCs/>
          <w:color w:val="000000" w:themeColor="text1"/>
          <w:lang w:val="en-US"/>
        </w:rPr>
        <w:t xml:space="preserve">Figure </w:t>
      </w:r>
      <w:r w:rsidR="00933FE3">
        <w:rPr>
          <w:rFonts w:ascii="Times New Roman" w:hAnsi="Times New Roman" w:cs="Times New Roman"/>
          <w:b/>
          <w:bCs/>
          <w:color w:val="000000" w:themeColor="text1"/>
          <w:lang w:val="en-US"/>
        </w:rPr>
        <w:t>8</w:t>
      </w:r>
      <w:r w:rsidRPr="009B1416">
        <w:rPr>
          <w:rFonts w:ascii="Times New Roman" w:hAnsi="Times New Roman" w:cs="Times New Roman"/>
          <w:b/>
          <w:bCs/>
          <w:noProof/>
          <w:color w:val="000000" w:themeColor="text1"/>
          <w:lang w:val="en-US"/>
        </w:rPr>
        <w:t>.</w:t>
      </w:r>
      <w:r w:rsidRPr="009B1416">
        <w:rPr>
          <w:rFonts w:ascii="Times New Roman" w:hAnsi="Times New Roman" w:cs="Times New Roman"/>
          <w:color w:val="000000" w:themeColor="text1"/>
          <w:lang w:val="en-US"/>
        </w:rPr>
        <w:t xml:space="preserve"> </w:t>
      </w:r>
      <w:r w:rsidRPr="00DB169E">
        <w:rPr>
          <w:rFonts w:ascii="Times New Roman" w:hAnsi="Times New Roman" w:cs="Times New Roman"/>
          <w:i/>
          <w:iCs/>
          <w:lang w:val="en-US"/>
        </w:rPr>
        <w:t>Time course analysis for incorrect trials (metaphorical) between groups</w:t>
      </w:r>
      <w:r w:rsidR="00DB169E">
        <w:rPr>
          <w:rFonts w:ascii="Times New Roman" w:hAnsi="Times New Roman" w:cs="Times New Roman"/>
          <w:i/>
          <w:iCs/>
          <w:lang w:val="en-US"/>
        </w:rPr>
        <w:t xml:space="preserve"> (left panel)</w:t>
      </w:r>
      <w:r w:rsidRPr="00DB169E">
        <w:rPr>
          <w:rFonts w:ascii="Times New Roman" w:hAnsi="Times New Roman" w:cs="Times New Roman"/>
          <w:i/>
          <w:iCs/>
          <w:lang w:val="en-US"/>
        </w:rPr>
        <w:t>.</w:t>
      </w:r>
      <w:r w:rsidR="00DB169E">
        <w:rPr>
          <w:rFonts w:ascii="Times New Roman" w:hAnsi="Times New Roman" w:cs="Times New Roman"/>
          <w:i/>
          <w:iCs/>
          <w:lang w:val="en-US"/>
        </w:rPr>
        <w:t xml:space="preserve"> Divergence points analysis for metaphorical incorrect trials is shown in the right panel. </w:t>
      </w:r>
    </w:p>
    <w:p w14:paraId="3D2EBD80" w14:textId="77777777" w:rsidR="00A55415" w:rsidRPr="00073BFB" w:rsidRDefault="00A55415" w:rsidP="001A0280">
      <w:pPr>
        <w:spacing w:line="240" w:lineRule="auto"/>
        <w:jc w:val="both"/>
        <w:rPr>
          <w:rFonts w:ascii="Times New Roman" w:hAnsi="Times New Roman" w:cs="Times New Roman"/>
          <w:bCs/>
          <w:iCs/>
          <w:sz w:val="24"/>
          <w:szCs w:val="24"/>
          <w:lang w:val="en-US"/>
        </w:rPr>
      </w:pPr>
    </w:p>
    <w:p w14:paraId="07271E5D" w14:textId="5CF0BA94" w:rsidR="004B041F" w:rsidRPr="00073BFB" w:rsidRDefault="004B041F" w:rsidP="00073BFB">
      <w:pPr>
        <w:spacing w:after="0" w:line="240" w:lineRule="auto"/>
        <w:contextualSpacing/>
        <w:jc w:val="both"/>
        <w:rPr>
          <w:rFonts w:ascii="Times New Roman" w:hAnsi="Times New Roman" w:cs="Times New Roman"/>
          <w:b/>
          <w:bCs/>
          <w:iCs/>
          <w:sz w:val="24"/>
          <w:szCs w:val="24"/>
          <w:lang w:val="en-US"/>
        </w:rPr>
      </w:pPr>
      <w:r w:rsidRPr="00073BFB">
        <w:rPr>
          <w:rFonts w:ascii="Times New Roman" w:hAnsi="Times New Roman" w:cs="Times New Roman"/>
          <w:b/>
          <w:bCs/>
          <w:iCs/>
          <w:sz w:val="24"/>
          <w:szCs w:val="24"/>
          <w:lang w:val="en-US"/>
        </w:rPr>
        <w:t xml:space="preserve">7. </w:t>
      </w:r>
      <w:r w:rsidR="000572BB" w:rsidRPr="00073BFB">
        <w:rPr>
          <w:rFonts w:ascii="Times New Roman" w:hAnsi="Times New Roman" w:cs="Times New Roman"/>
          <w:b/>
          <w:bCs/>
          <w:iCs/>
          <w:sz w:val="24"/>
          <w:szCs w:val="24"/>
          <w:lang w:val="en-US"/>
        </w:rPr>
        <w:t>Discussion</w:t>
      </w:r>
    </w:p>
    <w:p w14:paraId="3B87CD1F" w14:textId="77777777" w:rsidR="004C0EE6" w:rsidRPr="00073BFB" w:rsidRDefault="004C0EE6" w:rsidP="00073BFB">
      <w:pPr>
        <w:spacing w:after="0" w:line="240" w:lineRule="auto"/>
        <w:contextualSpacing/>
        <w:jc w:val="both"/>
        <w:rPr>
          <w:rFonts w:ascii="Times New Roman" w:hAnsi="Times New Roman" w:cs="Times New Roman"/>
          <w:sz w:val="24"/>
          <w:szCs w:val="24"/>
          <w:lang w:val="en-US"/>
        </w:rPr>
      </w:pPr>
    </w:p>
    <w:p w14:paraId="260FCF6F" w14:textId="0C67FD21" w:rsidR="00866465" w:rsidRPr="00866465" w:rsidRDefault="00866465" w:rsidP="00866465">
      <w:pPr>
        <w:spacing w:after="0" w:line="240" w:lineRule="auto"/>
        <w:ind w:firstLine="720"/>
        <w:contextualSpacing/>
        <w:jc w:val="both"/>
        <w:rPr>
          <w:rFonts w:ascii="Times New Roman" w:hAnsi="Times New Roman" w:cs="Times New Roman"/>
          <w:sz w:val="24"/>
          <w:szCs w:val="24"/>
          <w:lang w:val="en-US"/>
        </w:rPr>
      </w:pPr>
      <w:r w:rsidRPr="00866465">
        <w:rPr>
          <w:rFonts w:ascii="Times New Roman" w:hAnsi="Times New Roman" w:cs="Times New Roman"/>
          <w:sz w:val="24"/>
          <w:szCs w:val="24"/>
          <w:lang w:val="en-US"/>
        </w:rPr>
        <w:t xml:space="preserve">The current study explored novel metaphor processing in adults with dyslexia. Prior literature is limited and is filled with conflicting findings (see Table 1), concerning whether individuals with dyslexia experience difficulties with metaphor comprehension. In this study, we examined both offline (comprehension) and online (reaction times and eye movements) processing measures with novel metaphors, using a version of the Visual World Paradigm. In order to mitigate the reading difficulties in individuals with dyslexia, we presented the metaphorical expressions auditorily. In addition, we also assessed several of the key individual differences measures that were identified in previous research as being related to metaphor comprehension (e.g. working memory, </w:t>
      </w:r>
      <w:proofErr w:type="spellStart"/>
      <w:r w:rsidRPr="00866465">
        <w:rPr>
          <w:rFonts w:ascii="Times New Roman" w:hAnsi="Times New Roman" w:cs="Times New Roman"/>
          <w:sz w:val="24"/>
          <w:szCs w:val="24"/>
          <w:lang w:val="en-US"/>
        </w:rPr>
        <w:t>ToM</w:t>
      </w:r>
      <w:proofErr w:type="spellEnd"/>
      <w:r w:rsidRPr="00866465">
        <w:rPr>
          <w:rFonts w:ascii="Times New Roman" w:hAnsi="Times New Roman" w:cs="Times New Roman"/>
          <w:sz w:val="24"/>
          <w:szCs w:val="24"/>
          <w:lang w:val="en-US"/>
        </w:rPr>
        <w:t xml:space="preserve">, and verbal abilities). The results of this study showed that individuals with dyslexia </w:t>
      </w:r>
      <w:r w:rsidR="005815A3">
        <w:rPr>
          <w:rFonts w:ascii="Times New Roman" w:hAnsi="Times New Roman" w:cs="Times New Roman"/>
          <w:sz w:val="24"/>
          <w:szCs w:val="24"/>
          <w:lang w:val="en-US"/>
        </w:rPr>
        <w:t>chose</w:t>
      </w:r>
      <w:r w:rsidRPr="00866465">
        <w:rPr>
          <w:rFonts w:ascii="Times New Roman" w:hAnsi="Times New Roman" w:cs="Times New Roman"/>
          <w:sz w:val="24"/>
          <w:szCs w:val="24"/>
          <w:lang w:val="en-US"/>
        </w:rPr>
        <w:t xml:space="preserve"> the metaphorical meaning at a similar rate as did the control participants. With respect to online processing, we found that individuals with dyslexia were generally slower, and were specifically slower in comprehending metaphorical utterances. Moreover, the eye movement data allows us to draw further conclusions concerning the underlying nature of the processing difficulties (slowdowns) that individuals with dyslexia experience. In the remainder of the discussion, we first cover comprehension, followed by reaction times and eye movements, and lastly, we provide a few comments on the individual differences</w:t>
      </w:r>
      <w:r w:rsidR="005815A3">
        <w:rPr>
          <w:rFonts w:ascii="Times New Roman" w:hAnsi="Times New Roman" w:cs="Times New Roman"/>
          <w:sz w:val="24"/>
          <w:szCs w:val="24"/>
          <w:lang w:val="en-US"/>
        </w:rPr>
        <w:t xml:space="preserve"> m</w:t>
      </w:r>
      <w:r w:rsidRPr="00866465">
        <w:rPr>
          <w:rFonts w:ascii="Times New Roman" w:hAnsi="Times New Roman" w:cs="Times New Roman"/>
          <w:sz w:val="24"/>
          <w:szCs w:val="24"/>
          <w:lang w:val="en-US"/>
        </w:rPr>
        <w:t xml:space="preserve">easures.  </w:t>
      </w:r>
    </w:p>
    <w:p w14:paraId="47959B28" w14:textId="195D44A7" w:rsidR="00866465" w:rsidRPr="00866465" w:rsidRDefault="00866465" w:rsidP="00866465">
      <w:pPr>
        <w:spacing w:after="0" w:line="240" w:lineRule="auto"/>
        <w:ind w:firstLine="720"/>
        <w:contextualSpacing/>
        <w:jc w:val="both"/>
        <w:rPr>
          <w:rFonts w:ascii="Times New Roman" w:hAnsi="Times New Roman" w:cs="Times New Roman"/>
          <w:bCs/>
          <w:iCs/>
          <w:sz w:val="24"/>
          <w:szCs w:val="24"/>
          <w:lang w:val="en-US"/>
        </w:rPr>
      </w:pPr>
      <w:r w:rsidRPr="00866465">
        <w:rPr>
          <w:rFonts w:ascii="Times New Roman" w:hAnsi="Times New Roman" w:cs="Times New Roman"/>
          <w:sz w:val="24"/>
          <w:szCs w:val="24"/>
          <w:lang w:val="en-US"/>
        </w:rPr>
        <w:t>The “accuracy” rate in metaphorical trials was comparable between the two groups, indicating no difference in rate in which individuals with dyslexia chose the metaphorical meaning. Throughout this paper, we have referred to comprehension using the labels of “correct” and “incorrect”. This is a convenient simplification for metaphor trials. Ultimately, participants made a choice (or a decision) about which of the two available interpretations (based on the relevant visual contexts) they thought best corresponded to the (metaphorical) utterance</w:t>
      </w:r>
      <w:r w:rsidR="005815A3">
        <w:rPr>
          <w:rFonts w:ascii="Times New Roman" w:hAnsi="Times New Roman" w:cs="Times New Roman"/>
          <w:sz w:val="24"/>
          <w:szCs w:val="24"/>
          <w:lang w:val="en-US"/>
        </w:rPr>
        <w:t>s</w:t>
      </w:r>
      <w:r w:rsidRPr="00866465">
        <w:rPr>
          <w:rFonts w:ascii="Times New Roman" w:hAnsi="Times New Roman" w:cs="Times New Roman"/>
          <w:sz w:val="24"/>
          <w:szCs w:val="24"/>
          <w:lang w:val="en-US"/>
        </w:rPr>
        <w:t xml:space="preserve">. Literal utterances only have one relevant picture, and therefore, these trials do not involve any kind of choice (or decision) process, and these can be clearly described as “correct” and “incorrect”. Results showed no difference between groups and overall accuracy was &gt; 95% correct for literal trials. For metaphor trials, participants were more likely to choose the metaphorical interpretation, with an approximate 60/40 split (metaphor/literal, respectively). This is similar to the rates reported in prior studies </w:t>
      </w:r>
      <w:r w:rsidRPr="00866465">
        <w:rPr>
          <w:rFonts w:ascii="Times New Roman" w:hAnsi="Times New Roman" w:cs="Times New Roman"/>
          <w:bCs/>
          <w:iCs/>
          <w:sz w:val="24"/>
          <w:szCs w:val="24"/>
          <w:lang w:val="en-US"/>
        </w:rPr>
        <w:fldChar w:fldCharType="begin"/>
      </w:r>
      <w:r w:rsidRPr="00866465">
        <w:rPr>
          <w:rFonts w:ascii="Times New Roman" w:hAnsi="Times New Roman" w:cs="Times New Roman"/>
          <w:bCs/>
          <w:iCs/>
          <w:sz w:val="24"/>
          <w:szCs w:val="24"/>
          <w:lang w:val="en-US"/>
        </w:rPr>
        <w:instrText xml:space="preserve"> ADDIN ZOTERO_ITEM CSL_CITATION {"citationID":"Ja8vq0mh","properties":{"formattedCitation":"(Di Paola et al., 2020; Pouscoulous &amp; Tomasello, 2020)","plainCitation":"(Di Paola et al., 2020; Pouscoulous &amp; Tomasello, 2020)","noteIndex":0},"citationItems":[{"id":107,"uris":["http://zotero.org/users/10108531/items/SB33HKQC"],"itemData":{"id":107,"type":"article-journal","abstract":"Metaphor understanding is traditionally thought to emerge late in childhood. Although recent findings suggest that even pre-schoolers can understand metaphor in more age appropriate paradigms, it is still unclear which skills scaffold the development of metaphorical abilities. Metaphor comprehension is a complex process relying on multiple cognitive abilities with different developmental paths, such as Alternative Naming (i.e., accepting two labels for the same referent) and Analogy Perception (i.e., detecting similarities across objects). These two abilities may prove crucial to explain the development of metaphoric competence because difficulties in one or both of them may impose additional demands linked to children's general cognitive development. This might contribute to slow down the development of metaphor understanding. This study aims at teasing apart the contribution of Alternative Naming and Analogy Perception in the development of metaphor understanding. Using a unified picture-matching paradigm, we tested 3- and 4-year-olds in three tasks: Metaphor Comprehension, Alternative Naming and Analogy Perception. Results reveal that children with better alternative naming and analogical abilities show a better performance in the metaphor task, suggesting that both Alternative Naming and Analogy Perception play a role in the development of metaphoric competence.","container-title":"Journal of Pragmatics","DOI":"10.1016/j.pragma.2019.08.008","ISSN":"03782166","note":"publisher: Elsevier B.V.","page":"235-251","title":"Metaphorical developing minds: The role of multiple factors in the development of metaphor comprehension","volume":"156","author":[{"family":"Di Paola","given":"Simona"},{"family":"Domaneschi","given":"Filippo"},{"family":"Pouscoulous","given":"Nausicaa"}],"issued":{"date-parts":[["2020",1,1]]}}},{"id":1759,"uris":["http://zotero.org/users/10108531/items/M4MLME44"],"itemData":{"id":1759,"type":"article-journal","abstract":"To assess children's cognitive capacities to understand (rather than explain or paraphrase) metaphors, we investigated how 3-year-olds (n = 36; 3;0–3;3) fare with novel metaphors corresponding to their world knowledge and linguistic competences using a behavioural choice paradigm. In a game, participants had to give the experimenter one of two objects referred to by a metaphorical expression. Unlike what previous literature suggests, our results indicate that 3-year-olds are able to understand novel metaphors that are appropriate for their vocabulary and world knowledge, based on action measures rather than metalinguistic responses. We discuss how factors other than incompetence with pragmatic inferencing can explain difficulties with metaphor comprehension.","container-title":"Journal of Pragmatics","DOI":"10.1016/j.pragma.2019.05.021","ISSN":"0378-2166","journalAbbreviation":"Journal of Pragmatics","language":"en","page":"160-167","source":"ScienceDirect","title":"Early birds: Metaphor understanding in 3-year-olds","title-short":"Early birds","volume":"156","author":[{"family":"Pouscoulous","given":"Nausicaa"},{"family":"Tomasello","given":"Michael"}],"issued":{"date-parts":[["2020",1,1]]}}}],"schema":"https://github.com/citation-style-language/schema/raw/master/csl-citation.json"} </w:instrText>
      </w:r>
      <w:r w:rsidRPr="00866465">
        <w:rPr>
          <w:rFonts w:ascii="Times New Roman" w:hAnsi="Times New Roman" w:cs="Times New Roman"/>
          <w:bCs/>
          <w:iCs/>
          <w:sz w:val="24"/>
          <w:szCs w:val="24"/>
          <w:lang w:val="en-US"/>
        </w:rPr>
        <w:fldChar w:fldCharType="separate"/>
      </w:r>
      <w:r w:rsidRPr="00866465">
        <w:rPr>
          <w:rFonts w:ascii="Times New Roman" w:hAnsi="Times New Roman" w:cs="Times New Roman"/>
          <w:bCs/>
          <w:iCs/>
          <w:sz w:val="24"/>
          <w:szCs w:val="24"/>
          <w:lang w:val="en-US"/>
        </w:rPr>
        <w:t>(Di Paola et al., 2020; Pouscoulous &amp; Tomasello, 2020)</w:t>
      </w:r>
      <w:r w:rsidRPr="00866465">
        <w:rPr>
          <w:rFonts w:ascii="Times New Roman" w:hAnsi="Times New Roman" w:cs="Times New Roman"/>
          <w:sz w:val="24"/>
          <w:szCs w:val="24"/>
          <w:lang w:val="en-US"/>
        </w:rPr>
        <w:fldChar w:fldCharType="end"/>
      </w:r>
      <w:r w:rsidRPr="00866465">
        <w:rPr>
          <w:rFonts w:ascii="Times New Roman" w:hAnsi="Times New Roman" w:cs="Times New Roman"/>
          <w:bCs/>
          <w:iCs/>
          <w:sz w:val="24"/>
          <w:szCs w:val="24"/>
          <w:lang w:val="en-US"/>
        </w:rPr>
        <w:t xml:space="preserve">. What is important for the current study is that the response patterns were comparable between the two groups, which resulted in a non-significant main effect of group and no interaction between group and </w:t>
      </w:r>
      <w:r w:rsidR="005815A3">
        <w:rPr>
          <w:rFonts w:ascii="Times New Roman" w:hAnsi="Times New Roman" w:cs="Times New Roman"/>
          <w:bCs/>
          <w:iCs/>
          <w:sz w:val="24"/>
          <w:szCs w:val="24"/>
          <w:lang w:val="en-US"/>
        </w:rPr>
        <w:t>sentence</w:t>
      </w:r>
      <w:r w:rsidRPr="00866465">
        <w:rPr>
          <w:rFonts w:ascii="Times New Roman" w:hAnsi="Times New Roman" w:cs="Times New Roman"/>
          <w:bCs/>
          <w:iCs/>
          <w:sz w:val="24"/>
          <w:szCs w:val="24"/>
          <w:lang w:val="en-US"/>
        </w:rPr>
        <w:t xml:space="preserve"> type (literal/metaphorical). </w:t>
      </w:r>
    </w:p>
    <w:p w14:paraId="516E3275" w14:textId="0EED01F9" w:rsidR="00866465" w:rsidRPr="00866465" w:rsidRDefault="00866465" w:rsidP="00866465">
      <w:pPr>
        <w:spacing w:after="0" w:line="240" w:lineRule="auto"/>
        <w:ind w:firstLine="720"/>
        <w:contextualSpacing/>
        <w:jc w:val="both"/>
        <w:rPr>
          <w:rFonts w:ascii="Times New Roman" w:hAnsi="Times New Roman" w:cs="Times New Roman"/>
          <w:bCs/>
          <w:iCs/>
          <w:sz w:val="24"/>
          <w:szCs w:val="24"/>
          <w:lang w:val="en-US"/>
        </w:rPr>
      </w:pPr>
      <w:r w:rsidRPr="00866465">
        <w:rPr>
          <w:rFonts w:ascii="Times New Roman" w:hAnsi="Times New Roman" w:cs="Times New Roman"/>
          <w:bCs/>
          <w:iCs/>
          <w:sz w:val="24"/>
          <w:szCs w:val="24"/>
          <w:lang w:val="en-US"/>
        </w:rPr>
        <w:t xml:space="preserve">In the next few paragraphs, we present an integrated discussion of reaction times and eye movements, and for the sake of simplicity, we first discuss the results from literal trials, then the </w:t>
      </w:r>
      <w:r w:rsidRPr="00866465">
        <w:rPr>
          <w:rFonts w:ascii="Times New Roman" w:hAnsi="Times New Roman" w:cs="Times New Roman"/>
          <w:bCs/>
          <w:iCs/>
          <w:sz w:val="24"/>
          <w:szCs w:val="24"/>
          <w:lang w:val="en-US"/>
        </w:rPr>
        <w:lastRenderedPageBreak/>
        <w:t xml:space="preserve">“correct” metaphorical trials, and lastly, the “incorrect” metaphorical trials. For the literal trials, both </w:t>
      </w:r>
      <w:r w:rsidR="00170ED6">
        <w:rPr>
          <w:rFonts w:ascii="Times New Roman" w:hAnsi="Times New Roman" w:cs="Times New Roman"/>
          <w:bCs/>
          <w:iCs/>
          <w:sz w:val="24"/>
          <w:szCs w:val="24"/>
          <w:lang w:val="en-US"/>
        </w:rPr>
        <w:t xml:space="preserve">the </w:t>
      </w:r>
      <w:r w:rsidRPr="00866465">
        <w:rPr>
          <w:rFonts w:ascii="Times New Roman" w:hAnsi="Times New Roman" w:cs="Times New Roman"/>
          <w:bCs/>
          <w:iCs/>
          <w:sz w:val="24"/>
          <w:szCs w:val="24"/>
          <w:lang w:val="en-US"/>
        </w:rPr>
        <w:t xml:space="preserve">control and dyslexia group showed </w:t>
      </w:r>
      <w:proofErr w:type="gramStart"/>
      <w:r w:rsidRPr="00866465">
        <w:rPr>
          <w:rFonts w:ascii="Times New Roman" w:hAnsi="Times New Roman" w:cs="Times New Roman"/>
          <w:bCs/>
          <w:iCs/>
          <w:sz w:val="24"/>
          <w:szCs w:val="24"/>
          <w:lang w:val="en-US"/>
        </w:rPr>
        <w:t xml:space="preserve">a </w:t>
      </w:r>
      <w:r w:rsidR="00182634" w:rsidRPr="00866465">
        <w:rPr>
          <w:rFonts w:ascii="Times New Roman" w:hAnsi="Times New Roman" w:cs="Times New Roman"/>
          <w:bCs/>
          <w:iCs/>
          <w:sz w:val="24"/>
          <w:szCs w:val="24"/>
          <w:lang w:val="en-US"/>
        </w:rPr>
        <w:t xml:space="preserve"> </w:t>
      </w:r>
      <w:r w:rsidRPr="00866465">
        <w:rPr>
          <w:rFonts w:ascii="Times New Roman" w:hAnsi="Times New Roman" w:cs="Times New Roman"/>
          <w:bCs/>
          <w:iCs/>
          <w:sz w:val="24"/>
          <w:szCs w:val="24"/>
          <w:lang w:val="en-US"/>
        </w:rPr>
        <w:t>divergence</w:t>
      </w:r>
      <w:proofErr w:type="gramEnd"/>
      <w:r w:rsidRPr="00866465">
        <w:rPr>
          <w:rFonts w:ascii="Times New Roman" w:hAnsi="Times New Roman" w:cs="Times New Roman"/>
          <w:bCs/>
          <w:iCs/>
          <w:sz w:val="24"/>
          <w:szCs w:val="24"/>
          <w:lang w:val="en-US"/>
        </w:rPr>
        <w:t xml:space="preserve"> between the target and distractor picture, which occurred approximately 600 ms from the onset of NP2 (looks to the target were significantly greater than the distractor). The divergence point difference between groups was 45 ms, in which the divergence occurred </w:t>
      </w:r>
      <w:r w:rsidR="00182634">
        <w:rPr>
          <w:rFonts w:ascii="Times New Roman" w:hAnsi="Times New Roman" w:cs="Times New Roman"/>
          <w:bCs/>
          <w:iCs/>
          <w:sz w:val="24"/>
          <w:szCs w:val="24"/>
          <w:lang w:val="en-US"/>
        </w:rPr>
        <w:t xml:space="preserve">numerically </w:t>
      </w:r>
      <w:r w:rsidRPr="00866465">
        <w:rPr>
          <w:rFonts w:ascii="Times New Roman" w:hAnsi="Times New Roman" w:cs="Times New Roman"/>
          <w:bCs/>
          <w:iCs/>
          <w:sz w:val="24"/>
          <w:szCs w:val="24"/>
          <w:lang w:val="en-US"/>
        </w:rPr>
        <w:t xml:space="preserve">later in individuals with dyslexia. The analysis of reaction times, for literal trials, showed approximately a 200 ms difference between groups, which was not significant. To summarize, there is very little difference between groups in the processing of literal utterances. Attention to the relevant picture is slightly slower and the reaction time is slightly longer in participants with dyslexia (neither of which achieved statistical significance).   </w:t>
      </w:r>
    </w:p>
    <w:p w14:paraId="0B92A60C" w14:textId="6B0A534C" w:rsidR="00866465" w:rsidRPr="00866465" w:rsidRDefault="00866465" w:rsidP="00866465">
      <w:pPr>
        <w:spacing w:after="0" w:line="240" w:lineRule="auto"/>
        <w:ind w:firstLine="720"/>
        <w:contextualSpacing/>
        <w:jc w:val="both"/>
        <w:rPr>
          <w:rFonts w:ascii="Times New Roman" w:hAnsi="Times New Roman" w:cs="Times New Roman"/>
          <w:bCs/>
          <w:iCs/>
          <w:sz w:val="24"/>
          <w:szCs w:val="24"/>
          <w:lang w:val="en-US"/>
        </w:rPr>
      </w:pPr>
      <w:r w:rsidRPr="00866465">
        <w:rPr>
          <w:rFonts w:ascii="Times New Roman" w:hAnsi="Times New Roman" w:cs="Times New Roman"/>
          <w:bCs/>
          <w:iCs/>
          <w:sz w:val="24"/>
          <w:szCs w:val="24"/>
          <w:lang w:val="en-US"/>
        </w:rPr>
        <w:t xml:space="preserve">For metaphor trials, there was a significant reaction time difference between groups when all trials were analyzed, but when only correct trials were considered, the difference between the dyslexia and control group was smaller (i.e. there was a main effect of group but not a significant interaction). To further understand the disparity between these two analyses, we also examined the reaction times for metaphor (incorrect) trials. In these trials, participants selected the distractor image, which depicts the literal meaning of the sentence. The dyslexia group had significantly longer reaction times compared to controls. Moreover, controls showed </w:t>
      </w:r>
      <w:r w:rsidR="00555A59">
        <w:rPr>
          <w:rFonts w:ascii="Times New Roman" w:hAnsi="Times New Roman" w:cs="Times New Roman"/>
          <w:bCs/>
          <w:iCs/>
          <w:sz w:val="24"/>
          <w:szCs w:val="24"/>
          <w:lang w:val="en-US"/>
        </w:rPr>
        <w:t>more</w:t>
      </w:r>
      <w:r w:rsidRPr="00866465">
        <w:rPr>
          <w:rFonts w:ascii="Times New Roman" w:hAnsi="Times New Roman" w:cs="Times New Roman"/>
          <w:bCs/>
          <w:iCs/>
          <w:sz w:val="24"/>
          <w:szCs w:val="24"/>
          <w:lang w:val="en-US"/>
        </w:rPr>
        <w:t xml:space="preserve"> similar reaction times for correct and incorrect metaphor trials, whereas individuals with dyslexia showed a clear trend for longer reaction times in </w:t>
      </w:r>
      <w:r w:rsidR="00555A59">
        <w:rPr>
          <w:rFonts w:ascii="Times New Roman" w:hAnsi="Times New Roman" w:cs="Times New Roman"/>
          <w:bCs/>
          <w:iCs/>
          <w:sz w:val="24"/>
          <w:szCs w:val="24"/>
          <w:lang w:val="en-US"/>
        </w:rPr>
        <w:t>“</w:t>
      </w:r>
      <w:r w:rsidRPr="00866465">
        <w:rPr>
          <w:rFonts w:ascii="Times New Roman" w:hAnsi="Times New Roman" w:cs="Times New Roman"/>
          <w:bCs/>
          <w:iCs/>
          <w:sz w:val="24"/>
          <w:szCs w:val="24"/>
          <w:lang w:val="en-US"/>
        </w:rPr>
        <w:t>incorrect</w:t>
      </w:r>
      <w:r w:rsidR="00555A59">
        <w:rPr>
          <w:rFonts w:ascii="Times New Roman" w:hAnsi="Times New Roman" w:cs="Times New Roman"/>
          <w:bCs/>
          <w:iCs/>
          <w:sz w:val="24"/>
          <w:szCs w:val="24"/>
          <w:lang w:val="en-US"/>
        </w:rPr>
        <w:t>”</w:t>
      </w:r>
      <w:r w:rsidRPr="00866465">
        <w:rPr>
          <w:rFonts w:ascii="Times New Roman" w:hAnsi="Times New Roman" w:cs="Times New Roman"/>
          <w:bCs/>
          <w:iCs/>
          <w:sz w:val="24"/>
          <w:szCs w:val="24"/>
          <w:lang w:val="en-US"/>
        </w:rPr>
        <w:t xml:space="preserve"> trials as compared to </w:t>
      </w:r>
      <w:r w:rsidR="00555A59">
        <w:rPr>
          <w:rFonts w:ascii="Times New Roman" w:hAnsi="Times New Roman" w:cs="Times New Roman"/>
          <w:bCs/>
          <w:iCs/>
          <w:sz w:val="24"/>
          <w:szCs w:val="24"/>
          <w:lang w:val="en-US"/>
        </w:rPr>
        <w:t>“</w:t>
      </w:r>
      <w:r w:rsidRPr="00866465">
        <w:rPr>
          <w:rFonts w:ascii="Times New Roman" w:hAnsi="Times New Roman" w:cs="Times New Roman"/>
          <w:bCs/>
          <w:iCs/>
          <w:sz w:val="24"/>
          <w:szCs w:val="24"/>
          <w:lang w:val="en-US"/>
        </w:rPr>
        <w:t>correct</w:t>
      </w:r>
      <w:r w:rsidR="00555A59">
        <w:rPr>
          <w:rFonts w:ascii="Times New Roman" w:hAnsi="Times New Roman" w:cs="Times New Roman"/>
          <w:bCs/>
          <w:iCs/>
          <w:sz w:val="24"/>
          <w:szCs w:val="24"/>
          <w:lang w:val="en-US"/>
        </w:rPr>
        <w:t>”</w:t>
      </w:r>
      <w:r w:rsidRPr="00866465">
        <w:rPr>
          <w:rFonts w:ascii="Times New Roman" w:hAnsi="Times New Roman" w:cs="Times New Roman"/>
          <w:bCs/>
          <w:iCs/>
          <w:sz w:val="24"/>
          <w:szCs w:val="24"/>
          <w:lang w:val="en-US"/>
        </w:rPr>
        <w:t xml:space="preserve"> trials. This difference is the reason why the analysis of reaction times for all trials showed a significant interaction, whereas correct trials showed only a double main effect. </w:t>
      </w:r>
    </w:p>
    <w:p w14:paraId="13F8D149" w14:textId="5924104B" w:rsidR="00866465" w:rsidRPr="00866465" w:rsidRDefault="00866465" w:rsidP="00866465">
      <w:pPr>
        <w:spacing w:after="0" w:line="240" w:lineRule="auto"/>
        <w:ind w:firstLine="720"/>
        <w:contextualSpacing/>
        <w:jc w:val="both"/>
        <w:rPr>
          <w:rFonts w:ascii="Times New Roman" w:hAnsi="Times New Roman" w:cs="Times New Roman"/>
          <w:bCs/>
          <w:iCs/>
          <w:sz w:val="24"/>
          <w:szCs w:val="24"/>
          <w:lang w:val="en-US"/>
        </w:rPr>
      </w:pPr>
      <w:r w:rsidRPr="00866465">
        <w:rPr>
          <w:rFonts w:ascii="Times New Roman" w:hAnsi="Times New Roman" w:cs="Times New Roman"/>
          <w:bCs/>
          <w:iCs/>
          <w:sz w:val="24"/>
          <w:szCs w:val="24"/>
          <w:lang w:val="en-US"/>
        </w:rPr>
        <w:t xml:space="preserve">It is important to note that the reaction times of metaphor (incorrect) trials are </w:t>
      </w:r>
      <w:r w:rsidRPr="00866465">
        <w:rPr>
          <w:rFonts w:ascii="Times New Roman" w:hAnsi="Times New Roman" w:cs="Times New Roman"/>
          <w:b/>
          <w:iCs/>
          <w:sz w:val="24"/>
          <w:szCs w:val="24"/>
          <w:lang w:val="en-US"/>
        </w:rPr>
        <w:t xml:space="preserve">longer </w:t>
      </w:r>
      <w:r w:rsidRPr="00866465">
        <w:rPr>
          <w:rFonts w:ascii="Times New Roman" w:hAnsi="Times New Roman" w:cs="Times New Roman"/>
          <w:bCs/>
          <w:iCs/>
          <w:sz w:val="24"/>
          <w:szCs w:val="24"/>
          <w:lang w:val="en-US"/>
        </w:rPr>
        <w:t>than metaphor (correct) trials. We found this result very counterintuitive. We expected that literal interpretations of metaphorical utterances would pattern similarly to literal trials and they clearly did not. Specifically, the reaction times and eye movements should indicate that the metaphorical interpretation is not activated or computed in metaphor incorrect trials. We interpret this finding as showing that the metaphorical interpretation is likely activated on the vast majority of trials for both groups. A second possibility is that there might have been a bimodal distribution in reaction times for metaphor incorrect trials</w:t>
      </w:r>
      <w:r w:rsidR="005560EF">
        <w:rPr>
          <w:rFonts w:ascii="Times New Roman" w:hAnsi="Times New Roman" w:cs="Times New Roman"/>
          <w:bCs/>
          <w:iCs/>
          <w:sz w:val="24"/>
          <w:szCs w:val="24"/>
          <w:lang w:val="en-US"/>
        </w:rPr>
        <w:t xml:space="preserve"> </w:t>
      </w:r>
      <w:r w:rsidR="005560EF">
        <w:rPr>
          <w:rFonts w:ascii="Times New Roman" w:hAnsi="Times New Roman" w:cs="Times New Roman"/>
          <w:bCs/>
          <w:iCs/>
          <w:sz w:val="24"/>
          <w:szCs w:val="24"/>
          <w:lang w:val="en-US"/>
        </w:rPr>
        <w:fldChar w:fldCharType="begin"/>
      </w:r>
      <w:r w:rsidR="005560EF">
        <w:rPr>
          <w:rFonts w:ascii="Times New Roman" w:hAnsi="Times New Roman" w:cs="Times New Roman"/>
          <w:bCs/>
          <w:iCs/>
          <w:sz w:val="24"/>
          <w:szCs w:val="24"/>
          <w:lang w:val="en-US"/>
        </w:rPr>
        <w:instrText xml:space="preserve"> ADDIN ZOTERO_ITEM CSL_CITATION {"citationID":"EC9ug15J","properties":{"formattedCitation":"(Ferreira et al., 2002)","plainCitation":"(Ferreira et al., 2002)","noteIndex":0},"citationItems":[{"id":5431,"uris":["http://zotero.org/users/10108531/items/4X9W8DFF"],"itemData":{"id":5431,"type":"article-journal","abstract":"People comprehend utterances rapidly and without conscious effort. Traditional theories assume that sentence processing is algorithmic and that meaning is derived compositionally. The language processor is believed to generate representations of the linguistic input that are complete, detailed, and accurate. However, recent findings challenge these assumptions. Investigations of the misinterpretation of both garden-path and passive sentences have yielded support for the idea that the meaning people obtain for a sentence is often not a reflection of its true content. Moreover, incorrect interpretations may persist even after syntactic reanalysis has taken place. Our good-enough approach to language comprehension holds that language processing is sometimes only partial and that semantic representations are often incomplete. Future work will elucidate the conditions under which sentence processing is simply good enough.","container-title":"Current Directions in Psychological Science","DOI":"10.1111/1467-8721.00158","ISSN":"0963-7214, 1467-8721","issue":"1","journalAbbreviation":"Curr Dir Psychol Sci","language":"en","license":"https://journals.sagepub.com/page/policies/text-and-data-mining-license","page":"11-15","source":"DOI.org (Crossref)","title":"Good-Enough Representations in Language Comprehension","volume":"11","author":[{"family":"Ferreira","given":"Fernanda"},{"family":"Bailey","given":"Karl G.D."},{"family":"Ferraro","given":"Vittoria"}],"issued":{"date-parts":[["2002",2]]}}}],"schema":"https://github.com/citation-style-language/schema/raw/master/csl-citation.json"} </w:instrText>
      </w:r>
      <w:r w:rsidR="005560EF">
        <w:rPr>
          <w:rFonts w:ascii="Times New Roman" w:hAnsi="Times New Roman" w:cs="Times New Roman"/>
          <w:bCs/>
          <w:iCs/>
          <w:sz w:val="24"/>
          <w:szCs w:val="24"/>
          <w:lang w:val="en-US"/>
        </w:rPr>
        <w:fldChar w:fldCharType="separate"/>
      </w:r>
      <w:r w:rsidR="005560EF">
        <w:rPr>
          <w:rFonts w:ascii="Times New Roman" w:hAnsi="Times New Roman" w:cs="Times New Roman"/>
          <w:bCs/>
          <w:iCs/>
          <w:noProof/>
          <w:sz w:val="24"/>
          <w:szCs w:val="24"/>
          <w:lang w:val="en-US"/>
        </w:rPr>
        <w:t>(Ferreira et al., 2002)</w:t>
      </w:r>
      <w:r w:rsidR="005560EF">
        <w:rPr>
          <w:rFonts w:ascii="Times New Roman" w:hAnsi="Times New Roman" w:cs="Times New Roman"/>
          <w:bCs/>
          <w:iCs/>
          <w:sz w:val="24"/>
          <w:szCs w:val="24"/>
          <w:lang w:val="en-US"/>
        </w:rPr>
        <w:fldChar w:fldCharType="end"/>
      </w:r>
      <w:r w:rsidRPr="00866465">
        <w:rPr>
          <w:rFonts w:ascii="Times New Roman" w:hAnsi="Times New Roman" w:cs="Times New Roman"/>
          <w:bCs/>
          <w:iCs/>
          <w:sz w:val="24"/>
          <w:szCs w:val="24"/>
          <w:lang w:val="en-US"/>
        </w:rPr>
        <w:t xml:space="preserve">. One peak in the distribution, with shorter reaction times, would correspond to cases where the metaphorical interpretation is never activated, and a second peak in the distribution, with longer reaction times, where participants considered the metaphorical interpretation, and following a deliberation period, participants select the picture corresponding to the literal interpretation (sequentially equating to literal =&gt; metaphorical =&gt; literal). An examination of the reaction times for metaphor incorrect trials </w:t>
      </w:r>
      <w:r w:rsidRPr="00866465">
        <w:rPr>
          <w:rFonts w:ascii="Times New Roman" w:hAnsi="Times New Roman" w:cs="Times New Roman"/>
          <w:b/>
          <w:iCs/>
          <w:sz w:val="24"/>
          <w:szCs w:val="24"/>
          <w:lang w:val="en-US"/>
        </w:rPr>
        <w:t xml:space="preserve">did not </w:t>
      </w:r>
      <w:r w:rsidRPr="00866465">
        <w:rPr>
          <w:rFonts w:ascii="Times New Roman" w:hAnsi="Times New Roman" w:cs="Times New Roman"/>
          <w:bCs/>
          <w:iCs/>
          <w:sz w:val="24"/>
          <w:szCs w:val="24"/>
          <w:lang w:val="en-US"/>
        </w:rPr>
        <w:t xml:space="preserve">reveal a bimodal distribution. </w:t>
      </w:r>
    </w:p>
    <w:p w14:paraId="4B819677" w14:textId="59670515" w:rsidR="00866465" w:rsidRPr="00866465" w:rsidRDefault="00866465" w:rsidP="00866465">
      <w:pPr>
        <w:spacing w:after="0" w:line="240" w:lineRule="auto"/>
        <w:ind w:firstLine="720"/>
        <w:contextualSpacing/>
        <w:jc w:val="both"/>
        <w:rPr>
          <w:rFonts w:ascii="Times New Roman" w:hAnsi="Times New Roman" w:cs="Times New Roman"/>
          <w:bCs/>
          <w:iCs/>
          <w:sz w:val="24"/>
          <w:szCs w:val="24"/>
          <w:lang w:val="en-US"/>
        </w:rPr>
      </w:pPr>
      <w:r w:rsidRPr="00866465">
        <w:rPr>
          <w:rFonts w:ascii="Times New Roman" w:hAnsi="Times New Roman" w:cs="Times New Roman"/>
          <w:bCs/>
          <w:iCs/>
          <w:sz w:val="24"/>
          <w:szCs w:val="24"/>
          <w:lang w:val="en-US"/>
        </w:rPr>
        <w:t xml:space="preserve">Turning to the divergence point analysis for metaphorical trials, we observed only one divergence, and it was in the dyslexia group for correct trials. This divergence was short-lived and occurred approximately 700 ms post noun onset. The controls did not show a divergence for either metaphor correct or metaphor incorrect. Although there was a trend in metaphor incorrect trials (see Figure </w:t>
      </w:r>
      <w:r w:rsidR="009B3E12">
        <w:rPr>
          <w:rFonts w:ascii="Times New Roman" w:hAnsi="Times New Roman" w:cs="Times New Roman"/>
          <w:bCs/>
          <w:iCs/>
          <w:sz w:val="24"/>
          <w:szCs w:val="24"/>
          <w:lang w:val="en-US"/>
        </w:rPr>
        <w:t>5</w:t>
      </w:r>
      <w:r w:rsidRPr="00866465">
        <w:rPr>
          <w:rFonts w:ascii="Times New Roman" w:hAnsi="Times New Roman" w:cs="Times New Roman"/>
          <w:bCs/>
          <w:iCs/>
          <w:sz w:val="24"/>
          <w:szCs w:val="24"/>
          <w:lang w:val="en-US"/>
        </w:rPr>
        <w:t xml:space="preserve">). In contrast, the dyslexia group did not show a (or trend of a) divergence for metaphor incorrect trials. We also reported the summed dwell times from the </w:t>
      </w:r>
      <w:r w:rsidR="00555A59">
        <w:rPr>
          <w:rFonts w:ascii="Times New Roman" w:hAnsi="Times New Roman" w:cs="Times New Roman"/>
          <w:bCs/>
          <w:iCs/>
          <w:sz w:val="24"/>
          <w:szCs w:val="24"/>
          <w:lang w:val="en-US"/>
        </w:rPr>
        <w:t>mid-point</w:t>
      </w:r>
      <w:r w:rsidRPr="00866465">
        <w:rPr>
          <w:rFonts w:ascii="Times New Roman" w:hAnsi="Times New Roman" w:cs="Times New Roman"/>
          <w:bCs/>
          <w:iCs/>
          <w:sz w:val="24"/>
          <w:szCs w:val="24"/>
          <w:lang w:val="en-US"/>
        </w:rPr>
        <w:t xml:space="preserve"> of the second noun to the button press. That analysis also did not show a preference for the target over the distractor in metaphor trials. To summarize, in metaphor trials, it is very evident that participants (in both groups) spend substantial time fixating both of the relevant pictures, and ultimately, one was not significantly preferred over the other. The only exception is the short-lived divergence shown by participants with dyslexia. </w:t>
      </w:r>
    </w:p>
    <w:p w14:paraId="45762EDE" w14:textId="4C259436" w:rsidR="00866465" w:rsidRPr="00866465" w:rsidRDefault="00866465" w:rsidP="00866465">
      <w:pPr>
        <w:spacing w:after="0" w:line="240" w:lineRule="auto"/>
        <w:ind w:firstLine="720"/>
        <w:contextualSpacing/>
        <w:jc w:val="both"/>
        <w:rPr>
          <w:rFonts w:ascii="Times New Roman" w:hAnsi="Times New Roman" w:cs="Times New Roman"/>
          <w:bCs/>
          <w:iCs/>
          <w:sz w:val="24"/>
          <w:szCs w:val="24"/>
          <w:lang w:val="en-US"/>
        </w:rPr>
      </w:pPr>
      <w:r w:rsidRPr="00866465">
        <w:rPr>
          <w:rFonts w:ascii="Times New Roman" w:hAnsi="Times New Roman" w:cs="Times New Roman"/>
          <w:bCs/>
          <w:iCs/>
          <w:sz w:val="24"/>
          <w:szCs w:val="24"/>
          <w:lang w:val="en-US"/>
        </w:rPr>
        <w:t>With these general patterns in mind, there are some trends in the data worth highlighting, and some conclusions that can be drawn from a discussion of divergence points, alongside the significant differences in reaction times. First, the controls showed competition between the two pictures in the first half of the analysis window (from 0 to 1000 ms), and then in second half of the window, the target fixat</w:t>
      </w:r>
      <w:r w:rsidR="00555A59">
        <w:rPr>
          <w:rFonts w:ascii="Times New Roman" w:hAnsi="Times New Roman" w:cs="Times New Roman"/>
          <w:bCs/>
          <w:iCs/>
          <w:sz w:val="24"/>
          <w:szCs w:val="24"/>
          <w:lang w:val="en-US"/>
        </w:rPr>
        <w:t>ion probability is</w:t>
      </w:r>
      <w:r w:rsidRPr="00866465">
        <w:rPr>
          <w:rFonts w:ascii="Times New Roman" w:hAnsi="Times New Roman" w:cs="Times New Roman"/>
          <w:bCs/>
          <w:iCs/>
          <w:sz w:val="24"/>
          <w:szCs w:val="24"/>
          <w:lang w:val="en-US"/>
        </w:rPr>
        <w:t xml:space="preserve"> </w:t>
      </w:r>
      <w:r w:rsidR="00555A59">
        <w:rPr>
          <w:rFonts w:ascii="Times New Roman" w:hAnsi="Times New Roman" w:cs="Times New Roman"/>
          <w:bCs/>
          <w:iCs/>
          <w:sz w:val="24"/>
          <w:szCs w:val="24"/>
          <w:lang w:val="en-US"/>
        </w:rPr>
        <w:t>numerically higher</w:t>
      </w:r>
      <w:r w:rsidRPr="00866465">
        <w:rPr>
          <w:rFonts w:ascii="Times New Roman" w:hAnsi="Times New Roman" w:cs="Times New Roman"/>
          <w:bCs/>
          <w:iCs/>
          <w:sz w:val="24"/>
          <w:szCs w:val="24"/>
          <w:lang w:val="en-US"/>
        </w:rPr>
        <w:t xml:space="preserve"> than the distractor (starting at approximately 1000 ms). Second, the dyslexia group shows higher probability of fixating the distractor in the early and </w:t>
      </w:r>
      <w:r w:rsidRPr="00866465">
        <w:rPr>
          <w:rFonts w:ascii="Times New Roman" w:hAnsi="Times New Roman" w:cs="Times New Roman"/>
          <w:bCs/>
          <w:iCs/>
          <w:sz w:val="24"/>
          <w:szCs w:val="24"/>
          <w:lang w:val="en-US"/>
        </w:rPr>
        <w:lastRenderedPageBreak/>
        <w:t xml:space="preserve">later parts of the analysis window. The centre of the analysis window shows that one divergence where the target is looked at more than the distractor. Thus, very oddly, participants with dyslexia showed </w:t>
      </w:r>
      <w:r w:rsidR="00182634">
        <w:rPr>
          <w:rFonts w:ascii="Times New Roman" w:hAnsi="Times New Roman" w:cs="Times New Roman"/>
          <w:bCs/>
          <w:iCs/>
          <w:sz w:val="24"/>
          <w:szCs w:val="24"/>
          <w:lang w:val="en-US"/>
        </w:rPr>
        <w:t>an</w:t>
      </w:r>
      <w:r w:rsidRPr="00866465">
        <w:rPr>
          <w:rFonts w:ascii="Times New Roman" w:hAnsi="Times New Roman" w:cs="Times New Roman"/>
          <w:bCs/>
          <w:iCs/>
          <w:sz w:val="24"/>
          <w:szCs w:val="24"/>
          <w:lang w:val="en-US"/>
        </w:rPr>
        <w:t xml:space="preserve"> earlier preference for the target picture compared to the controls, which intuition would lead one to think that those with dyslexia should then have shorter reaction times. Instead, they had longer reaction times. </w:t>
      </w:r>
    </w:p>
    <w:p w14:paraId="61F0DA1B" w14:textId="6D9C6CEA" w:rsidR="00866465" w:rsidRPr="00866465" w:rsidRDefault="00866465" w:rsidP="00866465">
      <w:pPr>
        <w:spacing w:after="0" w:line="240" w:lineRule="auto"/>
        <w:ind w:firstLine="720"/>
        <w:contextualSpacing/>
        <w:jc w:val="both"/>
        <w:rPr>
          <w:rFonts w:ascii="Times New Roman" w:hAnsi="Times New Roman" w:cs="Times New Roman"/>
          <w:bCs/>
          <w:iCs/>
          <w:sz w:val="24"/>
          <w:szCs w:val="24"/>
          <w:lang w:val="en-US"/>
        </w:rPr>
      </w:pPr>
      <w:r w:rsidRPr="00866465">
        <w:rPr>
          <w:rFonts w:ascii="Times New Roman" w:hAnsi="Times New Roman" w:cs="Times New Roman"/>
          <w:bCs/>
          <w:iCs/>
          <w:sz w:val="24"/>
          <w:szCs w:val="24"/>
          <w:lang w:val="en-US"/>
        </w:rPr>
        <w:t>Our interpretation of this counter intuitive divergence peak in target fixations in the eye movement</w:t>
      </w:r>
      <w:r w:rsidR="00170ED6">
        <w:rPr>
          <w:rFonts w:ascii="Times New Roman" w:hAnsi="Times New Roman" w:cs="Times New Roman"/>
          <w:bCs/>
          <w:iCs/>
          <w:sz w:val="24"/>
          <w:szCs w:val="24"/>
          <w:lang w:val="en-US"/>
        </w:rPr>
        <w:t>s</w:t>
      </w:r>
      <w:r w:rsidRPr="00866465">
        <w:rPr>
          <w:rFonts w:ascii="Times New Roman" w:hAnsi="Times New Roman" w:cs="Times New Roman"/>
          <w:bCs/>
          <w:iCs/>
          <w:sz w:val="24"/>
          <w:szCs w:val="24"/>
          <w:lang w:val="en-US"/>
        </w:rPr>
        <w:t xml:space="preserve"> of the dyslexia group is that, that is the point in which the metaphorical meaning either becomes activated or is mapped onto the available visual context (our </w:t>
      </w:r>
      <w:proofErr w:type="spellStart"/>
      <w:r w:rsidRPr="00866465">
        <w:rPr>
          <w:rFonts w:ascii="Times New Roman" w:hAnsi="Times New Roman" w:cs="Times New Roman"/>
          <w:bCs/>
          <w:iCs/>
          <w:sz w:val="24"/>
          <w:szCs w:val="24"/>
          <w:lang w:val="en-US"/>
        </w:rPr>
        <w:t>behavioural</w:t>
      </w:r>
      <w:proofErr w:type="spellEnd"/>
      <w:r w:rsidRPr="00866465">
        <w:rPr>
          <w:rFonts w:ascii="Times New Roman" w:hAnsi="Times New Roman" w:cs="Times New Roman"/>
          <w:bCs/>
          <w:iCs/>
          <w:sz w:val="24"/>
          <w:szCs w:val="24"/>
          <w:lang w:val="en-US"/>
        </w:rPr>
        <w:t xml:space="preserve"> data cannot tease apart these two explanations</w:t>
      </w:r>
      <w:r w:rsidR="00555A59">
        <w:rPr>
          <w:rFonts w:ascii="Times New Roman" w:hAnsi="Times New Roman" w:cs="Times New Roman"/>
          <w:bCs/>
          <w:iCs/>
          <w:sz w:val="24"/>
          <w:szCs w:val="24"/>
          <w:lang w:val="en-US"/>
        </w:rPr>
        <w:t>, see below for further discussion</w:t>
      </w:r>
      <w:r w:rsidRPr="00866465">
        <w:rPr>
          <w:rFonts w:ascii="Times New Roman" w:hAnsi="Times New Roman" w:cs="Times New Roman"/>
          <w:bCs/>
          <w:iCs/>
          <w:sz w:val="24"/>
          <w:szCs w:val="24"/>
          <w:lang w:val="en-US"/>
        </w:rPr>
        <w:t xml:space="preserve">). There several aspects of the data, which support this interpretation. The probability of fixation on the target picture starts very low (less than .3) in the dyslexia group, which is followed by a substantial increase over the next </w:t>
      </w:r>
      <w:r w:rsidR="00555A59">
        <w:rPr>
          <w:rFonts w:ascii="Times New Roman" w:hAnsi="Times New Roman" w:cs="Times New Roman"/>
          <w:bCs/>
          <w:iCs/>
          <w:sz w:val="24"/>
          <w:szCs w:val="24"/>
          <w:lang w:val="en-US"/>
        </w:rPr>
        <w:t>7</w:t>
      </w:r>
      <w:r w:rsidRPr="00866465">
        <w:rPr>
          <w:rFonts w:ascii="Times New Roman" w:hAnsi="Times New Roman" w:cs="Times New Roman"/>
          <w:bCs/>
          <w:iCs/>
          <w:sz w:val="24"/>
          <w:szCs w:val="24"/>
          <w:lang w:val="en-US"/>
        </w:rPr>
        <w:t xml:space="preserve">00 ms. This results in the significant peak (target &gt; distractor) and significant divergence point. Following that peak, fixations to the target picture then decrease to the point in which the fixations to the distractor are numerically greater. In controls, looks to the target start out higher, suggesting that they were already restricting attention to the two relevant pictures during the second noun. They then showed competition between the two relevant pictures, and at approximately 1000 ms, the target trends higher compared to the distractor. </w:t>
      </w:r>
    </w:p>
    <w:p w14:paraId="6FEC2761" w14:textId="08193996" w:rsidR="00866465" w:rsidRPr="00866465" w:rsidRDefault="00866465" w:rsidP="00866465">
      <w:pPr>
        <w:spacing w:after="0" w:line="240" w:lineRule="auto"/>
        <w:ind w:firstLine="720"/>
        <w:contextualSpacing/>
        <w:jc w:val="both"/>
        <w:rPr>
          <w:rFonts w:ascii="Times New Roman" w:hAnsi="Times New Roman" w:cs="Times New Roman"/>
          <w:bCs/>
          <w:iCs/>
          <w:sz w:val="24"/>
          <w:szCs w:val="24"/>
          <w:lang w:val="en-US"/>
        </w:rPr>
      </w:pPr>
      <w:r w:rsidRPr="00866465">
        <w:rPr>
          <w:rFonts w:ascii="Times New Roman" w:hAnsi="Times New Roman" w:cs="Times New Roman"/>
          <w:bCs/>
          <w:iCs/>
          <w:sz w:val="24"/>
          <w:szCs w:val="24"/>
          <w:lang w:val="en-US"/>
        </w:rPr>
        <w:t>To summarize, the dyslexia group activate the metaphorical meaning (or map the metaphorical meaning</w:t>
      </w:r>
      <w:r w:rsidR="00555A59">
        <w:rPr>
          <w:rFonts w:ascii="Times New Roman" w:hAnsi="Times New Roman" w:cs="Times New Roman"/>
          <w:bCs/>
          <w:iCs/>
          <w:sz w:val="24"/>
          <w:szCs w:val="24"/>
          <w:lang w:val="en-US"/>
        </w:rPr>
        <w:t xml:space="preserve"> to visual context</w:t>
      </w:r>
      <w:r w:rsidRPr="00866465">
        <w:rPr>
          <w:rFonts w:ascii="Times New Roman" w:hAnsi="Times New Roman" w:cs="Times New Roman"/>
          <w:bCs/>
          <w:iCs/>
          <w:sz w:val="24"/>
          <w:szCs w:val="24"/>
          <w:lang w:val="en-US"/>
        </w:rPr>
        <w:t>) later than do the control</w:t>
      </w:r>
      <w:r w:rsidR="00170ED6">
        <w:rPr>
          <w:rFonts w:ascii="Times New Roman" w:hAnsi="Times New Roman" w:cs="Times New Roman"/>
          <w:bCs/>
          <w:iCs/>
          <w:sz w:val="24"/>
          <w:szCs w:val="24"/>
          <w:lang w:val="en-US"/>
        </w:rPr>
        <w:t>s</w:t>
      </w:r>
      <w:r w:rsidRPr="00866465">
        <w:rPr>
          <w:rFonts w:ascii="Times New Roman" w:hAnsi="Times New Roman" w:cs="Times New Roman"/>
          <w:bCs/>
          <w:iCs/>
          <w:sz w:val="24"/>
          <w:szCs w:val="24"/>
          <w:lang w:val="en-US"/>
        </w:rPr>
        <w:t>, they then tend to re-fixate the distractor picture before ultimately choosing the metaphorical interpretation by selecting the target picture. The late activation of the metaphorical meaning combined with the later preference of distractor image over target image, results in approximately 500 ms longer reaction times</w:t>
      </w:r>
      <w:r w:rsidR="00170ED6">
        <w:rPr>
          <w:rFonts w:ascii="Times New Roman" w:hAnsi="Times New Roman" w:cs="Times New Roman"/>
          <w:bCs/>
          <w:iCs/>
          <w:sz w:val="24"/>
          <w:szCs w:val="24"/>
          <w:lang w:val="en-US"/>
        </w:rPr>
        <w:t xml:space="preserve"> in individuals with dyslexia</w:t>
      </w:r>
      <w:r w:rsidRPr="00866465">
        <w:rPr>
          <w:rFonts w:ascii="Times New Roman" w:hAnsi="Times New Roman" w:cs="Times New Roman"/>
          <w:bCs/>
          <w:iCs/>
          <w:sz w:val="24"/>
          <w:szCs w:val="24"/>
          <w:lang w:val="en-US"/>
        </w:rPr>
        <w:t xml:space="preserve">. </w:t>
      </w:r>
    </w:p>
    <w:p w14:paraId="51AFB1D1" w14:textId="77C043BC" w:rsidR="00866465" w:rsidRPr="00866465" w:rsidRDefault="00866465" w:rsidP="00866465">
      <w:pPr>
        <w:spacing w:after="0" w:line="240" w:lineRule="auto"/>
        <w:ind w:firstLine="720"/>
        <w:contextualSpacing/>
        <w:jc w:val="both"/>
        <w:rPr>
          <w:rFonts w:ascii="Times New Roman" w:hAnsi="Times New Roman" w:cs="Times New Roman"/>
          <w:sz w:val="24"/>
          <w:szCs w:val="24"/>
          <w:lang w:val="en-US"/>
        </w:rPr>
      </w:pPr>
      <w:r w:rsidRPr="00866465">
        <w:rPr>
          <w:rFonts w:ascii="Times New Roman" w:hAnsi="Times New Roman" w:cs="Times New Roman"/>
          <w:bCs/>
          <w:iCs/>
          <w:sz w:val="24"/>
          <w:szCs w:val="24"/>
          <w:lang w:val="en-US"/>
        </w:rPr>
        <w:t xml:space="preserve">With these interpretations in mind, we now turn to different theoretical explanations. One possibility is the </w:t>
      </w:r>
      <w:r w:rsidRPr="00866465">
        <w:rPr>
          <w:rFonts w:ascii="Times New Roman" w:hAnsi="Times New Roman" w:cs="Times New Roman"/>
          <w:sz w:val="24"/>
          <w:szCs w:val="24"/>
          <w:lang w:val="en-US"/>
        </w:rPr>
        <w:t xml:space="preserve">cognitive processes associated with the activation and inhibition of metaphorical and literal features. For approximately 400 ms after the offset of a novel metaphorical word, both relevant and irrelevant features remain active </w:t>
      </w:r>
      <w:r w:rsidRPr="00866465">
        <w:rPr>
          <w:rFonts w:ascii="Times New Roman" w:hAnsi="Times New Roman" w:cs="Times New Roman"/>
          <w:sz w:val="24"/>
          <w:szCs w:val="24"/>
          <w:lang w:val="en-US"/>
        </w:rPr>
        <w:fldChar w:fldCharType="begin"/>
      </w:r>
      <w:r w:rsidR="005A0A90">
        <w:rPr>
          <w:rFonts w:ascii="Times New Roman" w:hAnsi="Times New Roman" w:cs="Times New Roman"/>
          <w:sz w:val="24"/>
          <w:szCs w:val="24"/>
          <w:lang w:val="en-US"/>
        </w:rPr>
        <w:instrText xml:space="preserve"> ADDIN ZOTERO_ITEM CSL_CITATION {"citationID":"BVOb7I0n","properties":{"formattedCitation":"(Rubio Fern\\uc0\\u225{}ndez, 2007)","plainCitation":"(Rubio Fernández, 2007)","dontUpdate":true,"noteIndex":0},"citationItems":[{"id":236,"uris":["http://zotero.org/users/10108531/items/G4GUPQ6C"],"itemData":{"id":236,"type":"article-journal","abstract":"Various accounts of metaphor interpretation propose that it involves constructing an ad hoc concept on the basis of the concept encoded by the metaphor vehicle (i.e. the expression used for conveying the metaphor). This paper discusses some of the differences between these theories and investigates their main empirical prediction: that metaphor interpretation involves enhancing properties of the metaphor vehicle that are relevant for interpretation, while suppressing those that are irrelevant. This hypothesis was tested in a cross-modal lexical priming study adapted from early studies on lexical ambiguity. The different patterns of suppression of irrelevant meanings observed in disambiguation studies and in the experiment on metaphor reported here are discussed in terms of differences between meaning selection and meaning construction. © The Author 2007. Published by Oxford University Press. All rights reserved.","container-title":"Journal of Semantics","DOI":"10.1093/jos/ffm006","ISSN":"01675133","issue":"4","page":"345-371","title":"Suppression in metaphor interpretation: Differences between meaning selection and meaning construction","volume":"24","author":[{"family":"Rubio Fernández","given":"Paula"}],"issued":{"date-parts":[["2007"]]}}}],"schema":"https://github.com/citation-style-language/schema/raw/master/csl-citation.json"} </w:instrText>
      </w:r>
      <w:r w:rsidRPr="00866465">
        <w:rPr>
          <w:rFonts w:ascii="Times New Roman" w:hAnsi="Times New Roman" w:cs="Times New Roman"/>
          <w:sz w:val="24"/>
          <w:szCs w:val="24"/>
          <w:lang w:val="en-US"/>
        </w:rPr>
        <w:fldChar w:fldCharType="separate"/>
      </w:r>
      <w:r w:rsidRPr="00866465">
        <w:rPr>
          <w:rFonts w:ascii="Times New Roman" w:hAnsi="Times New Roman" w:cs="Times New Roman"/>
          <w:sz w:val="24"/>
          <w:szCs w:val="24"/>
        </w:rPr>
        <w:t>(</w:t>
      </w:r>
      <w:r w:rsidRPr="00866465">
        <w:rPr>
          <w:rFonts w:ascii="Times New Roman" w:hAnsi="Times New Roman" w:cs="Times New Roman"/>
          <w:sz w:val="24"/>
          <w:szCs w:val="24"/>
          <w:lang w:val="en-US"/>
        </w:rPr>
        <w:t xml:space="preserve">Glucksberg et al., 1982; </w:t>
      </w:r>
      <w:r w:rsidRPr="00866465">
        <w:rPr>
          <w:rFonts w:ascii="Times New Roman" w:hAnsi="Times New Roman" w:cs="Times New Roman"/>
          <w:sz w:val="24"/>
          <w:szCs w:val="24"/>
        </w:rPr>
        <w:t>Rubio Fernández, 2007)</w:t>
      </w:r>
      <w:r w:rsidRPr="00866465">
        <w:rPr>
          <w:rFonts w:ascii="Times New Roman" w:hAnsi="Times New Roman" w:cs="Times New Roman"/>
          <w:sz w:val="24"/>
          <w:szCs w:val="24"/>
          <w:lang w:val="en-US"/>
        </w:rPr>
        <w:fldChar w:fldCharType="end"/>
      </w:r>
      <w:r w:rsidRPr="00866465">
        <w:rPr>
          <w:rFonts w:ascii="Times New Roman" w:hAnsi="Times New Roman" w:cs="Times New Roman"/>
          <w:sz w:val="24"/>
          <w:szCs w:val="24"/>
          <w:lang w:val="en-US"/>
        </w:rPr>
        <w:t>. Subsequently, only the relevant metaphorical properties persist, while irrelevant literal properties are suppressed (the timing of the divergence point in dyslexics, in the current study, is generally consistent with the Rubio-Fernandez (2007) activation time course finding</w:t>
      </w:r>
      <w:r w:rsidR="00170ED6">
        <w:rPr>
          <w:rFonts w:ascii="Times New Roman" w:hAnsi="Times New Roman" w:cs="Times New Roman"/>
          <w:sz w:val="24"/>
          <w:szCs w:val="24"/>
          <w:lang w:val="en-US"/>
        </w:rPr>
        <w:t>s</w:t>
      </w:r>
      <w:r w:rsidRPr="00866465">
        <w:rPr>
          <w:rFonts w:ascii="Times New Roman" w:hAnsi="Times New Roman" w:cs="Times New Roman"/>
          <w:sz w:val="24"/>
          <w:szCs w:val="24"/>
          <w:lang w:val="en-US"/>
        </w:rPr>
        <w:t xml:space="preserve">). The activation and suppression processes, in this case, are assumed to rely on executive functioning (Mashal, 2013). Thus, one possible explanation is that individuals with dyslexia, who often exhibit less efficient executive functions, may manage the interplay between activation and suppression less effectively compared to controls (see also, Cersosimo et al., 2024). We think that this possibility is less likely given that we did not observe strong correlations with individual differences variables, although we did not assess inhibition in our test battery. </w:t>
      </w:r>
    </w:p>
    <w:p w14:paraId="5C45893F" w14:textId="79607F86" w:rsidR="00866465" w:rsidRPr="00866465" w:rsidRDefault="00866465" w:rsidP="00866465">
      <w:pPr>
        <w:spacing w:after="0" w:line="240" w:lineRule="auto"/>
        <w:ind w:firstLine="720"/>
        <w:contextualSpacing/>
        <w:jc w:val="both"/>
        <w:rPr>
          <w:rFonts w:ascii="Times New Roman" w:hAnsi="Times New Roman" w:cs="Times New Roman"/>
          <w:sz w:val="24"/>
          <w:szCs w:val="24"/>
          <w:lang w:val="en-US"/>
        </w:rPr>
      </w:pPr>
      <w:r w:rsidRPr="00866465">
        <w:rPr>
          <w:rFonts w:ascii="Times New Roman" w:hAnsi="Times New Roman" w:cs="Times New Roman"/>
          <w:sz w:val="24"/>
          <w:szCs w:val="24"/>
          <w:lang w:val="en-US"/>
        </w:rPr>
        <w:t xml:space="preserve">A second possible explanation involves a difficulty in processing and integrating visual information, while interpreting spoken language </w:t>
      </w:r>
      <w:r w:rsidR="005A0A90">
        <w:rPr>
          <w:rFonts w:ascii="Times New Roman" w:hAnsi="Times New Roman" w:cs="Times New Roman"/>
          <w:sz w:val="24"/>
          <w:szCs w:val="24"/>
          <w:lang w:val="en-US"/>
        </w:rPr>
        <w:fldChar w:fldCharType="begin"/>
      </w:r>
      <w:r w:rsidR="005A0A90">
        <w:rPr>
          <w:rFonts w:ascii="Times New Roman" w:hAnsi="Times New Roman" w:cs="Times New Roman"/>
          <w:sz w:val="24"/>
          <w:szCs w:val="24"/>
          <w:lang w:val="en-US"/>
        </w:rPr>
        <w:instrText xml:space="preserve"> ADDIN ZOTERO_ITEM CSL_CITATION {"citationID":"JqDnfc8n","properties":{"formattedCitation":"(Hokken et al., 2023)","plainCitation":"(Hokken et al., 2023)","noteIndex":0},"citationItems":[{"id":5429,"uris":["http://zotero.org/users/10108531/items/NETZR5WT"],"itemData":{"id":5429,"type":"article-journal","abstract":"Visual selective attention refers to the selection of relevant visual elements in a scene whilst ignoring irrelevant visual elements. Visual Selective Attention Dysfunctions (VSAD) are prevalent in children with Cerebral Visual Impairment (CVI), Attention Deficit Hyperactivity Disorder (ADHD), and Dyslexia. An important issue in the pediatric neuropsychological practice is how to discriminate between the task performance of these populations. We conducted a scoping review of the literature on visual search performance (VSP) in children with CVI, ADHD, and Dyslexia, aged 6–12 years. After a systematic selection process, 35 studies were included. Results suggest that all patient groups have some degree of impaired VSP compared to typically developing children. Children with CVI tend to react slower and less accurately. VSP impairments in children with ADHD are characterized by poor accuracy rather than reaction time. Children with Dyslexia tend to be slower and less accurate, depending on stimulus type. Besides VSAD, it is argued that other neurocognitive mechanisms might influence VSP, such as speed-accuracy trade-off or an executive functioning deficit in ADHD and a phonological deficit in Dyslexia. This paper further discusses the differences and similarities in visual search performance between the groups. The sparse data in children with an official diagnosis of CVI and the technical inconclusive data on children with ADHD and Dyslexia demonstrate complexity of discriminating between these populations in clinical practice based on VSP. New and more quantitative VSP parameters, such as eye tracking-based measures, may contribute to a refined classification among CVI, ADHD, and Dyslexia.","container-title":"Child Neuropsychology","DOI":"10.1080/09297049.2022.2057940","ISSN":"0929-7049","issue":"3","note":"publisher: Routledge\n_eprint: https://doi.org/10.1080/09297049.2022.2057940\nPMID: 35440276","page":"357-390","source":"Taylor and Francis+NEJM","title":"Visual selective attention and visual search performance in children with CVI, ADHD, and Dyslexia: a scoping review","title-short":"Visual selective attention and visual search performance in children with CVI, ADHD, and Dyslexia","volume":"29","author":[{"family":"Hokken","given":"Marinke J."},{"family":"Krabbendam","given":"Elise"},{"family":"Zee","given":"Ymie J.","non-dropping-particle":"van der"},{"family":"Kooiker","given":"Marlou J. G."}],"issued":{"date-parts":[["2023",4,3]]}}}],"schema":"https://github.com/citation-style-language/schema/raw/master/csl-citation.json"} </w:instrText>
      </w:r>
      <w:r w:rsidR="005A0A90">
        <w:rPr>
          <w:rFonts w:ascii="Times New Roman" w:hAnsi="Times New Roman" w:cs="Times New Roman"/>
          <w:sz w:val="24"/>
          <w:szCs w:val="24"/>
          <w:lang w:val="en-US"/>
        </w:rPr>
        <w:fldChar w:fldCharType="separate"/>
      </w:r>
      <w:r w:rsidR="005A0A90">
        <w:rPr>
          <w:rFonts w:ascii="Times New Roman" w:hAnsi="Times New Roman" w:cs="Times New Roman"/>
          <w:noProof/>
          <w:sz w:val="24"/>
          <w:szCs w:val="24"/>
          <w:lang w:val="en-US"/>
        </w:rPr>
        <w:t>(Hokken et al., 2023)</w:t>
      </w:r>
      <w:r w:rsidR="005A0A90">
        <w:rPr>
          <w:rFonts w:ascii="Times New Roman" w:hAnsi="Times New Roman" w:cs="Times New Roman"/>
          <w:sz w:val="24"/>
          <w:szCs w:val="24"/>
          <w:lang w:val="en-US"/>
        </w:rPr>
        <w:fldChar w:fldCharType="end"/>
      </w:r>
      <w:r w:rsidRPr="00866465">
        <w:rPr>
          <w:rFonts w:ascii="Times New Roman" w:hAnsi="Times New Roman" w:cs="Times New Roman"/>
          <w:sz w:val="24"/>
          <w:szCs w:val="24"/>
          <w:lang w:val="en-US"/>
        </w:rPr>
        <w:t>. As noted in the review of previous studies, similar findings were reported in figurative language comprehension by Cardillo et al. (2018) and Griffith</w:t>
      </w:r>
      <w:r w:rsidR="005A0A90">
        <w:rPr>
          <w:rFonts w:ascii="Times New Roman" w:hAnsi="Times New Roman" w:cs="Times New Roman"/>
          <w:sz w:val="24"/>
          <w:szCs w:val="24"/>
          <w:lang w:val="en-US"/>
        </w:rPr>
        <w:t>s</w:t>
      </w:r>
      <w:r w:rsidRPr="00866465">
        <w:rPr>
          <w:rFonts w:ascii="Times New Roman" w:hAnsi="Times New Roman" w:cs="Times New Roman"/>
          <w:sz w:val="24"/>
          <w:szCs w:val="24"/>
          <w:lang w:val="en-US"/>
        </w:rPr>
        <w:t xml:space="preserve"> (2007). In these studies, visual assessments revealed that participants with dyslexia underperformed compared to control groups. Future research will need to confirm or rule out this possibility by carefully evaluating the strengths and limitations of using the Visual World Paradigm in studies of dyslexia. While the paradigm avoids reading demands, it may introduce challenges related to visual-linguistic integrative processing.</w:t>
      </w:r>
    </w:p>
    <w:p w14:paraId="3A48F912" w14:textId="77777777" w:rsidR="002717C4" w:rsidRDefault="002717C4" w:rsidP="00073BFB">
      <w:pPr>
        <w:spacing w:after="0" w:line="240" w:lineRule="auto"/>
        <w:ind w:firstLine="720"/>
        <w:contextualSpacing/>
        <w:jc w:val="both"/>
        <w:rPr>
          <w:rFonts w:ascii="Times New Roman" w:hAnsi="Times New Roman" w:cs="Times New Roman"/>
          <w:sz w:val="24"/>
          <w:szCs w:val="24"/>
          <w:lang w:val="en-US"/>
        </w:rPr>
      </w:pPr>
    </w:p>
    <w:p w14:paraId="17F9ED38" w14:textId="77777777" w:rsidR="00F4715C" w:rsidRPr="009B206D" w:rsidRDefault="00F4715C" w:rsidP="00073BFB">
      <w:pPr>
        <w:spacing w:after="0" w:line="240" w:lineRule="auto"/>
        <w:ind w:firstLine="720"/>
        <w:contextualSpacing/>
        <w:jc w:val="both"/>
        <w:rPr>
          <w:rFonts w:ascii="Times New Roman" w:hAnsi="Times New Roman" w:cs="Times New Roman"/>
          <w:sz w:val="24"/>
          <w:szCs w:val="24"/>
          <w:lang w:val="en-US"/>
        </w:rPr>
      </w:pPr>
    </w:p>
    <w:p w14:paraId="1C8803B4" w14:textId="77777777" w:rsidR="002717C4" w:rsidRDefault="002717C4" w:rsidP="00073BFB">
      <w:pPr>
        <w:spacing w:after="0" w:line="240" w:lineRule="auto"/>
        <w:contextualSpacing/>
        <w:jc w:val="both"/>
        <w:rPr>
          <w:rFonts w:ascii="Times New Roman" w:hAnsi="Times New Roman" w:cs="Times New Roman"/>
          <w:b/>
          <w:bCs/>
          <w:i/>
          <w:iCs/>
          <w:sz w:val="24"/>
          <w:szCs w:val="24"/>
          <w:lang w:val="en-US"/>
        </w:rPr>
      </w:pPr>
      <w:r w:rsidRPr="00073BFB">
        <w:rPr>
          <w:rFonts w:ascii="Times New Roman" w:hAnsi="Times New Roman" w:cs="Times New Roman"/>
          <w:b/>
          <w:bCs/>
          <w:i/>
          <w:iCs/>
          <w:sz w:val="24"/>
          <w:szCs w:val="24"/>
          <w:lang w:val="en-US"/>
        </w:rPr>
        <w:t>Limitations and Future Directions</w:t>
      </w:r>
    </w:p>
    <w:p w14:paraId="6509E37C" w14:textId="77777777" w:rsidR="00544874" w:rsidRPr="00073BFB" w:rsidRDefault="00544874" w:rsidP="00073BFB">
      <w:pPr>
        <w:spacing w:after="0" w:line="240" w:lineRule="auto"/>
        <w:contextualSpacing/>
        <w:jc w:val="both"/>
        <w:rPr>
          <w:rFonts w:ascii="Times New Roman" w:hAnsi="Times New Roman" w:cs="Times New Roman"/>
          <w:b/>
          <w:bCs/>
          <w:i/>
          <w:iCs/>
          <w:sz w:val="24"/>
          <w:szCs w:val="24"/>
          <w:lang w:val="en-US"/>
        </w:rPr>
      </w:pPr>
    </w:p>
    <w:p w14:paraId="35F813B5" w14:textId="69C95286" w:rsidR="00313877" w:rsidRPr="00073BFB" w:rsidRDefault="00313877" w:rsidP="00866465">
      <w:pPr>
        <w:spacing w:after="0" w:line="240" w:lineRule="auto"/>
        <w:ind w:firstLine="708"/>
        <w:contextualSpacing/>
        <w:jc w:val="both"/>
        <w:rPr>
          <w:rFonts w:ascii="Times New Roman" w:hAnsi="Times New Roman" w:cs="Times New Roman"/>
          <w:sz w:val="24"/>
          <w:szCs w:val="24"/>
          <w:lang w:val="en-US"/>
        </w:rPr>
      </w:pPr>
      <w:r w:rsidRPr="00073BFB">
        <w:rPr>
          <w:rFonts w:ascii="Times New Roman" w:hAnsi="Times New Roman" w:cs="Times New Roman"/>
          <w:sz w:val="24"/>
          <w:szCs w:val="24"/>
          <w:lang w:val="en-US"/>
        </w:rPr>
        <w:t xml:space="preserve">The first limitation of the study is </w:t>
      </w:r>
      <w:r w:rsidR="000845D7" w:rsidRPr="00073BFB">
        <w:rPr>
          <w:rFonts w:ascii="Times New Roman" w:hAnsi="Times New Roman" w:cs="Times New Roman"/>
          <w:sz w:val="24"/>
          <w:szCs w:val="24"/>
          <w:lang w:val="en-US"/>
        </w:rPr>
        <w:t xml:space="preserve">related to the nature of our stimuli. </w:t>
      </w:r>
      <w:r w:rsidR="00031291" w:rsidRPr="00073BFB">
        <w:rPr>
          <w:rFonts w:ascii="Times New Roman" w:hAnsi="Times New Roman" w:cs="Times New Roman"/>
          <w:sz w:val="24"/>
          <w:szCs w:val="24"/>
          <w:lang w:val="en-US"/>
        </w:rPr>
        <w:t>As it was mentioned in the Discussion se</w:t>
      </w:r>
      <w:r w:rsidR="000935A0" w:rsidRPr="00073BFB">
        <w:rPr>
          <w:rFonts w:ascii="Times New Roman" w:hAnsi="Times New Roman" w:cs="Times New Roman"/>
          <w:sz w:val="24"/>
          <w:szCs w:val="24"/>
          <w:lang w:val="en-US"/>
        </w:rPr>
        <w:t>ctio</w:t>
      </w:r>
      <w:r w:rsidR="00031291" w:rsidRPr="00073BFB">
        <w:rPr>
          <w:rFonts w:ascii="Times New Roman" w:hAnsi="Times New Roman" w:cs="Times New Roman"/>
          <w:sz w:val="24"/>
          <w:szCs w:val="24"/>
          <w:lang w:val="en-US"/>
        </w:rPr>
        <w:t xml:space="preserve">n, a literal interpretation was </w:t>
      </w:r>
      <w:r w:rsidR="000935A0" w:rsidRPr="00073BFB">
        <w:rPr>
          <w:rFonts w:ascii="Times New Roman" w:hAnsi="Times New Roman" w:cs="Times New Roman"/>
          <w:sz w:val="24"/>
          <w:szCs w:val="24"/>
          <w:lang w:val="en-US"/>
        </w:rPr>
        <w:t>possible</w:t>
      </w:r>
      <w:r w:rsidR="00031291" w:rsidRPr="00073BFB">
        <w:rPr>
          <w:rFonts w:ascii="Times New Roman" w:hAnsi="Times New Roman" w:cs="Times New Roman"/>
          <w:sz w:val="24"/>
          <w:szCs w:val="24"/>
          <w:lang w:val="en-US"/>
        </w:rPr>
        <w:t xml:space="preserve"> even for metaphorical </w:t>
      </w:r>
      <w:r w:rsidR="000935A0" w:rsidRPr="00073BFB">
        <w:rPr>
          <w:rFonts w:ascii="Times New Roman" w:hAnsi="Times New Roman" w:cs="Times New Roman"/>
          <w:sz w:val="24"/>
          <w:szCs w:val="24"/>
          <w:lang w:val="en-US"/>
        </w:rPr>
        <w:t>sentences</w:t>
      </w:r>
      <w:r w:rsidR="00031291" w:rsidRPr="00073BFB">
        <w:rPr>
          <w:rFonts w:ascii="Times New Roman" w:hAnsi="Times New Roman" w:cs="Times New Roman"/>
          <w:sz w:val="24"/>
          <w:szCs w:val="24"/>
          <w:lang w:val="en-US"/>
        </w:rPr>
        <w:t xml:space="preserve"> and this was particularly </w:t>
      </w:r>
      <w:r w:rsidR="000935A0" w:rsidRPr="00073BFB">
        <w:rPr>
          <w:rFonts w:ascii="Times New Roman" w:hAnsi="Times New Roman" w:cs="Times New Roman"/>
          <w:sz w:val="24"/>
          <w:szCs w:val="24"/>
          <w:lang w:val="en-US"/>
        </w:rPr>
        <w:t>important</w:t>
      </w:r>
      <w:r w:rsidR="00031291" w:rsidRPr="00073BFB">
        <w:rPr>
          <w:rFonts w:ascii="Times New Roman" w:hAnsi="Times New Roman" w:cs="Times New Roman"/>
          <w:sz w:val="24"/>
          <w:szCs w:val="24"/>
          <w:lang w:val="en-US"/>
        </w:rPr>
        <w:t xml:space="preserve"> for us because it allowed </w:t>
      </w:r>
      <w:r w:rsidR="000935A0" w:rsidRPr="00073BFB">
        <w:rPr>
          <w:rFonts w:ascii="Times New Roman" w:hAnsi="Times New Roman" w:cs="Times New Roman"/>
          <w:sz w:val="24"/>
          <w:szCs w:val="24"/>
          <w:lang w:val="en-US"/>
        </w:rPr>
        <w:t xml:space="preserve">us to determine whether the dyslexic group had </w:t>
      </w:r>
      <w:r w:rsidR="000935A0" w:rsidRPr="00073BFB">
        <w:rPr>
          <w:rFonts w:ascii="Times New Roman" w:hAnsi="Times New Roman" w:cs="Times New Roman"/>
          <w:sz w:val="24"/>
          <w:szCs w:val="24"/>
          <w:lang w:val="en-US"/>
        </w:rPr>
        <w:lastRenderedPageBreak/>
        <w:t xml:space="preserve">any bias </w:t>
      </w:r>
      <w:r w:rsidR="00031291" w:rsidRPr="00073BFB">
        <w:rPr>
          <w:rFonts w:ascii="Times New Roman" w:hAnsi="Times New Roman" w:cs="Times New Roman"/>
          <w:sz w:val="24"/>
          <w:szCs w:val="24"/>
          <w:lang w:val="en-US"/>
        </w:rPr>
        <w:t xml:space="preserve">towards the literal </w:t>
      </w:r>
      <w:r w:rsidR="000935A0" w:rsidRPr="00073BFB">
        <w:rPr>
          <w:rFonts w:ascii="Times New Roman" w:hAnsi="Times New Roman" w:cs="Times New Roman"/>
          <w:sz w:val="24"/>
          <w:szCs w:val="24"/>
          <w:lang w:val="en-US"/>
        </w:rPr>
        <w:t>interpretation compared to controls</w:t>
      </w:r>
      <w:r w:rsidR="00031291" w:rsidRPr="00073BFB">
        <w:rPr>
          <w:rFonts w:ascii="Times New Roman" w:hAnsi="Times New Roman" w:cs="Times New Roman"/>
          <w:sz w:val="24"/>
          <w:szCs w:val="24"/>
          <w:lang w:val="en-US"/>
        </w:rPr>
        <w:t xml:space="preserve">. </w:t>
      </w:r>
      <w:r w:rsidR="000935A0" w:rsidRPr="00073BFB">
        <w:rPr>
          <w:rFonts w:ascii="Times New Roman" w:hAnsi="Times New Roman" w:cs="Times New Roman"/>
          <w:sz w:val="24"/>
          <w:szCs w:val="24"/>
          <w:lang w:val="en-US"/>
        </w:rPr>
        <w:t xml:space="preserve">However, given that there were two possible response options for metaphor trials, and that it was important to </w:t>
      </w:r>
      <w:proofErr w:type="spellStart"/>
      <w:r w:rsidR="000935A0" w:rsidRPr="00073BFB">
        <w:rPr>
          <w:rFonts w:ascii="Times New Roman" w:hAnsi="Times New Roman" w:cs="Times New Roman"/>
          <w:sz w:val="24"/>
          <w:szCs w:val="24"/>
          <w:lang w:val="en-US"/>
        </w:rPr>
        <w:t>analyse</w:t>
      </w:r>
      <w:proofErr w:type="spellEnd"/>
      <w:r w:rsidR="000935A0" w:rsidRPr="00073BFB">
        <w:rPr>
          <w:rFonts w:ascii="Times New Roman" w:hAnsi="Times New Roman" w:cs="Times New Roman"/>
          <w:sz w:val="24"/>
          <w:szCs w:val="24"/>
          <w:lang w:val="en-US"/>
        </w:rPr>
        <w:t xml:space="preserve"> those responses separately (i.e. in reaction time), the study may have been slightly underpowered. In total, our study was based on approximately 1200 observations, and a reasonable sample of </w:t>
      </w:r>
      <w:r w:rsidR="000D1B24">
        <w:rPr>
          <w:rFonts w:ascii="Times New Roman" w:hAnsi="Times New Roman" w:cs="Times New Roman"/>
          <w:sz w:val="24"/>
          <w:szCs w:val="24"/>
          <w:lang w:val="en-US"/>
        </w:rPr>
        <w:t xml:space="preserve">people with </w:t>
      </w:r>
      <w:r w:rsidR="000935A0" w:rsidRPr="00073BFB">
        <w:rPr>
          <w:rFonts w:ascii="Times New Roman" w:hAnsi="Times New Roman" w:cs="Times New Roman"/>
          <w:sz w:val="24"/>
          <w:szCs w:val="24"/>
          <w:lang w:val="en-US"/>
        </w:rPr>
        <w:t>dysle</w:t>
      </w:r>
      <w:r w:rsidR="000D1B24">
        <w:rPr>
          <w:rFonts w:ascii="Times New Roman" w:hAnsi="Times New Roman" w:cs="Times New Roman"/>
          <w:sz w:val="24"/>
          <w:szCs w:val="24"/>
          <w:lang w:val="en-US"/>
        </w:rPr>
        <w:t>xia</w:t>
      </w:r>
      <w:r w:rsidR="000935A0" w:rsidRPr="00073BFB">
        <w:rPr>
          <w:rFonts w:ascii="Times New Roman" w:hAnsi="Times New Roman" w:cs="Times New Roman"/>
          <w:sz w:val="24"/>
          <w:szCs w:val="24"/>
          <w:lang w:val="en-US"/>
        </w:rPr>
        <w:t>, but when the met</w:t>
      </w:r>
      <w:r w:rsidR="00E5449B" w:rsidRPr="00073BFB">
        <w:rPr>
          <w:rFonts w:ascii="Times New Roman" w:hAnsi="Times New Roman" w:cs="Times New Roman"/>
          <w:sz w:val="24"/>
          <w:szCs w:val="24"/>
          <w:lang w:val="en-US"/>
        </w:rPr>
        <w:t>aphor trials were separated based on response type, those analyses were based on approximately 700 observations, which is far below the suggestions of</w:t>
      </w:r>
      <w:r w:rsidR="00C75B14">
        <w:rPr>
          <w:rFonts w:ascii="Times New Roman" w:hAnsi="Times New Roman" w:cs="Times New Roman"/>
          <w:sz w:val="24"/>
          <w:szCs w:val="24"/>
          <w:lang w:val="en-US"/>
        </w:rPr>
        <w:t xml:space="preserve"> </w:t>
      </w:r>
      <w:r w:rsidR="00C75B14">
        <w:rPr>
          <w:rFonts w:ascii="Times New Roman" w:hAnsi="Times New Roman" w:cs="Times New Roman"/>
          <w:sz w:val="24"/>
          <w:szCs w:val="24"/>
          <w:lang w:val="en-US"/>
        </w:rPr>
        <w:fldChar w:fldCharType="begin"/>
      </w:r>
      <w:r w:rsidR="005A0A90">
        <w:rPr>
          <w:rFonts w:ascii="Times New Roman" w:hAnsi="Times New Roman" w:cs="Times New Roman"/>
          <w:sz w:val="24"/>
          <w:szCs w:val="24"/>
          <w:lang w:val="en-US"/>
        </w:rPr>
        <w:instrText xml:space="preserve"> ADDIN ZOTERO_ITEM CSL_CITATION {"citationID":"crPsN5V7","properties":{"formattedCitation":"(Brysbaert &amp; Stevens, 2018)","plainCitation":"(Brysbaert &amp; Stevens, 2018)","noteIndex":0},"citationItems":[{"id":5427,"uris":["http://zotero.org/users/10108531/items/92VRTXAF"],"itemData":{"id":5427,"type":"article-journal","container-title":"Journal of cognition","issue":"1","note":"publisher: Ubiquity Press","source":"Google Scholar","title":"Power analysis and effect size in mixed effects models: A tutorial","title-short":"Power analysis and effect size in mixed effects models","URL":"https://www.ncbi.nlm.nih.gov/pmc/articles/PMC6646942/","volume":"1","author":[{"family":"Brysbaert","given":"Marc"},{"family":"Stevens","given":"Michaël"}],"accessed":{"date-parts":[["2024",11,29]]},"issued":{"date-parts":[["2018"]]}}}],"schema":"https://github.com/citation-style-language/schema/raw/master/csl-citation.json"} </w:instrText>
      </w:r>
      <w:r w:rsidR="00C75B14">
        <w:rPr>
          <w:rFonts w:ascii="Times New Roman" w:hAnsi="Times New Roman" w:cs="Times New Roman"/>
          <w:sz w:val="24"/>
          <w:szCs w:val="24"/>
          <w:lang w:val="en-US"/>
        </w:rPr>
        <w:fldChar w:fldCharType="separate"/>
      </w:r>
      <w:r w:rsidR="005A0A90">
        <w:rPr>
          <w:rFonts w:ascii="Times New Roman" w:hAnsi="Times New Roman" w:cs="Times New Roman"/>
          <w:noProof/>
          <w:sz w:val="24"/>
          <w:szCs w:val="24"/>
          <w:lang w:val="en-US"/>
        </w:rPr>
        <w:t>Brysbaert &amp; Stevens (2018)</w:t>
      </w:r>
      <w:r w:rsidR="00C75B14">
        <w:rPr>
          <w:rFonts w:ascii="Times New Roman" w:hAnsi="Times New Roman" w:cs="Times New Roman"/>
          <w:sz w:val="24"/>
          <w:szCs w:val="24"/>
          <w:lang w:val="en-US"/>
        </w:rPr>
        <w:fldChar w:fldCharType="end"/>
      </w:r>
      <w:r w:rsidR="00E5449B" w:rsidRPr="00073BFB">
        <w:rPr>
          <w:rFonts w:ascii="Times New Roman" w:hAnsi="Times New Roman" w:cs="Times New Roman"/>
          <w:sz w:val="24"/>
          <w:szCs w:val="24"/>
          <w:lang w:val="en-US"/>
        </w:rPr>
        <w:t xml:space="preserve">. </w:t>
      </w:r>
    </w:p>
    <w:p w14:paraId="2902D3E7" w14:textId="0BF26A1B" w:rsidR="002717C4" w:rsidRDefault="003E692D" w:rsidP="00073BFB">
      <w:pPr>
        <w:spacing w:after="0" w:line="240" w:lineRule="auto"/>
        <w:ind w:firstLine="708"/>
        <w:contextualSpacing/>
        <w:jc w:val="both"/>
        <w:rPr>
          <w:rFonts w:ascii="Times New Roman" w:hAnsi="Times New Roman" w:cs="Times New Roman"/>
          <w:sz w:val="24"/>
          <w:szCs w:val="24"/>
          <w:lang w:val="en-US"/>
        </w:rPr>
      </w:pPr>
      <w:r w:rsidRPr="00073BFB">
        <w:rPr>
          <w:rFonts w:ascii="Times New Roman" w:hAnsi="Times New Roman" w:cs="Times New Roman"/>
          <w:sz w:val="24"/>
          <w:szCs w:val="24"/>
          <w:lang w:val="en-US"/>
        </w:rPr>
        <w:t>Another</w:t>
      </w:r>
      <w:r w:rsidR="002717C4" w:rsidRPr="00073BFB">
        <w:rPr>
          <w:rFonts w:ascii="Times New Roman" w:hAnsi="Times New Roman" w:cs="Times New Roman"/>
          <w:sz w:val="24"/>
          <w:szCs w:val="24"/>
          <w:lang w:val="en-US"/>
        </w:rPr>
        <w:t xml:space="preserve"> limitation is that it </w:t>
      </w:r>
      <w:r w:rsidR="006A78A9" w:rsidRPr="00073BFB">
        <w:rPr>
          <w:rFonts w:ascii="Times New Roman" w:hAnsi="Times New Roman" w:cs="Times New Roman"/>
          <w:sz w:val="24"/>
          <w:szCs w:val="24"/>
          <w:lang w:val="en-US"/>
        </w:rPr>
        <w:t xml:space="preserve">mainly included university students </w:t>
      </w:r>
      <w:r w:rsidR="002717C4" w:rsidRPr="00073BFB">
        <w:rPr>
          <w:rFonts w:ascii="Times New Roman" w:hAnsi="Times New Roman" w:cs="Times New Roman"/>
          <w:sz w:val="24"/>
          <w:szCs w:val="24"/>
          <w:lang w:val="en-US"/>
        </w:rPr>
        <w:t>with dyslexia. We</w:t>
      </w:r>
      <w:r w:rsidR="007A0E64" w:rsidRPr="00073BFB">
        <w:rPr>
          <w:rFonts w:ascii="Times New Roman" w:hAnsi="Times New Roman" w:cs="Times New Roman"/>
          <w:sz w:val="24"/>
          <w:szCs w:val="24"/>
          <w:lang w:val="en-US"/>
        </w:rPr>
        <w:t xml:space="preserve"> </w:t>
      </w:r>
      <w:r w:rsidR="002717C4" w:rsidRPr="00073BFB">
        <w:rPr>
          <w:rFonts w:ascii="Times New Roman" w:hAnsi="Times New Roman" w:cs="Times New Roman"/>
          <w:sz w:val="24"/>
          <w:szCs w:val="24"/>
          <w:lang w:val="en-US"/>
        </w:rPr>
        <w:t xml:space="preserve">expect that if community-recruited people with dyslexia were tested, our effects in terms of reaction times and eye movements would be even larger (despite the fact that most were medium-to-large in our compensated participants). More importantly, non-university students would very likely show much greater variability in individual differences, and so, we would expect the results of the relationships between individual differences and metaphor processing to be very different in community-recruited samples. As for future directions, we think that it is important to measure other cognitive abilities, and inhibition may be particularly relevant for our task, given that both interpretations were available in the “visual world”. </w:t>
      </w:r>
    </w:p>
    <w:p w14:paraId="688CE4D7" w14:textId="77777777" w:rsidR="00BC49BF" w:rsidRPr="00073BFB" w:rsidRDefault="00BC49BF" w:rsidP="00073BFB">
      <w:pPr>
        <w:spacing w:after="0" w:line="240" w:lineRule="auto"/>
        <w:ind w:firstLine="708"/>
        <w:contextualSpacing/>
        <w:jc w:val="both"/>
        <w:rPr>
          <w:rFonts w:ascii="Times New Roman" w:hAnsi="Times New Roman" w:cs="Times New Roman"/>
          <w:sz w:val="24"/>
          <w:szCs w:val="24"/>
          <w:lang w:val="en-US"/>
        </w:rPr>
      </w:pPr>
    </w:p>
    <w:p w14:paraId="6C8811A4" w14:textId="77777777" w:rsidR="002717C4" w:rsidRPr="00073BFB" w:rsidRDefault="002717C4" w:rsidP="00073BFB">
      <w:pPr>
        <w:spacing w:after="0" w:line="240" w:lineRule="auto"/>
        <w:contextualSpacing/>
        <w:jc w:val="both"/>
        <w:rPr>
          <w:rFonts w:ascii="Times New Roman" w:hAnsi="Times New Roman" w:cs="Times New Roman"/>
          <w:i/>
          <w:iCs/>
          <w:sz w:val="24"/>
          <w:szCs w:val="24"/>
          <w:lang w:val="en-US"/>
        </w:rPr>
      </w:pPr>
    </w:p>
    <w:p w14:paraId="3B19C0C8" w14:textId="19E1C180" w:rsidR="002717C4" w:rsidRPr="00073BFB" w:rsidRDefault="002717C4" w:rsidP="00073BFB">
      <w:pPr>
        <w:spacing w:after="0" w:line="240" w:lineRule="auto"/>
        <w:contextualSpacing/>
        <w:jc w:val="both"/>
        <w:rPr>
          <w:rFonts w:ascii="Times New Roman" w:hAnsi="Times New Roman" w:cs="Times New Roman"/>
          <w:b/>
          <w:bCs/>
          <w:sz w:val="24"/>
          <w:szCs w:val="24"/>
          <w:lang w:val="en-US"/>
        </w:rPr>
      </w:pPr>
      <w:r w:rsidRPr="00073BFB">
        <w:rPr>
          <w:rFonts w:ascii="Times New Roman" w:hAnsi="Times New Roman" w:cs="Times New Roman"/>
          <w:b/>
          <w:bCs/>
          <w:sz w:val="24"/>
          <w:szCs w:val="24"/>
          <w:lang w:val="en-US"/>
        </w:rPr>
        <w:t xml:space="preserve">8. Conclusions </w:t>
      </w:r>
    </w:p>
    <w:p w14:paraId="3032143E" w14:textId="77777777" w:rsidR="002717C4" w:rsidRDefault="002717C4" w:rsidP="00073BFB">
      <w:pPr>
        <w:spacing w:after="0" w:line="240" w:lineRule="auto"/>
        <w:contextualSpacing/>
        <w:jc w:val="both"/>
        <w:rPr>
          <w:rFonts w:ascii="Times New Roman" w:hAnsi="Times New Roman" w:cs="Times New Roman"/>
          <w:sz w:val="24"/>
          <w:szCs w:val="24"/>
          <w:lang w:val="en-US"/>
        </w:rPr>
      </w:pPr>
    </w:p>
    <w:p w14:paraId="315B1E85" w14:textId="58B3C770" w:rsidR="00866465" w:rsidRPr="00866465" w:rsidRDefault="00866465" w:rsidP="00866465">
      <w:pPr>
        <w:spacing w:after="0" w:line="240" w:lineRule="auto"/>
        <w:ind w:firstLine="708"/>
        <w:contextualSpacing/>
        <w:jc w:val="both"/>
        <w:rPr>
          <w:rFonts w:ascii="Times New Roman" w:hAnsi="Times New Roman" w:cs="Times New Roman"/>
          <w:sz w:val="24"/>
          <w:szCs w:val="24"/>
          <w:lang w:val="en-US"/>
        </w:rPr>
      </w:pPr>
      <w:r w:rsidRPr="00866465">
        <w:rPr>
          <w:rFonts w:ascii="Times New Roman" w:hAnsi="Times New Roman" w:cs="Times New Roman"/>
          <w:sz w:val="24"/>
          <w:szCs w:val="24"/>
          <w:lang w:val="en-US"/>
        </w:rPr>
        <w:t>Results indicated that the metaphorical interpretation was available on most, if not all trials. Importantly, our groups did not show differences in the rate in which they selected the metaphorical meaning over the literal meaning. Reaction times showed that individuals with dyslexia were slower overall and were particularly slow when interpreting metaphorical utterances literally. Eye movements provided unique insights into why individuals with dyslexia have longer reaction times. The divergence point analysis showed a peak, in which looks to the target were greater in individuals with dyslexia. This finding is counter</w:t>
      </w:r>
      <w:r w:rsidR="00245641">
        <w:rPr>
          <w:rFonts w:ascii="Times New Roman" w:hAnsi="Times New Roman" w:cs="Times New Roman"/>
          <w:sz w:val="24"/>
          <w:szCs w:val="24"/>
          <w:lang w:val="en-US"/>
        </w:rPr>
        <w:t xml:space="preserve"> </w:t>
      </w:r>
      <w:r w:rsidRPr="00866465">
        <w:rPr>
          <w:rFonts w:ascii="Times New Roman" w:hAnsi="Times New Roman" w:cs="Times New Roman"/>
          <w:sz w:val="24"/>
          <w:szCs w:val="24"/>
          <w:lang w:val="en-US"/>
        </w:rPr>
        <w:t>intuitive given the reaction time differences. We interpreted this divergence in the eye movement record as showing that individuals with dyslexia are delayed in either activating the metaphorical meaning or are slower at mapping the metaphorical meaning onto the available visual context. At present, we cannot disentangle these two possibilities. Issues regarding activation (of non-literal meaning) vs. suppression (of literal meaning) are important future directions, as well as the time course of visuo-linguistic integration</w:t>
      </w:r>
      <w:r w:rsidR="00555A59">
        <w:rPr>
          <w:rFonts w:ascii="Times New Roman" w:hAnsi="Times New Roman" w:cs="Times New Roman"/>
          <w:sz w:val="24"/>
          <w:szCs w:val="24"/>
          <w:lang w:val="en-US"/>
        </w:rPr>
        <w:t xml:space="preserve"> in the processing of novel metaphors</w:t>
      </w:r>
      <w:r w:rsidRPr="00866465">
        <w:rPr>
          <w:rFonts w:ascii="Times New Roman" w:hAnsi="Times New Roman" w:cs="Times New Roman"/>
          <w:sz w:val="24"/>
          <w:szCs w:val="24"/>
          <w:lang w:val="en-US"/>
        </w:rPr>
        <w:t xml:space="preserve">.  </w:t>
      </w:r>
    </w:p>
    <w:p w14:paraId="715590D3" w14:textId="77777777" w:rsidR="00866465" w:rsidRPr="00073BFB" w:rsidRDefault="00866465" w:rsidP="00073BFB">
      <w:pPr>
        <w:spacing w:after="0" w:line="240" w:lineRule="auto"/>
        <w:contextualSpacing/>
        <w:jc w:val="both"/>
        <w:rPr>
          <w:rFonts w:ascii="Times New Roman" w:hAnsi="Times New Roman" w:cs="Times New Roman"/>
          <w:sz w:val="24"/>
          <w:szCs w:val="24"/>
          <w:lang w:val="en-US"/>
        </w:rPr>
      </w:pPr>
    </w:p>
    <w:p w14:paraId="79BE86AA" w14:textId="287A75D0" w:rsidR="0074335D" w:rsidRPr="00073BFB" w:rsidRDefault="0074335D" w:rsidP="00073BFB">
      <w:pPr>
        <w:spacing w:after="0" w:line="240" w:lineRule="auto"/>
        <w:contextualSpacing/>
        <w:jc w:val="both"/>
        <w:rPr>
          <w:rFonts w:ascii="Times New Roman" w:hAnsi="Times New Roman" w:cs="Times New Roman"/>
          <w:bCs/>
          <w:iCs/>
          <w:sz w:val="24"/>
          <w:szCs w:val="24"/>
          <w:lang w:val="en-US"/>
        </w:rPr>
      </w:pPr>
    </w:p>
    <w:p w14:paraId="6BF112AF" w14:textId="77777777" w:rsidR="00135CBC" w:rsidRPr="00073BFB" w:rsidRDefault="00135CBC" w:rsidP="00073BFB">
      <w:pPr>
        <w:spacing w:after="0" w:line="240" w:lineRule="auto"/>
        <w:rPr>
          <w:rFonts w:ascii="Times New Roman" w:hAnsi="Times New Roman" w:cs="Times New Roman"/>
          <w:b/>
          <w:iCs/>
          <w:sz w:val="24"/>
          <w:szCs w:val="24"/>
          <w:lang w:val="en-US"/>
        </w:rPr>
      </w:pPr>
      <w:r w:rsidRPr="00073BFB">
        <w:rPr>
          <w:rFonts w:ascii="Times New Roman" w:hAnsi="Times New Roman" w:cs="Times New Roman"/>
          <w:b/>
          <w:iCs/>
          <w:sz w:val="24"/>
          <w:szCs w:val="24"/>
          <w:lang w:val="en-US"/>
        </w:rPr>
        <w:br w:type="page"/>
      </w:r>
    </w:p>
    <w:p w14:paraId="7CE93FE6" w14:textId="6F7EBBA1" w:rsidR="0074335D" w:rsidRPr="00A056BE" w:rsidRDefault="0074335D" w:rsidP="00073BFB">
      <w:pPr>
        <w:spacing w:line="240" w:lineRule="auto"/>
        <w:contextualSpacing/>
        <w:jc w:val="both"/>
        <w:rPr>
          <w:rFonts w:ascii="Times New Roman" w:hAnsi="Times New Roman" w:cs="Times New Roman"/>
          <w:b/>
          <w:iCs/>
          <w:sz w:val="24"/>
          <w:szCs w:val="24"/>
          <w:lang w:val="en-US"/>
        </w:rPr>
      </w:pPr>
      <w:r w:rsidRPr="00A056BE">
        <w:rPr>
          <w:rFonts w:ascii="Times New Roman" w:hAnsi="Times New Roman" w:cs="Times New Roman"/>
          <w:b/>
          <w:iCs/>
          <w:sz w:val="24"/>
          <w:szCs w:val="24"/>
          <w:lang w:val="en-US"/>
        </w:rPr>
        <w:lastRenderedPageBreak/>
        <w:t>Acknowledgements</w:t>
      </w:r>
    </w:p>
    <w:p w14:paraId="133099B7" w14:textId="6323641F" w:rsidR="00FA09BA" w:rsidRPr="00A056BE" w:rsidRDefault="0074335D" w:rsidP="00073BFB">
      <w:pPr>
        <w:spacing w:line="240" w:lineRule="auto"/>
        <w:contextualSpacing/>
        <w:jc w:val="both"/>
        <w:rPr>
          <w:rFonts w:ascii="Times New Roman" w:hAnsi="Times New Roman" w:cs="Times New Roman"/>
          <w:bCs/>
          <w:iCs/>
          <w:sz w:val="24"/>
          <w:szCs w:val="24"/>
          <w:lang w:val="en-US"/>
        </w:rPr>
      </w:pPr>
      <w:r w:rsidRPr="00A056BE">
        <w:rPr>
          <w:rFonts w:ascii="Times New Roman" w:hAnsi="Times New Roman" w:cs="Times New Roman"/>
          <w:bCs/>
          <w:iCs/>
          <w:sz w:val="24"/>
          <w:szCs w:val="24"/>
          <w:lang w:val="en-US"/>
        </w:rPr>
        <w:t>The authors would like to thank Emily Geeson for help in recruiting participants, and Claudia Holmes for assisting with data collection.</w:t>
      </w:r>
    </w:p>
    <w:p w14:paraId="63F94F23" w14:textId="6E5DEBC5" w:rsidR="00D1025D" w:rsidRPr="00A056BE" w:rsidRDefault="00D1025D" w:rsidP="00073BFB">
      <w:pPr>
        <w:spacing w:line="240" w:lineRule="auto"/>
        <w:contextualSpacing/>
        <w:jc w:val="both"/>
        <w:rPr>
          <w:rFonts w:ascii="Times New Roman" w:hAnsi="Times New Roman" w:cs="Times New Roman"/>
          <w:bCs/>
          <w:iCs/>
          <w:sz w:val="24"/>
          <w:szCs w:val="24"/>
          <w:lang w:val="en-US"/>
        </w:rPr>
      </w:pPr>
    </w:p>
    <w:p w14:paraId="4A3AE06A" w14:textId="457AD07C" w:rsidR="00F956F4" w:rsidRPr="00A056BE" w:rsidRDefault="00D1025D" w:rsidP="00073BFB">
      <w:pPr>
        <w:spacing w:line="240" w:lineRule="auto"/>
        <w:contextualSpacing/>
        <w:jc w:val="both"/>
        <w:rPr>
          <w:rFonts w:ascii="Times New Roman" w:hAnsi="Times New Roman" w:cs="Times New Roman"/>
          <w:b/>
          <w:iCs/>
          <w:sz w:val="24"/>
          <w:szCs w:val="24"/>
          <w:lang w:val="en-US"/>
        </w:rPr>
      </w:pPr>
      <w:r w:rsidRPr="00A056BE">
        <w:rPr>
          <w:rFonts w:ascii="Times New Roman" w:hAnsi="Times New Roman" w:cs="Times New Roman"/>
          <w:b/>
          <w:iCs/>
          <w:sz w:val="24"/>
          <w:szCs w:val="24"/>
          <w:lang w:val="en-US"/>
        </w:rPr>
        <w:t>A</w:t>
      </w:r>
      <w:r w:rsidR="00F956F4" w:rsidRPr="00A056BE">
        <w:rPr>
          <w:rFonts w:ascii="Times New Roman" w:hAnsi="Times New Roman" w:cs="Times New Roman"/>
          <w:b/>
          <w:iCs/>
          <w:sz w:val="24"/>
          <w:szCs w:val="24"/>
          <w:lang w:val="en-US"/>
        </w:rPr>
        <w:t>uthor contributions</w:t>
      </w:r>
      <w:r w:rsidR="00470EF3" w:rsidRPr="00A056BE">
        <w:rPr>
          <w:rFonts w:ascii="Times New Roman" w:hAnsi="Times New Roman" w:cs="Times New Roman"/>
          <w:b/>
          <w:iCs/>
          <w:sz w:val="24"/>
          <w:szCs w:val="24"/>
          <w:lang w:val="en-US"/>
        </w:rPr>
        <w:t xml:space="preserve"> </w:t>
      </w:r>
    </w:p>
    <w:p w14:paraId="242AE0A6" w14:textId="6C442DB0" w:rsidR="00D1025D" w:rsidRPr="00A056BE" w:rsidRDefault="00D1025D" w:rsidP="00073BFB">
      <w:pPr>
        <w:spacing w:line="240" w:lineRule="auto"/>
        <w:contextualSpacing/>
        <w:jc w:val="both"/>
        <w:rPr>
          <w:rFonts w:ascii="Times New Roman" w:hAnsi="Times New Roman" w:cs="Times New Roman"/>
          <w:bCs/>
          <w:iCs/>
          <w:sz w:val="24"/>
          <w:szCs w:val="24"/>
          <w:lang w:val="en-US"/>
        </w:rPr>
      </w:pPr>
      <w:r w:rsidRPr="00A056BE">
        <w:rPr>
          <w:rFonts w:ascii="Times New Roman" w:hAnsi="Times New Roman" w:cs="Times New Roman"/>
          <w:bCs/>
          <w:iCs/>
          <w:sz w:val="24"/>
          <w:szCs w:val="24"/>
          <w:lang w:val="en-US"/>
        </w:rPr>
        <w:t xml:space="preserve">Design and construction of the materials: </w:t>
      </w:r>
      <w:r w:rsidR="00F956F4" w:rsidRPr="00A056BE">
        <w:rPr>
          <w:rFonts w:ascii="Times New Roman" w:hAnsi="Times New Roman" w:cs="Times New Roman"/>
          <w:bCs/>
          <w:iCs/>
          <w:sz w:val="24"/>
          <w:szCs w:val="24"/>
          <w:lang w:val="en-US"/>
        </w:rPr>
        <w:t>RC, FD</w:t>
      </w:r>
      <w:r w:rsidRPr="00A056BE">
        <w:rPr>
          <w:rFonts w:ascii="Times New Roman" w:hAnsi="Times New Roman" w:cs="Times New Roman"/>
          <w:bCs/>
          <w:iCs/>
          <w:sz w:val="24"/>
          <w:szCs w:val="24"/>
          <w:lang w:val="en-US"/>
        </w:rPr>
        <w:t xml:space="preserve">. Data collection: </w:t>
      </w:r>
      <w:r w:rsidR="00F956F4" w:rsidRPr="00A056BE">
        <w:rPr>
          <w:rFonts w:ascii="Times New Roman" w:hAnsi="Times New Roman" w:cs="Times New Roman"/>
          <w:bCs/>
          <w:iCs/>
          <w:sz w:val="24"/>
          <w:szCs w:val="24"/>
          <w:lang w:val="en-US"/>
        </w:rPr>
        <w:t>RC, PE</w:t>
      </w:r>
      <w:r w:rsidRPr="00A056BE">
        <w:rPr>
          <w:rFonts w:ascii="Times New Roman" w:hAnsi="Times New Roman" w:cs="Times New Roman"/>
          <w:bCs/>
          <w:iCs/>
          <w:sz w:val="24"/>
          <w:szCs w:val="24"/>
          <w:lang w:val="en-US"/>
        </w:rPr>
        <w:t xml:space="preserve">. Data analysis: </w:t>
      </w:r>
      <w:r w:rsidR="000D1B24">
        <w:rPr>
          <w:rFonts w:ascii="Times New Roman" w:hAnsi="Times New Roman" w:cs="Times New Roman"/>
          <w:bCs/>
          <w:iCs/>
          <w:sz w:val="24"/>
          <w:szCs w:val="24"/>
          <w:lang w:val="en-US"/>
        </w:rPr>
        <w:t xml:space="preserve">LF, </w:t>
      </w:r>
      <w:r w:rsidR="00F956F4" w:rsidRPr="00A056BE">
        <w:rPr>
          <w:rFonts w:ascii="Times New Roman" w:hAnsi="Times New Roman" w:cs="Times New Roman"/>
          <w:bCs/>
          <w:iCs/>
          <w:sz w:val="24"/>
          <w:szCs w:val="24"/>
          <w:lang w:val="en-US"/>
        </w:rPr>
        <w:t>RC, PE</w:t>
      </w:r>
      <w:r w:rsidRPr="00A056BE">
        <w:rPr>
          <w:rFonts w:ascii="Times New Roman" w:hAnsi="Times New Roman" w:cs="Times New Roman"/>
          <w:bCs/>
          <w:iCs/>
          <w:sz w:val="24"/>
          <w:szCs w:val="24"/>
          <w:lang w:val="en-US"/>
        </w:rPr>
        <w:t xml:space="preserve">. Manuscript writing: </w:t>
      </w:r>
      <w:r w:rsidR="00F956F4" w:rsidRPr="00A056BE">
        <w:rPr>
          <w:rFonts w:ascii="Times New Roman" w:hAnsi="Times New Roman" w:cs="Times New Roman"/>
          <w:bCs/>
          <w:iCs/>
          <w:sz w:val="24"/>
          <w:szCs w:val="24"/>
          <w:lang w:val="en-US"/>
        </w:rPr>
        <w:t>RC</w:t>
      </w:r>
      <w:r w:rsidR="00AC57AB" w:rsidRPr="00A056BE">
        <w:rPr>
          <w:rFonts w:ascii="Times New Roman" w:hAnsi="Times New Roman" w:cs="Times New Roman"/>
          <w:bCs/>
          <w:iCs/>
          <w:sz w:val="24"/>
          <w:szCs w:val="24"/>
          <w:lang w:val="en-US"/>
        </w:rPr>
        <w:t xml:space="preserve">. </w:t>
      </w:r>
      <w:r w:rsidR="00A81967">
        <w:rPr>
          <w:rFonts w:ascii="Times New Roman" w:hAnsi="Times New Roman" w:cs="Times New Roman"/>
          <w:bCs/>
          <w:iCs/>
          <w:sz w:val="24"/>
          <w:szCs w:val="24"/>
          <w:lang w:val="en-US"/>
        </w:rPr>
        <w:t>Manuscript r</w:t>
      </w:r>
      <w:r w:rsidR="00AC57AB" w:rsidRPr="00A056BE">
        <w:rPr>
          <w:rFonts w:ascii="Times New Roman" w:hAnsi="Times New Roman" w:cs="Times New Roman"/>
          <w:bCs/>
          <w:iCs/>
          <w:sz w:val="24"/>
          <w:szCs w:val="24"/>
          <w:lang w:val="en-US"/>
        </w:rPr>
        <w:t>eview and editing:</w:t>
      </w:r>
      <w:r w:rsidR="00F956F4" w:rsidRPr="00A056BE">
        <w:rPr>
          <w:rFonts w:ascii="Times New Roman" w:hAnsi="Times New Roman" w:cs="Times New Roman"/>
          <w:bCs/>
          <w:iCs/>
          <w:sz w:val="24"/>
          <w:szCs w:val="24"/>
          <w:lang w:val="en-US"/>
        </w:rPr>
        <w:t xml:space="preserve"> PE</w:t>
      </w:r>
      <w:r w:rsidR="00AC57AB" w:rsidRPr="00A056BE">
        <w:rPr>
          <w:rFonts w:ascii="Times New Roman" w:hAnsi="Times New Roman" w:cs="Times New Roman"/>
          <w:bCs/>
          <w:iCs/>
          <w:sz w:val="24"/>
          <w:szCs w:val="24"/>
          <w:lang w:val="en-US"/>
        </w:rPr>
        <w:t>, FD</w:t>
      </w:r>
      <w:r w:rsidR="000D1B24">
        <w:rPr>
          <w:rFonts w:ascii="Times New Roman" w:hAnsi="Times New Roman" w:cs="Times New Roman"/>
          <w:bCs/>
          <w:iCs/>
          <w:sz w:val="24"/>
          <w:szCs w:val="24"/>
          <w:lang w:val="en-US"/>
        </w:rPr>
        <w:t>, LF</w:t>
      </w:r>
      <w:r w:rsidRPr="00A056BE">
        <w:rPr>
          <w:rFonts w:ascii="Times New Roman" w:hAnsi="Times New Roman" w:cs="Times New Roman"/>
          <w:bCs/>
          <w:iCs/>
          <w:sz w:val="24"/>
          <w:szCs w:val="24"/>
          <w:lang w:val="en-US"/>
        </w:rPr>
        <w:t>. All authors provided feedback on the draft and approved the final version of the manuscript.</w:t>
      </w:r>
    </w:p>
    <w:p w14:paraId="41ABC0DE" w14:textId="7512ED05" w:rsidR="009117AC" w:rsidRPr="00A056BE" w:rsidRDefault="009117AC" w:rsidP="00073BFB">
      <w:pPr>
        <w:spacing w:line="240" w:lineRule="auto"/>
        <w:contextualSpacing/>
        <w:jc w:val="both"/>
        <w:rPr>
          <w:rFonts w:ascii="Times New Roman" w:hAnsi="Times New Roman" w:cs="Times New Roman"/>
          <w:bCs/>
          <w:iCs/>
          <w:sz w:val="24"/>
          <w:szCs w:val="24"/>
          <w:lang w:val="en-US"/>
        </w:rPr>
      </w:pPr>
    </w:p>
    <w:p w14:paraId="721BD9FD" w14:textId="31B636B2" w:rsidR="009117AC" w:rsidRPr="00A056BE" w:rsidRDefault="009117AC" w:rsidP="00073BFB">
      <w:pPr>
        <w:spacing w:line="240" w:lineRule="auto"/>
        <w:contextualSpacing/>
        <w:jc w:val="both"/>
        <w:rPr>
          <w:rFonts w:ascii="Times New Roman" w:hAnsi="Times New Roman" w:cs="Times New Roman"/>
          <w:b/>
          <w:iCs/>
          <w:sz w:val="24"/>
          <w:szCs w:val="24"/>
          <w:lang w:val="en-US"/>
        </w:rPr>
      </w:pPr>
      <w:r w:rsidRPr="00A056BE">
        <w:rPr>
          <w:rFonts w:ascii="Times New Roman" w:hAnsi="Times New Roman" w:cs="Times New Roman"/>
          <w:b/>
          <w:iCs/>
          <w:sz w:val="24"/>
          <w:szCs w:val="24"/>
          <w:lang w:val="en-US"/>
        </w:rPr>
        <w:t>Data Availability</w:t>
      </w:r>
    </w:p>
    <w:p w14:paraId="365D1DD6" w14:textId="0FA5BF4E" w:rsidR="009117AC" w:rsidRPr="00A056BE" w:rsidRDefault="0013177D" w:rsidP="00073BFB">
      <w:pPr>
        <w:spacing w:line="240" w:lineRule="auto"/>
        <w:contextualSpacing/>
        <w:jc w:val="both"/>
        <w:rPr>
          <w:rFonts w:ascii="Times New Roman" w:hAnsi="Times New Roman" w:cs="Times New Roman"/>
          <w:bCs/>
          <w:iCs/>
          <w:sz w:val="24"/>
          <w:szCs w:val="24"/>
          <w:lang w:val="en-US"/>
        </w:rPr>
      </w:pPr>
      <w:r w:rsidRPr="00A056BE">
        <w:rPr>
          <w:rFonts w:ascii="Times New Roman" w:hAnsi="Times New Roman" w:cs="Times New Roman"/>
          <w:bCs/>
          <w:iCs/>
          <w:sz w:val="24"/>
          <w:szCs w:val="24"/>
          <w:lang w:val="en-US"/>
        </w:rPr>
        <w:t>Data</w:t>
      </w:r>
      <w:r w:rsidR="009117AC" w:rsidRPr="00A056BE">
        <w:rPr>
          <w:rFonts w:ascii="Times New Roman" w:hAnsi="Times New Roman" w:cs="Times New Roman"/>
          <w:bCs/>
          <w:iCs/>
          <w:sz w:val="24"/>
          <w:szCs w:val="24"/>
          <w:lang w:val="en-US"/>
        </w:rPr>
        <w:t xml:space="preserve"> and </w:t>
      </w:r>
      <w:r w:rsidRPr="00A056BE">
        <w:rPr>
          <w:rFonts w:ascii="Times New Roman" w:hAnsi="Times New Roman" w:cs="Times New Roman"/>
          <w:bCs/>
          <w:iCs/>
          <w:sz w:val="24"/>
          <w:szCs w:val="24"/>
          <w:lang w:val="en-US"/>
        </w:rPr>
        <w:t>analysis code</w:t>
      </w:r>
      <w:r w:rsidR="009117AC" w:rsidRPr="00A056BE">
        <w:rPr>
          <w:rFonts w:ascii="Times New Roman" w:hAnsi="Times New Roman" w:cs="Times New Roman"/>
          <w:bCs/>
          <w:iCs/>
          <w:sz w:val="24"/>
          <w:szCs w:val="24"/>
          <w:lang w:val="en-US"/>
        </w:rPr>
        <w:t xml:space="preserve"> are available on the Open Science Framework online data repository (</w:t>
      </w:r>
      <w:hyperlink r:id="rId18" w:history="1">
        <w:r w:rsidR="009117AC" w:rsidRPr="00A056BE">
          <w:rPr>
            <w:rStyle w:val="Hyperlink"/>
            <w:rFonts w:ascii="Times New Roman" w:hAnsi="Times New Roman" w:cs="Times New Roman"/>
            <w:bCs/>
            <w:iCs/>
            <w:color w:val="auto"/>
            <w:sz w:val="24"/>
            <w:szCs w:val="24"/>
            <w:lang w:val="en-US"/>
          </w:rPr>
          <w:t>https://osf.io/39bxk/</w:t>
        </w:r>
      </w:hyperlink>
      <w:r w:rsidR="009117AC" w:rsidRPr="00A056BE">
        <w:rPr>
          <w:rFonts w:ascii="Times New Roman" w:hAnsi="Times New Roman" w:cs="Times New Roman"/>
          <w:bCs/>
          <w:iCs/>
          <w:sz w:val="24"/>
          <w:szCs w:val="24"/>
          <w:lang w:val="en-US"/>
        </w:rPr>
        <w:t xml:space="preserve">). </w:t>
      </w:r>
    </w:p>
    <w:p w14:paraId="248B02F9" w14:textId="03FDE1E7" w:rsidR="00992B2A" w:rsidRPr="00A056BE" w:rsidRDefault="00992B2A" w:rsidP="00073BFB">
      <w:pPr>
        <w:spacing w:line="240" w:lineRule="auto"/>
        <w:contextualSpacing/>
        <w:jc w:val="both"/>
        <w:rPr>
          <w:rFonts w:ascii="Times New Roman" w:hAnsi="Times New Roman" w:cs="Times New Roman"/>
          <w:bCs/>
          <w:iCs/>
          <w:sz w:val="24"/>
          <w:szCs w:val="24"/>
          <w:lang w:val="en-US"/>
        </w:rPr>
      </w:pPr>
    </w:p>
    <w:p w14:paraId="3DD00D6C" w14:textId="117947BE" w:rsidR="00992B2A" w:rsidRPr="00A056BE" w:rsidRDefault="00992B2A" w:rsidP="00073BFB">
      <w:pPr>
        <w:spacing w:line="240" w:lineRule="auto"/>
        <w:contextualSpacing/>
        <w:jc w:val="both"/>
        <w:rPr>
          <w:rFonts w:ascii="Times New Roman" w:hAnsi="Times New Roman" w:cs="Times New Roman"/>
          <w:b/>
          <w:iCs/>
          <w:sz w:val="24"/>
          <w:szCs w:val="24"/>
          <w:lang w:val="en-US"/>
        </w:rPr>
      </w:pPr>
      <w:r w:rsidRPr="00A056BE">
        <w:rPr>
          <w:rFonts w:ascii="Times New Roman" w:hAnsi="Times New Roman" w:cs="Times New Roman"/>
          <w:b/>
          <w:iCs/>
          <w:sz w:val="24"/>
          <w:szCs w:val="24"/>
          <w:lang w:val="en-US"/>
        </w:rPr>
        <w:t>Study preregistration</w:t>
      </w:r>
    </w:p>
    <w:p w14:paraId="74C1ECDB" w14:textId="2AC37596" w:rsidR="00992B2A" w:rsidRPr="00A056BE" w:rsidRDefault="00992B2A" w:rsidP="00073BFB">
      <w:pPr>
        <w:spacing w:line="240" w:lineRule="auto"/>
        <w:contextualSpacing/>
        <w:jc w:val="both"/>
        <w:rPr>
          <w:rFonts w:ascii="Times New Roman" w:hAnsi="Times New Roman" w:cs="Times New Roman"/>
          <w:bCs/>
          <w:iCs/>
          <w:sz w:val="24"/>
          <w:szCs w:val="24"/>
          <w:lang w:val="en-US"/>
        </w:rPr>
      </w:pPr>
      <w:r w:rsidRPr="00A056BE">
        <w:rPr>
          <w:rFonts w:ascii="Times New Roman" w:hAnsi="Times New Roman" w:cs="Times New Roman"/>
          <w:bCs/>
          <w:iCs/>
          <w:sz w:val="24"/>
          <w:szCs w:val="24"/>
          <w:lang w:val="en-US"/>
        </w:rPr>
        <w:t>The study wasn’t preregistered.</w:t>
      </w:r>
    </w:p>
    <w:p w14:paraId="7861EC60" w14:textId="5FB62299" w:rsidR="00A86183" w:rsidRPr="00A056BE" w:rsidRDefault="00A86183" w:rsidP="00073BFB">
      <w:pPr>
        <w:spacing w:line="240" w:lineRule="auto"/>
        <w:contextualSpacing/>
        <w:jc w:val="both"/>
        <w:rPr>
          <w:rFonts w:ascii="Times New Roman" w:hAnsi="Times New Roman" w:cs="Times New Roman"/>
          <w:bCs/>
          <w:iCs/>
          <w:sz w:val="24"/>
          <w:szCs w:val="24"/>
          <w:lang w:val="en-US"/>
        </w:rPr>
      </w:pPr>
    </w:p>
    <w:p w14:paraId="695A2E02" w14:textId="254C120A" w:rsidR="00A86183" w:rsidRPr="00A056BE" w:rsidRDefault="00A86183" w:rsidP="00073BFB">
      <w:pPr>
        <w:spacing w:line="240" w:lineRule="auto"/>
        <w:contextualSpacing/>
        <w:jc w:val="both"/>
        <w:rPr>
          <w:rFonts w:ascii="Times New Roman" w:hAnsi="Times New Roman" w:cs="Times New Roman"/>
          <w:b/>
          <w:bCs/>
          <w:iCs/>
          <w:sz w:val="24"/>
          <w:szCs w:val="24"/>
        </w:rPr>
      </w:pPr>
      <w:r w:rsidRPr="00A056BE">
        <w:rPr>
          <w:rFonts w:ascii="Times New Roman" w:hAnsi="Times New Roman" w:cs="Times New Roman"/>
          <w:b/>
          <w:bCs/>
          <w:iCs/>
          <w:sz w:val="24"/>
          <w:szCs w:val="24"/>
        </w:rPr>
        <w:t>Disclosure statement</w:t>
      </w:r>
    </w:p>
    <w:p w14:paraId="67E55927" w14:textId="17FD5B62" w:rsidR="00317D16" w:rsidRPr="00A056BE" w:rsidRDefault="00A86183" w:rsidP="00073BFB">
      <w:pPr>
        <w:spacing w:line="240" w:lineRule="auto"/>
        <w:contextualSpacing/>
        <w:jc w:val="both"/>
        <w:rPr>
          <w:rFonts w:ascii="Times New Roman" w:hAnsi="Times New Roman" w:cs="Times New Roman"/>
          <w:bCs/>
          <w:sz w:val="24"/>
          <w:szCs w:val="24"/>
        </w:rPr>
      </w:pPr>
      <w:r w:rsidRPr="00A056BE">
        <w:rPr>
          <w:rFonts w:ascii="Times New Roman" w:hAnsi="Times New Roman" w:cs="Times New Roman"/>
          <w:bCs/>
          <w:sz w:val="24"/>
          <w:szCs w:val="24"/>
        </w:rPr>
        <w:t>The authors report there are no competing interests to declare.</w:t>
      </w:r>
    </w:p>
    <w:p w14:paraId="29E3F927" w14:textId="08697144" w:rsidR="00261C68" w:rsidRPr="00A056BE" w:rsidRDefault="00261C68" w:rsidP="00073BFB">
      <w:pPr>
        <w:spacing w:after="0" w:line="240" w:lineRule="auto"/>
        <w:rPr>
          <w:rFonts w:ascii="Times New Roman" w:hAnsi="Times New Roman" w:cs="Times New Roman"/>
          <w:bCs/>
          <w:iCs/>
          <w:sz w:val="24"/>
          <w:szCs w:val="24"/>
          <w:lang w:val="en-US"/>
        </w:rPr>
      </w:pPr>
      <w:r w:rsidRPr="00A056BE">
        <w:rPr>
          <w:rFonts w:ascii="Times New Roman" w:hAnsi="Times New Roman" w:cs="Times New Roman"/>
          <w:bCs/>
          <w:iCs/>
          <w:sz w:val="24"/>
          <w:szCs w:val="24"/>
          <w:lang w:val="en-US"/>
        </w:rPr>
        <w:br w:type="page"/>
      </w:r>
    </w:p>
    <w:p w14:paraId="502AE244" w14:textId="12B0F645" w:rsidR="00261C68" w:rsidRPr="00A056BE" w:rsidRDefault="00261C68" w:rsidP="00073BFB">
      <w:pPr>
        <w:spacing w:after="0" w:line="240" w:lineRule="auto"/>
        <w:rPr>
          <w:rFonts w:ascii="Times New Roman" w:hAnsi="Times New Roman" w:cs="Times New Roman"/>
          <w:b/>
          <w:iCs/>
          <w:sz w:val="24"/>
          <w:szCs w:val="24"/>
          <w:lang w:val="it-IT"/>
        </w:rPr>
      </w:pPr>
      <w:r w:rsidRPr="00A056BE">
        <w:rPr>
          <w:rFonts w:ascii="Times New Roman" w:hAnsi="Times New Roman" w:cs="Times New Roman"/>
          <w:b/>
          <w:iCs/>
          <w:sz w:val="24"/>
          <w:szCs w:val="24"/>
          <w:lang w:val="it-IT"/>
        </w:rPr>
        <w:lastRenderedPageBreak/>
        <w:t>References</w:t>
      </w:r>
    </w:p>
    <w:p w14:paraId="29E46566" w14:textId="3A12B39A" w:rsidR="00261C68" w:rsidRPr="00A056BE" w:rsidRDefault="00261C68" w:rsidP="00073BFB">
      <w:pPr>
        <w:spacing w:after="0" w:line="240" w:lineRule="auto"/>
        <w:rPr>
          <w:rFonts w:ascii="Times New Roman" w:hAnsi="Times New Roman" w:cs="Times New Roman"/>
          <w:bCs/>
          <w:iCs/>
          <w:sz w:val="24"/>
          <w:szCs w:val="24"/>
          <w:lang w:val="it-IT"/>
        </w:rPr>
      </w:pPr>
    </w:p>
    <w:p w14:paraId="7A80E199" w14:textId="77777777" w:rsidR="00261C68" w:rsidRPr="00A056BE" w:rsidRDefault="00261C68" w:rsidP="00073BFB">
      <w:pPr>
        <w:spacing w:after="0" w:line="240" w:lineRule="auto"/>
        <w:rPr>
          <w:rFonts w:ascii="Times New Roman" w:hAnsi="Times New Roman" w:cs="Times New Roman"/>
          <w:bCs/>
          <w:iCs/>
          <w:sz w:val="24"/>
          <w:szCs w:val="24"/>
          <w:lang w:val="it-IT"/>
        </w:rPr>
      </w:pPr>
    </w:p>
    <w:p w14:paraId="1A107FFF" w14:textId="77777777" w:rsidR="005560EF" w:rsidRPr="005560EF" w:rsidRDefault="00261C68" w:rsidP="005560EF">
      <w:pPr>
        <w:widowControl w:val="0"/>
        <w:autoSpaceDE w:val="0"/>
        <w:autoSpaceDN w:val="0"/>
        <w:adjustRightInd w:val="0"/>
        <w:spacing w:after="0" w:line="240" w:lineRule="auto"/>
        <w:rPr>
          <w:rFonts w:ascii="Times New Roman" w:hAnsi="Times New Roman" w:cs="Times New Roman"/>
        </w:rPr>
      </w:pPr>
      <w:r w:rsidRPr="00A056BE">
        <w:fldChar w:fldCharType="begin"/>
      </w:r>
      <w:r w:rsidRPr="0011173E">
        <w:rPr>
          <w:lang w:val="it-IT"/>
        </w:rPr>
        <w:instrText xml:space="preserve"> ADDIN ZOTERO_BIBL {"uncited":[],"omitted":[],"custom":[]} CSL_BIBLIOGRAPHY </w:instrText>
      </w:r>
      <w:r w:rsidRPr="00A056BE">
        <w:fldChar w:fldCharType="separate"/>
      </w:r>
      <w:r w:rsidR="005560EF" w:rsidRPr="0011173E">
        <w:rPr>
          <w:rFonts w:ascii="Times New Roman" w:hAnsi="Times New Roman" w:cs="Times New Roman"/>
          <w:lang w:val="it-IT"/>
        </w:rPr>
        <w:t xml:space="preserve">Arcara, G., &amp; Bambini, V. (2016). </w:t>
      </w:r>
      <w:r w:rsidR="005560EF" w:rsidRPr="005560EF">
        <w:rPr>
          <w:rFonts w:ascii="Times New Roman" w:hAnsi="Times New Roman" w:cs="Times New Roman"/>
        </w:rPr>
        <w:t xml:space="preserve">A Test for the Assessment of Pragmatic Abilities and Cognitive Substrates (APACS): Normative Data and Psychometric Properties. </w:t>
      </w:r>
      <w:r w:rsidR="005560EF" w:rsidRPr="005560EF">
        <w:rPr>
          <w:rFonts w:ascii="Times New Roman" w:hAnsi="Times New Roman" w:cs="Times New Roman"/>
          <w:i/>
          <w:iCs/>
        </w:rPr>
        <w:t>Frontiers in Psychology</w:t>
      </w:r>
      <w:r w:rsidR="005560EF" w:rsidRPr="005560EF">
        <w:rPr>
          <w:rFonts w:ascii="Times New Roman" w:hAnsi="Times New Roman" w:cs="Times New Roman"/>
        </w:rPr>
        <w:t xml:space="preserve">, </w:t>
      </w:r>
      <w:r w:rsidR="005560EF" w:rsidRPr="005560EF">
        <w:rPr>
          <w:rFonts w:ascii="Times New Roman" w:hAnsi="Times New Roman" w:cs="Times New Roman"/>
          <w:i/>
          <w:iCs/>
        </w:rPr>
        <w:t>7</w:t>
      </w:r>
      <w:r w:rsidR="005560EF" w:rsidRPr="005560EF">
        <w:rPr>
          <w:rFonts w:ascii="Times New Roman" w:hAnsi="Times New Roman" w:cs="Times New Roman"/>
        </w:rPr>
        <w:t>. https://www.frontiersin.org/articles/10.3389/fpsyg.2016.00070</w:t>
      </w:r>
    </w:p>
    <w:p w14:paraId="060B168F"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Baddeley, A. (2010). Working memory. </w:t>
      </w:r>
      <w:r w:rsidRPr="005560EF">
        <w:rPr>
          <w:rFonts w:ascii="Times New Roman" w:hAnsi="Times New Roman" w:cs="Times New Roman"/>
          <w:i/>
          <w:iCs/>
        </w:rPr>
        <w:t>Current Biology</w:t>
      </w:r>
      <w:r w:rsidRPr="005560EF">
        <w:rPr>
          <w:rFonts w:ascii="Times New Roman" w:hAnsi="Times New Roman" w:cs="Times New Roman"/>
        </w:rPr>
        <w:t xml:space="preserve">, </w:t>
      </w:r>
      <w:r w:rsidRPr="005560EF">
        <w:rPr>
          <w:rFonts w:ascii="Times New Roman" w:hAnsi="Times New Roman" w:cs="Times New Roman"/>
          <w:i/>
          <w:iCs/>
        </w:rPr>
        <w:t>20</w:t>
      </w:r>
      <w:r w:rsidRPr="005560EF">
        <w:rPr>
          <w:rFonts w:ascii="Times New Roman" w:hAnsi="Times New Roman" w:cs="Times New Roman"/>
        </w:rPr>
        <w:t>(4), R136–R140. https://doi.org/10.1016/j.cub.2009.12.014</w:t>
      </w:r>
    </w:p>
    <w:p w14:paraId="726D12E9"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Baker, S. F., &amp; Ireland, J. L. (2007). The link between dyslexic traits, executive functioning, impulsivity and social self-esteem among an offender and non-offender sample. </w:t>
      </w:r>
      <w:r w:rsidRPr="005560EF">
        <w:rPr>
          <w:rFonts w:ascii="Times New Roman" w:hAnsi="Times New Roman" w:cs="Times New Roman"/>
          <w:i/>
          <w:iCs/>
        </w:rPr>
        <w:t>International Journal of Law and Psychiatry</w:t>
      </w:r>
      <w:r w:rsidRPr="005560EF">
        <w:rPr>
          <w:rFonts w:ascii="Times New Roman" w:hAnsi="Times New Roman" w:cs="Times New Roman"/>
        </w:rPr>
        <w:t xml:space="preserve">, </w:t>
      </w:r>
      <w:r w:rsidRPr="005560EF">
        <w:rPr>
          <w:rFonts w:ascii="Times New Roman" w:hAnsi="Times New Roman" w:cs="Times New Roman"/>
          <w:i/>
          <w:iCs/>
        </w:rPr>
        <w:t>30</w:t>
      </w:r>
      <w:r w:rsidRPr="005560EF">
        <w:rPr>
          <w:rFonts w:ascii="Times New Roman" w:hAnsi="Times New Roman" w:cs="Times New Roman"/>
        </w:rPr>
        <w:t>(6), 492–503. https://doi.org/10.1016/j.ijlp.2007.09.010</w:t>
      </w:r>
    </w:p>
    <w:p w14:paraId="5D7B5FDE"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lang w:val="it-IT"/>
        </w:rPr>
        <w:t xml:space="preserve">Bambini, V., Bertini, C., Schaeken, W., Stella, A., &amp; Di Russo, F. (2016). </w:t>
      </w:r>
      <w:r w:rsidRPr="005560EF">
        <w:rPr>
          <w:rFonts w:ascii="Times New Roman" w:hAnsi="Times New Roman" w:cs="Times New Roman"/>
        </w:rPr>
        <w:t xml:space="preserve">Disentangling Metaphor from Context: An ERP Study. </w:t>
      </w:r>
      <w:r w:rsidRPr="005560EF">
        <w:rPr>
          <w:rFonts w:ascii="Times New Roman" w:hAnsi="Times New Roman" w:cs="Times New Roman"/>
          <w:i/>
          <w:iCs/>
        </w:rPr>
        <w:t>Frontiers in Psychology</w:t>
      </w:r>
      <w:r w:rsidRPr="005560EF">
        <w:rPr>
          <w:rFonts w:ascii="Times New Roman" w:hAnsi="Times New Roman" w:cs="Times New Roman"/>
        </w:rPr>
        <w:t xml:space="preserve">, </w:t>
      </w:r>
      <w:r w:rsidRPr="005560EF">
        <w:rPr>
          <w:rFonts w:ascii="Times New Roman" w:hAnsi="Times New Roman" w:cs="Times New Roman"/>
          <w:i/>
          <w:iCs/>
        </w:rPr>
        <w:t>7</w:t>
      </w:r>
      <w:r w:rsidRPr="005560EF">
        <w:rPr>
          <w:rFonts w:ascii="Times New Roman" w:hAnsi="Times New Roman" w:cs="Times New Roman"/>
        </w:rPr>
        <w:t>. https://www.frontiersin.org/articles/10.3389/fpsyg.2016.00559</w:t>
      </w:r>
    </w:p>
    <w:p w14:paraId="61199ECA"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lang w:val="it-IT"/>
        </w:rPr>
        <w:t xml:space="preserve">Bambini, V., Ghio, M., Moro, A., &amp; Schumacher, P. B. (2013). </w:t>
      </w:r>
      <w:r w:rsidRPr="005560EF">
        <w:rPr>
          <w:rFonts w:ascii="Times New Roman" w:hAnsi="Times New Roman" w:cs="Times New Roman"/>
        </w:rPr>
        <w:t xml:space="preserve">Differentiating among pragmatic uses of words through timed sensicality judgments. </w:t>
      </w:r>
      <w:r w:rsidRPr="005560EF">
        <w:rPr>
          <w:rFonts w:ascii="Times New Roman" w:hAnsi="Times New Roman" w:cs="Times New Roman"/>
          <w:i/>
          <w:iCs/>
        </w:rPr>
        <w:t>Frontiers in Psychology</w:t>
      </w:r>
      <w:r w:rsidRPr="005560EF">
        <w:rPr>
          <w:rFonts w:ascii="Times New Roman" w:hAnsi="Times New Roman" w:cs="Times New Roman"/>
        </w:rPr>
        <w:t xml:space="preserve">, </w:t>
      </w:r>
      <w:r w:rsidRPr="005560EF">
        <w:rPr>
          <w:rFonts w:ascii="Times New Roman" w:hAnsi="Times New Roman" w:cs="Times New Roman"/>
          <w:i/>
          <w:iCs/>
        </w:rPr>
        <w:t>4</w:t>
      </w:r>
      <w:r w:rsidRPr="005560EF">
        <w:rPr>
          <w:rFonts w:ascii="Times New Roman" w:hAnsi="Times New Roman" w:cs="Times New Roman"/>
        </w:rPr>
        <w:t>. https://doi.org/10.3389/fpsyg.2013.00938</w:t>
      </w:r>
    </w:p>
    <w:p w14:paraId="2EED8EBD"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Bambini, V., &amp; Resta, D. (2012). Metaphor and Experimental Pragmatics: When Theory Meets Empirical Investigation. </w:t>
      </w:r>
      <w:r w:rsidRPr="005560EF">
        <w:rPr>
          <w:rFonts w:ascii="Times New Roman" w:hAnsi="Times New Roman" w:cs="Times New Roman"/>
          <w:i/>
          <w:iCs/>
        </w:rPr>
        <w:t>HUMANA.MENTE Journal of Philosophical Studies</w:t>
      </w:r>
      <w:r w:rsidRPr="005560EF">
        <w:rPr>
          <w:rFonts w:ascii="Times New Roman" w:hAnsi="Times New Roman" w:cs="Times New Roman"/>
        </w:rPr>
        <w:t xml:space="preserve">, </w:t>
      </w:r>
      <w:r w:rsidRPr="005560EF">
        <w:rPr>
          <w:rFonts w:ascii="Times New Roman" w:hAnsi="Times New Roman" w:cs="Times New Roman"/>
          <w:i/>
          <w:iCs/>
        </w:rPr>
        <w:t>5</w:t>
      </w:r>
      <w:r w:rsidRPr="005560EF">
        <w:rPr>
          <w:rFonts w:ascii="Times New Roman" w:hAnsi="Times New Roman" w:cs="Times New Roman"/>
        </w:rPr>
        <w:t>(23), Article 23.</w:t>
      </w:r>
    </w:p>
    <w:p w14:paraId="6A89BCF4"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Black, M. (1962). Models and Metaphors: Studies in Language and Philosophy. In </w:t>
      </w:r>
      <w:r w:rsidRPr="005560EF">
        <w:rPr>
          <w:rFonts w:ascii="Times New Roman" w:hAnsi="Times New Roman" w:cs="Times New Roman"/>
          <w:i/>
          <w:iCs/>
        </w:rPr>
        <w:t>Models and Metaphors</w:t>
      </w:r>
      <w:r w:rsidRPr="005560EF">
        <w:rPr>
          <w:rFonts w:ascii="Times New Roman" w:hAnsi="Times New Roman" w:cs="Times New Roman"/>
        </w:rPr>
        <w:t>. Cornell University Press. https://doi.org/10.7591/9781501741326</w:t>
      </w:r>
    </w:p>
    <w:p w14:paraId="4122C3BE"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Blasko, D. G. (1999). Only the tip of the iceberg: Who understands what about metaphor? </w:t>
      </w:r>
      <w:r w:rsidRPr="005560EF">
        <w:rPr>
          <w:rFonts w:ascii="Times New Roman" w:hAnsi="Times New Roman" w:cs="Times New Roman"/>
          <w:i/>
          <w:iCs/>
        </w:rPr>
        <w:t>Journal of Pragmatics</w:t>
      </w:r>
      <w:r w:rsidRPr="005560EF">
        <w:rPr>
          <w:rFonts w:ascii="Times New Roman" w:hAnsi="Times New Roman" w:cs="Times New Roman"/>
        </w:rPr>
        <w:t xml:space="preserve">, </w:t>
      </w:r>
      <w:r w:rsidRPr="005560EF">
        <w:rPr>
          <w:rFonts w:ascii="Times New Roman" w:hAnsi="Times New Roman" w:cs="Times New Roman"/>
          <w:i/>
          <w:iCs/>
        </w:rPr>
        <w:t>31</w:t>
      </w:r>
      <w:r w:rsidRPr="005560EF">
        <w:rPr>
          <w:rFonts w:ascii="Times New Roman" w:hAnsi="Times New Roman" w:cs="Times New Roman"/>
        </w:rPr>
        <w:t>(12), 1675–1683. https://doi.org/10.1016/S0378-2166(99)00009-0</w:t>
      </w:r>
    </w:p>
    <w:p w14:paraId="6DBC2776"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Blasko, D. G., &amp; Briihl, D. S. (1997). Reading and Recall of Metaphorical Sentences: Effects of Familiarity and Context. </w:t>
      </w:r>
      <w:r w:rsidRPr="005560EF">
        <w:rPr>
          <w:rFonts w:ascii="Times New Roman" w:hAnsi="Times New Roman" w:cs="Times New Roman"/>
          <w:i/>
          <w:iCs/>
        </w:rPr>
        <w:t>Metaphor and Symbol</w:t>
      </w:r>
      <w:r w:rsidRPr="005560EF">
        <w:rPr>
          <w:rFonts w:ascii="Times New Roman" w:hAnsi="Times New Roman" w:cs="Times New Roman"/>
        </w:rPr>
        <w:t xml:space="preserve">, </w:t>
      </w:r>
      <w:r w:rsidRPr="005560EF">
        <w:rPr>
          <w:rFonts w:ascii="Times New Roman" w:hAnsi="Times New Roman" w:cs="Times New Roman"/>
          <w:i/>
          <w:iCs/>
        </w:rPr>
        <w:t>12</w:t>
      </w:r>
      <w:r w:rsidRPr="005560EF">
        <w:rPr>
          <w:rFonts w:ascii="Times New Roman" w:hAnsi="Times New Roman" w:cs="Times New Roman"/>
        </w:rPr>
        <w:t>(4), 261–285. https://doi.org/10.1207/s15327868ms1204_4</w:t>
      </w:r>
    </w:p>
    <w:p w14:paraId="6642D918"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Blasko, D. G., &amp; Connine, C. M. (1993). Effects of familiarity and aptness on metaphor processing. </w:t>
      </w:r>
      <w:r w:rsidRPr="005560EF">
        <w:rPr>
          <w:rFonts w:ascii="Times New Roman" w:hAnsi="Times New Roman" w:cs="Times New Roman"/>
          <w:i/>
          <w:iCs/>
        </w:rPr>
        <w:t>Journal of Experimental Psychology. Learning, Memory, and Cognition</w:t>
      </w:r>
      <w:r w:rsidRPr="005560EF">
        <w:rPr>
          <w:rFonts w:ascii="Times New Roman" w:hAnsi="Times New Roman" w:cs="Times New Roman"/>
        </w:rPr>
        <w:t xml:space="preserve">, </w:t>
      </w:r>
      <w:r w:rsidRPr="005560EF">
        <w:rPr>
          <w:rFonts w:ascii="Times New Roman" w:hAnsi="Times New Roman" w:cs="Times New Roman"/>
          <w:i/>
          <w:iCs/>
        </w:rPr>
        <w:t>19</w:t>
      </w:r>
      <w:r w:rsidRPr="005560EF">
        <w:rPr>
          <w:rFonts w:ascii="Times New Roman" w:hAnsi="Times New Roman" w:cs="Times New Roman"/>
        </w:rPr>
        <w:t>(2), 295–308. https://doi.org/10.1037//0278-7393.19.2.295</w:t>
      </w:r>
    </w:p>
    <w:p w14:paraId="2D8F57E5"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lang w:val="it-IT"/>
        </w:rPr>
        <w:t xml:space="preserve">Bosco, F. M., Tirassa, M., &amp; Gabbatore, I. (2018). </w:t>
      </w:r>
      <w:r w:rsidRPr="005560EF">
        <w:rPr>
          <w:rFonts w:ascii="Times New Roman" w:hAnsi="Times New Roman" w:cs="Times New Roman"/>
        </w:rPr>
        <w:t xml:space="preserve">Why Pragmatics and Theory of Mind Do Not (Completely) Overlap. </w:t>
      </w:r>
      <w:r w:rsidRPr="005560EF">
        <w:rPr>
          <w:rFonts w:ascii="Times New Roman" w:hAnsi="Times New Roman" w:cs="Times New Roman"/>
          <w:i/>
          <w:iCs/>
        </w:rPr>
        <w:t>Frontiers in Psychology</w:t>
      </w:r>
      <w:r w:rsidRPr="005560EF">
        <w:rPr>
          <w:rFonts w:ascii="Times New Roman" w:hAnsi="Times New Roman" w:cs="Times New Roman"/>
        </w:rPr>
        <w:t xml:space="preserve">, </w:t>
      </w:r>
      <w:r w:rsidRPr="005560EF">
        <w:rPr>
          <w:rFonts w:ascii="Times New Roman" w:hAnsi="Times New Roman" w:cs="Times New Roman"/>
          <w:i/>
          <w:iCs/>
        </w:rPr>
        <w:t>9</w:t>
      </w:r>
      <w:r w:rsidRPr="005560EF">
        <w:rPr>
          <w:rFonts w:ascii="Times New Roman" w:hAnsi="Times New Roman" w:cs="Times New Roman"/>
        </w:rPr>
        <w:t>. https://www.frontiersin.org/articles/10.3389/fpsyg.2018.01453</w:t>
      </w:r>
    </w:p>
    <w:p w14:paraId="6F2BAE6D"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Bowdle, B. F., &amp; Gentner, D. (2005). The Career of Metaphor. </w:t>
      </w:r>
      <w:r w:rsidRPr="005560EF">
        <w:rPr>
          <w:rFonts w:ascii="Times New Roman" w:hAnsi="Times New Roman" w:cs="Times New Roman"/>
          <w:i/>
          <w:iCs/>
        </w:rPr>
        <w:t>Psychological Review</w:t>
      </w:r>
      <w:r w:rsidRPr="005560EF">
        <w:rPr>
          <w:rFonts w:ascii="Times New Roman" w:hAnsi="Times New Roman" w:cs="Times New Roman"/>
        </w:rPr>
        <w:t xml:space="preserve">, </w:t>
      </w:r>
      <w:r w:rsidRPr="005560EF">
        <w:rPr>
          <w:rFonts w:ascii="Times New Roman" w:hAnsi="Times New Roman" w:cs="Times New Roman"/>
          <w:i/>
          <w:iCs/>
        </w:rPr>
        <w:t>112</w:t>
      </w:r>
      <w:r w:rsidRPr="005560EF">
        <w:rPr>
          <w:rFonts w:ascii="Times New Roman" w:hAnsi="Times New Roman" w:cs="Times New Roman"/>
        </w:rPr>
        <w:t>, 193–216. https://doi.org/10.1037/0033-295X.112.1.193</w:t>
      </w:r>
    </w:p>
    <w:p w14:paraId="79CF7B5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Brockett, C. A. (1985). </w:t>
      </w:r>
      <w:r w:rsidRPr="005560EF">
        <w:rPr>
          <w:rFonts w:ascii="Times New Roman" w:hAnsi="Times New Roman" w:cs="Times New Roman"/>
          <w:i/>
          <w:iCs/>
        </w:rPr>
        <w:t>Neuropsychological and Cognitive Components of Creativity and Incubation (mental Flexibility, Ideational Fluency, Spontaneous, Hemispheric Differences)</w:t>
      </w:r>
      <w:r w:rsidRPr="005560EF">
        <w:rPr>
          <w:rFonts w:ascii="Times New Roman" w:hAnsi="Times New Roman" w:cs="Times New Roman"/>
        </w:rPr>
        <w:t xml:space="preserve"> [Ph.D.]. https://www.proquest.com/docview/303394893/abstract/8B7B3F69222E4C1BPQ/1</w:t>
      </w:r>
    </w:p>
    <w:p w14:paraId="27BAA5AC"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Brosnan, M., Demetre, J., Hamill, S., Robson, K., Shepherd, H., &amp; Cody, G. (2002). Executive functioning in adults and children with developmental dyslexia. </w:t>
      </w:r>
      <w:r w:rsidRPr="005560EF">
        <w:rPr>
          <w:rFonts w:ascii="Times New Roman" w:hAnsi="Times New Roman" w:cs="Times New Roman"/>
          <w:i/>
          <w:iCs/>
        </w:rPr>
        <w:t>Neuropsychologia</w:t>
      </w:r>
      <w:r w:rsidRPr="005560EF">
        <w:rPr>
          <w:rFonts w:ascii="Times New Roman" w:hAnsi="Times New Roman" w:cs="Times New Roman"/>
        </w:rPr>
        <w:t xml:space="preserve">, </w:t>
      </w:r>
      <w:r w:rsidRPr="005560EF">
        <w:rPr>
          <w:rFonts w:ascii="Times New Roman" w:hAnsi="Times New Roman" w:cs="Times New Roman"/>
          <w:i/>
          <w:iCs/>
        </w:rPr>
        <w:t>40</w:t>
      </w:r>
      <w:r w:rsidRPr="005560EF">
        <w:rPr>
          <w:rFonts w:ascii="Times New Roman" w:hAnsi="Times New Roman" w:cs="Times New Roman"/>
        </w:rPr>
        <w:t>(12), 2144–2155. https://doi.org/10.1016/s0028-3932(02)00046-5</w:t>
      </w:r>
    </w:p>
    <w:p w14:paraId="3E7289D5"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Bryan, K. L. (1995). </w:t>
      </w:r>
      <w:r w:rsidRPr="005560EF">
        <w:rPr>
          <w:rFonts w:ascii="Times New Roman" w:hAnsi="Times New Roman" w:cs="Times New Roman"/>
          <w:i/>
          <w:iCs/>
        </w:rPr>
        <w:t>The Right Hemisphere Language Battery (2nd edn).</w:t>
      </w:r>
      <w:r w:rsidRPr="005560EF">
        <w:rPr>
          <w:rFonts w:ascii="Times New Roman" w:hAnsi="Times New Roman" w:cs="Times New Roman"/>
        </w:rPr>
        <w:t xml:space="preserve"> Far Communications.</w:t>
      </w:r>
    </w:p>
    <w:p w14:paraId="4B1E7BC2"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Brysbaert, M., &amp; Stevens, M. (2018). Power analysis and effect size in mixed effects models: A tutorial. </w:t>
      </w:r>
      <w:r w:rsidRPr="005560EF">
        <w:rPr>
          <w:rFonts w:ascii="Times New Roman" w:hAnsi="Times New Roman" w:cs="Times New Roman"/>
          <w:i/>
          <w:iCs/>
        </w:rPr>
        <w:t>Journal of Cognition</w:t>
      </w:r>
      <w:r w:rsidRPr="005560EF">
        <w:rPr>
          <w:rFonts w:ascii="Times New Roman" w:hAnsi="Times New Roman" w:cs="Times New Roman"/>
        </w:rPr>
        <w:t xml:space="preserve">, </w:t>
      </w:r>
      <w:r w:rsidRPr="005560EF">
        <w:rPr>
          <w:rFonts w:ascii="Times New Roman" w:hAnsi="Times New Roman" w:cs="Times New Roman"/>
          <w:i/>
          <w:iCs/>
        </w:rPr>
        <w:t>1</w:t>
      </w:r>
      <w:r w:rsidRPr="005560EF">
        <w:rPr>
          <w:rFonts w:ascii="Times New Roman" w:hAnsi="Times New Roman" w:cs="Times New Roman"/>
        </w:rPr>
        <w:t>(1). https://www.ncbi.nlm.nih.gov/pmc/articles/PMC6646942/</w:t>
      </w:r>
    </w:p>
    <w:p w14:paraId="6B7E90F9"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Brysbaert, M., Warriner, A. B., &amp; Kuperman, V. (2014). Concreteness ratings for 40 thousand generally known English word lemmas. </w:t>
      </w:r>
      <w:r w:rsidRPr="005560EF">
        <w:rPr>
          <w:rFonts w:ascii="Times New Roman" w:hAnsi="Times New Roman" w:cs="Times New Roman"/>
          <w:i/>
          <w:iCs/>
        </w:rPr>
        <w:t>Behavior Research Methods</w:t>
      </w:r>
      <w:r w:rsidRPr="005560EF">
        <w:rPr>
          <w:rFonts w:ascii="Times New Roman" w:hAnsi="Times New Roman" w:cs="Times New Roman"/>
        </w:rPr>
        <w:t xml:space="preserve">, </w:t>
      </w:r>
      <w:r w:rsidRPr="005560EF">
        <w:rPr>
          <w:rFonts w:ascii="Times New Roman" w:hAnsi="Times New Roman" w:cs="Times New Roman"/>
          <w:i/>
          <w:iCs/>
        </w:rPr>
        <w:t>46</w:t>
      </w:r>
      <w:r w:rsidRPr="005560EF">
        <w:rPr>
          <w:rFonts w:ascii="Times New Roman" w:hAnsi="Times New Roman" w:cs="Times New Roman"/>
        </w:rPr>
        <w:t>(3), 904–911. https://doi.org/10.3758/s13428-013-0403-5</w:t>
      </w:r>
    </w:p>
    <w:p w14:paraId="718C95F1"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Cancer, A., &amp; Antonietti, A. (2018). Rapid Automatized Naming, Verbal Working Memory, and Rhythm Discrimination as Predictors of Reading in Italian Undergraduate Students with and without Dyslexia. </w:t>
      </w:r>
      <w:r w:rsidRPr="005560EF">
        <w:rPr>
          <w:rFonts w:ascii="Times New Roman" w:hAnsi="Times New Roman" w:cs="Times New Roman"/>
          <w:i/>
          <w:iCs/>
        </w:rPr>
        <w:t>Brain Sciences</w:t>
      </w:r>
      <w:r w:rsidRPr="005560EF">
        <w:rPr>
          <w:rFonts w:ascii="Times New Roman" w:hAnsi="Times New Roman" w:cs="Times New Roman"/>
        </w:rPr>
        <w:t xml:space="preserve">, </w:t>
      </w:r>
      <w:r w:rsidRPr="005560EF">
        <w:rPr>
          <w:rFonts w:ascii="Times New Roman" w:hAnsi="Times New Roman" w:cs="Times New Roman"/>
          <w:i/>
          <w:iCs/>
        </w:rPr>
        <w:t>8</w:t>
      </w:r>
      <w:r w:rsidRPr="005560EF">
        <w:rPr>
          <w:rFonts w:ascii="Times New Roman" w:hAnsi="Times New Roman" w:cs="Times New Roman"/>
        </w:rPr>
        <w:t>. https://doi.org/10.3390/brainsci8050087</w:t>
      </w:r>
    </w:p>
    <w:p w14:paraId="3961379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Cancer, A., &amp; Antonietti, A. (2020). Creativity and dyslexia: Theoretical insights and empirical evidence supporting a possible link. In </w:t>
      </w:r>
      <w:r w:rsidRPr="005560EF">
        <w:rPr>
          <w:rFonts w:ascii="Times New Roman" w:hAnsi="Times New Roman" w:cs="Times New Roman"/>
          <w:i/>
          <w:iCs/>
        </w:rPr>
        <w:t>New frontiers in creativity</w:t>
      </w:r>
      <w:r w:rsidRPr="005560EF">
        <w:rPr>
          <w:rFonts w:ascii="Times New Roman" w:hAnsi="Times New Roman" w:cs="Times New Roman"/>
        </w:rPr>
        <w:t xml:space="preserve"> (pp. 125–148). Nova Science Publishers.</w:t>
      </w:r>
    </w:p>
    <w:p w14:paraId="619D5046"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lang w:val="it-IT"/>
        </w:rPr>
      </w:pPr>
      <w:r w:rsidRPr="005560EF">
        <w:rPr>
          <w:rFonts w:ascii="Times New Roman" w:hAnsi="Times New Roman" w:cs="Times New Roman"/>
        </w:rPr>
        <w:t xml:space="preserve">Cappelli, G., Noccetti, S., Arcara, G., &amp; Bambini, V. (2018). Pragmatic competence and its relationship with the linguistic and cognitive profile of young adults with dyslexia. </w:t>
      </w:r>
      <w:r w:rsidRPr="005560EF">
        <w:rPr>
          <w:rFonts w:ascii="Times New Roman" w:hAnsi="Times New Roman" w:cs="Times New Roman"/>
          <w:i/>
          <w:iCs/>
          <w:lang w:val="it-IT"/>
        </w:rPr>
        <w:t>Dyslexia</w:t>
      </w:r>
      <w:r w:rsidRPr="005560EF">
        <w:rPr>
          <w:rFonts w:ascii="Times New Roman" w:hAnsi="Times New Roman" w:cs="Times New Roman"/>
          <w:lang w:val="it-IT"/>
        </w:rPr>
        <w:t xml:space="preserve">, </w:t>
      </w:r>
      <w:r w:rsidRPr="005560EF">
        <w:rPr>
          <w:rFonts w:ascii="Times New Roman" w:hAnsi="Times New Roman" w:cs="Times New Roman"/>
          <w:i/>
          <w:iCs/>
          <w:lang w:val="it-IT"/>
        </w:rPr>
        <w:t>24</w:t>
      </w:r>
      <w:r w:rsidRPr="005560EF">
        <w:rPr>
          <w:rFonts w:ascii="Times New Roman" w:hAnsi="Times New Roman" w:cs="Times New Roman"/>
          <w:lang w:val="it-IT"/>
        </w:rPr>
        <w:t>(3), 294–306. https://doi.org/10.1002/dys.1588</w:t>
      </w:r>
    </w:p>
    <w:p w14:paraId="6B1D79C6"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lang w:val="it-IT"/>
        </w:rPr>
      </w:pPr>
      <w:r w:rsidRPr="005560EF">
        <w:rPr>
          <w:rFonts w:ascii="Times New Roman" w:hAnsi="Times New Roman" w:cs="Times New Roman"/>
          <w:lang w:val="it-IT"/>
        </w:rPr>
        <w:t xml:space="preserve">Cappelli, G., Noccetti, S., Simi, N., Arcara, G., &amp; Bambini, V. (2022). </w:t>
      </w:r>
      <w:r w:rsidRPr="005560EF">
        <w:rPr>
          <w:rFonts w:ascii="Times New Roman" w:hAnsi="Times New Roman" w:cs="Times New Roman"/>
        </w:rPr>
        <w:t xml:space="preserve">Dyslexia and Pragmatic Skills. In </w:t>
      </w:r>
      <w:r w:rsidRPr="005560EF">
        <w:rPr>
          <w:rFonts w:ascii="Times New Roman" w:hAnsi="Times New Roman" w:cs="Times New Roman"/>
          <w:i/>
          <w:iCs/>
        </w:rPr>
        <w:t>A Linguistic Approach to the Study of Dyslexia</w:t>
      </w:r>
      <w:r w:rsidRPr="005560EF">
        <w:rPr>
          <w:rFonts w:ascii="Times New Roman" w:hAnsi="Times New Roman" w:cs="Times New Roman"/>
        </w:rPr>
        <w:t xml:space="preserve">. </w:t>
      </w:r>
      <w:r w:rsidRPr="005560EF">
        <w:rPr>
          <w:rFonts w:ascii="Times New Roman" w:hAnsi="Times New Roman" w:cs="Times New Roman"/>
          <w:lang w:val="it-IT"/>
        </w:rPr>
        <w:t>Multilingual Matters. https://doi.org/10.21832/9781800415973-012</w:t>
      </w:r>
    </w:p>
    <w:p w14:paraId="64D593CB"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lang w:val="it-IT"/>
        </w:rPr>
        <w:lastRenderedPageBreak/>
        <w:t xml:space="preserve">Cardillo, R., Garcia, R. B., Mammarella, I. C., &amp; Cornoldi, C. (2018). </w:t>
      </w:r>
      <w:r w:rsidRPr="005560EF">
        <w:rPr>
          <w:rFonts w:ascii="Times New Roman" w:hAnsi="Times New Roman" w:cs="Times New Roman"/>
        </w:rPr>
        <w:t xml:space="preserve">Pragmatics of language and theory of mind in children with dyslexia with associated language difficulties or nonverbal learning disabilities. </w:t>
      </w:r>
      <w:r w:rsidRPr="005560EF">
        <w:rPr>
          <w:rFonts w:ascii="Times New Roman" w:hAnsi="Times New Roman" w:cs="Times New Roman"/>
          <w:i/>
          <w:iCs/>
        </w:rPr>
        <w:t>Applied Neuropsychology: Child</w:t>
      </w:r>
      <w:r w:rsidRPr="005560EF">
        <w:rPr>
          <w:rFonts w:ascii="Times New Roman" w:hAnsi="Times New Roman" w:cs="Times New Roman"/>
        </w:rPr>
        <w:t xml:space="preserve">, </w:t>
      </w:r>
      <w:r w:rsidRPr="005560EF">
        <w:rPr>
          <w:rFonts w:ascii="Times New Roman" w:hAnsi="Times New Roman" w:cs="Times New Roman"/>
          <w:i/>
          <w:iCs/>
        </w:rPr>
        <w:t>7</w:t>
      </w:r>
      <w:r w:rsidRPr="005560EF">
        <w:rPr>
          <w:rFonts w:ascii="Times New Roman" w:hAnsi="Times New Roman" w:cs="Times New Roman"/>
        </w:rPr>
        <w:t>(3), 245–256. https://doi.org/10.1080/21622965.2017.1297946</w:t>
      </w:r>
    </w:p>
    <w:p w14:paraId="7093BE1E"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Cavalli, E., Casalis, S., Ahmadi, A. E., Zira, M., Poracchia-George, F., &amp; Colé, P. (2016). Vocabulary skills are well developed in university students with dyslexia: Evidence from multiple case studies. </w:t>
      </w:r>
      <w:r w:rsidRPr="005560EF">
        <w:rPr>
          <w:rFonts w:ascii="Times New Roman" w:hAnsi="Times New Roman" w:cs="Times New Roman"/>
          <w:i/>
          <w:iCs/>
        </w:rPr>
        <w:t>Research in Developmental Disabilities</w:t>
      </w:r>
      <w:r w:rsidRPr="005560EF">
        <w:rPr>
          <w:rFonts w:ascii="Times New Roman" w:hAnsi="Times New Roman" w:cs="Times New Roman"/>
        </w:rPr>
        <w:t xml:space="preserve">, </w:t>
      </w:r>
      <w:r w:rsidRPr="005560EF">
        <w:rPr>
          <w:rFonts w:ascii="Times New Roman" w:hAnsi="Times New Roman" w:cs="Times New Roman"/>
          <w:i/>
          <w:iCs/>
        </w:rPr>
        <w:t>51–52</w:t>
      </w:r>
      <w:r w:rsidRPr="005560EF">
        <w:rPr>
          <w:rFonts w:ascii="Times New Roman" w:hAnsi="Times New Roman" w:cs="Times New Roman"/>
        </w:rPr>
        <w:t>, 89–102. https://doi.org/10.1016/j.ridd.2016.01.006</w:t>
      </w:r>
    </w:p>
    <w:p w14:paraId="6EF169E6"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Cersosimo, R., Domaneschi, F., &amp; Al-Azary, H. (2024). Automatic metaphor processing in developmental dyslexia. </w:t>
      </w:r>
      <w:r w:rsidRPr="005560EF">
        <w:rPr>
          <w:rFonts w:ascii="Times New Roman" w:hAnsi="Times New Roman" w:cs="Times New Roman"/>
          <w:i/>
          <w:iCs/>
        </w:rPr>
        <w:t>Journal of Communication Disorders</w:t>
      </w:r>
      <w:r w:rsidRPr="005560EF">
        <w:rPr>
          <w:rFonts w:ascii="Times New Roman" w:hAnsi="Times New Roman" w:cs="Times New Roman"/>
        </w:rPr>
        <w:t xml:space="preserve">, </w:t>
      </w:r>
      <w:r w:rsidRPr="005560EF">
        <w:rPr>
          <w:rFonts w:ascii="Times New Roman" w:hAnsi="Times New Roman" w:cs="Times New Roman"/>
          <w:i/>
          <w:iCs/>
        </w:rPr>
        <w:t>111</w:t>
      </w:r>
      <w:r w:rsidRPr="005560EF">
        <w:rPr>
          <w:rFonts w:ascii="Times New Roman" w:hAnsi="Times New Roman" w:cs="Times New Roman"/>
        </w:rPr>
        <w:t>, 106448. https://doi.org/10.1016/j.jcomdis.2024.106448</w:t>
      </w:r>
    </w:p>
    <w:p w14:paraId="3E78971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Chiappe, D. L., &amp; Chiappe, P. (2007). The role of working memory in metaphor production and comprehension. </w:t>
      </w:r>
      <w:r w:rsidRPr="005560EF">
        <w:rPr>
          <w:rFonts w:ascii="Times New Roman" w:hAnsi="Times New Roman" w:cs="Times New Roman"/>
          <w:i/>
          <w:iCs/>
        </w:rPr>
        <w:t>Journal of Memory and Language</w:t>
      </w:r>
      <w:r w:rsidRPr="005560EF">
        <w:rPr>
          <w:rFonts w:ascii="Times New Roman" w:hAnsi="Times New Roman" w:cs="Times New Roman"/>
        </w:rPr>
        <w:t xml:space="preserve">, </w:t>
      </w:r>
      <w:r w:rsidRPr="005560EF">
        <w:rPr>
          <w:rFonts w:ascii="Times New Roman" w:hAnsi="Times New Roman" w:cs="Times New Roman"/>
          <w:i/>
          <w:iCs/>
        </w:rPr>
        <w:t>56</w:t>
      </w:r>
      <w:r w:rsidRPr="005560EF">
        <w:rPr>
          <w:rFonts w:ascii="Times New Roman" w:hAnsi="Times New Roman" w:cs="Times New Roman"/>
        </w:rPr>
        <w:t>(2), 172–188. https://doi.org/10.1016/j.jml.2006.11.006</w:t>
      </w:r>
    </w:p>
    <w:p w14:paraId="33481A0E"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Cho, S., Holyoak, K. J., &amp; Cannon, T. D. (2007). Analogical reasoning in working memory: Resources shared among relational integration, interference resolution, and maintenance. </w:t>
      </w:r>
      <w:r w:rsidRPr="005560EF">
        <w:rPr>
          <w:rFonts w:ascii="Times New Roman" w:hAnsi="Times New Roman" w:cs="Times New Roman"/>
          <w:i/>
          <w:iCs/>
        </w:rPr>
        <w:t>Memory &amp; Cognition</w:t>
      </w:r>
      <w:r w:rsidRPr="005560EF">
        <w:rPr>
          <w:rFonts w:ascii="Times New Roman" w:hAnsi="Times New Roman" w:cs="Times New Roman"/>
        </w:rPr>
        <w:t xml:space="preserve">, </w:t>
      </w:r>
      <w:r w:rsidRPr="005560EF">
        <w:rPr>
          <w:rFonts w:ascii="Times New Roman" w:hAnsi="Times New Roman" w:cs="Times New Roman"/>
          <w:i/>
          <w:iCs/>
        </w:rPr>
        <w:t>35</w:t>
      </w:r>
      <w:r w:rsidRPr="005560EF">
        <w:rPr>
          <w:rFonts w:ascii="Times New Roman" w:hAnsi="Times New Roman" w:cs="Times New Roman"/>
        </w:rPr>
        <w:t>(6), 1445–1455. https://doi.org/10.3758/BF03193614</w:t>
      </w:r>
    </w:p>
    <w:p w14:paraId="701C4B5F"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Columbus, G., Sheikh, N. A., CÃ´tÃ©-Lecaldare, M., HÃ¤user, K., Baum, S. R., &amp; Titone, D. (2015). Individual differences in executive control relate to metaphor processing: An eye movement study of sentence reading. </w:t>
      </w:r>
      <w:r w:rsidRPr="005560EF">
        <w:rPr>
          <w:rFonts w:ascii="Times New Roman" w:hAnsi="Times New Roman" w:cs="Times New Roman"/>
          <w:i/>
          <w:iCs/>
        </w:rPr>
        <w:t>Frontiers in Human Neuroscience</w:t>
      </w:r>
      <w:r w:rsidRPr="005560EF">
        <w:rPr>
          <w:rFonts w:ascii="Times New Roman" w:hAnsi="Times New Roman" w:cs="Times New Roman"/>
        </w:rPr>
        <w:t xml:space="preserve">, </w:t>
      </w:r>
      <w:r w:rsidRPr="005560EF">
        <w:rPr>
          <w:rFonts w:ascii="Times New Roman" w:hAnsi="Times New Roman" w:cs="Times New Roman"/>
          <w:i/>
          <w:iCs/>
        </w:rPr>
        <w:t>8</w:t>
      </w:r>
      <w:r w:rsidRPr="005560EF">
        <w:rPr>
          <w:rFonts w:ascii="Times New Roman" w:hAnsi="Times New Roman" w:cs="Times New Roman"/>
        </w:rPr>
        <w:t>. https://doi.org/10.3389/fnhum.2014.01057</w:t>
      </w:r>
    </w:p>
    <w:p w14:paraId="088475E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Compton, D. L. (2021). Focusing Our View of Dyslexia Through a Multifactorial Lens: A Commentary. </w:t>
      </w:r>
      <w:r w:rsidRPr="005560EF">
        <w:rPr>
          <w:rFonts w:ascii="Times New Roman" w:hAnsi="Times New Roman" w:cs="Times New Roman"/>
          <w:i/>
          <w:iCs/>
        </w:rPr>
        <w:t>Learning Disability Quarterly</w:t>
      </w:r>
      <w:r w:rsidRPr="005560EF">
        <w:rPr>
          <w:rFonts w:ascii="Times New Roman" w:hAnsi="Times New Roman" w:cs="Times New Roman"/>
        </w:rPr>
        <w:t xml:space="preserve">, </w:t>
      </w:r>
      <w:r w:rsidRPr="005560EF">
        <w:rPr>
          <w:rFonts w:ascii="Times New Roman" w:hAnsi="Times New Roman" w:cs="Times New Roman"/>
          <w:i/>
          <w:iCs/>
        </w:rPr>
        <w:t>44</w:t>
      </w:r>
      <w:r w:rsidRPr="005560EF">
        <w:rPr>
          <w:rFonts w:ascii="Times New Roman" w:hAnsi="Times New Roman" w:cs="Times New Roman"/>
        </w:rPr>
        <w:t>(3), 225–230. https://doi.org/10.1177/0731948720939009</w:t>
      </w:r>
    </w:p>
    <w:p w14:paraId="5CAAB75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Di Paola, S., Domaneschi, F., &amp; Pouscoulous, N. (2020). Metaphorical developing minds: The role of multiple factors in the development of metaphor comprehension. </w:t>
      </w:r>
      <w:r w:rsidRPr="005560EF">
        <w:rPr>
          <w:rFonts w:ascii="Times New Roman" w:hAnsi="Times New Roman" w:cs="Times New Roman"/>
          <w:i/>
          <w:iCs/>
        </w:rPr>
        <w:t>Journal of Pragmatics</w:t>
      </w:r>
      <w:r w:rsidRPr="005560EF">
        <w:rPr>
          <w:rFonts w:ascii="Times New Roman" w:hAnsi="Times New Roman" w:cs="Times New Roman"/>
        </w:rPr>
        <w:t xml:space="preserve">, </w:t>
      </w:r>
      <w:r w:rsidRPr="005560EF">
        <w:rPr>
          <w:rFonts w:ascii="Times New Roman" w:hAnsi="Times New Roman" w:cs="Times New Roman"/>
          <w:i/>
          <w:iCs/>
        </w:rPr>
        <w:t>156</w:t>
      </w:r>
      <w:r w:rsidRPr="005560EF">
        <w:rPr>
          <w:rFonts w:ascii="Times New Roman" w:hAnsi="Times New Roman" w:cs="Times New Roman"/>
        </w:rPr>
        <w:t>, 235–251. https://doi.org/10.1016/j.pragma.2019.08.008</w:t>
      </w:r>
    </w:p>
    <w:p w14:paraId="1C4766F5"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Dulcinati, G., Mazzarella, D., &amp; Pouscoulous, N. (2014). </w:t>
      </w:r>
      <w:r w:rsidRPr="005560EF">
        <w:rPr>
          <w:rFonts w:ascii="Times New Roman" w:hAnsi="Times New Roman" w:cs="Times New Roman"/>
          <w:i/>
          <w:iCs/>
        </w:rPr>
        <w:t>Processing metaphor: The role of conventionality, familiarity and dominance</w:t>
      </w:r>
      <w:r w:rsidRPr="005560EF">
        <w:rPr>
          <w:rFonts w:ascii="Times New Roman" w:hAnsi="Times New Roman" w:cs="Times New Roman"/>
        </w:rPr>
        <w:t>. 17.</w:t>
      </w:r>
    </w:p>
    <w:p w14:paraId="7A45983F"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Egan, C., Siyanova-Chanturia, A., Warren, P., &amp; Jones, M. W. (2022). As clear as glass: How figurativeness and familiarity impact simile processing in readers with and without dyslexia. </w:t>
      </w:r>
      <w:r w:rsidRPr="005560EF">
        <w:rPr>
          <w:rFonts w:ascii="Times New Roman" w:hAnsi="Times New Roman" w:cs="Times New Roman"/>
          <w:i/>
          <w:iCs/>
        </w:rPr>
        <w:t>Quarterly Journal of Experimental Psychology</w:t>
      </w:r>
      <w:r w:rsidRPr="005560EF">
        <w:rPr>
          <w:rFonts w:ascii="Times New Roman" w:hAnsi="Times New Roman" w:cs="Times New Roman"/>
        </w:rPr>
        <w:t>. https://doi.org/10.1177/17470218221089245</w:t>
      </w:r>
    </w:p>
    <w:p w14:paraId="5AEEA185"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Egilsdóttir, S. E. (2015). </w:t>
      </w:r>
      <w:r w:rsidRPr="005560EF">
        <w:rPr>
          <w:rFonts w:ascii="Times New Roman" w:hAnsi="Times New Roman" w:cs="Times New Roman"/>
          <w:i/>
          <w:iCs/>
        </w:rPr>
        <w:t>The Relationship Between Theory of Mind, Dyslexia, and Social Communication Skills</w:t>
      </w:r>
      <w:r w:rsidRPr="005560EF">
        <w:rPr>
          <w:rFonts w:ascii="Times New Roman" w:hAnsi="Times New Roman" w:cs="Times New Roman"/>
        </w:rPr>
        <w:t xml:space="preserve"> [Thesis]. https://skemman.is/handle/1946/21853</w:t>
      </w:r>
    </w:p>
    <w:p w14:paraId="0FB75618"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Engelhardt, P. E. (2020). Developmental dyslexia: Where do we go from here? </w:t>
      </w:r>
      <w:r w:rsidRPr="005560EF">
        <w:rPr>
          <w:rFonts w:ascii="Times New Roman" w:hAnsi="Times New Roman" w:cs="Times New Roman"/>
          <w:i/>
          <w:iCs/>
        </w:rPr>
        <w:t>Brain Sciences</w:t>
      </w:r>
      <w:r w:rsidRPr="005560EF">
        <w:rPr>
          <w:rFonts w:ascii="Times New Roman" w:hAnsi="Times New Roman" w:cs="Times New Roman"/>
        </w:rPr>
        <w:t xml:space="preserve">, </w:t>
      </w:r>
      <w:r w:rsidRPr="005560EF">
        <w:rPr>
          <w:rFonts w:ascii="Times New Roman" w:hAnsi="Times New Roman" w:cs="Times New Roman"/>
          <w:i/>
          <w:iCs/>
        </w:rPr>
        <w:t>10</w:t>
      </w:r>
      <w:r w:rsidRPr="005560EF">
        <w:rPr>
          <w:rFonts w:ascii="Times New Roman" w:hAnsi="Times New Roman" w:cs="Times New Roman"/>
        </w:rPr>
        <w:t>(3). https://doi.org/10.3390/brainsci10030151</w:t>
      </w:r>
    </w:p>
    <w:p w14:paraId="076E83FB"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Evans, M. A., &amp; Gamble, D. L. (1988). Attribute saliency and metaphor interpretation in school-age children. </w:t>
      </w:r>
      <w:r w:rsidRPr="005560EF">
        <w:rPr>
          <w:rFonts w:ascii="Times New Roman" w:hAnsi="Times New Roman" w:cs="Times New Roman"/>
          <w:i/>
          <w:iCs/>
        </w:rPr>
        <w:t>Journal of Child Language</w:t>
      </w:r>
      <w:r w:rsidRPr="005560EF">
        <w:rPr>
          <w:rFonts w:ascii="Times New Roman" w:hAnsi="Times New Roman" w:cs="Times New Roman"/>
        </w:rPr>
        <w:t xml:space="preserve">, </w:t>
      </w:r>
      <w:r w:rsidRPr="005560EF">
        <w:rPr>
          <w:rFonts w:ascii="Times New Roman" w:hAnsi="Times New Roman" w:cs="Times New Roman"/>
          <w:i/>
          <w:iCs/>
        </w:rPr>
        <w:t>15</w:t>
      </w:r>
      <w:r w:rsidRPr="005560EF">
        <w:rPr>
          <w:rFonts w:ascii="Times New Roman" w:hAnsi="Times New Roman" w:cs="Times New Roman"/>
        </w:rPr>
        <w:t>(2), 435–449.</w:t>
      </w:r>
    </w:p>
    <w:p w14:paraId="35C9DC92" w14:textId="77777777" w:rsidR="005560EF" w:rsidRPr="0011173E" w:rsidRDefault="005560EF" w:rsidP="005560EF">
      <w:pPr>
        <w:widowControl w:val="0"/>
        <w:autoSpaceDE w:val="0"/>
        <w:autoSpaceDN w:val="0"/>
        <w:adjustRightInd w:val="0"/>
        <w:spacing w:after="0" w:line="240" w:lineRule="auto"/>
        <w:rPr>
          <w:rFonts w:ascii="Times New Roman" w:hAnsi="Times New Roman" w:cs="Times New Roman"/>
          <w:lang w:val="it-IT"/>
        </w:rPr>
      </w:pPr>
      <w:r w:rsidRPr="005560EF">
        <w:rPr>
          <w:rFonts w:ascii="Times New Roman" w:hAnsi="Times New Roman" w:cs="Times New Roman"/>
        </w:rPr>
        <w:t xml:space="preserve">Faccioli, C., Peru, A., Rubini, E., &amp; Tassinari, G. (2008). Poor readers but compelled to read: Stroop effects in developmental dyslexia. </w:t>
      </w:r>
      <w:r w:rsidRPr="0011173E">
        <w:rPr>
          <w:rFonts w:ascii="Times New Roman" w:hAnsi="Times New Roman" w:cs="Times New Roman"/>
          <w:i/>
          <w:iCs/>
          <w:lang w:val="it-IT"/>
        </w:rPr>
        <w:t>Child Neuropsychology</w:t>
      </w:r>
      <w:r w:rsidRPr="0011173E">
        <w:rPr>
          <w:rFonts w:ascii="Times New Roman" w:hAnsi="Times New Roman" w:cs="Times New Roman"/>
          <w:lang w:val="it-IT"/>
        </w:rPr>
        <w:t xml:space="preserve">, </w:t>
      </w:r>
      <w:r w:rsidRPr="0011173E">
        <w:rPr>
          <w:rFonts w:ascii="Times New Roman" w:hAnsi="Times New Roman" w:cs="Times New Roman"/>
          <w:i/>
          <w:iCs/>
          <w:lang w:val="it-IT"/>
        </w:rPr>
        <w:t>14</w:t>
      </w:r>
      <w:r w:rsidRPr="0011173E">
        <w:rPr>
          <w:rFonts w:ascii="Times New Roman" w:hAnsi="Times New Roman" w:cs="Times New Roman"/>
          <w:lang w:val="it-IT"/>
        </w:rPr>
        <w:t>(3), 277–283. https://doi.org/10.1080/09297040701290040</w:t>
      </w:r>
    </w:p>
    <w:p w14:paraId="1C1FA336"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11173E">
        <w:rPr>
          <w:rFonts w:ascii="Times New Roman" w:hAnsi="Times New Roman" w:cs="Times New Roman"/>
          <w:lang w:val="it-IT"/>
        </w:rPr>
        <w:t xml:space="preserve">Facoetti, A., Lorusso, M. L., Paganoni, P., Cattaneo, C., Galli, R., &amp; Mascetti, G. G. (2003). </w:t>
      </w:r>
      <w:r w:rsidRPr="005560EF">
        <w:rPr>
          <w:rFonts w:ascii="Times New Roman" w:hAnsi="Times New Roman" w:cs="Times New Roman"/>
        </w:rPr>
        <w:t xml:space="preserve">The time course of attentional focusing in dyslexic and normally reading children. </w:t>
      </w:r>
      <w:r w:rsidRPr="005560EF">
        <w:rPr>
          <w:rFonts w:ascii="Times New Roman" w:hAnsi="Times New Roman" w:cs="Times New Roman"/>
          <w:i/>
          <w:iCs/>
        </w:rPr>
        <w:t>Brain and Cognition</w:t>
      </w:r>
      <w:r w:rsidRPr="005560EF">
        <w:rPr>
          <w:rFonts w:ascii="Times New Roman" w:hAnsi="Times New Roman" w:cs="Times New Roman"/>
        </w:rPr>
        <w:t xml:space="preserve">, </w:t>
      </w:r>
      <w:r w:rsidRPr="005560EF">
        <w:rPr>
          <w:rFonts w:ascii="Times New Roman" w:hAnsi="Times New Roman" w:cs="Times New Roman"/>
          <w:i/>
          <w:iCs/>
        </w:rPr>
        <w:t>53</w:t>
      </w:r>
      <w:r w:rsidRPr="005560EF">
        <w:rPr>
          <w:rFonts w:ascii="Times New Roman" w:hAnsi="Times New Roman" w:cs="Times New Roman"/>
        </w:rPr>
        <w:t>(2), 181–184. https://doi.org/10.1016/s0278-2626(03)00105-2</w:t>
      </w:r>
    </w:p>
    <w:p w14:paraId="04C4FDC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Ferreira, F., Bailey, K. G. D., &amp; Ferraro, V. (2002). Good-Enough Representations in Language Comprehension. </w:t>
      </w:r>
      <w:r w:rsidRPr="005560EF">
        <w:rPr>
          <w:rFonts w:ascii="Times New Roman" w:hAnsi="Times New Roman" w:cs="Times New Roman"/>
          <w:i/>
          <w:iCs/>
        </w:rPr>
        <w:t>Current Directions in Psychological Science</w:t>
      </w:r>
      <w:r w:rsidRPr="005560EF">
        <w:rPr>
          <w:rFonts w:ascii="Times New Roman" w:hAnsi="Times New Roman" w:cs="Times New Roman"/>
        </w:rPr>
        <w:t xml:space="preserve">, </w:t>
      </w:r>
      <w:r w:rsidRPr="005560EF">
        <w:rPr>
          <w:rFonts w:ascii="Times New Roman" w:hAnsi="Times New Roman" w:cs="Times New Roman"/>
          <w:i/>
          <w:iCs/>
        </w:rPr>
        <w:t>11</w:t>
      </w:r>
      <w:r w:rsidRPr="005560EF">
        <w:rPr>
          <w:rFonts w:ascii="Times New Roman" w:hAnsi="Times New Roman" w:cs="Times New Roman"/>
        </w:rPr>
        <w:t>(1), 11–15. https://doi.org/10.1111/1467-8721.00158</w:t>
      </w:r>
    </w:p>
    <w:p w14:paraId="14476BE5"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Gathercole, S. E., Willis, C. S., Emslie, H., &amp; Baddeley, A. D. (1992). Phonological memory and vocabulary development during the early school years: A longitudinal study. </w:t>
      </w:r>
      <w:r w:rsidRPr="005560EF">
        <w:rPr>
          <w:rFonts w:ascii="Times New Roman" w:hAnsi="Times New Roman" w:cs="Times New Roman"/>
          <w:i/>
          <w:iCs/>
        </w:rPr>
        <w:t>Developmental Psychology</w:t>
      </w:r>
      <w:r w:rsidRPr="005560EF">
        <w:rPr>
          <w:rFonts w:ascii="Times New Roman" w:hAnsi="Times New Roman" w:cs="Times New Roman"/>
        </w:rPr>
        <w:t xml:space="preserve">, </w:t>
      </w:r>
      <w:r w:rsidRPr="005560EF">
        <w:rPr>
          <w:rFonts w:ascii="Times New Roman" w:hAnsi="Times New Roman" w:cs="Times New Roman"/>
          <w:i/>
          <w:iCs/>
        </w:rPr>
        <w:t>28</w:t>
      </w:r>
      <w:r w:rsidRPr="005560EF">
        <w:rPr>
          <w:rFonts w:ascii="Times New Roman" w:hAnsi="Times New Roman" w:cs="Times New Roman"/>
        </w:rPr>
        <w:t>, 887–898. https://doi.org/10.1037/0012-1649.28.5.887</w:t>
      </w:r>
    </w:p>
    <w:p w14:paraId="1302EC1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Gentner, D., &amp; Clement, C. (1988). Evidence for Relational Selectivity in the Interpretation of Analogy and Metaphor. In G. H. Bower (Ed.), </w:t>
      </w:r>
      <w:r w:rsidRPr="005560EF">
        <w:rPr>
          <w:rFonts w:ascii="Times New Roman" w:hAnsi="Times New Roman" w:cs="Times New Roman"/>
          <w:i/>
          <w:iCs/>
        </w:rPr>
        <w:t>Psychology of Learning and Motivation</w:t>
      </w:r>
      <w:r w:rsidRPr="005560EF">
        <w:rPr>
          <w:rFonts w:ascii="Times New Roman" w:hAnsi="Times New Roman" w:cs="Times New Roman"/>
        </w:rPr>
        <w:t xml:space="preserve"> (Vol. 22, pp. 307–358). Academic Press. https://doi.org/10.1016/S0079-7421(08)60044-4</w:t>
      </w:r>
    </w:p>
    <w:p w14:paraId="7226DA4E"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Gernsbacher, M. A., &amp; Pripas-Kapit, S. R. (2012). Who’s Missing the Point? A Commentary on Claims that Autistic Persons Have a Specific Deficit in Figurative Language Comprehension. </w:t>
      </w:r>
      <w:r w:rsidRPr="005560EF">
        <w:rPr>
          <w:rFonts w:ascii="Times New Roman" w:hAnsi="Times New Roman" w:cs="Times New Roman"/>
          <w:i/>
          <w:iCs/>
        </w:rPr>
        <w:t>Metaphor and Symbol</w:t>
      </w:r>
      <w:r w:rsidRPr="005560EF">
        <w:rPr>
          <w:rFonts w:ascii="Times New Roman" w:hAnsi="Times New Roman" w:cs="Times New Roman"/>
        </w:rPr>
        <w:t xml:space="preserve">, </w:t>
      </w:r>
      <w:r w:rsidRPr="005560EF">
        <w:rPr>
          <w:rFonts w:ascii="Times New Roman" w:hAnsi="Times New Roman" w:cs="Times New Roman"/>
          <w:i/>
          <w:iCs/>
        </w:rPr>
        <w:t>27</w:t>
      </w:r>
      <w:r w:rsidRPr="005560EF">
        <w:rPr>
          <w:rFonts w:ascii="Times New Roman" w:hAnsi="Times New Roman" w:cs="Times New Roman"/>
        </w:rPr>
        <w:t>(1), 93–105. https://doi.org/10.1080/10926488.2012.656255</w:t>
      </w:r>
    </w:p>
    <w:p w14:paraId="5791E0E4"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Glucksberg, S., Gildea, P., &amp; Bookin, H. B. (1982). On understanding nonliteral speech: Can people ignore metaphors? </w:t>
      </w:r>
      <w:r w:rsidRPr="005560EF">
        <w:rPr>
          <w:rFonts w:ascii="Times New Roman" w:hAnsi="Times New Roman" w:cs="Times New Roman"/>
          <w:i/>
          <w:iCs/>
        </w:rPr>
        <w:t>Journal of Verbal Learning and Verbal Behavior</w:t>
      </w:r>
      <w:r w:rsidRPr="005560EF">
        <w:rPr>
          <w:rFonts w:ascii="Times New Roman" w:hAnsi="Times New Roman" w:cs="Times New Roman"/>
        </w:rPr>
        <w:t xml:space="preserve">, </w:t>
      </w:r>
      <w:r w:rsidRPr="005560EF">
        <w:rPr>
          <w:rFonts w:ascii="Times New Roman" w:hAnsi="Times New Roman" w:cs="Times New Roman"/>
          <w:i/>
          <w:iCs/>
        </w:rPr>
        <w:t>21</w:t>
      </w:r>
      <w:r w:rsidRPr="005560EF">
        <w:rPr>
          <w:rFonts w:ascii="Times New Roman" w:hAnsi="Times New Roman" w:cs="Times New Roman"/>
        </w:rPr>
        <w:t>(1), 85–98. https://doi.org/10.1016/S0022-5371(82)90467-4</w:t>
      </w:r>
    </w:p>
    <w:p w14:paraId="126D5CBA"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Glucksberg, S., &amp; Keysar, B. (1990). Understanding metaphorical comparisons: Beyond similarity. </w:t>
      </w:r>
      <w:r w:rsidRPr="005560EF">
        <w:rPr>
          <w:rFonts w:ascii="Times New Roman" w:hAnsi="Times New Roman" w:cs="Times New Roman"/>
          <w:i/>
          <w:iCs/>
        </w:rPr>
        <w:t>Psychological Review</w:t>
      </w:r>
      <w:r w:rsidRPr="005560EF">
        <w:rPr>
          <w:rFonts w:ascii="Times New Roman" w:hAnsi="Times New Roman" w:cs="Times New Roman"/>
        </w:rPr>
        <w:t xml:space="preserve">, </w:t>
      </w:r>
      <w:r w:rsidRPr="005560EF">
        <w:rPr>
          <w:rFonts w:ascii="Times New Roman" w:hAnsi="Times New Roman" w:cs="Times New Roman"/>
          <w:i/>
          <w:iCs/>
        </w:rPr>
        <w:t>97</w:t>
      </w:r>
      <w:r w:rsidRPr="005560EF">
        <w:rPr>
          <w:rFonts w:ascii="Times New Roman" w:hAnsi="Times New Roman" w:cs="Times New Roman"/>
        </w:rPr>
        <w:t>, 3–18. https://doi.org/10.1037/0033-295X.97.1.3</w:t>
      </w:r>
    </w:p>
    <w:p w14:paraId="088B1381"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lastRenderedPageBreak/>
        <w:t xml:space="preserve">Goldstein, A., Arzouan, Y., &amp; Faust, M. (2012). Killing a novel metaphor and reviving a dead one: ERP correlates of metaphor conventionalization. </w:t>
      </w:r>
      <w:r w:rsidRPr="005560EF">
        <w:rPr>
          <w:rFonts w:ascii="Times New Roman" w:hAnsi="Times New Roman" w:cs="Times New Roman"/>
          <w:i/>
          <w:iCs/>
        </w:rPr>
        <w:t>Brain and Language</w:t>
      </w:r>
      <w:r w:rsidRPr="005560EF">
        <w:rPr>
          <w:rFonts w:ascii="Times New Roman" w:hAnsi="Times New Roman" w:cs="Times New Roman"/>
        </w:rPr>
        <w:t xml:space="preserve">, </w:t>
      </w:r>
      <w:r w:rsidRPr="005560EF">
        <w:rPr>
          <w:rFonts w:ascii="Times New Roman" w:hAnsi="Times New Roman" w:cs="Times New Roman"/>
          <w:i/>
          <w:iCs/>
        </w:rPr>
        <w:t>123</w:t>
      </w:r>
      <w:r w:rsidRPr="005560EF">
        <w:rPr>
          <w:rFonts w:ascii="Times New Roman" w:hAnsi="Times New Roman" w:cs="Times New Roman"/>
        </w:rPr>
        <w:t>(2), 137–142.</w:t>
      </w:r>
    </w:p>
    <w:p w14:paraId="5A77FDB9"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Griffiths, C. C. B. (2007). Pragmatic Abilities in Adults With and Without Dyslexia: A Pilot Study. </w:t>
      </w:r>
      <w:r w:rsidRPr="005560EF">
        <w:rPr>
          <w:rFonts w:ascii="Times New Roman" w:hAnsi="Times New Roman" w:cs="Times New Roman"/>
          <w:i/>
          <w:iCs/>
        </w:rPr>
        <w:t>Dyslexia</w:t>
      </w:r>
      <w:r w:rsidRPr="005560EF">
        <w:rPr>
          <w:rFonts w:ascii="Times New Roman" w:hAnsi="Times New Roman" w:cs="Times New Roman"/>
        </w:rPr>
        <w:t xml:space="preserve">, </w:t>
      </w:r>
      <w:r w:rsidRPr="005560EF">
        <w:rPr>
          <w:rFonts w:ascii="Times New Roman" w:hAnsi="Times New Roman" w:cs="Times New Roman"/>
          <w:i/>
          <w:iCs/>
        </w:rPr>
        <w:t>239</w:t>
      </w:r>
      <w:r w:rsidRPr="005560EF">
        <w:rPr>
          <w:rFonts w:ascii="Times New Roman" w:hAnsi="Times New Roman" w:cs="Times New Roman"/>
        </w:rPr>
        <w:t>(February), 234–239. https://doi.org/10.1002/dys</w:t>
      </w:r>
    </w:p>
    <w:p w14:paraId="484D9572"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Happé, F. G. E. (1993). Communicative competence and theory of mind in autism: A test of relevance theory. </w:t>
      </w:r>
      <w:r w:rsidRPr="005560EF">
        <w:rPr>
          <w:rFonts w:ascii="Times New Roman" w:hAnsi="Times New Roman" w:cs="Times New Roman"/>
          <w:i/>
          <w:iCs/>
        </w:rPr>
        <w:t>Cognition</w:t>
      </w:r>
      <w:r w:rsidRPr="005560EF">
        <w:rPr>
          <w:rFonts w:ascii="Times New Roman" w:hAnsi="Times New Roman" w:cs="Times New Roman"/>
        </w:rPr>
        <w:t xml:space="preserve">, </w:t>
      </w:r>
      <w:r w:rsidRPr="005560EF">
        <w:rPr>
          <w:rFonts w:ascii="Times New Roman" w:hAnsi="Times New Roman" w:cs="Times New Roman"/>
          <w:i/>
          <w:iCs/>
        </w:rPr>
        <w:t>48</w:t>
      </w:r>
      <w:r w:rsidRPr="005560EF">
        <w:rPr>
          <w:rFonts w:ascii="Times New Roman" w:hAnsi="Times New Roman" w:cs="Times New Roman"/>
        </w:rPr>
        <w:t>(2), 101–119. https://doi.org/10.1016/0010-0277(93)90026-R</w:t>
      </w:r>
    </w:p>
    <w:p w14:paraId="636B1E3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Hokken, M. J., Krabbendam, E., van der Zee, Y. J., &amp; Kooiker, M. J. G. (2023). Visual selective attention and visual search performance in children with CVI, ADHD, and Dyslexia: A scoping review. </w:t>
      </w:r>
      <w:r w:rsidRPr="005560EF">
        <w:rPr>
          <w:rFonts w:ascii="Times New Roman" w:hAnsi="Times New Roman" w:cs="Times New Roman"/>
          <w:i/>
          <w:iCs/>
        </w:rPr>
        <w:t>Child Neuropsychology</w:t>
      </w:r>
      <w:r w:rsidRPr="005560EF">
        <w:rPr>
          <w:rFonts w:ascii="Times New Roman" w:hAnsi="Times New Roman" w:cs="Times New Roman"/>
        </w:rPr>
        <w:t xml:space="preserve">, </w:t>
      </w:r>
      <w:r w:rsidRPr="005560EF">
        <w:rPr>
          <w:rFonts w:ascii="Times New Roman" w:hAnsi="Times New Roman" w:cs="Times New Roman"/>
          <w:i/>
          <w:iCs/>
        </w:rPr>
        <w:t>29</w:t>
      </w:r>
      <w:r w:rsidRPr="005560EF">
        <w:rPr>
          <w:rFonts w:ascii="Times New Roman" w:hAnsi="Times New Roman" w:cs="Times New Roman"/>
        </w:rPr>
        <w:t>(3), 357–390. https://doi.org/10.1080/09297049.2022.2057940</w:t>
      </w:r>
    </w:p>
    <w:p w14:paraId="1F72073C"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Holyoak, K. J., &amp; Stamenković, D. (2018). Metaphor comprehension: A critical review of theories and evidence. </w:t>
      </w:r>
      <w:r w:rsidRPr="005560EF">
        <w:rPr>
          <w:rFonts w:ascii="Times New Roman" w:hAnsi="Times New Roman" w:cs="Times New Roman"/>
          <w:i/>
          <w:iCs/>
        </w:rPr>
        <w:t>Psychological Bulletin</w:t>
      </w:r>
      <w:r w:rsidRPr="005560EF">
        <w:rPr>
          <w:rFonts w:ascii="Times New Roman" w:hAnsi="Times New Roman" w:cs="Times New Roman"/>
        </w:rPr>
        <w:t xml:space="preserve">, </w:t>
      </w:r>
      <w:r w:rsidRPr="005560EF">
        <w:rPr>
          <w:rFonts w:ascii="Times New Roman" w:hAnsi="Times New Roman" w:cs="Times New Roman"/>
          <w:i/>
          <w:iCs/>
        </w:rPr>
        <w:t>144</w:t>
      </w:r>
      <w:r w:rsidRPr="005560EF">
        <w:rPr>
          <w:rFonts w:ascii="Times New Roman" w:hAnsi="Times New Roman" w:cs="Times New Roman"/>
        </w:rPr>
        <w:t>, 641–671. https://doi.org/10.1037/bul0000145</w:t>
      </w:r>
    </w:p>
    <w:p w14:paraId="748C3C92"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Kasirer, A., &amp; Mashal, N. (2014). Verbal creativity in autism: Comprehension and generation of metaphoric language in high-functioning autism spectrum disorder and typical development. </w:t>
      </w:r>
      <w:r w:rsidRPr="005560EF">
        <w:rPr>
          <w:rFonts w:ascii="Times New Roman" w:hAnsi="Times New Roman" w:cs="Times New Roman"/>
          <w:i/>
          <w:iCs/>
        </w:rPr>
        <w:t>Frontiers in Human Neuroscience</w:t>
      </w:r>
      <w:r w:rsidRPr="005560EF">
        <w:rPr>
          <w:rFonts w:ascii="Times New Roman" w:hAnsi="Times New Roman" w:cs="Times New Roman"/>
        </w:rPr>
        <w:t xml:space="preserve">, </w:t>
      </w:r>
      <w:r w:rsidRPr="005560EF">
        <w:rPr>
          <w:rFonts w:ascii="Times New Roman" w:hAnsi="Times New Roman" w:cs="Times New Roman"/>
          <w:i/>
          <w:iCs/>
        </w:rPr>
        <w:t>8</w:t>
      </w:r>
      <w:r w:rsidRPr="005560EF">
        <w:rPr>
          <w:rFonts w:ascii="Times New Roman" w:hAnsi="Times New Roman" w:cs="Times New Roman"/>
        </w:rPr>
        <w:t>. https://www.frontiersin.org/articles/10.3389/fnhum.2014.00615</w:t>
      </w:r>
    </w:p>
    <w:p w14:paraId="42FC9A96" w14:textId="77777777" w:rsidR="005560EF" w:rsidRPr="0011173E" w:rsidRDefault="005560EF" w:rsidP="005560EF">
      <w:pPr>
        <w:widowControl w:val="0"/>
        <w:autoSpaceDE w:val="0"/>
        <w:autoSpaceDN w:val="0"/>
        <w:adjustRightInd w:val="0"/>
        <w:spacing w:after="0" w:line="240" w:lineRule="auto"/>
        <w:rPr>
          <w:rFonts w:ascii="Times New Roman" w:hAnsi="Times New Roman" w:cs="Times New Roman"/>
          <w:lang w:val="it-IT"/>
        </w:rPr>
      </w:pPr>
      <w:r w:rsidRPr="005560EF">
        <w:rPr>
          <w:rFonts w:ascii="Times New Roman" w:hAnsi="Times New Roman" w:cs="Times New Roman"/>
        </w:rPr>
        <w:t xml:space="preserve">Kasirer, A., &amp; Mashal, N. (2017). Comprehension and Generation of Metaphoric Language in Children, Adolescents, and Adults with Dyslexia. </w:t>
      </w:r>
      <w:r w:rsidRPr="0011173E">
        <w:rPr>
          <w:rFonts w:ascii="Times New Roman" w:hAnsi="Times New Roman" w:cs="Times New Roman"/>
          <w:i/>
          <w:iCs/>
          <w:lang w:val="it-IT"/>
        </w:rPr>
        <w:t>Dyslexia</w:t>
      </w:r>
      <w:r w:rsidRPr="0011173E">
        <w:rPr>
          <w:rFonts w:ascii="Times New Roman" w:hAnsi="Times New Roman" w:cs="Times New Roman"/>
          <w:lang w:val="it-IT"/>
        </w:rPr>
        <w:t xml:space="preserve">, </w:t>
      </w:r>
      <w:r w:rsidRPr="0011173E">
        <w:rPr>
          <w:rFonts w:ascii="Times New Roman" w:hAnsi="Times New Roman" w:cs="Times New Roman"/>
          <w:i/>
          <w:iCs/>
          <w:lang w:val="it-IT"/>
        </w:rPr>
        <w:t>23</w:t>
      </w:r>
      <w:r w:rsidRPr="0011173E">
        <w:rPr>
          <w:rFonts w:ascii="Times New Roman" w:hAnsi="Times New Roman" w:cs="Times New Roman"/>
          <w:lang w:val="it-IT"/>
        </w:rPr>
        <w:t>(2), 99–118. https://doi.org/10.1002/dys.1550</w:t>
      </w:r>
    </w:p>
    <w:p w14:paraId="6FC33565"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11173E">
        <w:rPr>
          <w:rFonts w:ascii="Times New Roman" w:hAnsi="Times New Roman" w:cs="Times New Roman"/>
          <w:lang w:val="it-IT"/>
        </w:rPr>
        <w:t xml:space="preserve">Kazmerski, V. A., Blasko, D. G., &amp; Dessalegn, B. G. (2003). </w:t>
      </w:r>
      <w:r w:rsidRPr="005560EF">
        <w:rPr>
          <w:rFonts w:ascii="Times New Roman" w:hAnsi="Times New Roman" w:cs="Times New Roman"/>
        </w:rPr>
        <w:t xml:space="preserve">ERP and behavioral evidence of individual differences in metaphor comprehension. </w:t>
      </w:r>
      <w:r w:rsidRPr="005560EF">
        <w:rPr>
          <w:rFonts w:ascii="Times New Roman" w:hAnsi="Times New Roman" w:cs="Times New Roman"/>
          <w:i/>
          <w:iCs/>
        </w:rPr>
        <w:t>Memory and Cognition</w:t>
      </w:r>
      <w:r w:rsidRPr="005560EF">
        <w:rPr>
          <w:rFonts w:ascii="Times New Roman" w:hAnsi="Times New Roman" w:cs="Times New Roman"/>
        </w:rPr>
        <w:t xml:space="preserve">, </w:t>
      </w:r>
      <w:r w:rsidRPr="005560EF">
        <w:rPr>
          <w:rFonts w:ascii="Times New Roman" w:hAnsi="Times New Roman" w:cs="Times New Roman"/>
          <w:i/>
          <w:iCs/>
        </w:rPr>
        <w:t>31</w:t>
      </w:r>
      <w:r w:rsidRPr="005560EF">
        <w:rPr>
          <w:rFonts w:ascii="Times New Roman" w:hAnsi="Times New Roman" w:cs="Times New Roman"/>
        </w:rPr>
        <w:t>(5), 673–689. https://doi.org/10.3758/BF03196107</w:t>
      </w:r>
    </w:p>
    <w:p w14:paraId="2EE459C8"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Lai, V. T., &amp; Curran, T. (2013). ERP evidence for conceptual mappings and comparison processes during the comprehension of conventional and novel metaphors. </w:t>
      </w:r>
      <w:r w:rsidRPr="005560EF">
        <w:rPr>
          <w:rFonts w:ascii="Times New Roman" w:hAnsi="Times New Roman" w:cs="Times New Roman"/>
          <w:i/>
          <w:iCs/>
        </w:rPr>
        <w:t>Brain and Language</w:t>
      </w:r>
      <w:r w:rsidRPr="005560EF">
        <w:rPr>
          <w:rFonts w:ascii="Times New Roman" w:hAnsi="Times New Roman" w:cs="Times New Roman"/>
        </w:rPr>
        <w:t xml:space="preserve">, </w:t>
      </w:r>
      <w:r w:rsidRPr="005560EF">
        <w:rPr>
          <w:rFonts w:ascii="Times New Roman" w:hAnsi="Times New Roman" w:cs="Times New Roman"/>
          <w:i/>
          <w:iCs/>
        </w:rPr>
        <w:t>127</w:t>
      </w:r>
      <w:r w:rsidRPr="005560EF">
        <w:rPr>
          <w:rFonts w:ascii="Times New Roman" w:hAnsi="Times New Roman" w:cs="Times New Roman"/>
        </w:rPr>
        <w:t>(3), 484–496.</w:t>
      </w:r>
    </w:p>
    <w:p w14:paraId="09550B53"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Lakoff, G., &amp; Johnson, M. (1980). </w:t>
      </w:r>
      <w:r w:rsidRPr="005560EF">
        <w:rPr>
          <w:rFonts w:ascii="Times New Roman" w:hAnsi="Times New Roman" w:cs="Times New Roman"/>
          <w:i/>
          <w:iCs/>
        </w:rPr>
        <w:t>Metaphors We Live By</w:t>
      </w:r>
      <w:r w:rsidRPr="005560EF">
        <w:rPr>
          <w:rFonts w:ascii="Times New Roman" w:hAnsi="Times New Roman" w:cs="Times New Roman"/>
        </w:rPr>
        <w:t>. University of Chicago Press.</w:t>
      </w:r>
    </w:p>
    <w:p w14:paraId="1EA0357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Lallier, M., Thierry, G., Tainturier, M.-J., Donnadieu, S., Peyrin, C., Billard, C., &amp; Valdois, S. (2009). Auditory and visual stream segregation in children and adults: An assessment of the amodality assumption of the ‘sluggish attentional shifting’ theory of dyslexia. </w:t>
      </w:r>
      <w:r w:rsidRPr="005560EF">
        <w:rPr>
          <w:rFonts w:ascii="Times New Roman" w:hAnsi="Times New Roman" w:cs="Times New Roman"/>
          <w:i/>
          <w:iCs/>
        </w:rPr>
        <w:t>Brain Research</w:t>
      </w:r>
      <w:r w:rsidRPr="005560EF">
        <w:rPr>
          <w:rFonts w:ascii="Times New Roman" w:hAnsi="Times New Roman" w:cs="Times New Roman"/>
        </w:rPr>
        <w:t xml:space="preserve">, </w:t>
      </w:r>
      <w:r w:rsidRPr="005560EF">
        <w:rPr>
          <w:rFonts w:ascii="Times New Roman" w:hAnsi="Times New Roman" w:cs="Times New Roman"/>
          <w:i/>
          <w:iCs/>
        </w:rPr>
        <w:t>1302</w:t>
      </w:r>
      <w:r w:rsidRPr="005560EF">
        <w:rPr>
          <w:rFonts w:ascii="Times New Roman" w:hAnsi="Times New Roman" w:cs="Times New Roman"/>
        </w:rPr>
        <w:t>, 132–147. https://doi.org/10.1016/j.brainres.2009.07.037</w:t>
      </w:r>
    </w:p>
    <w:p w14:paraId="032ECBB4"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Lam, K., Suk‐Han Ho, C., The University of Hong Kong, &amp; Psychology Department, Room C661, 6/F The Jockey Club Tower, Centennial Campus, The University of Hong Kong, Pokfulam Road, Hong Kong. (2014). Pragmatic Skills in Chinese Dyslexic Children: Evidence from a Parental Checklist. </w:t>
      </w:r>
      <w:r w:rsidRPr="005560EF">
        <w:rPr>
          <w:rFonts w:ascii="Times New Roman" w:hAnsi="Times New Roman" w:cs="Times New Roman"/>
          <w:i/>
          <w:iCs/>
        </w:rPr>
        <w:t>Asia Pacific Journal of Developmental Differences</w:t>
      </w:r>
      <w:r w:rsidRPr="005560EF">
        <w:rPr>
          <w:rFonts w:ascii="Times New Roman" w:hAnsi="Times New Roman" w:cs="Times New Roman"/>
        </w:rPr>
        <w:t xml:space="preserve">, </w:t>
      </w:r>
      <w:r w:rsidRPr="005560EF">
        <w:rPr>
          <w:rFonts w:ascii="Times New Roman" w:hAnsi="Times New Roman" w:cs="Times New Roman"/>
          <w:i/>
          <w:iCs/>
        </w:rPr>
        <w:t>1</w:t>
      </w:r>
      <w:r w:rsidRPr="005560EF">
        <w:rPr>
          <w:rFonts w:ascii="Times New Roman" w:hAnsi="Times New Roman" w:cs="Times New Roman"/>
        </w:rPr>
        <w:t>(1), 4–19. https://doi.org/10.3850/S2345734114000027</w:t>
      </w:r>
    </w:p>
    <w:p w14:paraId="35496CD7"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Lenth, R. (2022). </w:t>
      </w:r>
      <w:r w:rsidRPr="005560EF">
        <w:rPr>
          <w:rFonts w:ascii="Times New Roman" w:hAnsi="Times New Roman" w:cs="Times New Roman"/>
          <w:i/>
          <w:iCs/>
        </w:rPr>
        <w:t>emmeans: Estimated Marginal Means, aka Least-Squares Means.</w:t>
      </w:r>
      <w:r w:rsidRPr="005560EF">
        <w:rPr>
          <w:rFonts w:ascii="Times New Roman" w:hAnsi="Times New Roman" w:cs="Times New Roman"/>
        </w:rPr>
        <w:t xml:space="preserve"> (Version 1.8.2.) [Computer software]. https://CRAN.R-project.org/package=emmeans</w:t>
      </w:r>
    </w:p>
    <w:p w14:paraId="5CE153A4"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Li, X. H., Jing, J., Zou, X. B., Huang, X., Jin, Y., Wang, Q. X., Chen, X. B., Yang, B. R., &amp; Yang, S. Y. (2009). Picture perception in Chinese dyslexic children: An eye-movement study. </w:t>
      </w:r>
      <w:r w:rsidRPr="005560EF">
        <w:rPr>
          <w:rFonts w:ascii="Times New Roman" w:hAnsi="Times New Roman" w:cs="Times New Roman"/>
          <w:i/>
          <w:iCs/>
        </w:rPr>
        <w:t>Chinese Medical Journal</w:t>
      </w:r>
      <w:r w:rsidRPr="005560EF">
        <w:rPr>
          <w:rFonts w:ascii="Times New Roman" w:hAnsi="Times New Roman" w:cs="Times New Roman"/>
        </w:rPr>
        <w:t xml:space="preserve">, </w:t>
      </w:r>
      <w:r w:rsidRPr="005560EF">
        <w:rPr>
          <w:rFonts w:ascii="Times New Roman" w:hAnsi="Times New Roman" w:cs="Times New Roman"/>
          <w:i/>
          <w:iCs/>
        </w:rPr>
        <w:t>122</w:t>
      </w:r>
      <w:r w:rsidRPr="005560EF">
        <w:rPr>
          <w:rFonts w:ascii="Times New Roman" w:hAnsi="Times New Roman" w:cs="Times New Roman"/>
        </w:rPr>
        <w:t>(3), 267–271. https://doi.org/10.3760/cma.j.issn.0366-6999.2009.03.006</w:t>
      </w:r>
    </w:p>
    <w:p w14:paraId="4B529BC2"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Lo, S., &amp; Andrews, S. (2015). To transform or not to transform: Using generalized linear mixed models to analyse reaction time data. </w:t>
      </w:r>
      <w:r w:rsidRPr="005560EF">
        <w:rPr>
          <w:rFonts w:ascii="Times New Roman" w:hAnsi="Times New Roman" w:cs="Times New Roman"/>
          <w:i/>
          <w:iCs/>
        </w:rPr>
        <w:t>Frontiers in Psychology</w:t>
      </w:r>
      <w:r w:rsidRPr="005560EF">
        <w:rPr>
          <w:rFonts w:ascii="Times New Roman" w:hAnsi="Times New Roman" w:cs="Times New Roman"/>
        </w:rPr>
        <w:t xml:space="preserve">, </w:t>
      </w:r>
      <w:r w:rsidRPr="005560EF">
        <w:rPr>
          <w:rFonts w:ascii="Times New Roman" w:hAnsi="Times New Roman" w:cs="Times New Roman"/>
          <w:i/>
          <w:iCs/>
        </w:rPr>
        <w:t>6</w:t>
      </w:r>
      <w:r w:rsidRPr="005560EF">
        <w:rPr>
          <w:rFonts w:ascii="Times New Roman" w:hAnsi="Times New Roman" w:cs="Times New Roman"/>
        </w:rPr>
        <w:t>, 1171.</w:t>
      </w:r>
    </w:p>
    <w:p w14:paraId="3B2E51DF"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Lovegrove, W. J., Bowling, A., Badcock, D., &amp; Blackwood, M. (1980). Specific reading disability: Differences in contrast sensitivity as a function of spatial frequency. </w:t>
      </w:r>
      <w:r w:rsidRPr="005560EF">
        <w:rPr>
          <w:rFonts w:ascii="Times New Roman" w:hAnsi="Times New Roman" w:cs="Times New Roman"/>
          <w:i/>
          <w:iCs/>
        </w:rPr>
        <w:t>Science (New York, N.Y.)</w:t>
      </w:r>
      <w:r w:rsidRPr="005560EF">
        <w:rPr>
          <w:rFonts w:ascii="Times New Roman" w:hAnsi="Times New Roman" w:cs="Times New Roman"/>
        </w:rPr>
        <w:t xml:space="preserve">, </w:t>
      </w:r>
      <w:r w:rsidRPr="005560EF">
        <w:rPr>
          <w:rFonts w:ascii="Times New Roman" w:hAnsi="Times New Roman" w:cs="Times New Roman"/>
          <w:i/>
          <w:iCs/>
        </w:rPr>
        <w:t>210</w:t>
      </w:r>
      <w:r w:rsidRPr="005560EF">
        <w:rPr>
          <w:rFonts w:ascii="Times New Roman" w:hAnsi="Times New Roman" w:cs="Times New Roman"/>
        </w:rPr>
        <w:t>(4468), 439–440. https://doi.org/10.1126/science.7433985</w:t>
      </w:r>
    </w:p>
    <w:p w14:paraId="7B079D2B"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Majeed, N. M., Hartanto, A., &amp; Tan, J. J. X. (2021). Developmental dyslexia and creativity: A meta-analysis. </w:t>
      </w:r>
      <w:r w:rsidRPr="005560EF">
        <w:rPr>
          <w:rFonts w:ascii="Times New Roman" w:hAnsi="Times New Roman" w:cs="Times New Roman"/>
          <w:i/>
          <w:iCs/>
        </w:rPr>
        <w:t>Dyslexia</w:t>
      </w:r>
      <w:r w:rsidRPr="005560EF">
        <w:rPr>
          <w:rFonts w:ascii="Times New Roman" w:hAnsi="Times New Roman" w:cs="Times New Roman"/>
        </w:rPr>
        <w:t xml:space="preserve">, </w:t>
      </w:r>
      <w:r w:rsidRPr="005560EF">
        <w:rPr>
          <w:rFonts w:ascii="Times New Roman" w:hAnsi="Times New Roman" w:cs="Times New Roman"/>
          <w:i/>
          <w:iCs/>
        </w:rPr>
        <w:t>27</w:t>
      </w:r>
      <w:r w:rsidRPr="005560EF">
        <w:rPr>
          <w:rFonts w:ascii="Times New Roman" w:hAnsi="Times New Roman" w:cs="Times New Roman"/>
        </w:rPr>
        <w:t>(2), 187–203. https://doi.org/10.1002/dys.1677</w:t>
      </w:r>
    </w:p>
    <w:p w14:paraId="6E256D8F"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Mashal, N. (2013). The role of working memory in the comprehension of unfamiliar and familiar metaphors. </w:t>
      </w:r>
      <w:r w:rsidRPr="005560EF">
        <w:rPr>
          <w:rFonts w:ascii="Times New Roman" w:hAnsi="Times New Roman" w:cs="Times New Roman"/>
          <w:i/>
          <w:iCs/>
        </w:rPr>
        <w:t>Language and Cognition</w:t>
      </w:r>
      <w:r w:rsidRPr="005560EF">
        <w:rPr>
          <w:rFonts w:ascii="Times New Roman" w:hAnsi="Times New Roman" w:cs="Times New Roman"/>
        </w:rPr>
        <w:t xml:space="preserve">, </w:t>
      </w:r>
      <w:r w:rsidRPr="005560EF">
        <w:rPr>
          <w:rFonts w:ascii="Times New Roman" w:hAnsi="Times New Roman" w:cs="Times New Roman"/>
          <w:i/>
          <w:iCs/>
        </w:rPr>
        <w:t>5</w:t>
      </w:r>
      <w:r w:rsidRPr="005560EF">
        <w:rPr>
          <w:rFonts w:ascii="Times New Roman" w:hAnsi="Times New Roman" w:cs="Times New Roman"/>
        </w:rPr>
        <w:t>(4), 409–436. https://doi.org/10.1515/langcog-2013-0024</w:t>
      </w:r>
    </w:p>
    <w:p w14:paraId="2CE8F937"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Mashal, N., &amp; Faust, M. (2009). Conventionalisation of novel metaphors: A shift in hemispheric asymmetry. </w:t>
      </w:r>
      <w:r w:rsidRPr="005560EF">
        <w:rPr>
          <w:rFonts w:ascii="Times New Roman" w:hAnsi="Times New Roman" w:cs="Times New Roman"/>
          <w:i/>
          <w:iCs/>
        </w:rPr>
        <w:t>Laterality: Asymmetries of Body, Brain and Cognition</w:t>
      </w:r>
      <w:r w:rsidRPr="005560EF">
        <w:rPr>
          <w:rFonts w:ascii="Times New Roman" w:hAnsi="Times New Roman" w:cs="Times New Roman"/>
        </w:rPr>
        <w:t xml:space="preserve">, </w:t>
      </w:r>
      <w:r w:rsidRPr="005560EF">
        <w:rPr>
          <w:rFonts w:ascii="Times New Roman" w:hAnsi="Times New Roman" w:cs="Times New Roman"/>
          <w:i/>
          <w:iCs/>
        </w:rPr>
        <w:t>14</w:t>
      </w:r>
      <w:r w:rsidRPr="005560EF">
        <w:rPr>
          <w:rFonts w:ascii="Times New Roman" w:hAnsi="Times New Roman" w:cs="Times New Roman"/>
        </w:rPr>
        <w:t>(6), 573–589. https://doi.org/10.1080/13576500902734645</w:t>
      </w:r>
    </w:p>
    <w:p w14:paraId="00AD8CF9"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Mashal, N., &amp; Kasirer, A. (2011). Thinking maps enhance metaphoric competence in children with autism and learning disabilities. </w:t>
      </w:r>
      <w:r w:rsidRPr="005560EF">
        <w:rPr>
          <w:rFonts w:ascii="Times New Roman" w:hAnsi="Times New Roman" w:cs="Times New Roman"/>
          <w:i/>
          <w:iCs/>
        </w:rPr>
        <w:t>Research in Developmental Disabilities</w:t>
      </w:r>
      <w:r w:rsidRPr="005560EF">
        <w:rPr>
          <w:rFonts w:ascii="Times New Roman" w:hAnsi="Times New Roman" w:cs="Times New Roman"/>
        </w:rPr>
        <w:t xml:space="preserve">, </w:t>
      </w:r>
      <w:r w:rsidRPr="005560EF">
        <w:rPr>
          <w:rFonts w:ascii="Times New Roman" w:hAnsi="Times New Roman" w:cs="Times New Roman"/>
          <w:i/>
          <w:iCs/>
        </w:rPr>
        <w:t>32</w:t>
      </w:r>
      <w:r w:rsidRPr="005560EF">
        <w:rPr>
          <w:rFonts w:ascii="Times New Roman" w:hAnsi="Times New Roman" w:cs="Times New Roman"/>
        </w:rPr>
        <w:t>(6), 2045–2054. https://doi.org/10.1016/j.ridd.2011.08.012</w:t>
      </w:r>
    </w:p>
    <w:p w14:paraId="1D05E5B4"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Menashe, S., Leshem, R., Heruti, V., Kasirer, A., Yair, T., &amp; Mashal, N. (2020). Elucidating the role of selective attention, divergent thinking, language abilities, and executive functions in metaphor generation. </w:t>
      </w:r>
      <w:r w:rsidRPr="005560EF">
        <w:rPr>
          <w:rFonts w:ascii="Times New Roman" w:hAnsi="Times New Roman" w:cs="Times New Roman"/>
          <w:i/>
          <w:iCs/>
        </w:rPr>
        <w:t>Neuropsychologia</w:t>
      </w:r>
      <w:r w:rsidRPr="005560EF">
        <w:rPr>
          <w:rFonts w:ascii="Times New Roman" w:hAnsi="Times New Roman" w:cs="Times New Roman"/>
        </w:rPr>
        <w:t xml:space="preserve">, </w:t>
      </w:r>
      <w:r w:rsidRPr="005560EF">
        <w:rPr>
          <w:rFonts w:ascii="Times New Roman" w:hAnsi="Times New Roman" w:cs="Times New Roman"/>
          <w:i/>
          <w:iCs/>
        </w:rPr>
        <w:t>142</w:t>
      </w:r>
      <w:r w:rsidRPr="005560EF">
        <w:rPr>
          <w:rFonts w:ascii="Times New Roman" w:hAnsi="Times New Roman" w:cs="Times New Roman"/>
        </w:rPr>
        <w:t>. https://doi.org/10.1016/j.neuropsychologia.2020.107458</w:t>
      </w:r>
    </w:p>
    <w:p w14:paraId="0649FB8B"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Miyake, A., Friedman, N. P., Emerson, M. J., Witzki, A. H., Howerter, A., &amp; Wager, T. D. (2000). The Unity and Diversity of Executive Functions and Their Contributions to Complex “Frontal Lobe” Tasks: A Latent Variable Analysis. </w:t>
      </w:r>
      <w:r w:rsidRPr="005560EF">
        <w:rPr>
          <w:rFonts w:ascii="Times New Roman" w:hAnsi="Times New Roman" w:cs="Times New Roman"/>
          <w:i/>
          <w:iCs/>
        </w:rPr>
        <w:t>Cognitive Psychology</w:t>
      </w:r>
      <w:r w:rsidRPr="005560EF">
        <w:rPr>
          <w:rFonts w:ascii="Times New Roman" w:hAnsi="Times New Roman" w:cs="Times New Roman"/>
        </w:rPr>
        <w:t xml:space="preserve">, </w:t>
      </w:r>
      <w:r w:rsidRPr="005560EF">
        <w:rPr>
          <w:rFonts w:ascii="Times New Roman" w:hAnsi="Times New Roman" w:cs="Times New Roman"/>
          <w:i/>
          <w:iCs/>
        </w:rPr>
        <w:t>41</w:t>
      </w:r>
      <w:r w:rsidRPr="005560EF">
        <w:rPr>
          <w:rFonts w:ascii="Times New Roman" w:hAnsi="Times New Roman" w:cs="Times New Roman"/>
        </w:rPr>
        <w:t>(1), 49–100. https://doi.org/10.1006/cogp.1999.0734</w:t>
      </w:r>
    </w:p>
    <w:p w14:paraId="5F43B79B"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lastRenderedPageBreak/>
        <w:t xml:space="preserve">Nicolson, R., &amp; Fawcett, A. (2008). </w:t>
      </w:r>
      <w:r w:rsidRPr="005560EF">
        <w:rPr>
          <w:rFonts w:ascii="Times New Roman" w:hAnsi="Times New Roman" w:cs="Times New Roman"/>
          <w:i/>
          <w:iCs/>
        </w:rPr>
        <w:t>Dyslexia, Learning, and the Brain</w:t>
      </w:r>
      <w:r w:rsidRPr="005560EF">
        <w:rPr>
          <w:rFonts w:ascii="Times New Roman" w:hAnsi="Times New Roman" w:cs="Times New Roman"/>
        </w:rPr>
        <w:t>. The MIT Press. https://doi.org/10.7551/mitpress/9780262140997.001.0001</w:t>
      </w:r>
    </w:p>
    <w:p w14:paraId="43E7AF08"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Nicolson, R., Fawcett, A. J., &amp; Dean, P. (2001). Dyslexia, development and the cerebellum. </w:t>
      </w:r>
      <w:r w:rsidRPr="005560EF">
        <w:rPr>
          <w:rFonts w:ascii="Times New Roman" w:hAnsi="Times New Roman" w:cs="Times New Roman"/>
          <w:i/>
          <w:iCs/>
        </w:rPr>
        <w:t>Trends in Neurosciences</w:t>
      </w:r>
      <w:r w:rsidRPr="005560EF">
        <w:rPr>
          <w:rFonts w:ascii="Times New Roman" w:hAnsi="Times New Roman" w:cs="Times New Roman"/>
        </w:rPr>
        <w:t xml:space="preserve">, </w:t>
      </w:r>
      <w:r w:rsidRPr="005560EF">
        <w:rPr>
          <w:rFonts w:ascii="Times New Roman" w:hAnsi="Times New Roman" w:cs="Times New Roman"/>
          <w:i/>
          <w:iCs/>
        </w:rPr>
        <w:t>24</w:t>
      </w:r>
      <w:r w:rsidRPr="005560EF">
        <w:rPr>
          <w:rFonts w:ascii="Times New Roman" w:hAnsi="Times New Roman" w:cs="Times New Roman"/>
        </w:rPr>
        <w:t>(9), 515–516. https://doi.org/10.1016/s0166-2236(00)01923-8</w:t>
      </w:r>
    </w:p>
    <w:p w14:paraId="2A328F7D"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Norbury, C. F. (2005a). The relationship between theory of mind and metaphor: Evidence from children with language impairment and autistic spectrum disorder. </w:t>
      </w:r>
      <w:r w:rsidRPr="005560EF">
        <w:rPr>
          <w:rFonts w:ascii="Times New Roman" w:hAnsi="Times New Roman" w:cs="Times New Roman"/>
          <w:i/>
          <w:iCs/>
        </w:rPr>
        <w:t>British Journal of Developmental Psychology</w:t>
      </w:r>
      <w:r w:rsidRPr="005560EF">
        <w:rPr>
          <w:rFonts w:ascii="Times New Roman" w:hAnsi="Times New Roman" w:cs="Times New Roman"/>
        </w:rPr>
        <w:t xml:space="preserve">, </w:t>
      </w:r>
      <w:r w:rsidRPr="005560EF">
        <w:rPr>
          <w:rFonts w:ascii="Times New Roman" w:hAnsi="Times New Roman" w:cs="Times New Roman"/>
          <w:i/>
          <w:iCs/>
        </w:rPr>
        <w:t>23</w:t>
      </w:r>
      <w:r w:rsidRPr="005560EF">
        <w:rPr>
          <w:rFonts w:ascii="Times New Roman" w:hAnsi="Times New Roman" w:cs="Times New Roman"/>
        </w:rPr>
        <w:t>(3), 383–399. https://doi.org/10.1348/026151005X26732</w:t>
      </w:r>
    </w:p>
    <w:p w14:paraId="70B7701F"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Norbury, C. Frazier. (2005b). The relationship between theory of mind and metaphor: Evidence from children with language impairment and autistic spectrum disorder. </w:t>
      </w:r>
      <w:r w:rsidRPr="005560EF">
        <w:rPr>
          <w:rFonts w:ascii="Times New Roman" w:hAnsi="Times New Roman" w:cs="Times New Roman"/>
          <w:i/>
          <w:iCs/>
        </w:rPr>
        <w:t>British Journal of Developmental Psychology</w:t>
      </w:r>
      <w:r w:rsidRPr="005560EF">
        <w:rPr>
          <w:rFonts w:ascii="Times New Roman" w:hAnsi="Times New Roman" w:cs="Times New Roman"/>
        </w:rPr>
        <w:t xml:space="preserve">, </w:t>
      </w:r>
      <w:r w:rsidRPr="005560EF">
        <w:rPr>
          <w:rFonts w:ascii="Times New Roman" w:hAnsi="Times New Roman" w:cs="Times New Roman"/>
          <w:i/>
          <w:iCs/>
        </w:rPr>
        <w:t>23</w:t>
      </w:r>
      <w:r w:rsidRPr="005560EF">
        <w:rPr>
          <w:rFonts w:ascii="Times New Roman" w:hAnsi="Times New Roman" w:cs="Times New Roman"/>
        </w:rPr>
        <w:t>(3), 383–399. https://doi.org/10.1348/026151005X26732</w:t>
      </w:r>
    </w:p>
    <w:p w14:paraId="48553A91"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Olkoniemi, H., Ranta, H., &amp; Kaakinen, J. K. (2016). Individual differences in the processing of written sarcasm and metaphor: Evidence from eye movements. </w:t>
      </w:r>
      <w:r w:rsidRPr="005560EF">
        <w:rPr>
          <w:rFonts w:ascii="Times New Roman" w:hAnsi="Times New Roman" w:cs="Times New Roman"/>
          <w:i/>
          <w:iCs/>
        </w:rPr>
        <w:t>Journal of Experimental Psychology: Learning Memory and Cognition</w:t>
      </w:r>
      <w:r w:rsidRPr="005560EF">
        <w:rPr>
          <w:rFonts w:ascii="Times New Roman" w:hAnsi="Times New Roman" w:cs="Times New Roman"/>
        </w:rPr>
        <w:t xml:space="preserve">, </w:t>
      </w:r>
      <w:r w:rsidRPr="005560EF">
        <w:rPr>
          <w:rFonts w:ascii="Times New Roman" w:hAnsi="Times New Roman" w:cs="Times New Roman"/>
          <w:i/>
          <w:iCs/>
        </w:rPr>
        <w:t>42</w:t>
      </w:r>
      <w:r w:rsidRPr="005560EF">
        <w:rPr>
          <w:rFonts w:ascii="Times New Roman" w:hAnsi="Times New Roman" w:cs="Times New Roman"/>
        </w:rPr>
        <w:t>(3), 433–450. https://doi.org/10.1037/xlm0000176</w:t>
      </w:r>
    </w:p>
    <w:p w14:paraId="08B49656"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Ortony, A. (1979). Beyond literal similarity. </w:t>
      </w:r>
      <w:r w:rsidRPr="005560EF">
        <w:rPr>
          <w:rFonts w:ascii="Times New Roman" w:hAnsi="Times New Roman" w:cs="Times New Roman"/>
          <w:i/>
          <w:iCs/>
        </w:rPr>
        <w:t>Psychological Review</w:t>
      </w:r>
      <w:r w:rsidRPr="005560EF">
        <w:rPr>
          <w:rFonts w:ascii="Times New Roman" w:hAnsi="Times New Roman" w:cs="Times New Roman"/>
        </w:rPr>
        <w:t xml:space="preserve">, </w:t>
      </w:r>
      <w:r w:rsidRPr="005560EF">
        <w:rPr>
          <w:rFonts w:ascii="Times New Roman" w:hAnsi="Times New Roman" w:cs="Times New Roman"/>
          <w:i/>
          <w:iCs/>
        </w:rPr>
        <w:t>86</w:t>
      </w:r>
      <w:r w:rsidRPr="005560EF">
        <w:rPr>
          <w:rFonts w:ascii="Times New Roman" w:hAnsi="Times New Roman" w:cs="Times New Roman"/>
        </w:rPr>
        <w:t>, 161–180. https://doi.org/10.1037/0033-295X.86.3.161</w:t>
      </w:r>
    </w:p>
    <w:p w14:paraId="12F80390"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Patterson, K. J. (2016). The Analysis of Metaphor: To What Extent Can the Theory of Lexical Priming Help Our Understanding of Metaphor Usage and Comprehension? </w:t>
      </w:r>
      <w:r w:rsidRPr="005560EF">
        <w:rPr>
          <w:rFonts w:ascii="Times New Roman" w:hAnsi="Times New Roman" w:cs="Times New Roman"/>
          <w:i/>
          <w:iCs/>
        </w:rPr>
        <w:t>Journal of Psycholinguistic Research</w:t>
      </w:r>
      <w:r w:rsidRPr="005560EF">
        <w:rPr>
          <w:rFonts w:ascii="Times New Roman" w:hAnsi="Times New Roman" w:cs="Times New Roman"/>
        </w:rPr>
        <w:t xml:space="preserve">, </w:t>
      </w:r>
      <w:r w:rsidRPr="005560EF">
        <w:rPr>
          <w:rFonts w:ascii="Times New Roman" w:hAnsi="Times New Roman" w:cs="Times New Roman"/>
          <w:i/>
          <w:iCs/>
        </w:rPr>
        <w:t>45</w:t>
      </w:r>
      <w:r w:rsidRPr="005560EF">
        <w:rPr>
          <w:rFonts w:ascii="Times New Roman" w:hAnsi="Times New Roman" w:cs="Times New Roman"/>
        </w:rPr>
        <w:t>(2), 237–258. https://doi.org/10.1007/s10936-014-9343-1</w:t>
      </w:r>
    </w:p>
    <w:p w14:paraId="4FAD6621"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Pennington, B. F., Santerre-Lemmon, L., Rosenberg, J., MacDonald, B., Boada, R., Friend, A., Leopold, D. R., Samuelsson, S., Byrne, B., Willcutt, E. G., &amp; Olson, R. K. (2012). Individual prediction of dyslexia by single versus multiple deficit models. </w:t>
      </w:r>
      <w:r w:rsidRPr="005560EF">
        <w:rPr>
          <w:rFonts w:ascii="Times New Roman" w:hAnsi="Times New Roman" w:cs="Times New Roman"/>
          <w:i/>
          <w:iCs/>
        </w:rPr>
        <w:t>Journal of Abnormal Psychology</w:t>
      </w:r>
      <w:r w:rsidRPr="005560EF">
        <w:rPr>
          <w:rFonts w:ascii="Times New Roman" w:hAnsi="Times New Roman" w:cs="Times New Roman"/>
        </w:rPr>
        <w:t xml:space="preserve">, </w:t>
      </w:r>
      <w:r w:rsidRPr="005560EF">
        <w:rPr>
          <w:rFonts w:ascii="Times New Roman" w:hAnsi="Times New Roman" w:cs="Times New Roman"/>
          <w:i/>
          <w:iCs/>
        </w:rPr>
        <w:t>121</w:t>
      </w:r>
      <w:r w:rsidRPr="005560EF">
        <w:rPr>
          <w:rFonts w:ascii="Times New Roman" w:hAnsi="Times New Roman" w:cs="Times New Roman"/>
        </w:rPr>
        <w:t>, 212–224. https://doi.org/10.1037/a0025823</w:t>
      </w:r>
    </w:p>
    <w:p w14:paraId="4A33F061"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Perry, C., Zorzi, M., &amp; Ziegler, J. C. (2019). Understanding Dyslexia Through Personalized Large-Scale Computational Models. </w:t>
      </w:r>
      <w:r w:rsidRPr="005560EF">
        <w:rPr>
          <w:rFonts w:ascii="Times New Roman" w:hAnsi="Times New Roman" w:cs="Times New Roman"/>
          <w:i/>
          <w:iCs/>
        </w:rPr>
        <w:t>Psychological Science</w:t>
      </w:r>
      <w:r w:rsidRPr="005560EF">
        <w:rPr>
          <w:rFonts w:ascii="Times New Roman" w:hAnsi="Times New Roman" w:cs="Times New Roman"/>
        </w:rPr>
        <w:t xml:space="preserve">, </w:t>
      </w:r>
      <w:r w:rsidRPr="005560EF">
        <w:rPr>
          <w:rFonts w:ascii="Times New Roman" w:hAnsi="Times New Roman" w:cs="Times New Roman"/>
          <w:i/>
          <w:iCs/>
        </w:rPr>
        <w:t>30</w:t>
      </w:r>
      <w:r w:rsidRPr="005560EF">
        <w:rPr>
          <w:rFonts w:ascii="Times New Roman" w:hAnsi="Times New Roman" w:cs="Times New Roman"/>
        </w:rPr>
        <w:t>(3), 386–395. https://doi.org/10.1177/0956797618823540</w:t>
      </w:r>
    </w:p>
    <w:p w14:paraId="4599A4C3"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Peterson, R. L., &amp; Pennington, B. F. (2015). Developmental Dyslexia. </w:t>
      </w:r>
      <w:r w:rsidRPr="005560EF">
        <w:rPr>
          <w:rFonts w:ascii="Times New Roman" w:hAnsi="Times New Roman" w:cs="Times New Roman"/>
          <w:i/>
          <w:iCs/>
        </w:rPr>
        <w:t>Annual Review of Clinical Psychology</w:t>
      </w:r>
      <w:r w:rsidRPr="005560EF">
        <w:rPr>
          <w:rFonts w:ascii="Times New Roman" w:hAnsi="Times New Roman" w:cs="Times New Roman"/>
        </w:rPr>
        <w:t xml:space="preserve">, </w:t>
      </w:r>
      <w:r w:rsidRPr="005560EF">
        <w:rPr>
          <w:rFonts w:ascii="Times New Roman" w:hAnsi="Times New Roman" w:cs="Times New Roman"/>
          <w:i/>
          <w:iCs/>
        </w:rPr>
        <w:t>11</w:t>
      </w:r>
      <w:r w:rsidRPr="005560EF">
        <w:rPr>
          <w:rFonts w:ascii="Times New Roman" w:hAnsi="Times New Roman" w:cs="Times New Roman"/>
        </w:rPr>
        <w:t>(1), 283–307. https://doi.org/10.1146/annurev-clinpsy-032814-112842</w:t>
      </w:r>
    </w:p>
    <w:p w14:paraId="3252996B"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11173E">
        <w:rPr>
          <w:rFonts w:ascii="Times New Roman" w:hAnsi="Times New Roman" w:cs="Times New Roman"/>
          <w:lang w:val="it-IT"/>
        </w:rPr>
        <w:t xml:space="preserve">Pierce, R. S., MacLaren, R., &amp; Chiappe, D. L. (2010). </w:t>
      </w:r>
      <w:r w:rsidRPr="005560EF">
        <w:rPr>
          <w:rFonts w:ascii="Times New Roman" w:hAnsi="Times New Roman" w:cs="Times New Roman"/>
        </w:rPr>
        <w:t xml:space="preserve">The role of working memory in the metaphor interference effect. </w:t>
      </w:r>
      <w:r w:rsidRPr="005560EF">
        <w:rPr>
          <w:rFonts w:ascii="Times New Roman" w:hAnsi="Times New Roman" w:cs="Times New Roman"/>
          <w:i/>
          <w:iCs/>
        </w:rPr>
        <w:t>Psychonomic Bulletin and Review</w:t>
      </w:r>
      <w:r w:rsidRPr="005560EF">
        <w:rPr>
          <w:rFonts w:ascii="Times New Roman" w:hAnsi="Times New Roman" w:cs="Times New Roman"/>
        </w:rPr>
        <w:t xml:space="preserve">, </w:t>
      </w:r>
      <w:r w:rsidRPr="005560EF">
        <w:rPr>
          <w:rFonts w:ascii="Times New Roman" w:hAnsi="Times New Roman" w:cs="Times New Roman"/>
          <w:i/>
          <w:iCs/>
        </w:rPr>
        <w:t>17</w:t>
      </w:r>
      <w:r w:rsidRPr="005560EF">
        <w:rPr>
          <w:rFonts w:ascii="Times New Roman" w:hAnsi="Times New Roman" w:cs="Times New Roman"/>
        </w:rPr>
        <w:t>(3), 400–404. https://doi.org/10.3758/PBR.17.3.400</w:t>
      </w:r>
    </w:p>
    <w:p w14:paraId="25D469C6"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Plucker, J. A., Karwowski, M., &amp; Kaufman, J. C. (2020). Intelligence and Creativity. In R. J. Sternberg (Ed.), </w:t>
      </w:r>
      <w:r w:rsidRPr="005560EF">
        <w:rPr>
          <w:rFonts w:ascii="Times New Roman" w:hAnsi="Times New Roman" w:cs="Times New Roman"/>
          <w:i/>
          <w:iCs/>
        </w:rPr>
        <w:t>The Cambridge Handbook of Intelligence</w:t>
      </w:r>
      <w:r w:rsidRPr="005560EF">
        <w:rPr>
          <w:rFonts w:ascii="Times New Roman" w:hAnsi="Times New Roman" w:cs="Times New Roman"/>
        </w:rPr>
        <w:t xml:space="preserve"> (2nd ed., pp. 1087–1105). Cambridge University Press. https://doi.org/10.1017/9781108770422.046</w:t>
      </w:r>
    </w:p>
    <w:p w14:paraId="60EAAAD8"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Pouscoulous, N., &amp; Tomasello, M. (2020). Early birds: Metaphor understanding in 3-year-olds. </w:t>
      </w:r>
      <w:r w:rsidRPr="005560EF">
        <w:rPr>
          <w:rFonts w:ascii="Times New Roman" w:hAnsi="Times New Roman" w:cs="Times New Roman"/>
          <w:i/>
          <w:iCs/>
        </w:rPr>
        <w:t>Journal of Pragmatics</w:t>
      </w:r>
      <w:r w:rsidRPr="005560EF">
        <w:rPr>
          <w:rFonts w:ascii="Times New Roman" w:hAnsi="Times New Roman" w:cs="Times New Roman"/>
        </w:rPr>
        <w:t xml:space="preserve">, </w:t>
      </w:r>
      <w:r w:rsidRPr="005560EF">
        <w:rPr>
          <w:rFonts w:ascii="Times New Roman" w:hAnsi="Times New Roman" w:cs="Times New Roman"/>
          <w:i/>
          <w:iCs/>
        </w:rPr>
        <w:t>156</w:t>
      </w:r>
      <w:r w:rsidRPr="005560EF">
        <w:rPr>
          <w:rFonts w:ascii="Times New Roman" w:hAnsi="Times New Roman" w:cs="Times New Roman"/>
        </w:rPr>
        <w:t>, 160–167. https://doi.org/10.1016/j.pragma.2019.05.021</w:t>
      </w:r>
    </w:p>
    <w:p w14:paraId="25A8F91C"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Proulx, M. J., &amp; Elmasry, H. M. (2015). Stroop interference in adults with dyslexia. </w:t>
      </w:r>
      <w:r w:rsidRPr="005560EF">
        <w:rPr>
          <w:rFonts w:ascii="Times New Roman" w:hAnsi="Times New Roman" w:cs="Times New Roman"/>
          <w:i/>
          <w:iCs/>
        </w:rPr>
        <w:t>Neurocase</w:t>
      </w:r>
      <w:r w:rsidRPr="005560EF">
        <w:rPr>
          <w:rFonts w:ascii="Times New Roman" w:hAnsi="Times New Roman" w:cs="Times New Roman"/>
        </w:rPr>
        <w:t xml:space="preserve">, </w:t>
      </w:r>
      <w:r w:rsidRPr="005560EF">
        <w:rPr>
          <w:rFonts w:ascii="Times New Roman" w:hAnsi="Times New Roman" w:cs="Times New Roman"/>
          <w:i/>
          <w:iCs/>
        </w:rPr>
        <w:t>21</w:t>
      </w:r>
      <w:r w:rsidRPr="005560EF">
        <w:rPr>
          <w:rFonts w:ascii="Times New Roman" w:hAnsi="Times New Roman" w:cs="Times New Roman"/>
        </w:rPr>
        <w:t>(4), 413–417. https://doi.org/10.1080/13554794.2014.914544</w:t>
      </w:r>
    </w:p>
    <w:p w14:paraId="5E697C70" w14:textId="77777777" w:rsidR="005560EF" w:rsidRPr="0011173E" w:rsidRDefault="005560EF" w:rsidP="005560EF">
      <w:pPr>
        <w:widowControl w:val="0"/>
        <w:autoSpaceDE w:val="0"/>
        <w:autoSpaceDN w:val="0"/>
        <w:adjustRightInd w:val="0"/>
        <w:spacing w:after="0" w:line="240" w:lineRule="auto"/>
        <w:rPr>
          <w:rFonts w:ascii="Times New Roman" w:hAnsi="Times New Roman" w:cs="Times New Roman"/>
          <w:lang w:val="it-IT"/>
        </w:rPr>
      </w:pPr>
      <w:r w:rsidRPr="005560EF">
        <w:rPr>
          <w:rFonts w:ascii="Times New Roman" w:hAnsi="Times New Roman" w:cs="Times New Roman"/>
        </w:rPr>
        <w:t xml:space="preserve">Rasamimanana, M., Barbaroux, M., Colé, P., &amp; Besson, M. (2020). Semantic compensation and novel word learning in university students with dyslexia. </w:t>
      </w:r>
      <w:r w:rsidRPr="0011173E">
        <w:rPr>
          <w:rFonts w:ascii="Times New Roman" w:hAnsi="Times New Roman" w:cs="Times New Roman"/>
          <w:i/>
          <w:iCs/>
          <w:lang w:val="it-IT"/>
        </w:rPr>
        <w:t>Neuropsychologia</w:t>
      </w:r>
      <w:r w:rsidRPr="0011173E">
        <w:rPr>
          <w:rFonts w:ascii="Times New Roman" w:hAnsi="Times New Roman" w:cs="Times New Roman"/>
          <w:lang w:val="it-IT"/>
        </w:rPr>
        <w:t xml:space="preserve">, </w:t>
      </w:r>
      <w:r w:rsidRPr="0011173E">
        <w:rPr>
          <w:rFonts w:ascii="Times New Roman" w:hAnsi="Times New Roman" w:cs="Times New Roman"/>
          <w:i/>
          <w:iCs/>
          <w:lang w:val="it-IT"/>
        </w:rPr>
        <w:t>139</w:t>
      </w:r>
      <w:r w:rsidRPr="0011173E">
        <w:rPr>
          <w:rFonts w:ascii="Times New Roman" w:hAnsi="Times New Roman" w:cs="Times New Roman"/>
          <w:lang w:val="it-IT"/>
        </w:rPr>
        <w:t>(June 2019). https://doi.org/10.1016/j.neuropsychologia.2020.107358</w:t>
      </w:r>
    </w:p>
    <w:p w14:paraId="0FD7C9A7"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11173E">
        <w:rPr>
          <w:rFonts w:ascii="Times New Roman" w:hAnsi="Times New Roman" w:cs="Times New Roman"/>
          <w:lang w:val="it-IT"/>
        </w:rPr>
        <w:t xml:space="preserve">Rinaldi, M. C., Marangolo, P., &amp; Lauriola, M. (2006). </w:t>
      </w:r>
      <w:r w:rsidRPr="0011173E">
        <w:rPr>
          <w:rFonts w:ascii="Times New Roman" w:hAnsi="Times New Roman" w:cs="Times New Roman"/>
          <w:i/>
          <w:iCs/>
          <w:lang w:val="it-IT"/>
        </w:rPr>
        <w:t>BLED - Batteria sul Linguaggio dell’emisfero Destro SantaLucia.</w:t>
      </w:r>
      <w:r w:rsidRPr="0011173E">
        <w:rPr>
          <w:rFonts w:ascii="Times New Roman" w:hAnsi="Times New Roman" w:cs="Times New Roman"/>
          <w:lang w:val="it-IT"/>
        </w:rPr>
        <w:t xml:space="preserve"> </w:t>
      </w:r>
      <w:r w:rsidRPr="005560EF">
        <w:rPr>
          <w:rFonts w:ascii="Times New Roman" w:hAnsi="Times New Roman" w:cs="Times New Roman"/>
        </w:rPr>
        <w:t>Giunti.</w:t>
      </w:r>
    </w:p>
    <w:p w14:paraId="645FD3E6"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Rubio Fernández, P. (2007). Suppression in metaphor interpretation: Differences between meaning selection and meaning construction. </w:t>
      </w:r>
      <w:r w:rsidRPr="005560EF">
        <w:rPr>
          <w:rFonts w:ascii="Times New Roman" w:hAnsi="Times New Roman" w:cs="Times New Roman"/>
          <w:i/>
          <w:iCs/>
        </w:rPr>
        <w:t>Journal of Semantics</w:t>
      </w:r>
      <w:r w:rsidRPr="005560EF">
        <w:rPr>
          <w:rFonts w:ascii="Times New Roman" w:hAnsi="Times New Roman" w:cs="Times New Roman"/>
        </w:rPr>
        <w:t xml:space="preserve">, </w:t>
      </w:r>
      <w:r w:rsidRPr="005560EF">
        <w:rPr>
          <w:rFonts w:ascii="Times New Roman" w:hAnsi="Times New Roman" w:cs="Times New Roman"/>
          <w:i/>
          <w:iCs/>
        </w:rPr>
        <w:t>24</w:t>
      </w:r>
      <w:r w:rsidRPr="005560EF">
        <w:rPr>
          <w:rFonts w:ascii="Times New Roman" w:hAnsi="Times New Roman" w:cs="Times New Roman"/>
        </w:rPr>
        <w:t>(4), 345–371. https://doi.org/10.1093/jos/ffm006</w:t>
      </w:r>
    </w:p>
    <w:p w14:paraId="4B50FC4A"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Stamenković, D., Ichien, N., &amp; Holyoak, K. J. (2019). Metaphor comprehension: An individual-differences approach. </w:t>
      </w:r>
      <w:r w:rsidRPr="005560EF">
        <w:rPr>
          <w:rFonts w:ascii="Times New Roman" w:hAnsi="Times New Roman" w:cs="Times New Roman"/>
          <w:i/>
          <w:iCs/>
        </w:rPr>
        <w:t>Journal of Memory and Language</w:t>
      </w:r>
      <w:r w:rsidRPr="005560EF">
        <w:rPr>
          <w:rFonts w:ascii="Times New Roman" w:hAnsi="Times New Roman" w:cs="Times New Roman"/>
        </w:rPr>
        <w:t xml:space="preserve">, </w:t>
      </w:r>
      <w:r w:rsidRPr="005560EF">
        <w:rPr>
          <w:rFonts w:ascii="Times New Roman" w:hAnsi="Times New Roman" w:cs="Times New Roman"/>
          <w:i/>
          <w:iCs/>
        </w:rPr>
        <w:t>105</w:t>
      </w:r>
      <w:r w:rsidRPr="005560EF">
        <w:rPr>
          <w:rFonts w:ascii="Times New Roman" w:hAnsi="Times New Roman" w:cs="Times New Roman"/>
        </w:rPr>
        <w:t>(December 2018), 108–118. https://doi.org/10.1016/j.jml.2018.12.003</w:t>
      </w:r>
    </w:p>
    <w:p w14:paraId="7CEB85A3"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Stein, J. (2001). The magnocellular theory of developmental dyslexia. </w:t>
      </w:r>
      <w:r w:rsidRPr="005560EF">
        <w:rPr>
          <w:rFonts w:ascii="Times New Roman" w:hAnsi="Times New Roman" w:cs="Times New Roman"/>
          <w:i/>
          <w:iCs/>
        </w:rPr>
        <w:t>Dyslexia (Chichester, England)</w:t>
      </w:r>
      <w:r w:rsidRPr="005560EF">
        <w:rPr>
          <w:rFonts w:ascii="Times New Roman" w:hAnsi="Times New Roman" w:cs="Times New Roman"/>
        </w:rPr>
        <w:t xml:space="preserve">, </w:t>
      </w:r>
      <w:r w:rsidRPr="005560EF">
        <w:rPr>
          <w:rFonts w:ascii="Times New Roman" w:hAnsi="Times New Roman" w:cs="Times New Roman"/>
          <w:i/>
          <w:iCs/>
        </w:rPr>
        <w:t>7</w:t>
      </w:r>
      <w:r w:rsidRPr="005560EF">
        <w:rPr>
          <w:rFonts w:ascii="Times New Roman" w:hAnsi="Times New Roman" w:cs="Times New Roman"/>
        </w:rPr>
        <w:t>(1), 12–36. https://doi.org/10.1002/dys.186</w:t>
      </w:r>
    </w:p>
    <w:p w14:paraId="7272A77D"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Stella, M., &amp; Engelhardt, P. E. (2019). Syntactic ambiguity resolution in dyslexia: An examination of cognitive factors underlying eye movement differences and comprehension failures. </w:t>
      </w:r>
      <w:r w:rsidRPr="005560EF">
        <w:rPr>
          <w:rFonts w:ascii="Times New Roman" w:hAnsi="Times New Roman" w:cs="Times New Roman"/>
          <w:i/>
          <w:iCs/>
        </w:rPr>
        <w:t>Dyslexia (Chichester, England)</w:t>
      </w:r>
      <w:r w:rsidRPr="005560EF">
        <w:rPr>
          <w:rFonts w:ascii="Times New Roman" w:hAnsi="Times New Roman" w:cs="Times New Roman"/>
        </w:rPr>
        <w:t xml:space="preserve">, </w:t>
      </w:r>
      <w:r w:rsidRPr="005560EF">
        <w:rPr>
          <w:rFonts w:ascii="Times New Roman" w:hAnsi="Times New Roman" w:cs="Times New Roman"/>
          <w:i/>
          <w:iCs/>
        </w:rPr>
        <w:t>25</w:t>
      </w:r>
      <w:r w:rsidRPr="005560EF">
        <w:rPr>
          <w:rFonts w:ascii="Times New Roman" w:hAnsi="Times New Roman" w:cs="Times New Roman"/>
        </w:rPr>
        <w:t>(2), 115–141. https://doi.org/10.1002/DYS.1613</w:t>
      </w:r>
    </w:p>
    <w:p w14:paraId="33904831"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Sternberg, R. J. (2020). What’s Wrong with Creativity Testing? </w:t>
      </w:r>
      <w:r w:rsidRPr="005560EF">
        <w:rPr>
          <w:rFonts w:ascii="Times New Roman" w:hAnsi="Times New Roman" w:cs="Times New Roman"/>
          <w:i/>
          <w:iCs/>
        </w:rPr>
        <w:t>The Journal of Creative Behavior</w:t>
      </w:r>
      <w:r w:rsidRPr="005560EF">
        <w:rPr>
          <w:rFonts w:ascii="Times New Roman" w:hAnsi="Times New Roman" w:cs="Times New Roman"/>
        </w:rPr>
        <w:t xml:space="preserve">, </w:t>
      </w:r>
      <w:r w:rsidRPr="005560EF">
        <w:rPr>
          <w:rFonts w:ascii="Times New Roman" w:hAnsi="Times New Roman" w:cs="Times New Roman"/>
          <w:i/>
          <w:iCs/>
        </w:rPr>
        <w:t>54</w:t>
      </w:r>
      <w:r w:rsidRPr="005560EF">
        <w:rPr>
          <w:rFonts w:ascii="Times New Roman" w:hAnsi="Times New Roman" w:cs="Times New Roman"/>
        </w:rPr>
        <w:t>(1), 20–36. https://doi.org/10.1002/jocb.237</w:t>
      </w:r>
    </w:p>
    <w:p w14:paraId="412E5B4A"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Tallal, P., Miller, S., &amp; Fitch, R. H. (1993). Neurobiological basis of speech: A case for the preeminence of temporal processing. </w:t>
      </w:r>
      <w:r w:rsidRPr="005560EF">
        <w:rPr>
          <w:rFonts w:ascii="Times New Roman" w:hAnsi="Times New Roman" w:cs="Times New Roman"/>
          <w:i/>
          <w:iCs/>
        </w:rPr>
        <w:t>Annals of the New York Academy of Sciences</w:t>
      </w:r>
      <w:r w:rsidRPr="005560EF">
        <w:rPr>
          <w:rFonts w:ascii="Times New Roman" w:hAnsi="Times New Roman" w:cs="Times New Roman"/>
        </w:rPr>
        <w:t xml:space="preserve">, </w:t>
      </w:r>
      <w:r w:rsidRPr="005560EF">
        <w:rPr>
          <w:rFonts w:ascii="Times New Roman" w:hAnsi="Times New Roman" w:cs="Times New Roman"/>
          <w:i/>
          <w:iCs/>
        </w:rPr>
        <w:t>682</w:t>
      </w:r>
      <w:r w:rsidRPr="005560EF">
        <w:rPr>
          <w:rFonts w:ascii="Times New Roman" w:hAnsi="Times New Roman" w:cs="Times New Roman"/>
        </w:rPr>
        <w:t>, 27–47. https://doi.org/10.1111/j.1749-6632.1993.tb22957.x</w:t>
      </w:r>
    </w:p>
    <w:p w14:paraId="2A70F768"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Tanenhaus, M. K., Spivey-knowlton, M. J., Eberhard, K. M., Sedivy, J. C., Tanenhaus, M. K., Spivey-</w:t>
      </w:r>
      <w:r w:rsidRPr="005560EF">
        <w:rPr>
          <w:rFonts w:ascii="Times New Roman" w:hAnsi="Times New Roman" w:cs="Times New Roman"/>
        </w:rPr>
        <w:lastRenderedPageBreak/>
        <w:t xml:space="preserve">knowlton, M. J., Eberhard, K. M., &amp; Sedivy, J. C. (1995). Integration of Visual and Linguistic Information in Spoken Language Comprehension Published by: American Association for the Advancement of Science Stable URL : http://www.jstor.org/stable/2888637 JSTOR is a not-for-profit service that helps scholars , r. </w:t>
      </w:r>
      <w:r w:rsidRPr="005560EF">
        <w:rPr>
          <w:rFonts w:ascii="Times New Roman" w:hAnsi="Times New Roman" w:cs="Times New Roman"/>
          <w:i/>
          <w:iCs/>
        </w:rPr>
        <w:t>Science</w:t>
      </w:r>
      <w:r w:rsidRPr="005560EF">
        <w:rPr>
          <w:rFonts w:ascii="Times New Roman" w:hAnsi="Times New Roman" w:cs="Times New Roman"/>
        </w:rPr>
        <w:t xml:space="preserve">, </w:t>
      </w:r>
      <w:r w:rsidRPr="005560EF">
        <w:rPr>
          <w:rFonts w:ascii="Times New Roman" w:hAnsi="Times New Roman" w:cs="Times New Roman"/>
          <w:i/>
          <w:iCs/>
        </w:rPr>
        <w:t>268</w:t>
      </w:r>
      <w:r w:rsidRPr="005560EF">
        <w:rPr>
          <w:rFonts w:ascii="Times New Roman" w:hAnsi="Times New Roman" w:cs="Times New Roman"/>
        </w:rPr>
        <w:t>(5217), 1632–1634.</w:t>
      </w:r>
    </w:p>
    <w:p w14:paraId="4AD01C3C"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Tourangeau, R., &amp; Sternberg, R. J. (1982). Understanding and appreciating metaphors. </w:t>
      </w:r>
      <w:r w:rsidRPr="005560EF">
        <w:rPr>
          <w:rFonts w:ascii="Times New Roman" w:hAnsi="Times New Roman" w:cs="Times New Roman"/>
          <w:i/>
          <w:iCs/>
        </w:rPr>
        <w:t>Cognition</w:t>
      </w:r>
      <w:r w:rsidRPr="005560EF">
        <w:rPr>
          <w:rFonts w:ascii="Times New Roman" w:hAnsi="Times New Roman" w:cs="Times New Roman"/>
        </w:rPr>
        <w:t xml:space="preserve">, </w:t>
      </w:r>
      <w:r w:rsidRPr="005560EF">
        <w:rPr>
          <w:rFonts w:ascii="Times New Roman" w:hAnsi="Times New Roman" w:cs="Times New Roman"/>
          <w:i/>
          <w:iCs/>
        </w:rPr>
        <w:t>11</w:t>
      </w:r>
      <w:r w:rsidRPr="005560EF">
        <w:rPr>
          <w:rFonts w:ascii="Times New Roman" w:hAnsi="Times New Roman" w:cs="Times New Roman"/>
        </w:rPr>
        <w:t>(3), 203–244. https://doi.org/10.1016/0010-0277(82)90016-6</w:t>
      </w:r>
    </w:p>
    <w:p w14:paraId="2CD80044"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Trick, L., &amp; Katz, A. N. (1986). The Domain Interaction Approach to Metaphor Processing: Relating Individual Differences and Metaphor Characteristics. </w:t>
      </w:r>
      <w:r w:rsidRPr="005560EF">
        <w:rPr>
          <w:rFonts w:ascii="Times New Roman" w:hAnsi="Times New Roman" w:cs="Times New Roman"/>
          <w:i/>
          <w:iCs/>
        </w:rPr>
        <w:t>Metaphor and Symbolic Activity</w:t>
      </w:r>
      <w:r w:rsidRPr="005560EF">
        <w:rPr>
          <w:rFonts w:ascii="Times New Roman" w:hAnsi="Times New Roman" w:cs="Times New Roman"/>
        </w:rPr>
        <w:t xml:space="preserve">, </w:t>
      </w:r>
      <w:r w:rsidRPr="005560EF">
        <w:rPr>
          <w:rFonts w:ascii="Times New Roman" w:hAnsi="Times New Roman" w:cs="Times New Roman"/>
          <w:i/>
          <w:iCs/>
        </w:rPr>
        <w:t>1</w:t>
      </w:r>
      <w:r w:rsidRPr="005560EF">
        <w:rPr>
          <w:rFonts w:ascii="Times New Roman" w:hAnsi="Times New Roman" w:cs="Times New Roman"/>
        </w:rPr>
        <w:t>(3), 185–213. https://doi.org/10.1207/s15327868ms0103_3</w:t>
      </w:r>
    </w:p>
    <w:p w14:paraId="758EFBB4"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van Heuven, W. J. B., Mandera, P., Keuleers, E., &amp; Brysbaert, M. (2014). Subtlex-UK: A New and Improved Word Frequency Database for British English. </w:t>
      </w:r>
      <w:r w:rsidRPr="005560EF">
        <w:rPr>
          <w:rFonts w:ascii="Times New Roman" w:hAnsi="Times New Roman" w:cs="Times New Roman"/>
          <w:i/>
          <w:iCs/>
        </w:rPr>
        <w:t>Quarterly Journal of Experimental Psychology</w:t>
      </w:r>
      <w:r w:rsidRPr="005560EF">
        <w:rPr>
          <w:rFonts w:ascii="Times New Roman" w:hAnsi="Times New Roman" w:cs="Times New Roman"/>
        </w:rPr>
        <w:t xml:space="preserve">, </w:t>
      </w:r>
      <w:r w:rsidRPr="005560EF">
        <w:rPr>
          <w:rFonts w:ascii="Times New Roman" w:hAnsi="Times New Roman" w:cs="Times New Roman"/>
          <w:i/>
          <w:iCs/>
        </w:rPr>
        <w:t>67</w:t>
      </w:r>
      <w:r w:rsidRPr="005560EF">
        <w:rPr>
          <w:rFonts w:ascii="Times New Roman" w:hAnsi="Times New Roman" w:cs="Times New Roman"/>
        </w:rPr>
        <w:t>(6), 1176–1190. https://doi.org/10.1080/17470218.2013.850521</w:t>
      </w:r>
    </w:p>
    <w:p w14:paraId="095B21C7"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Vellutino, F. R., Fletcher, J. M., Snowling, M. J., &amp; Scanlon, D. M. (2004). Specific reading disability (dyslexia): What have we learned in the past four decades? </w:t>
      </w:r>
      <w:r w:rsidRPr="005560EF">
        <w:rPr>
          <w:rFonts w:ascii="Times New Roman" w:hAnsi="Times New Roman" w:cs="Times New Roman"/>
          <w:i/>
          <w:iCs/>
        </w:rPr>
        <w:t>Journal of Child Psychology and Psychiatry and Allied Disciplines</w:t>
      </w:r>
      <w:r w:rsidRPr="005560EF">
        <w:rPr>
          <w:rFonts w:ascii="Times New Roman" w:hAnsi="Times New Roman" w:cs="Times New Roman"/>
        </w:rPr>
        <w:t xml:space="preserve">, </w:t>
      </w:r>
      <w:r w:rsidRPr="005560EF">
        <w:rPr>
          <w:rFonts w:ascii="Times New Roman" w:hAnsi="Times New Roman" w:cs="Times New Roman"/>
          <w:i/>
          <w:iCs/>
        </w:rPr>
        <w:t>45</w:t>
      </w:r>
      <w:r w:rsidRPr="005560EF">
        <w:rPr>
          <w:rFonts w:ascii="Times New Roman" w:hAnsi="Times New Roman" w:cs="Times New Roman"/>
        </w:rPr>
        <w:t>(1), 2–40. https://doi.org/10.1046/j.0021-9630.2003.00305.x</w:t>
      </w:r>
    </w:p>
    <w:p w14:paraId="082B8CAA"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Vender, M. (2017). </w:t>
      </w:r>
      <w:r w:rsidRPr="005560EF">
        <w:rPr>
          <w:rFonts w:ascii="Times New Roman" w:hAnsi="Times New Roman" w:cs="Times New Roman"/>
          <w:i/>
          <w:iCs/>
        </w:rPr>
        <w:t>Disentangling Dyslexia</w:t>
      </w:r>
      <w:r w:rsidRPr="005560EF">
        <w:rPr>
          <w:rFonts w:ascii="Times New Roman" w:hAnsi="Times New Roman" w:cs="Times New Roman"/>
        </w:rPr>
        <w:t>. Peter Lang.</w:t>
      </w:r>
    </w:p>
    <w:p w14:paraId="09C0002C"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5560EF">
        <w:rPr>
          <w:rFonts w:ascii="Times New Roman" w:hAnsi="Times New Roman" w:cs="Times New Roman"/>
        </w:rPr>
        <w:t xml:space="preserve">Waltz, J. A., Lau, A., Grewal, S. K., &amp; Holyoak, K. J. (2000). The role of working memory in analogical mapping. </w:t>
      </w:r>
      <w:r w:rsidRPr="005560EF">
        <w:rPr>
          <w:rFonts w:ascii="Times New Roman" w:hAnsi="Times New Roman" w:cs="Times New Roman"/>
          <w:i/>
          <w:iCs/>
        </w:rPr>
        <w:t>Memory &amp; Cognition</w:t>
      </w:r>
      <w:r w:rsidRPr="005560EF">
        <w:rPr>
          <w:rFonts w:ascii="Times New Roman" w:hAnsi="Times New Roman" w:cs="Times New Roman"/>
        </w:rPr>
        <w:t xml:space="preserve">, </w:t>
      </w:r>
      <w:r w:rsidRPr="005560EF">
        <w:rPr>
          <w:rFonts w:ascii="Times New Roman" w:hAnsi="Times New Roman" w:cs="Times New Roman"/>
          <w:i/>
          <w:iCs/>
        </w:rPr>
        <w:t>28</w:t>
      </w:r>
      <w:r w:rsidRPr="005560EF">
        <w:rPr>
          <w:rFonts w:ascii="Times New Roman" w:hAnsi="Times New Roman" w:cs="Times New Roman"/>
        </w:rPr>
        <w:t>(7), 1205–1212. https://doi.org/10.3758/BF03211821</w:t>
      </w:r>
    </w:p>
    <w:p w14:paraId="25D3441E" w14:textId="77777777" w:rsidR="005560EF" w:rsidRPr="0011173E" w:rsidRDefault="005560EF" w:rsidP="005560EF">
      <w:pPr>
        <w:widowControl w:val="0"/>
        <w:autoSpaceDE w:val="0"/>
        <w:autoSpaceDN w:val="0"/>
        <w:adjustRightInd w:val="0"/>
        <w:spacing w:after="0" w:line="240" w:lineRule="auto"/>
        <w:rPr>
          <w:rFonts w:ascii="Times New Roman" w:hAnsi="Times New Roman" w:cs="Times New Roman"/>
          <w:lang w:val="it-IT"/>
        </w:rPr>
      </w:pPr>
      <w:r w:rsidRPr="005560EF">
        <w:rPr>
          <w:rFonts w:ascii="Times New Roman" w:hAnsi="Times New Roman" w:cs="Times New Roman"/>
        </w:rPr>
        <w:t xml:space="preserve">Wang, L.-C., &amp; Yang, H.-M. (2015). Diverse Inhibition and Working Memory of Word Recognition for Dyslexic and Typically Developing Children. </w:t>
      </w:r>
      <w:r w:rsidRPr="0011173E">
        <w:rPr>
          <w:rFonts w:ascii="Times New Roman" w:hAnsi="Times New Roman" w:cs="Times New Roman"/>
          <w:i/>
          <w:iCs/>
          <w:lang w:val="it-IT"/>
        </w:rPr>
        <w:t>Dyslexia</w:t>
      </w:r>
      <w:r w:rsidRPr="0011173E">
        <w:rPr>
          <w:rFonts w:ascii="Times New Roman" w:hAnsi="Times New Roman" w:cs="Times New Roman"/>
          <w:lang w:val="it-IT"/>
        </w:rPr>
        <w:t xml:space="preserve">, </w:t>
      </w:r>
      <w:r w:rsidRPr="0011173E">
        <w:rPr>
          <w:rFonts w:ascii="Times New Roman" w:hAnsi="Times New Roman" w:cs="Times New Roman"/>
          <w:i/>
          <w:iCs/>
          <w:lang w:val="it-IT"/>
        </w:rPr>
        <w:t>21</w:t>
      </w:r>
      <w:r w:rsidRPr="0011173E">
        <w:rPr>
          <w:rFonts w:ascii="Times New Roman" w:hAnsi="Times New Roman" w:cs="Times New Roman"/>
          <w:lang w:val="it-IT"/>
        </w:rPr>
        <w:t>(2), 162–176. https://doi.org/10.1002/dys.1490</w:t>
      </w:r>
    </w:p>
    <w:p w14:paraId="34E90C37" w14:textId="77777777" w:rsidR="005560EF" w:rsidRPr="005560EF" w:rsidRDefault="005560EF" w:rsidP="005560EF">
      <w:pPr>
        <w:widowControl w:val="0"/>
        <w:autoSpaceDE w:val="0"/>
        <w:autoSpaceDN w:val="0"/>
        <w:adjustRightInd w:val="0"/>
        <w:spacing w:after="0" w:line="240" w:lineRule="auto"/>
        <w:rPr>
          <w:rFonts w:ascii="Times New Roman" w:hAnsi="Times New Roman" w:cs="Times New Roman"/>
        </w:rPr>
      </w:pPr>
      <w:r w:rsidRPr="0011173E">
        <w:rPr>
          <w:rFonts w:ascii="Times New Roman" w:hAnsi="Times New Roman" w:cs="Times New Roman"/>
          <w:lang w:val="it-IT"/>
        </w:rPr>
        <w:t xml:space="preserve">Weiland, H., Bambini, V., &amp; Schumacher, P. B. (2014). </w:t>
      </w:r>
      <w:r w:rsidRPr="005560EF">
        <w:rPr>
          <w:rFonts w:ascii="Times New Roman" w:hAnsi="Times New Roman" w:cs="Times New Roman"/>
        </w:rPr>
        <w:t xml:space="preserve">The role of literal meaning in figurative language comprehension: Evidence from masked priming ERP. </w:t>
      </w:r>
      <w:r w:rsidRPr="005560EF">
        <w:rPr>
          <w:rFonts w:ascii="Times New Roman" w:hAnsi="Times New Roman" w:cs="Times New Roman"/>
          <w:i/>
          <w:iCs/>
        </w:rPr>
        <w:t>Frontiers in Human Neuroscience</w:t>
      </w:r>
      <w:r w:rsidRPr="005560EF">
        <w:rPr>
          <w:rFonts w:ascii="Times New Roman" w:hAnsi="Times New Roman" w:cs="Times New Roman"/>
        </w:rPr>
        <w:t xml:space="preserve">, </w:t>
      </w:r>
      <w:r w:rsidRPr="005560EF">
        <w:rPr>
          <w:rFonts w:ascii="Times New Roman" w:hAnsi="Times New Roman" w:cs="Times New Roman"/>
          <w:i/>
          <w:iCs/>
        </w:rPr>
        <w:t>8</w:t>
      </w:r>
      <w:r w:rsidRPr="005560EF">
        <w:rPr>
          <w:rFonts w:ascii="Times New Roman" w:hAnsi="Times New Roman" w:cs="Times New Roman"/>
        </w:rPr>
        <w:t>. https://www.frontiersin.org/articles/10.3389/fnhum.2014.00583</w:t>
      </w:r>
    </w:p>
    <w:p w14:paraId="7E4C4ADD" w14:textId="2921B7A2" w:rsidR="004B041F" w:rsidRPr="00A056BE" w:rsidRDefault="00261C68" w:rsidP="00073BFB">
      <w:pPr>
        <w:spacing w:line="240" w:lineRule="auto"/>
        <w:contextualSpacing/>
        <w:jc w:val="both"/>
        <w:rPr>
          <w:rFonts w:ascii="Times New Roman" w:hAnsi="Times New Roman" w:cs="Times New Roman"/>
          <w:bCs/>
          <w:iCs/>
          <w:sz w:val="24"/>
          <w:szCs w:val="24"/>
          <w:lang w:val="en-US"/>
        </w:rPr>
      </w:pPr>
      <w:r w:rsidRPr="00A056BE">
        <w:rPr>
          <w:rFonts w:ascii="Times New Roman" w:hAnsi="Times New Roman" w:cs="Times New Roman"/>
          <w:bCs/>
          <w:iCs/>
          <w:sz w:val="24"/>
          <w:szCs w:val="24"/>
          <w:lang w:val="en-US"/>
        </w:rPr>
        <w:fldChar w:fldCharType="end"/>
      </w:r>
    </w:p>
    <w:p w14:paraId="2EBC6936" w14:textId="31FEAE09" w:rsidR="0049599E" w:rsidRPr="00A55415" w:rsidRDefault="0049599E" w:rsidP="00073BFB">
      <w:pPr>
        <w:spacing w:after="0" w:line="240" w:lineRule="auto"/>
        <w:rPr>
          <w:rFonts w:ascii="Times New Roman" w:hAnsi="Times New Roman" w:cs="Times New Roman"/>
          <w:bCs/>
          <w:iCs/>
          <w:sz w:val="21"/>
          <w:szCs w:val="21"/>
          <w:lang w:val="en-US"/>
        </w:rPr>
      </w:pPr>
    </w:p>
    <w:sectPr w:rsidR="0049599E" w:rsidRPr="00A55415">
      <w:headerReference w:type="even" r:id="rId19"/>
      <w:head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41077" w14:textId="77777777" w:rsidR="00294CF1" w:rsidRDefault="00294CF1" w:rsidP="00E70677">
      <w:pPr>
        <w:spacing w:after="0" w:line="240" w:lineRule="auto"/>
      </w:pPr>
      <w:r>
        <w:separator/>
      </w:r>
    </w:p>
  </w:endnote>
  <w:endnote w:type="continuationSeparator" w:id="0">
    <w:p w14:paraId="2755EDBC" w14:textId="77777777" w:rsidR="00294CF1" w:rsidRDefault="00294CF1" w:rsidP="00E70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6A327" w14:textId="77777777" w:rsidR="00294CF1" w:rsidRDefault="00294CF1" w:rsidP="00E70677">
      <w:pPr>
        <w:spacing w:after="0" w:line="240" w:lineRule="auto"/>
      </w:pPr>
      <w:r>
        <w:separator/>
      </w:r>
    </w:p>
  </w:footnote>
  <w:footnote w:type="continuationSeparator" w:id="0">
    <w:p w14:paraId="70ECE8F1" w14:textId="77777777" w:rsidR="00294CF1" w:rsidRDefault="00294CF1" w:rsidP="00E70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4901819"/>
      <w:docPartObj>
        <w:docPartGallery w:val="Page Numbers (Top of Page)"/>
        <w:docPartUnique/>
      </w:docPartObj>
    </w:sdtPr>
    <w:sdtEndPr>
      <w:rPr>
        <w:rStyle w:val="PageNumber"/>
      </w:rPr>
    </w:sdtEndPr>
    <w:sdtContent>
      <w:p w14:paraId="53AAB08E" w14:textId="50EE4229" w:rsidR="00E70677" w:rsidRDefault="00E70677" w:rsidP="00D43F3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45A0C">
          <w:rPr>
            <w:rStyle w:val="PageNumber"/>
            <w:noProof/>
          </w:rPr>
          <w:t>1</w:t>
        </w:r>
        <w:r>
          <w:rPr>
            <w:rStyle w:val="PageNumber"/>
          </w:rPr>
          <w:fldChar w:fldCharType="end"/>
        </w:r>
      </w:p>
    </w:sdtContent>
  </w:sdt>
  <w:p w14:paraId="1E2D3A12" w14:textId="77777777" w:rsidR="00E70677" w:rsidRDefault="00E70677" w:rsidP="00E706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3525906"/>
      <w:docPartObj>
        <w:docPartGallery w:val="Page Numbers (Top of Page)"/>
        <w:docPartUnique/>
      </w:docPartObj>
    </w:sdtPr>
    <w:sdtEndPr>
      <w:rPr>
        <w:rStyle w:val="PageNumber"/>
      </w:rPr>
    </w:sdtEndPr>
    <w:sdtContent>
      <w:p w14:paraId="4D4AB484" w14:textId="6BEC1FDA" w:rsidR="00E70677" w:rsidRDefault="00E70677" w:rsidP="00D43F36">
        <w:pPr>
          <w:pStyle w:val="Header"/>
          <w:framePr w:wrap="none" w:vAnchor="text" w:hAnchor="margin" w:xAlign="right" w:y="1"/>
          <w:rPr>
            <w:rStyle w:val="PageNumber"/>
          </w:rPr>
        </w:pPr>
        <w:r w:rsidRPr="00231FD0">
          <w:rPr>
            <w:rStyle w:val="PageNumber"/>
            <w:rFonts w:ascii="Times New Roman" w:hAnsi="Times New Roman" w:cs="Times New Roman"/>
          </w:rPr>
          <w:fldChar w:fldCharType="begin"/>
        </w:r>
        <w:r w:rsidRPr="00231FD0">
          <w:rPr>
            <w:rStyle w:val="PageNumber"/>
            <w:rFonts w:ascii="Times New Roman" w:hAnsi="Times New Roman" w:cs="Times New Roman"/>
          </w:rPr>
          <w:instrText xml:space="preserve"> PAGE </w:instrText>
        </w:r>
        <w:r w:rsidRPr="00231FD0">
          <w:rPr>
            <w:rStyle w:val="PageNumber"/>
            <w:rFonts w:ascii="Times New Roman" w:hAnsi="Times New Roman" w:cs="Times New Roman"/>
          </w:rPr>
          <w:fldChar w:fldCharType="separate"/>
        </w:r>
        <w:r w:rsidRPr="00231FD0">
          <w:rPr>
            <w:rStyle w:val="PageNumber"/>
            <w:rFonts w:ascii="Times New Roman" w:hAnsi="Times New Roman" w:cs="Times New Roman"/>
            <w:noProof/>
          </w:rPr>
          <w:t>1</w:t>
        </w:r>
        <w:r w:rsidRPr="00231FD0">
          <w:rPr>
            <w:rStyle w:val="PageNumber"/>
            <w:rFonts w:ascii="Times New Roman" w:hAnsi="Times New Roman" w:cs="Times New Roman"/>
          </w:rPr>
          <w:fldChar w:fldCharType="end"/>
        </w:r>
      </w:p>
    </w:sdtContent>
  </w:sdt>
  <w:p w14:paraId="17627D7E" w14:textId="77777777" w:rsidR="00E70677" w:rsidRDefault="00E70677" w:rsidP="00E7067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0336A"/>
    <w:multiLevelType w:val="hybridMultilevel"/>
    <w:tmpl w:val="3CDE62F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429040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77"/>
    <w:rsid w:val="000008E7"/>
    <w:rsid w:val="00002503"/>
    <w:rsid w:val="00011740"/>
    <w:rsid w:val="00013212"/>
    <w:rsid w:val="00030E5B"/>
    <w:rsid w:val="00031291"/>
    <w:rsid w:val="000349F3"/>
    <w:rsid w:val="000352D3"/>
    <w:rsid w:val="00036D44"/>
    <w:rsid w:val="0003779A"/>
    <w:rsid w:val="00047D21"/>
    <w:rsid w:val="00047F27"/>
    <w:rsid w:val="00053BA0"/>
    <w:rsid w:val="00056CDC"/>
    <w:rsid w:val="00056FD3"/>
    <w:rsid w:val="000572BB"/>
    <w:rsid w:val="00061998"/>
    <w:rsid w:val="00063869"/>
    <w:rsid w:val="00065775"/>
    <w:rsid w:val="00073BFB"/>
    <w:rsid w:val="00075FEB"/>
    <w:rsid w:val="00076597"/>
    <w:rsid w:val="00081FDB"/>
    <w:rsid w:val="000833C9"/>
    <w:rsid w:val="000845D7"/>
    <w:rsid w:val="000853CD"/>
    <w:rsid w:val="00085C66"/>
    <w:rsid w:val="000905A7"/>
    <w:rsid w:val="00092344"/>
    <w:rsid w:val="000935A0"/>
    <w:rsid w:val="00093B00"/>
    <w:rsid w:val="00093FDA"/>
    <w:rsid w:val="000956B3"/>
    <w:rsid w:val="000A237F"/>
    <w:rsid w:val="000B08BF"/>
    <w:rsid w:val="000B2DF1"/>
    <w:rsid w:val="000B374D"/>
    <w:rsid w:val="000B56F2"/>
    <w:rsid w:val="000B739D"/>
    <w:rsid w:val="000B7604"/>
    <w:rsid w:val="000B7F66"/>
    <w:rsid w:val="000C3BD0"/>
    <w:rsid w:val="000C52A8"/>
    <w:rsid w:val="000C6A0D"/>
    <w:rsid w:val="000D1B24"/>
    <w:rsid w:val="000D38E8"/>
    <w:rsid w:val="000D6D82"/>
    <w:rsid w:val="000D75F6"/>
    <w:rsid w:val="000D77A4"/>
    <w:rsid w:val="000E0A82"/>
    <w:rsid w:val="000E1908"/>
    <w:rsid w:val="000E226C"/>
    <w:rsid w:val="000E327A"/>
    <w:rsid w:val="000F642E"/>
    <w:rsid w:val="00102930"/>
    <w:rsid w:val="0010757D"/>
    <w:rsid w:val="0011173E"/>
    <w:rsid w:val="00111874"/>
    <w:rsid w:val="00115118"/>
    <w:rsid w:val="00115612"/>
    <w:rsid w:val="00115D2A"/>
    <w:rsid w:val="00127086"/>
    <w:rsid w:val="00130660"/>
    <w:rsid w:val="00130B37"/>
    <w:rsid w:val="0013177D"/>
    <w:rsid w:val="001353E3"/>
    <w:rsid w:val="00135CBC"/>
    <w:rsid w:val="001371A2"/>
    <w:rsid w:val="00140AFD"/>
    <w:rsid w:val="0014556F"/>
    <w:rsid w:val="00146E4B"/>
    <w:rsid w:val="00151AFD"/>
    <w:rsid w:val="0016053A"/>
    <w:rsid w:val="00170ED6"/>
    <w:rsid w:val="00171B1C"/>
    <w:rsid w:val="00172B7D"/>
    <w:rsid w:val="00172C1F"/>
    <w:rsid w:val="00176C38"/>
    <w:rsid w:val="001770FD"/>
    <w:rsid w:val="00182634"/>
    <w:rsid w:val="00182E93"/>
    <w:rsid w:val="00191140"/>
    <w:rsid w:val="00193ACF"/>
    <w:rsid w:val="0019558A"/>
    <w:rsid w:val="001A0280"/>
    <w:rsid w:val="001A6D53"/>
    <w:rsid w:val="001B0BD3"/>
    <w:rsid w:val="001B2A9E"/>
    <w:rsid w:val="001B4C2F"/>
    <w:rsid w:val="001C0BDE"/>
    <w:rsid w:val="001C38CA"/>
    <w:rsid w:val="001C5046"/>
    <w:rsid w:val="001C7E44"/>
    <w:rsid w:val="001D31BD"/>
    <w:rsid w:val="001D792B"/>
    <w:rsid w:val="001E39D7"/>
    <w:rsid w:val="001E6A38"/>
    <w:rsid w:val="001E6DA5"/>
    <w:rsid w:val="001E77E2"/>
    <w:rsid w:val="001E7A2D"/>
    <w:rsid w:val="001F0A7B"/>
    <w:rsid w:val="001F6D0C"/>
    <w:rsid w:val="00203CF9"/>
    <w:rsid w:val="0020605C"/>
    <w:rsid w:val="00207B18"/>
    <w:rsid w:val="00213284"/>
    <w:rsid w:val="00220865"/>
    <w:rsid w:val="00220DD2"/>
    <w:rsid w:val="00223BE1"/>
    <w:rsid w:val="00231D22"/>
    <w:rsid w:val="00231FD0"/>
    <w:rsid w:val="002321F2"/>
    <w:rsid w:val="00232F1A"/>
    <w:rsid w:val="002334B2"/>
    <w:rsid w:val="00241621"/>
    <w:rsid w:val="002417FA"/>
    <w:rsid w:val="002429C4"/>
    <w:rsid w:val="00243BEF"/>
    <w:rsid w:val="00243D27"/>
    <w:rsid w:val="0024547E"/>
    <w:rsid w:val="00245641"/>
    <w:rsid w:val="002547B9"/>
    <w:rsid w:val="00261C68"/>
    <w:rsid w:val="00266328"/>
    <w:rsid w:val="002717C4"/>
    <w:rsid w:val="00284D8D"/>
    <w:rsid w:val="00284F11"/>
    <w:rsid w:val="002863EF"/>
    <w:rsid w:val="002908BF"/>
    <w:rsid w:val="002948BB"/>
    <w:rsid w:val="00294CF1"/>
    <w:rsid w:val="00294FCB"/>
    <w:rsid w:val="00297589"/>
    <w:rsid w:val="002A0EA0"/>
    <w:rsid w:val="002A1C92"/>
    <w:rsid w:val="002A1E03"/>
    <w:rsid w:val="002A42A7"/>
    <w:rsid w:val="002A5CB9"/>
    <w:rsid w:val="002B44A5"/>
    <w:rsid w:val="002B605C"/>
    <w:rsid w:val="002B7AA2"/>
    <w:rsid w:val="002C09BB"/>
    <w:rsid w:val="002C140D"/>
    <w:rsid w:val="002C1FE5"/>
    <w:rsid w:val="002C4F1A"/>
    <w:rsid w:val="002D5CB2"/>
    <w:rsid w:val="002D61FE"/>
    <w:rsid w:val="002D7321"/>
    <w:rsid w:val="002D775B"/>
    <w:rsid w:val="002E1413"/>
    <w:rsid w:val="002E240C"/>
    <w:rsid w:val="002E2C6C"/>
    <w:rsid w:val="002F090A"/>
    <w:rsid w:val="002F0931"/>
    <w:rsid w:val="002F2C7C"/>
    <w:rsid w:val="002F4AE5"/>
    <w:rsid w:val="002F635B"/>
    <w:rsid w:val="00300D3F"/>
    <w:rsid w:val="00301770"/>
    <w:rsid w:val="00303201"/>
    <w:rsid w:val="00311B60"/>
    <w:rsid w:val="00313877"/>
    <w:rsid w:val="00314001"/>
    <w:rsid w:val="00315F3A"/>
    <w:rsid w:val="0031655D"/>
    <w:rsid w:val="00317D16"/>
    <w:rsid w:val="003200A5"/>
    <w:rsid w:val="00324708"/>
    <w:rsid w:val="0033131E"/>
    <w:rsid w:val="00333997"/>
    <w:rsid w:val="00334DB1"/>
    <w:rsid w:val="0034087F"/>
    <w:rsid w:val="00351181"/>
    <w:rsid w:val="00352564"/>
    <w:rsid w:val="003530B5"/>
    <w:rsid w:val="0035520A"/>
    <w:rsid w:val="003572E4"/>
    <w:rsid w:val="00363734"/>
    <w:rsid w:val="003671FF"/>
    <w:rsid w:val="00367256"/>
    <w:rsid w:val="00370DAA"/>
    <w:rsid w:val="00371766"/>
    <w:rsid w:val="0037409F"/>
    <w:rsid w:val="003747AB"/>
    <w:rsid w:val="00376646"/>
    <w:rsid w:val="00380CF5"/>
    <w:rsid w:val="003836B0"/>
    <w:rsid w:val="00384C7E"/>
    <w:rsid w:val="00385E38"/>
    <w:rsid w:val="0039137F"/>
    <w:rsid w:val="0039702B"/>
    <w:rsid w:val="0039726E"/>
    <w:rsid w:val="003A1469"/>
    <w:rsid w:val="003A3EC1"/>
    <w:rsid w:val="003A617D"/>
    <w:rsid w:val="003B12F8"/>
    <w:rsid w:val="003C28EF"/>
    <w:rsid w:val="003D05D9"/>
    <w:rsid w:val="003D1C20"/>
    <w:rsid w:val="003E3B90"/>
    <w:rsid w:val="003E692D"/>
    <w:rsid w:val="003F1F5A"/>
    <w:rsid w:val="003F4556"/>
    <w:rsid w:val="003F75C6"/>
    <w:rsid w:val="00402040"/>
    <w:rsid w:val="00402DA0"/>
    <w:rsid w:val="004042E5"/>
    <w:rsid w:val="004065E6"/>
    <w:rsid w:val="00410B44"/>
    <w:rsid w:val="004114D1"/>
    <w:rsid w:val="00421B55"/>
    <w:rsid w:val="00427ACB"/>
    <w:rsid w:val="004332C2"/>
    <w:rsid w:val="00440FA3"/>
    <w:rsid w:val="00444D5C"/>
    <w:rsid w:val="00450142"/>
    <w:rsid w:val="0045100A"/>
    <w:rsid w:val="0045649C"/>
    <w:rsid w:val="004611AA"/>
    <w:rsid w:val="0046350F"/>
    <w:rsid w:val="00464501"/>
    <w:rsid w:val="00467D0C"/>
    <w:rsid w:val="00470EF3"/>
    <w:rsid w:val="00471D08"/>
    <w:rsid w:val="0048687D"/>
    <w:rsid w:val="00493906"/>
    <w:rsid w:val="0049516B"/>
    <w:rsid w:val="0049599E"/>
    <w:rsid w:val="004A3AFF"/>
    <w:rsid w:val="004A3C3B"/>
    <w:rsid w:val="004B041F"/>
    <w:rsid w:val="004B137A"/>
    <w:rsid w:val="004B17FB"/>
    <w:rsid w:val="004B5874"/>
    <w:rsid w:val="004C0183"/>
    <w:rsid w:val="004C0219"/>
    <w:rsid w:val="004C0EE6"/>
    <w:rsid w:val="004C1186"/>
    <w:rsid w:val="004D4F31"/>
    <w:rsid w:val="004D586D"/>
    <w:rsid w:val="004E0535"/>
    <w:rsid w:val="004E7764"/>
    <w:rsid w:val="004E7CEF"/>
    <w:rsid w:val="004F1CE4"/>
    <w:rsid w:val="004F596D"/>
    <w:rsid w:val="0050615E"/>
    <w:rsid w:val="005079A8"/>
    <w:rsid w:val="00510F15"/>
    <w:rsid w:val="00512BE4"/>
    <w:rsid w:val="00515842"/>
    <w:rsid w:val="00515CAE"/>
    <w:rsid w:val="005204DE"/>
    <w:rsid w:val="00520A5C"/>
    <w:rsid w:val="00522BD6"/>
    <w:rsid w:val="0052567B"/>
    <w:rsid w:val="00526863"/>
    <w:rsid w:val="00527610"/>
    <w:rsid w:val="00530E83"/>
    <w:rsid w:val="00530FB3"/>
    <w:rsid w:val="0053329E"/>
    <w:rsid w:val="005359D1"/>
    <w:rsid w:val="00536825"/>
    <w:rsid w:val="005373B3"/>
    <w:rsid w:val="005445EA"/>
    <w:rsid w:val="00544874"/>
    <w:rsid w:val="00545972"/>
    <w:rsid w:val="00545AF6"/>
    <w:rsid w:val="005463FF"/>
    <w:rsid w:val="00550A4D"/>
    <w:rsid w:val="00550F7F"/>
    <w:rsid w:val="00553666"/>
    <w:rsid w:val="00555A59"/>
    <w:rsid w:val="005560EF"/>
    <w:rsid w:val="00556338"/>
    <w:rsid w:val="00561873"/>
    <w:rsid w:val="00564288"/>
    <w:rsid w:val="00565AD7"/>
    <w:rsid w:val="00567448"/>
    <w:rsid w:val="00572FA7"/>
    <w:rsid w:val="00574396"/>
    <w:rsid w:val="005815A3"/>
    <w:rsid w:val="00582F9F"/>
    <w:rsid w:val="00586ED8"/>
    <w:rsid w:val="0059125A"/>
    <w:rsid w:val="0059576A"/>
    <w:rsid w:val="005A0A90"/>
    <w:rsid w:val="005A3311"/>
    <w:rsid w:val="005A472C"/>
    <w:rsid w:val="005B15A4"/>
    <w:rsid w:val="005B3E22"/>
    <w:rsid w:val="005B7188"/>
    <w:rsid w:val="005C1727"/>
    <w:rsid w:val="005C3EFC"/>
    <w:rsid w:val="005C4087"/>
    <w:rsid w:val="005C70B3"/>
    <w:rsid w:val="005C7CB2"/>
    <w:rsid w:val="005D0FE4"/>
    <w:rsid w:val="005D4302"/>
    <w:rsid w:val="005D59FF"/>
    <w:rsid w:val="005E1858"/>
    <w:rsid w:val="005E5045"/>
    <w:rsid w:val="005F0E12"/>
    <w:rsid w:val="005F37D9"/>
    <w:rsid w:val="005F3FEE"/>
    <w:rsid w:val="005F5B91"/>
    <w:rsid w:val="005F68D1"/>
    <w:rsid w:val="005F75CA"/>
    <w:rsid w:val="006036E4"/>
    <w:rsid w:val="00620253"/>
    <w:rsid w:val="00630E46"/>
    <w:rsid w:val="00633F5A"/>
    <w:rsid w:val="00637AD0"/>
    <w:rsid w:val="00640205"/>
    <w:rsid w:val="00640247"/>
    <w:rsid w:val="006407D6"/>
    <w:rsid w:val="00652B10"/>
    <w:rsid w:val="00654ACF"/>
    <w:rsid w:val="00654E17"/>
    <w:rsid w:val="00655D53"/>
    <w:rsid w:val="00660F39"/>
    <w:rsid w:val="0066298E"/>
    <w:rsid w:val="0066358B"/>
    <w:rsid w:val="00664D7F"/>
    <w:rsid w:val="00665F51"/>
    <w:rsid w:val="0066663A"/>
    <w:rsid w:val="00667997"/>
    <w:rsid w:val="006715EE"/>
    <w:rsid w:val="0067289B"/>
    <w:rsid w:val="00680989"/>
    <w:rsid w:val="0068201C"/>
    <w:rsid w:val="006849D1"/>
    <w:rsid w:val="006934DD"/>
    <w:rsid w:val="0069477B"/>
    <w:rsid w:val="0069771B"/>
    <w:rsid w:val="00697F1B"/>
    <w:rsid w:val="006A0792"/>
    <w:rsid w:val="006A2374"/>
    <w:rsid w:val="006A448A"/>
    <w:rsid w:val="006A78A9"/>
    <w:rsid w:val="006B40E3"/>
    <w:rsid w:val="006E3752"/>
    <w:rsid w:val="006E3F2B"/>
    <w:rsid w:val="006F103A"/>
    <w:rsid w:val="006F211A"/>
    <w:rsid w:val="006F2CFC"/>
    <w:rsid w:val="006F2FCF"/>
    <w:rsid w:val="006F305A"/>
    <w:rsid w:val="006F574B"/>
    <w:rsid w:val="00701A19"/>
    <w:rsid w:val="00703AFB"/>
    <w:rsid w:val="0070481A"/>
    <w:rsid w:val="00706ADD"/>
    <w:rsid w:val="00707795"/>
    <w:rsid w:val="00720868"/>
    <w:rsid w:val="00725D43"/>
    <w:rsid w:val="00727B7D"/>
    <w:rsid w:val="00733BA9"/>
    <w:rsid w:val="00733FB8"/>
    <w:rsid w:val="0073673D"/>
    <w:rsid w:val="00742967"/>
    <w:rsid w:val="0074335D"/>
    <w:rsid w:val="00744383"/>
    <w:rsid w:val="0074473F"/>
    <w:rsid w:val="00745A0C"/>
    <w:rsid w:val="007503EC"/>
    <w:rsid w:val="00751D6A"/>
    <w:rsid w:val="0075381A"/>
    <w:rsid w:val="00753B7D"/>
    <w:rsid w:val="00753F7E"/>
    <w:rsid w:val="0076374C"/>
    <w:rsid w:val="007654F7"/>
    <w:rsid w:val="00770140"/>
    <w:rsid w:val="007703D3"/>
    <w:rsid w:val="007811EE"/>
    <w:rsid w:val="00782256"/>
    <w:rsid w:val="00783851"/>
    <w:rsid w:val="00787C98"/>
    <w:rsid w:val="0079094D"/>
    <w:rsid w:val="00792ABF"/>
    <w:rsid w:val="00793EFE"/>
    <w:rsid w:val="00796B20"/>
    <w:rsid w:val="00797639"/>
    <w:rsid w:val="007A0E64"/>
    <w:rsid w:val="007A2218"/>
    <w:rsid w:val="007A28E0"/>
    <w:rsid w:val="007A311A"/>
    <w:rsid w:val="007A59F0"/>
    <w:rsid w:val="007B14B6"/>
    <w:rsid w:val="007B17CC"/>
    <w:rsid w:val="007B4485"/>
    <w:rsid w:val="007B535E"/>
    <w:rsid w:val="007D6391"/>
    <w:rsid w:val="007E492A"/>
    <w:rsid w:val="007F263B"/>
    <w:rsid w:val="007F4300"/>
    <w:rsid w:val="008025D7"/>
    <w:rsid w:val="008170EE"/>
    <w:rsid w:val="008171A0"/>
    <w:rsid w:val="00817954"/>
    <w:rsid w:val="00817D93"/>
    <w:rsid w:val="00821AA5"/>
    <w:rsid w:val="00823735"/>
    <w:rsid w:val="00830EB5"/>
    <w:rsid w:val="00831E2E"/>
    <w:rsid w:val="00832097"/>
    <w:rsid w:val="00834CCE"/>
    <w:rsid w:val="0084066E"/>
    <w:rsid w:val="00847267"/>
    <w:rsid w:val="008473A8"/>
    <w:rsid w:val="0085149B"/>
    <w:rsid w:val="0085735F"/>
    <w:rsid w:val="00863288"/>
    <w:rsid w:val="00864A54"/>
    <w:rsid w:val="00864A7E"/>
    <w:rsid w:val="00866465"/>
    <w:rsid w:val="00881F95"/>
    <w:rsid w:val="00882BE4"/>
    <w:rsid w:val="00882DB0"/>
    <w:rsid w:val="00884400"/>
    <w:rsid w:val="00887116"/>
    <w:rsid w:val="00887576"/>
    <w:rsid w:val="008A18A9"/>
    <w:rsid w:val="008B21BE"/>
    <w:rsid w:val="008B33EB"/>
    <w:rsid w:val="008B620E"/>
    <w:rsid w:val="008B6537"/>
    <w:rsid w:val="008C3526"/>
    <w:rsid w:val="008C5394"/>
    <w:rsid w:val="008C7774"/>
    <w:rsid w:val="008D0C1C"/>
    <w:rsid w:val="008D0FA6"/>
    <w:rsid w:val="008D128A"/>
    <w:rsid w:val="008D4113"/>
    <w:rsid w:val="008D5948"/>
    <w:rsid w:val="008D6769"/>
    <w:rsid w:val="008D78DA"/>
    <w:rsid w:val="008D7B9C"/>
    <w:rsid w:val="008E15A8"/>
    <w:rsid w:val="008E2374"/>
    <w:rsid w:val="008F181D"/>
    <w:rsid w:val="008F1DCA"/>
    <w:rsid w:val="008F31FC"/>
    <w:rsid w:val="009000AE"/>
    <w:rsid w:val="00905087"/>
    <w:rsid w:val="00907D7F"/>
    <w:rsid w:val="009117AC"/>
    <w:rsid w:val="00920104"/>
    <w:rsid w:val="00920DAC"/>
    <w:rsid w:val="00921CD8"/>
    <w:rsid w:val="0092283F"/>
    <w:rsid w:val="00923351"/>
    <w:rsid w:val="00925356"/>
    <w:rsid w:val="009302DA"/>
    <w:rsid w:val="00930BA4"/>
    <w:rsid w:val="00931B5B"/>
    <w:rsid w:val="00932482"/>
    <w:rsid w:val="00933FE3"/>
    <w:rsid w:val="00935546"/>
    <w:rsid w:val="00935EEE"/>
    <w:rsid w:val="009367AF"/>
    <w:rsid w:val="009427A8"/>
    <w:rsid w:val="0094296A"/>
    <w:rsid w:val="00943615"/>
    <w:rsid w:val="0094671F"/>
    <w:rsid w:val="0094790E"/>
    <w:rsid w:val="00947E13"/>
    <w:rsid w:val="00953B3A"/>
    <w:rsid w:val="00961797"/>
    <w:rsid w:val="009773AC"/>
    <w:rsid w:val="00982EAC"/>
    <w:rsid w:val="00983BD3"/>
    <w:rsid w:val="00984F13"/>
    <w:rsid w:val="00985EAA"/>
    <w:rsid w:val="00990C7D"/>
    <w:rsid w:val="00992036"/>
    <w:rsid w:val="00992B2A"/>
    <w:rsid w:val="00993E9C"/>
    <w:rsid w:val="0099510A"/>
    <w:rsid w:val="009A0B84"/>
    <w:rsid w:val="009A5431"/>
    <w:rsid w:val="009B1416"/>
    <w:rsid w:val="009B206D"/>
    <w:rsid w:val="009B30E4"/>
    <w:rsid w:val="009B3E12"/>
    <w:rsid w:val="009B43B1"/>
    <w:rsid w:val="009B6B81"/>
    <w:rsid w:val="009D40F0"/>
    <w:rsid w:val="009E01FE"/>
    <w:rsid w:val="009E2E2D"/>
    <w:rsid w:val="009E7502"/>
    <w:rsid w:val="009F4D78"/>
    <w:rsid w:val="009F7A72"/>
    <w:rsid w:val="00A00B33"/>
    <w:rsid w:val="00A023C1"/>
    <w:rsid w:val="00A056BE"/>
    <w:rsid w:val="00A069F4"/>
    <w:rsid w:val="00A134BD"/>
    <w:rsid w:val="00A14FC5"/>
    <w:rsid w:val="00A21EB5"/>
    <w:rsid w:val="00A25B73"/>
    <w:rsid w:val="00A26326"/>
    <w:rsid w:val="00A26D9F"/>
    <w:rsid w:val="00A367CE"/>
    <w:rsid w:val="00A36F0F"/>
    <w:rsid w:val="00A41B91"/>
    <w:rsid w:val="00A460FA"/>
    <w:rsid w:val="00A5160C"/>
    <w:rsid w:val="00A52E00"/>
    <w:rsid w:val="00A5499C"/>
    <w:rsid w:val="00A55415"/>
    <w:rsid w:val="00A614E4"/>
    <w:rsid w:val="00A61F6F"/>
    <w:rsid w:val="00A63E8B"/>
    <w:rsid w:val="00A6646E"/>
    <w:rsid w:val="00A704C6"/>
    <w:rsid w:val="00A74E44"/>
    <w:rsid w:val="00A77C5E"/>
    <w:rsid w:val="00A81967"/>
    <w:rsid w:val="00A86183"/>
    <w:rsid w:val="00A91A0D"/>
    <w:rsid w:val="00A92BFF"/>
    <w:rsid w:val="00A95C9B"/>
    <w:rsid w:val="00AA0A03"/>
    <w:rsid w:val="00AA3F35"/>
    <w:rsid w:val="00AA50C7"/>
    <w:rsid w:val="00AB0071"/>
    <w:rsid w:val="00AB3AB9"/>
    <w:rsid w:val="00AB4353"/>
    <w:rsid w:val="00AB4C91"/>
    <w:rsid w:val="00AC0BA3"/>
    <w:rsid w:val="00AC10A4"/>
    <w:rsid w:val="00AC2478"/>
    <w:rsid w:val="00AC3A5D"/>
    <w:rsid w:val="00AC50E2"/>
    <w:rsid w:val="00AC57AB"/>
    <w:rsid w:val="00AC5F18"/>
    <w:rsid w:val="00AC7D30"/>
    <w:rsid w:val="00AD2537"/>
    <w:rsid w:val="00AD25A6"/>
    <w:rsid w:val="00AE64C9"/>
    <w:rsid w:val="00AF4F4F"/>
    <w:rsid w:val="00AF5D44"/>
    <w:rsid w:val="00AF6277"/>
    <w:rsid w:val="00B0440A"/>
    <w:rsid w:val="00B072FE"/>
    <w:rsid w:val="00B15414"/>
    <w:rsid w:val="00B161ED"/>
    <w:rsid w:val="00B17B7D"/>
    <w:rsid w:val="00B215DD"/>
    <w:rsid w:val="00B22EFA"/>
    <w:rsid w:val="00B23CB7"/>
    <w:rsid w:val="00B24786"/>
    <w:rsid w:val="00B25B4B"/>
    <w:rsid w:val="00B414FD"/>
    <w:rsid w:val="00B43F1E"/>
    <w:rsid w:val="00B46C65"/>
    <w:rsid w:val="00B47FFC"/>
    <w:rsid w:val="00B55399"/>
    <w:rsid w:val="00B559FA"/>
    <w:rsid w:val="00B575DE"/>
    <w:rsid w:val="00B60A1C"/>
    <w:rsid w:val="00B72E75"/>
    <w:rsid w:val="00B737DB"/>
    <w:rsid w:val="00B82FC6"/>
    <w:rsid w:val="00B86305"/>
    <w:rsid w:val="00B87177"/>
    <w:rsid w:val="00B90442"/>
    <w:rsid w:val="00B93854"/>
    <w:rsid w:val="00B95944"/>
    <w:rsid w:val="00BA26B4"/>
    <w:rsid w:val="00BA3A2F"/>
    <w:rsid w:val="00BA4188"/>
    <w:rsid w:val="00BA607A"/>
    <w:rsid w:val="00BC2DCC"/>
    <w:rsid w:val="00BC49BF"/>
    <w:rsid w:val="00BC68A0"/>
    <w:rsid w:val="00BC6921"/>
    <w:rsid w:val="00BD1C15"/>
    <w:rsid w:val="00BE0782"/>
    <w:rsid w:val="00BE1BF8"/>
    <w:rsid w:val="00BE24CF"/>
    <w:rsid w:val="00BE7172"/>
    <w:rsid w:val="00BF0E7E"/>
    <w:rsid w:val="00BF243E"/>
    <w:rsid w:val="00BF5DEE"/>
    <w:rsid w:val="00BF7FCA"/>
    <w:rsid w:val="00C00D0B"/>
    <w:rsid w:val="00C02011"/>
    <w:rsid w:val="00C109A4"/>
    <w:rsid w:val="00C12B5E"/>
    <w:rsid w:val="00C21F50"/>
    <w:rsid w:val="00C23CB5"/>
    <w:rsid w:val="00C23F22"/>
    <w:rsid w:val="00C337D2"/>
    <w:rsid w:val="00C374CC"/>
    <w:rsid w:val="00C42937"/>
    <w:rsid w:val="00C4463B"/>
    <w:rsid w:val="00C47D49"/>
    <w:rsid w:val="00C50397"/>
    <w:rsid w:val="00C54151"/>
    <w:rsid w:val="00C57488"/>
    <w:rsid w:val="00C63AB1"/>
    <w:rsid w:val="00C63D9B"/>
    <w:rsid w:val="00C63DED"/>
    <w:rsid w:val="00C65FBF"/>
    <w:rsid w:val="00C71BE2"/>
    <w:rsid w:val="00C71EEF"/>
    <w:rsid w:val="00C72E28"/>
    <w:rsid w:val="00C75B14"/>
    <w:rsid w:val="00C76F99"/>
    <w:rsid w:val="00C845B9"/>
    <w:rsid w:val="00C87437"/>
    <w:rsid w:val="00CA3DA9"/>
    <w:rsid w:val="00CA6E02"/>
    <w:rsid w:val="00CB16D4"/>
    <w:rsid w:val="00CB4C6F"/>
    <w:rsid w:val="00CB634E"/>
    <w:rsid w:val="00CC4AE1"/>
    <w:rsid w:val="00CD3896"/>
    <w:rsid w:val="00CE379D"/>
    <w:rsid w:val="00CF3B94"/>
    <w:rsid w:val="00CF465E"/>
    <w:rsid w:val="00CF6381"/>
    <w:rsid w:val="00D0040C"/>
    <w:rsid w:val="00D03CA7"/>
    <w:rsid w:val="00D1025D"/>
    <w:rsid w:val="00D10B0B"/>
    <w:rsid w:val="00D10EF3"/>
    <w:rsid w:val="00D11EAD"/>
    <w:rsid w:val="00D147B7"/>
    <w:rsid w:val="00D27B2B"/>
    <w:rsid w:val="00D32090"/>
    <w:rsid w:val="00D33D25"/>
    <w:rsid w:val="00D3477B"/>
    <w:rsid w:val="00D37B35"/>
    <w:rsid w:val="00D40F70"/>
    <w:rsid w:val="00D425C7"/>
    <w:rsid w:val="00D44160"/>
    <w:rsid w:val="00D452AA"/>
    <w:rsid w:val="00D50B10"/>
    <w:rsid w:val="00D526C8"/>
    <w:rsid w:val="00D53F7F"/>
    <w:rsid w:val="00D56E7C"/>
    <w:rsid w:val="00D61F9D"/>
    <w:rsid w:val="00D64196"/>
    <w:rsid w:val="00D6543B"/>
    <w:rsid w:val="00D67CD9"/>
    <w:rsid w:val="00D704FE"/>
    <w:rsid w:val="00D7437D"/>
    <w:rsid w:val="00D76166"/>
    <w:rsid w:val="00D76AFB"/>
    <w:rsid w:val="00D8666B"/>
    <w:rsid w:val="00D87567"/>
    <w:rsid w:val="00D91BFA"/>
    <w:rsid w:val="00DA06FA"/>
    <w:rsid w:val="00DA1D28"/>
    <w:rsid w:val="00DB169E"/>
    <w:rsid w:val="00DB66F0"/>
    <w:rsid w:val="00DB6ABF"/>
    <w:rsid w:val="00DC4A4C"/>
    <w:rsid w:val="00DC5103"/>
    <w:rsid w:val="00DC5213"/>
    <w:rsid w:val="00DC70BC"/>
    <w:rsid w:val="00DD1101"/>
    <w:rsid w:val="00DD3FDB"/>
    <w:rsid w:val="00DD7060"/>
    <w:rsid w:val="00DD7BE5"/>
    <w:rsid w:val="00DE069D"/>
    <w:rsid w:val="00DE2B3B"/>
    <w:rsid w:val="00DE535E"/>
    <w:rsid w:val="00DE74F1"/>
    <w:rsid w:val="00DF209F"/>
    <w:rsid w:val="00DF28CE"/>
    <w:rsid w:val="00DF3273"/>
    <w:rsid w:val="00DF547B"/>
    <w:rsid w:val="00DF5D47"/>
    <w:rsid w:val="00E00887"/>
    <w:rsid w:val="00E020A2"/>
    <w:rsid w:val="00E02E12"/>
    <w:rsid w:val="00E05B40"/>
    <w:rsid w:val="00E14100"/>
    <w:rsid w:val="00E165CC"/>
    <w:rsid w:val="00E1712B"/>
    <w:rsid w:val="00E17E41"/>
    <w:rsid w:val="00E17F6F"/>
    <w:rsid w:val="00E21B71"/>
    <w:rsid w:val="00E21CB9"/>
    <w:rsid w:val="00E257C6"/>
    <w:rsid w:val="00E25B4B"/>
    <w:rsid w:val="00E32206"/>
    <w:rsid w:val="00E34932"/>
    <w:rsid w:val="00E37C0D"/>
    <w:rsid w:val="00E41996"/>
    <w:rsid w:val="00E44486"/>
    <w:rsid w:val="00E459B2"/>
    <w:rsid w:val="00E50CAA"/>
    <w:rsid w:val="00E5272D"/>
    <w:rsid w:val="00E5449B"/>
    <w:rsid w:val="00E546E0"/>
    <w:rsid w:val="00E54F7F"/>
    <w:rsid w:val="00E62000"/>
    <w:rsid w:val="00E67785"/>
    <w:rsid w:val="00E70677"/>
    <w:rsid w:val="00E7524D"/>
    <w:rsid w:val="00E7695D"/>
    <w:rsid w:val="00E76B0A"/>
    <w:rsid w:val="00E80AFA"/>
    <w:rsid w:val="00E81974"/>
    <w:rsid w:val="00E823A1"/>
    <w:rsid w:val="00E950C2"/>
    <w:rsid w:val="00E9521C"/>
    <w:rsid w:val="00E97E05"/>
    <w:rsid w:val="00EA381F"/>
    <w:rsid w:val="00EA4A9F"/>
    <w:rsid w:val="00EB0B78"/>
    <w:rsid w:val="00EB3623"/>
    <w:rsid w:val="00EB450E"/>
    <w:rsid w:val="00EB4D4D"/>
    <w:rsid w:val="00EC1038"/>
    <w:rsid w:val="00EC52CF"/>
    <w:rsid w:val="00ED183F"/>
    <w:rsid w:val="00ED29B8"/>
    <w:rsid w:val="00ED722E"/>
    <w:rsid w:val="00EE1F6F"/>
    <w:rsid w:val="00EE7734"/>
    <w:rsid w:val="00EF0582"/>
    <w:rsid w:val="00EF0E83"/>
    <w:rsid w:val="00EF2832"/>
    <w:rsid w:val="00EF297F"/>
    <w:rsid w:val="00EF5C9B"/>
    <w:rsid w:val="00EF6A97"/>
    <w:rsid w:val="00F03F24"/>
    <w:rsid w:val="00F12A2E"/>
    <w:rsid w:val="00F13234"/>
    <w:rsid w:val="00F15751"/>
    <w:rsid w:val="00F2144C"/>
    <w:rsid w:val="00F31105"/>
    <w:rsid w:val="00F31794"/>
    <w:rsid w:val="00F32815"/>
    <w:rsid w:val="00F40403"/>
    <w:rsid w:val="00F45B45"/>
    <w:rsid w:val="00F4715C"/>
    <w:rsid w:val="00F477D9"/>
    <w:rsid w:val="00F55B6E"/>
    <w:rsid w:val="00F56191"/>
    <w:rsid w:val="00F57267"/>
    <w:rsid w:val="00F57A6B"/>
    <w:rsid w:val="00F60100"/>
    <w:rsid w:val="00F60548"/>
    <w:rsid w:val="00F6245B"/>
    <w:rsid w:val="00F62F70"/>
    <w:rsid w:val="00F6419A"/>
    <w:rsid w:val="00F657BE"/>
    <w:rsid w:val="00F65F9E"/>
    <w:rsid w:val="00F727CA"/>
    <w:rsid w:val="00F73D19"/>
    <w:rsid w:val="00F745C1"/>
    <w:rsid w:val="00F75798"/>
    <w:rsid w:val="00F76B06"/>
    <w:rsid w:val="00F8215B"/>
    <w:rsid w:val="00F84067"/>
    <w:rsid w:val="00F90448"/>
    <w:rsid w:val="00F90BDB"/>
    <w:rsid w:val="00F9376E"/>
    <w:rsid w:val="00F93B75"/>
    <w:rsid w:val="00F9421A"/>
    <w:rsid w:val="00F956F4"/>
    <w:rsid w:val="00F95F34"/>
    <w:rsid w:val="00F977B7"/>
    <w:rsid w:val="00FA09BA"/>
    <w:rsid w:val="00FA0F2B"/>
    <w:rsid w:val="00FA1337"/>
    <w:rsid w:val="00FB1EB9"/>
    <w:rsid w:val="00FB38AA"/>
    <w:rsid w:val="00FC5219"/>
    <w:rsid w:val="00FD1182"/>
    <w:rsid w:val="00FD215A"/>
    <w:rsid w:val="00FD50E8"/>
    <w:rsid w:val="00FE0233"/>
    <w:rsid w:val="00FE2F06"/>
    <w:rsid w:val="00FE30BA"/>
    <w:rsid w:val="00FE35E9"/>
    <w:rsid w:val="00FE3F02"/>
    <w:rsid w:val="00FE7A26"/>
    <w:rsid w:val="00FF41E5"/>
    <w:rsid w:val="00FF59FC"/>
    <w:rsid w:val="00FF77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4FA51"/>
  <w15:chartTrackingRefBased/>
  <w15:docId w15:val="{AA40185B-64B7-7D4C-977A-5B9CE8E6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2BB"/>
    <w:pPr>
      <w:spacing w:after="160" w:line="254"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text">
    <w:name w:val="Abstract text"/>
    <w:basedOn w:val="Normal"/>
    <w:rsid w:val="00E70677"/>
    <w:pPr>
      <w:spacing w:after="0" w:line="200" w:lineRule="exact"/>
      <w:ind w:left="181" w:right="181"/>
      <w:jc w:val="both"/>
    </w:pPr>
    <w:rPr>
      <w:rFonts w:ascii="Times New Roman" w:eastAsia="Times New Roman" w:hAnsi="Times New Roman" w:cs="Times New Roman"/>
      <w:sz w:val="18"/>
      <w:szCs w:val="20"/>
      <w:lang w:val="en-US"/>
    </w:rPr>
  </w:style>
  <w:style w:type="paragraph" w:styleId="ListParagraph">
    <w:name w:val="List Paragraph"/>
    <w:basedOn w:val="Normal"/>
    <w:uiPriority w:val="34"/>
    <w:qFormat/>
    <w:rsid w:val="00E70677"/>
    <w:pPr>
      <w:spacing w:line="259" w:lineRule="auto"/>
      <w:ind w:left="720"/>
      <w:contextualSpacing/>
    </w:pPr>
  </w:style>
  <w:style w:type="character" w:styleId="CommentReference">
    <w:name w:val="annotation reference"/>
    <w:basedOn w:val="DefaultParagraphFont"/>
    <w:uiPriority w:val="99"/>
    <w:semiHidden/>
    <w:unhideWhenUsed/>
    <w:rsid w:val="00E70677"/>
    <w:rPr>
      <w:sz w:val="16"/>
      <w:szCs w:val="16"/>
    </w:rPr>
  </w:style>
  <w:style w:type="paragraph" w:styleId="Header">
    <w:name w:val="header"/>
    <w:basedOn w:val="Normal"/>
    <w:link w:val="HeaderChar"/>
    <w:uiPriority w:val="99"/>
    <w:unhideWhenUsed/>
    <w:rsid w:val="00E70677"/>
    <w:pPr>
      <w:tabs>
        <w:tab w:val="center" w:pos="4819"/>
        <w:tab w:val="right" w:pos="9638"/>
      </w:tabs>
      <w:spacing w:after="0" w:line="240" w:lineRule="auto"/>
    </w:pPr>
  </w:style>
  <w:style w:type="character" w:customStyle="1" w:styleId="HeaderChar">
    <w:name w:val="Header Char"/>
    <w:basedOn w:val="DefaultParagraphFont"/>
    <w:link w:val="Header"/>
    <w:uiPriority w:val="99"/>
    <w:rsid w:val="00E70677"/>
    <w:rPr>
      <w:sz w:val="22"/>
      <w:szCs w:val="22"/>
      <w:lang w:val="en-GB"/>
    </w:rPr>
  </w:style>
  <w:style w:type="paragraph" w:styleId="Footer">
    <w:name w:val="footer"/>
    <w:basedOn w:val="Normal"/>
    <w:link w:val="FooterChar"/>
    <w:uiPriority w:val="99"/>
    <w:unhideWhenUsed/>
    <w:rsid w:val="00E70677"/>
    <w:pPr>
      <w:tabs>
        <w:tab w:val="center" w:pos="4819"/>
        <w:tab w:val="right" w:pos="9638"/>
      </w:tabs>
      <w:spacing w:after="0" w:line="240" w:lineRule="auto"/>
    </w:pPr>
  </w:style>
  <w:style w:type="character" w:customStyle="1" w:styleId="FooterChar">
    <w:name w:val="Footer Char"/>
    <w:basedOn w:val="DefaultParagraphFont"/>
    <w:link w:val="Footer"/>
    <w:uiPriority w:val="99"/>
    <w:rsid w:val="00E70677"/>
    <w:rPr>
      <w:sz w:val="22"/>
      <w:szCs w:val="22"/>
      <w:lang w:val="en-GB"/>
    </w:rPr>
  </w:style>
  <w:style w:type="character" w:styleId="PageNumber">
    <w:name w:val="page number"/>
    <w:basedOn w:val="DefaultParagraphFont"/>
    <w:uiPriority w:val="99"/>
    <w:semiHidden/>
    <w:unhideWhenUsed/>
    <w:rsid w:val="00E70677"/>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aption">
    <w:name w:val="caption"/>
    <w:basedOn w:val="Normal"/>
    <w:next w:val="Normal"/>
    <w:uiPriority w:val="35"/>
    <w:unhideWhenUsed/>
    <w:qFormat/>
    <w:rsid w:val="00545AF6"/>
    <w:pPr>
      <w:spacing w:after="200" w:line="240" w:lineRule="auto"/>
    </w:pPr>
    <w:rPr>
      <w:i/>
      <w:iCs/>
      <w:color w:val="44546A" w:themeColor="text2"/>
      <w:sz w:val="18"/>
      <w:szCs w:val="18"/>
    </w:rPr>
  </w:style>
  <w:style w:type="paragraph" w:styleId="BodyText2">
    <w:name w:val="Body Text 2"/>
    <w:basedOn w:val="Normal"/>
    <w:link w:val="BodyText2Char"/>
    <w:rsid w:val="00C4463B"/>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C4463B"/>
    <w:rPr>
      <w:rFonts w:ascii="Times New Roman" w:eastAsia="Times New Roman" w:hAnsi="Times New Roman" w:cs="Times New Roman"/>
      <w:lang w:val="en-US"/>
    </w:rPr>
  </w:style>
  <w:style w:type="character" w:styleId="Hyperlink">
    <w:name w:val="Hyperlink"/>
    <w:basedOn w:val="DefaultParagraphFont"/>
    <w:uiPriority w:val="99"/>
    <w:unhideWhenUsed/>
    <w:rsid w:val="00697F1B"/>
    <w:rPr>
      <w:color w:val="0563C1" w:themeColor="hyperlink"/>
      <w:u w:val="single"/>
    </w:rPr>
  </w:style>
  <w:style w:type="table" w:styleId="TableGrid">
    <w:name w:val="Table Grid"/>
    <w:basedOn w:val="TableNormal"/>
    <w:uiPriority w:val="39"/>
    <w:rsid w:val="00697F1B"/>
    <w:rPr>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fia1">
    <w:name w:val="Bibliografia1"/>
    <w:basedOn w:val="Normal"/>
    <w:link w:val="BibliographyCarattere"/>
    <w:rsid w:val="00261C68"/>
    <w:pPr>
      <w:spacing w:after="0" w:line="480" w:lineRule="auto"/>
      <w:ind w:left="720" w:hanging="720"/>
      <w:contextualSpacing/>
      <w:jc w:val="both"/>
    </w:pPr>
    <w:rPr>
      <w:rFonts w:ascii="Times New Roman" w:hAnsi="Times New Roman" w:cs="Times New Roman"/>
      <w:bCs/>
      <w:iCs/>
      <w:sz w:val="24"/>
      <w:szCs w:val="24"/>
      <w:lang w:val="en-US"/>
    </w:rPr>
  </w:style>
  <w:style w:type="character" w:customStyle="1" w:styleId="BibliographyCarattere">
    <w:name w:val="Bibliography Carattere"/>
    <w:basedOn w:val="DefaultParagraphFont"/>
    <w:link w:val="Bibliografia1"/>
    <w:rsid w:val="00261C68"/>
    <w:rPr>
      <w:rFonts w:ascii="Times New Roman" w:hAnsi="Times New Roman" w:cs="Times New Roman"/>
      <w:bCs/>
      <w:iCs/>
      <w:lang w:val="en-US"/>
    </w:rPr>
  </w:style>
  <w:style w:type="character" w:styleId="UnresolvedMention">
    <w:name w:val="Unresolved Mention"/>
    <w:basedOn w:val="DefaultParagraphFont"/>
    <w:uiPriority w:val="99"/>
    <w:semiHidden/>
    <w:unhideWhenUsed/>
    <w:rsid w:val="009117AC"/>
    <w:rPr>
      <w:color w:val="605E5C"/>
      <w:shd w:val="clear" w:color="auto" w:fill="E1DFDD"/>
    </w:rPr>
  </w:style>
  <w:style w:type="character" w:styleId="FollowedHyperlink">
    <w:name w:val="FollowedHyperlink"/>
    <w:basedOn w:val="DefaultParagraphFont"/>
    <w:uiPriority w:val="99"/>
    <w:semiHidden/>
    <w:unhideWhenUsed/>
    <w:rsid w:val="0013177D"/>
    <w:rPr>
      <w:color w:val="954F72" w:themeColor="followedHyperlink"/>
      <w:u w:val="single"/>
    </w:rPr>
  </w:style>
  <w:style w:type="paragraph" w:styleId="Revision">
    <w:name w:val="Revision"/>
    <w:hidden/>
    <w:uiPriority w:val="99"/>
    <w:semiHidden/>
    <w:rsid w:val="0076374C"/>
    <w:rPr>
      <w:sz w:val="22"/>
      <w:szCs w:val="22"/>
      <w:lang w:val="en-GB"/>
    </w:rPr>
  </w:style>
  <w:style w:type="paragraph" w:styleId="CommentSubject">
    <w:name w:val="annotation subject"/>
    <w:basedOn w:val="CommentText"/>
    <w:next w:val="CommentText"/>
    <w:link w:val="CommentSubjectChar"/>
    <w:uiPriority w:val="99"/>
    <w:semiHidden/>
    <w:unhideWhenUsed/>
    <w:rsid w:val="009773AC"/>
    <w:rPr>
      <w:b/>
      <w:bCs/>
    </w:rPr>
  </w:style>
  <w:style w:type="character" w:customStyle="1" w:styleId="CommentSubjectChar">
    <w:name w:val="Comment Subject Char"/>
    <w:basedOn w:val="CommentTextChar"/>
    <w:link w:val="CommentSubject"/>
    <w:uiPriority w:val="99"/>
    <w:semiHidden/>
    <w:rsid w:val="009773AC"/>
    <w:rPr>
      <w:b/>
      <w:bCs/>
      <w:sz w:val="20"/>
      <w:szCs w:val="20"/>
      <w:lang w:val="en-GB"/>
    </w:rPr>
  </w:style>
  <w:style w:type="paragraph" w:styleId="HTMLPreformatted">
    <w:name w:val="HTML Preformatted"/>
    <w:basedOn w:val="Normal"/>
    <w:link w:val="HTMLPreformattedChar"/>
    <w:uiPriority w:val="99"/>
    <w:semiHidden/>
    <w:unhideWhenUsed/>
    <w:rsid w:val="00E05B4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05B40"/>
    <w:rPr>
      <w:rFonts w:ascii="Consolas" w:hAnsi="Consolas" w:cs="Consola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13614">
      <w:bodyDiv w:val="1"/>
      <w:marLeft w:val="0"/>
      <w:marRight w:val="0"/>
      <w:marTop w:val="0"/>
      <w:marBottom w:val="0"/>
      <w:divBdr>
        <w:top w:val="none" w:sz="0" w:space="0" w:color="auto"/>
        <w:left w:val="none" w:sz="0" w:space="0" w:color="auto"/>
        <w:bottom w:val="none" w:sz="0" w:space="0" w:color="auto"/>
        <w:right w:val="none" w:sz="0" w:space="0" w:color="auto"/>
      </w:divBdr>
    </w:div>
    <w:div w:id="48044458">
      <w:bodyDiv w:val="1"/>
      <w:marLeft w:val="0"/>
      <w:marRight w:val="0"/>
      <w:marTop w:val="0"/>
      <w:marBottom w:val="0"/>
      <w:divBdr>
        <w:top w:val="none" w:sz="0" w:space="0" w:color="auto"/>
        <w:left w:val="none" w:sz="0" w:space="0" w:color="auto"/>
        <w:bottom w:val="none" w:sz="0" w:space="0" w:color="auto"/>
        <w:right w:val="none" w:sz="0" w:space="0" w:color="auto"/>
      </w:divBdr>
      <w:divsChild>
        <w:div w:id="1655991177">
          <w:marLeft w:val="0"/>
          <w:marRight w:val="0"/>
          <w:marTop w:val="0"/>
          <w:marBottom w:val="0"/>
          <w:divBdr>
            <w:top w:val="none" w:sz="0" w:space="0" w:color="auto"/>
            <w:left w:val="none" w:sz="0" w:space="0" w:color="auto"/>
            <w:bottom w:val="none" w:sz="0" w:space="0" w:color="auto"/>
            <w:right w:val="none" w:sz="0" w:space="0" w:color="auto"/>
          </w:divBdr>
          <w:divsChild>
            <w:div w:id="305015250">
              <w:marLeft w:val="0"/>
              <w:marRight w:val="0"/>
              <w:marTop w:val="0"/>
              <w:marBottom w:val="0"/>
              <w:divBdr>
                <w:top w:val="none" w:sz="0" w:space="0" w:color="auto"/>
                <w:left w:val="none" w:sz="0" w:space="0" w:color="auto"/>
                <w:bottom w:val="none" w:sz="0" w:space="0" w:color="auto"/>
                <w:right w:val="none" w:sz="0" w:space="0" w:color="auto"/>
              </w:divBdr>
              <w:divsChild>
                <w:div w:id="10935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6671">
      <w:bodyDiv w:val="1"/>
      <w:marLeft w:val="0"/>
      <w:marRight w:val="0"/>
      <w:marTop w:val="0"/>
      <w:marBottom w:val="0"/>
      <w:divBdr>
        <w:top w:val="none" w:sz="0" w:space="0" w:color="auto"/>
        <w:left w:val="none" w:sz="0" w:space="0" w:color="auto"/>
        <w:bottom w:val="none" w:sz="0" w:space="0" w:color="auto"/>
        <w:right w:val="none" w:sz="0" w:space="0" w:color="auto"/>
      </w:divBdr>
    </w:div>
    <w:div w:id="180163651">
      <w:bodyDiv w:val="1"/>
      <w:marLeft w:val="0"/>
      <w:marRight w:val="0"/>
      <w:marTop w:val="0"/>
      <w:marBottom w:val="0"/>
      <w:divBdr>
        <w:top w:val="none" w:sz="0" w:space="0" w:color="auto"/>
        <w:left w:val="none" w:sz="0" w:space="0" w:color="auto"/>
        <w:bottom w:val="none" w:sz="0" w:space="0" w:color="auto"/>
        <w:right w:val="none" w:sz="0" w:space="0" w:color="auto"/>
      </w:divBdr>
      <w:divsChild>
        <w:div w:id="1439178831">
          <w:marLeft w:val="0"/>
          <w:marRight w:val="0"/>
          <w:marTop w:val="0"/>
          <w:marBottom w:val="0"/>
          <w:divBdr>
            <w:top w:val="none" w:sz="0" w:space="0" w:color="auto"/>
            <w:left w:val="none" w:sz="0" w:space="0" w:color="auto"/>
            <w:bottom w:val="none" w:sz="0" w:space="0" w:color="auto"/>
            <w:right w:val="none" w:sz="0" w:space="0" w:color="auto"/>
          </w:divBdr>
          <w:divsChild>
            <w:div w:id="895434115">
              <w:marLeft w:val="0"/>
              <w:marRight w:val="0"/>
              <w:marTop w:val="0"/>
              <w:marBottom w:val="0"/>
              <w:divBdr>
                <w:top w:val="none" w:sz="0" w:space="0" w:color="auto"/>
                <w:left w:val="none" w:sz="0" w:space="0" w:color="auto"/>
                <w:bottom w:val="none" w:sz="0" w:space="0" w:color="auto"/>
                <w:right w:val="none" w:sz="0" w:space="0" w:color="auto"/>
              </w:divBdr>
              <w:divsChild>
                <w:div w:id="17193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2529">
      <w:bodyDiv w:val="1"/>
      <w:marLeft w:val="0"/>
      <w:marRight w:val="0"/>
      <w:marTop w:val="0"/>
      <w:marBottom w:val="0"/>
      <w:divBdr>
        <w:top w:val="none" w:sz="0" w:space="0" w:color="auto"/>
        <w:left w:val="none" w:sz="0" w:space="0" w:color="auto"/>
        <w:bottom w:val="none" w:sz="0" w:space="0" w:color="auto"/>
        <w:right w:val="none" w:sz="0" w:space="0" w:color="auto"/>
      </w:divBdr>
    </w:div>
    <w:div w:id="183173489">
      <w:bodyDiv w:val="1"/>
      <w:marLeft w:val="0"/>
      <w:marRight w:val="0"/>
      <w:marTop w:val="0"/>
      <w:marBottom w:val="0"/>
      <w:divBdr>
        <w:top w:val="none" w:sz="0" w:space="0" w:color="auto"/>
        <w:left w:val="none" w:sz="0" w:space="0" w:color="auto"/>
        <w:bottom w:val="none" w:sz="0" w:space="0" w:color="auto"/>
        <w:right w:val="none" w:sz="0" w:space="0" w:color="auto"/>
      </w:divBdr>
    </w:div>
    <w:div w:id="188494368">
      <w:bodyDiv w:val="1"/>
      <w:marLeft w:val="0"/>
      <w:marRight w:val="0"/>
      <w:marTop w:val="0"/>
      <w:marBottom w:val="0"/>
      <w:divBdr>
        <w:top w:val="none" w:sz="0" w:space="0" w:color="auto"/>
        <w:left w:val="none" w:sz="0" w:space="0" w:color="auto"/>
        <w:bottom w:val="none" w:sz="0" w:space="0" w:color="auto"/>
        <w:right w:val="none" w:sz="0" w:space="0" w:color="auto"/>
      </w:divBdr>
    </w:div>
    <w:div w:id="234751477">
      <w:bodyDiv w:val="1"/>
      <w:marLeft w:val="0"/>
      <w:marRight w:val="0"/>
      <w:marTop w:val="0"/>
      <w:marBottom w:val="0"/>
      <w:divBdr>
        <w:top w:val="none" w:sz="0" w:space="0" w:color="auto"/>
        <w:left w:val="none" w:sz="0" w:space="0" w:color="auto"/>
        <w:bottom w:val="none" w:sz="0" w:space="0" w:color="auto"/>
        <w:right w:val="none" w:sz="0" w:space="0" w:color="auto"/>
      </w:divBdr>
    </w:div>
    <w:div w:id="452793392">
      <w:bodyDiv w:val="1"/>
      <w:marLeft w:val="0"/>
      <w:marRight w:val="0"/>
      <w:marTop w:val="0"/>
      <w:marBottom w:val="0"/>
      <w:divBdr>
        <w:top w:val="none" w:sz="0" w:space="0" w:color="auto"/>
        <w:left w:val="none" w:sz="0" w:space="0" w:color="auto"/>
        <w:bottom w:val="none" w:sz="0" w:space="0" w:color="auto"/>
        <w:right w:val="none" w:sz="0" w:space="0" w:color="auto"/>
      </w:divBdr>
    </w:div>
    <w:div w:id="640699396">
      <w:bodyDiv w:val="1"/>
      <w:marLeft w:val="0"/>
      <w:marRight w:val="0"/>
      <w:marTop w:val="0"/>
      <w:marBottom w:val="0"/>
      <w:divBdr>
        <w:top w:val="none" w:sz="0" w:space="0" w:color="auto"/>
        <w:left w:val="none" w:sz="0" w:space="0" w:color="auto"/>
        <w:bottom w:val="none" w:sz="0" w:space="0" w:color="auto"/>
        <w:right w:val="none" w:sz="0" w:space="0" w:color="auto"/>
      </w:divBdr>
    </w:div>
    <w:div w:id="657615847">
      <w:bodyDiv w:val="1"/>
      <w:marLeft w:val="0"/>
      <w:marRight w:val="0"/>
      <w:marTop w:val="0"/>
      <w:marBottom w:val="0"/>
      <w:divBdr>
        <w:top w:val="none" w:sz="0" w:space="0" w:color="auto"/>
        <w:left w:val="none" w:sz="0" w:space="0" w:color="auto"/>
        <w:bottom w:val="none" w:sz="0" w:space="0" w:color="auto"/>
        <w:right w:val="none" w:sz="0" w:space="0" w:color="auto"/>
      </w:divBdr>
      <w:divsChild>
        <w:div w:id="1293904267">
          <w:marLeft w:val="0"/>
          <w:marRight w:val="0"/>
          <w:marTop w:val="0"/>
          <w:marBottom w:val="0"/>
          <w:divBdr>
            <w:top w:val="none" w:sz="0" w:space="0" w:color="auto"/>
            <w:left w:val="none" w:sz="0" w:space="0" w:color="auto"/>
            <w:bottom w:val="none" w:sz="0" w:space="0" w:color="auto"/>
            <w:right w:val="none" w:sz="0" w:space="0" w:color="auto"/>
          </w:divBdr>
          <w:divsChild>
            <w:div w:id="648631451">
              <w:marLeft w:val="0"/>
              <w:marRight w:val="0"/>
              <w:marTop w:val="0"/>
              <w:marBottom w:val="0"/>
              <w:divBdr>
                <w:top w:val="none" w:sz="0" w:space="0" w:color="auto"/>
                <w:left w:val="none" w:sz="0" w:space="0" w:color="auto"/>
                <w:bottom w:val="none" w:sz="0" w:space="0" w:color="auto"/>
                <w:right w:val="none" w:sz="0" w:space="0" w:color="auto"/>
              </w:divBdr>
              <w:divsChild>
                <w:div w:id="372121666">
                  <w:marLeft w:val="0"/>
                  <w:marRight w:val="0"/>
                  <w:marTop w:val="0"/>
                  <w:marBottom w:val="0"/>
                  <w:divBdr>
                    <w:top w:val="none" w:sz="0" w:space="0" w:color="auto"/>
                    <w:left w:val="none" w:sz="0" w:space="0" w:color="auto"/>
                    <w:bottom w:val="none" w:sz="0" w:space="0" w:color="auto"/>
                    <w:right w:val="none" w:sz="0" w:space="0" w:color="auto"/>
                  </w:divBdr>
                  <w:divsChild>
                    <w:div w:id="5540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83872">
      <w:bodyDiv w:val="1"/>
      <w:marLeft w:val="0"/>
      <w:marRight w:val="0"/>
      <w:marTop w:val="0"/>
      <w:marBottom w:val="0"/>
      <w:divBdr>
        <w:top w:val="none" w:sz="0" w:space="0" w:color="auto"/>
        <w:left w:val="none" w:sz="0" w:space="0" w:color="auto"/>
        <w:bottom w:val="none" w:sz="0" w:space="0" w:color="auto"/>
        <w:right w:val="none" w:sz="0" w:space="0" w:color="auto"/>
      </w:divBdr>
    </w:div>
    <w:div w:id="709693889">
      <w:bodyDiv w:val="1"/>
      <w:marLeft w:val="0"/>
      <w:marRight w:val="0"/>
      <w:marTop w:val="0"/>
      <w:marBottom w:val="0"/>
      <w:divBdr>
        <w:top w:val="none" w:sz="0" w:space="0" w:color="auto"/>
        <w:left w:val="none" w:sz="0" w:space="0" w:color="auto"/>
        <w:bottom w:val="none" w:sz="0" w:space="0" w:color="auto"/>
        <w:right w:val="none" w:sz="0" w:space="0" w:color="auto"/>
      </w:divBdr>
    </w:div>
    <w:div w:id="743990028">
      <w:bodyDiv w:val="1"/>
      <w:marLeft w:val="0"/>
      <w:marRight w:val="0"/>
      <w:marTop w:val="0"/>
      <w:marBottom w:val="0"/>
      <w:divBdr>
        <w:top w:val="none" w:sz="0" w:space="0" w:color="auto"/>
        <w:left w:val="none" w:sz="0" w:space="0" w:color="auto"/>
        <w:bottom w:val="none" w:sz="0" w:space="0" w:color="auto"/>
        <w:right w:val="none" w:sz="0" w:space="0" w:color="auto"/>
      </w:divBdr>
      <w:divsChild>
        <w:div w:id="1461530919">
          <w:marLeft w:val="0"/>
          <w:marRight w:val="0"/>
          <w:marTop w:val="0"/>
          <w:marBottom w:val="0"/>
          <w:divBdr>
            <w:top w:val="none" w:sz="0" w:space="0" w:color="auto"/>
            <w:left w:val="none" w:sz="0" w:space="0" w:color="auto"/>
            <w:bottom w:val="none" w:sz="0" w:space="0" w:color="auto"/>
            <w:right w:val="none" w:sz="0" w:space="0" w:color="auto"/>
          </w:divBdr>
          <w:divsChild>
            <w:div w:id="818806843">
              <w:marLeft w:val="0"/>
              <w:marRight w:val="0"/>
              <w:marTop w:val="0"/>
              <w:marBottom w:val="0"/>
              <w:divBdr>
                <w:top w:val="none" w:sz="0" w:space="0" w:color="auto"/>
                <w:left w:val="none" w:sz="0" w:space="0" w:color="auto"/>
                <w:bottom w:val="none" w:sz="0" w:space="0" w:color="auto"/>
                <w:right w:val="none" w:sz="0" w:space="0" w:color="auto"/>
              </w:divBdr>
              <w:divsChild>
                <w:div w:id="13543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5909">
      <w:bodyDiv w:val="1"/>
      <w:marLeft w:val="0"/>
      <w:marRight w:val="0"/>
      <w:marTop w:val="0"/>
      <w:marBottom w:val="0"/>
      <w:divBdr>
        <w:top w:val="none" w:sz="0" w:space="0" w:color="auto"/>
        <w:left w:val="none" w:sz="0" w:space="0" w:color="auto"/>
        <w:bottom w:val="none" w:sz="0" w:space="0" w:color="auto"/>
        <w:right w:val="none" w:sz="0" w:space="0" w:color="auto"/>
      </w:divBdr>
    </w:div>
    <w:div w:id="774131550">
      <w:bodyDiv w:val="1"/>
      <w:marLeft w:val="0"/>
      <w:marRight w:val="0"/>
      <w:marTop w:val="0"/>
      <w:marBottom w:val="0"/>
      <w:divBdr>
        <w:top w:val="none" w:sz="0" w:space="0" w:color="auto"/>
        <w:left w:val="none" w:sz="0" w:space="0" w:color="auto"/>
        <w:bottom w:val="none" w:sz="0" w:space="0" w:color="auto"/>
        <w:right w:val="none" w:sz="0" w:space="0" w:color="auto"/>
      </w:divBdr>
    </w:div>
    <w:div w:id="792989586">
      <w:bodyDiv w:val="1"/>
      <w:marLeft w:val="0"/>
      <w:marRight w:val="0"/>
      <w:marTop w:val="0"/>
      <w:marBottom w:val="0"/>
      <w:divBdr>
        <w:top w:val="none" w:sz="0" w:space="0" w:color="auto"/>
        <w:left w:val="none" w:sz="0" w:space="0" w:color="auto"/>
        <w:bottom w:val="none" w:sz="0" w:space="0" w:color="auto"/>
        <w:right w:val="none" w:sz="0" w:space="0" w:color="auto"/>
      </w:divBdr>
    </w:div>
    <w:div w:id="857163873">
      <w:bodyDiv w:val="1"/>
      <w:marLeft w:val="0"/>
      <w:marRight w:val="0"/>
      <w:marTop w:val="0"/>
      <w:marBottom w:val="0"/>
      <w:divBdr>
        <w:top w:val="none" w:sz="0" w:space="0" w:color="auto"/>
        <w:left w:val="none" w:sz="0" w:space="0" w:color="auto"/>
        <w:bottom w:val="none" w:sz="0" w:space="0" w:color="auto"/>
        <w:right w:val="none" w:sz="0" w:space="0" w:color="auto"/>
      </w:divBdr>
    </w:div>
    <w:div w:id="871307050">
      <w:bodyDiv w:val="1"/>
      <w:marLeft w:val="0"/>
      <w:marRight w:val="0"/>
      <w:marTop w:val="0"/>
      <w:marBottom w:val="0"/>
      <w:divBdr>
        <w:top w:val="none" w:sz="0" w:space="0" w:color="auto"/>
        <w:left w:val="none" w:sz="0" w:space="0" w:color="auto"/>
        <w:bottom w:val="none" w:sz="0" w:space="0" w:color="auto"/>
        <w:right w:val="none" w:sz="0" w:space="0" w:color="auto"/>
      </w:divBdr>
    </w:div>
    <w:div w:id="951547798">
      <w:bodyDiv w:val="1"/>
      <w:marLeft w:val="0"/>
      <w:marRight w:val="0"/>
      <w:marTop w:val="0"/>
      <w:marBottom w:val="0"/>
      <w:divBdr>
        <w:top w:val="none" w:sz="0" w:space="0" w:color="auto"/>
        <w:left w:val="none" w:sz="0" w:space="0" w:color="auto"/>
        <w:bottom w:val="none" w:sz="0" w:space="0" w:color="auto"/>
        <w:right w:val="none" w:sz="0" w:space="0" w:color="auto"/>
      </w:divBdr>
    </w:div>
    <w:div w:id="967668121">
      <w:bodyDiv w:val="1"/>
      <w:marLeft w:val="0"/>
      <w:marRight w:val="0"/>
      <w:marTop w:val="0"/>
      <w:marBottom w:val="0"/>
      <w:divBdr>
        <w:top w:val="none" w:sz="0" w:space="0" w:color="auto"/>
        <w:left w:val="none" w:sz="0" w:space="0" w:color="auto"/>
        <w:bottom w:val="none" w:sz="0" w:space="0" w:color="auto"/>
        <w:right w:val="none" w:sz="0" w:space="0" w:color="auto"/>
      </w:divBdr>
    </w:div>
    <w:div w:id="1107965751">
      <w:bodyDiv w:val="1"/>
      <w:marLeft w:val="0"/>
      <w:marRight w:val="0"/>
      <w:marTop w:val="0"/>
      <w:marBottom w:val="0"/>
      <w:divBdr>
        <w:top w:val="none" w:sz="0" w:space="0" w:color="auto"/>
        <w:left w:val="none" w:sz="0" w:space="0" w:color="auto"/>
        <w:bottom w:val="none" w:sz="0" w:space="0" w:color="auto"/>
        <w:right w:val="none" w:sz="0" w:space="0" w:color="auto"/>
      </w:divBdr>
    </w:div>
    <w:div w:id="1132558303">
      <w:bodyDiv w:val="1"/>
      <w:marLeft w:val="0"/>
      <w:marRight w:val="0"/>
      <w:marTop w:val="0"/>
      <w:marBottom w:val="0"/>
      <w:divBdr>
        <w:top w:val="none" w:sz="0" w:space="0" w:color="auto"/>
        <w:left w:val="none" w:sz="0" w:space="0" w:color="auto"/>
        <w:bottom w:val="none" w:sz="0" w:space="0" w:color="auto"/>
        <w:right w:val="none" w:sz="0" w:space="0" w:color="auto"/>
      </w:divBdr>
    </w:div>
    <w:div w:id="1242980884">
      <w:bodyDiv w:val="1"/>
      <w:marLeft w:val="0"/>
      <w:marRight w:val="0"/>
      <w:marTop w:val="0"/>
      <w:marBottom w:val="0"/>
      <w:divBdr>
        <w:top w:val="none" w:sz="0" w:space="0" w:color="auto"/>
        <w:left w:val="none" w:sz="0" w:space="0" w:color="auto"/>
        <w:bottom w:val="none" w:sz="0" w:space="0" w:color="auto"/>
        <w:right w:val="none" w:sz="0" w:space="0" w:color="auto"/>
      </w:divBdr>
    </w:div>
    <w:div w:id="1285770938">
      <w:bodyDiv w:val="1"/>
      <w:marLeft w:val="0"/>
      <w:marRight w:val="0"/>
      <w:marTop w:val="0"/>
      <w:marBottom w:val="0"/>
      <w:divBdr>
        <w:top w:val="none" w:sz="0" w:space="0" w:color="auto"/>
        <w:left w:val="none" w:sz="0" w:space="0" w:color="auto"/>
        <w:bottom w:val="none" w:sz="0" w:space="0" w:color="auto"/>
        <w:right w:val="none" w:sz="0" w:space="0" w:color="auto"/>
      </w:divBdr>
      <w:divsChild>
        <w:div w:id="1021738438">
          <w:marLeft w:val="0"/>
          <w:marRight w:val="0"/>
          <w:marTop w:val="0"/>
          <w:marBottom w:val="0"/>
          <w:divBdr>
            <w:top w:val="none" w:sz="0" w:space="0" w:color="auto"/>
            <w:left w:val="none" w:sz="0" w:space="0" w:color="auto"/>
            <w:bottom w:val="none" w:sz="0" w:space="0" w:color="auto"/>
            <w:right w:val="none" w:sz="0" w:space="0" w:color="auto"/>
          </w:divBdr>
          <w:divsChild>
            <w:div w:id="509297603">
              <w:marLeft w:val="0"/>
              <w:marRight w:val="0"/>
              <w:marTop w:val="0"/>
              <w:marBottom w:val="0"/>
              <w:divBdr>
                <w:top w:val="none" w:sz="0" w:space="0" w:color="auto"/>
                <w:left w:val="none" w:sz="0" w:space="0" w:color="auto"/>
                <w:bottom w:val="none" w:sz="0" w:space="0" w:color="auto"/>
                <w:right w:val="none" w:sz="0" w:space="0" w:color="auto"/>
              </w:divBdr>
              <w:divsChild>
                <w:div w:id="9558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62397">
      <w:bodyDiv w:val="1"/>
      <w:marLeft w:val="0"/>
      <w:marRight w:val="0"/>
      <w:marTop w:val="0"/>
      <w:marBottom w:val="0"/>
      <w:divBdr>
        <w:top w:val="none" w:sz="0" w:space="0" w:color="auto"/>
        <w:left w:val="none" w:sz="0" w:space="0" w:color="auto"/>
        <w:bottom w:val="none" w:sz="0" w:space="0" w:color="auto"/>
        <w:right w:val="none" w:sz="0" w:space="0" w:color="auto"/>
      </w:divBdr>
    </w:div>
    <w:div w:id="1341853978">
      <w:bodyDiv w:val="1"/>
      <w:marLeft w:val="0"/>
      <w:marRight w:val="0"/>
      <w:marTop w:val="0"/>
      <w:marBottom w:val="0"/>
      <w:divBdr>
        <w:top w:val="none" w:sz="0" w:space="0" w:color="auto"/>
        <w:left w:val="none" w:sz="0" w:space="0" w:color="auto"/>
        <w:bottom w:val="none" w:sz="0" w:space="0" w:color="auto"/>
        <w:right w:val="none" w:sz="0" w:space="0" w:color="auto"/>
      </w:divBdr>
    </w:div>
    <w:div w:id="1389113396">
      <w:bodyDiv w:val="1"/>
      <w:marLeft w:val="0"/>
      <w:marRight w:val="0"/>
      <w:marTop w:val="0"/>
      <w:marBottom w:val="0"/>
      <w:divBdr>
        <w:top w:val="none" w:sz="0" w:space="0" w:color="auto"/>
        <w:left w:val="none" w:sz="0" w:space="0" w:color="auto"/>
        <w:bottom w:val="none" w:sz="0" w:space="0" w:color="auto"/>
        <w:right w:val="none" w:sz="0" w:space="0" w:color="auto"/>
      </w:divBdr>
    </w:div>
    <w:div w:id="1480809475">
      <w:bodyDiv w:val="1"/>
      <w:marLeft w:val="0"/>
      <w:marRight w:val="0"/>
      <w:marTop w:val="0"/>
      <w:marBottom w:val="0"/>
      <w:divBdr>
        <w:top w:val="none" w:sz="0" w:space="0" w:color="auto"/>
        <w:left w:val="none" w:sz="0" w:space="0" w:color="auto"/>
        <w:bottom w:val="none" w:sz="0" w:space="0" w:color="auto"/>
        <w:right w:val="none" w:sz="0" w:space="0" w:color="auto"/>
      </w:divBdr>
    </w:div>
    <w:div w:id="1508247700">
      <w:bodyDiv w:val="1"/>
      <w:marLeft w:val="0"/>
      <w:marRight w:val="0"/>
      <w:marTop w:val="0"/>
      <w:marBottom w:val="0"/>
      <w:divBdr>
        <w:top w:val="none" w:sz="0" w:space="0" w:color="auto"/>
        <w:left w:val="none" w:sz="0" w:space="0" w:color="auto"/>
        <w:bottom w:val="none" w:sz="0" w:space="0" w:color="auto"/>
        <w:right w:val="none" w:sz="0" w:space="0" w:color="auto"/>
      </w:divBdr>
    </w:div>
    <w:div w:id="1556971213">
      <w:bodyDiv w:val="1"/>
      <w:marLeft w:val="0"/>
      <w:marRight w:val="0"/>
      <w:marTop w:val="0"/>
      <w:marBottom w:val="0"/>
      <w:divBdr>
        <w:top w:val="none" w:sz="0" w:space="0" w:color="auto"/>
        <w:left w:val="none" w:sz="0" w:space="0" w:color="auto"/>
        <w:bottom w:val="none" w:sz="0" w:space="0" w:color="auto"/>
        <w:right w:val="none" w:sz="0" w:space="0" w:color="auto"/>
      </w:divBdr>
    </w:div>
    <w:div w:id="1564096745">
      <w:bodyDiv w:val="1"/>
      <w:marLeft w:val="0"/>
      <w:marRight w:val="0"/>
      <w:marTop w:val="0"/>
      <w:marBottom w:val="0"/>
      <w:divBdr>
        <w:top w:val="none" w:sz="0" w:space="0" w:color="auto"/>
        <w:left w:val="none" w:sz="0" w:space="0" w:color="auto"/>
        <w:bottom w:val="none" w:sz="0" w:space="0" w:color="auto"/>
        <w:right w:val="none" w:sz="0" w:space="0" w:color="auto"/>
      </w:divBdr>
    </w:div>
    <w:div w:id="1620601255">
      <w:bodyDiv w:val="1"/>
      <w:marLeft w:val="0"/>
      <w:marRight w:val="0"/>
      <w:marTop w:val="0"/>
      <w:marBottom w:val="0"/>
      <w:divBdr>
        <w:top w:val="none" w:sz="0" w:space="0" w:color="auto"/>
        <w:left w:val="none" w:sz="0" w:space="0" w:color="auto"/>
        <w:bottom w:val="none" w:sz="0" w:space="0" w:color="auto"/>
        <w:right w:val="none" w:sz="0" w:space="0" w:color="auto"/>
      </w:divBdr>
    </w:div>
    <w:div w:id="1684354019">
      <w:bodyDiv w:val="1"/>
      <w:marLeft w:val="0"/>
      <w:marRight w:val="0"/>
      <w:marTop w:val="0"/>
      <w:marBottom w:val="0"/>
      <w:divBdr>
        <w:top w:val="none" w:sz="0" w:space="0" w:color="auto"/>
        <w:left w:val="none" w:sz="0" w:space="0" w:color="auto"/>
        <w:bottom w:val="none" w:sz="0" w:space="0" w:color="auto"/>
        <w:right w:val="none" w:sz="0" w:space="0" w:color="auto"/>
      </w:divBdr>
    </w:div>
    <w:div w:id="1768187223">
      <w:bodyDiv w:val="1"/>
      <w:marLeft w:val="0"/>
      <w:marRight w:val="0"/>
      <w:marTop w:val="0"/>
      <w:marBottom w:val="0"/>
      <w:divBdr>
        <w:top w:val="none" w:sz="0" w:space="0" w:color="auto"/>
        <w:left w:val="none" w:sz="0" w:space="0" w:color="auto"/>
        <w:bottom w:val="none" w:sz="0" w:space="0" w:color="auto"/>
        <w:right w:val="none" w:sz="0" w:space="0" w:color="auto"/>
      </w:divBdr>
    </w:div>
    <w:div w:id="1770999289">
      <w:bodyDiv w:val="1"/>
      <w:marLeft w:val="0"/>
      <w:marRight w:val="0"/>
      <w:marTop w:val="0"/>
      <w:marBottom w:val="0"/>
      <w:divBdr>
        <w:top w:val="none" w:sz="0" w:space="0" w:color="auto"/>
        <w:left w:val="none" w:sz="0" w:space="0" w:color="auto"/>
        <w:bottom w:val="none" w:sz="0" w:space="0" w:color="auto"/>
        <w:right w:val="none" w:sz="0" w:space="0" w:color="auto"/>
      </w:divBdr>
    </w:div>
    <w:div w:id="1952348494">
      <w:bodyDiv w:val="1"/>
      <w:marLeft w:val="0"/>
      <w:marRight w:val="0"/>
      <w:marTop w:val="0"/>
      <w:marBottom w:val="0"/>
      <w:divBdr>
        <w:top w:val="none" w:sz="0" w:space="0" w:color="auto"/>
        <w:left w:val="none" w:sz="0" w:space="0" w:color="auto"/>
        <w:bottom w:val="none" w:sz="0" w:space="0" w:color="auto"/>
        <w:right w:val="none" w:sz="0" w:space="0" w:color="auto"/>
      </w:divBdr>
    </w:div>
    <w:div w:id="2101247016">
      <w:bodyDiv w:val="1"/>
      <w:marLeft w:val="0"/>
      <w:marRight w:val="0"/>
      <w:marTop w:val="0"/>
      <w:marBottom w:val="0"/>
      <w:divBdr>
        <w:top w:val="none" w:sz="0" w:space="0" w:color="auto"/>
        <w:left w:val="none" w:sz="0" w:space="0" w:color="auto"/>
        <w:bottom w:val="none" w:sz="0" w:space="0" w:color="auto"/>
        <w:right w:val="none" w:sz="0" w:space="0" w:color="auto"/>
      </w:divBdr>
      <w:divsChild>
        <w:div w:id="204493429">
          <w:marLeft w:val="0"/>
          <w:marRight w:val="0"/>
          <w:marTop w:val="0"/>
          <w:marBottom w:val="0"/>
          <w:divBdr>
            <w:top w:val="none" w:sz="0" w:space="0" w:color="auto"/>
            <w:left w:val="none" w:sz="0" w:space="0" w:color="auto"/>
            <w:bottom w:val="none" w:sz="0" w:space="0" w:color="auto"/>
            <w:right w:val="none" w:sz="0" w:space="0" w:color="auto"/>
          </w:divBdr>
          <w:divsChild>
            <w:div w:id="439183871">
              <w:marLeft w:val="0"/>
              <w:marRight w:val="0"/>
              <w:marTop w:val="0"/>
              <w:marBottom w:val="0"/>
              <w:divBdr>
                <w:top w:val="none" w:sz="0" w:space="0" w:color="auto"/>
                <w:left w:val="none" w:sz="0" w:space="0" w:color="auto"/>
                <w:bottom w:val="none" w:sz="0" w:space="0" w:color="auto"/>
                <w:right w:val="none" w:sz="0" w:space="0" w:color="auto"/>
              </w:divBdr>
              <w:divsChild>
                <w:div w:id="2078277816">
                  <w:marLeft w:val="0"/>
                  <w:marRight w:val="0"/>
                  <w:marTop w:val="0"/>
                  <w:marBottom w:val="0"/>
                  <w:divBdr>
                    <w:top w:val="none" w:sz="0" w:space="0" w:color="auto"/>
                    <w:left w:val="none" w:sz="0" w:space="0" w:color="auto"/>
                    <w:bottom w:val="none" w:sz="0" w:space="0" w:color="auto"/>
                    <w:right w:val="none" w:sz="0" w:space="0" w:color="auto"/>
                  </w:divBdr>
                  <w:divsChild>
                    <w:div w:id="26700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osf.io/39bx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osf.io/39bx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sf.io/39bxk/"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512BC-115C-BA46-A691-BA2CB26C3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Pages>
  <Words>44589</Words>
  <Characters>254159</Characters>
  <Application>Microsoft Office Word</Application>
  <DocSecurity>4</DocSecurity>
  <Lines>2117</Lines>
  <Paragraphs>596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298152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Constance Roberts-Croot (LIB - Staff)</cp:lastModifiedBy>
  <cp:revision>2</cp:revision>
  <dcterms:created xsi:type="dcterms:W3CDTF">2025-01-10T17:37:00Z</dcterms:created>
  <dcterms:modified xsi:type="dcterms:W3CDTF">2025-01-10T17:37:00Z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id="Hf7U15M0"/&gt;&lt;style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_AdHocReviewCycleID">
    <vt:i4>-1610890636</vt:i4>
  </property>
  <property fmtid="{D5CDD505-2E9C-101B-9397-08002B2CF9AE}" pid="5" name="_NewReviewCycle">
    <vt:lpwstr/>
  </property>
  <property fmtid="{D5CDD505-2E9C-101B-9397-08002B2CF9AE}" pid="6" name="_EmailSubject">
    <vt:lpwstr>Novel metaphor processing in dyslexia: a visual world eye-tracking study</vt:lpwstr>
  </property>
  <property fmtid="{D5CDD505-2E9C-101B-9397-08002B2CF9AE}" pid="7" name="_AuthorEmail">
    <vt:lpwstr>P.Engelhardt@uea.ac.uk</vt:lpwstr>
  </property>
  <property fmtid="{D5CDD505-2E9C-101B-9397-08002B2CF9AE}" pid="8" name="_AuthorEmailDisplayName">
    <vt:lpwstr>Paul Engelhardt (PSY - Staff)</vt:lpwstr>
  </property>
  <property fmtid="{D5CDD505-2E9C-101B-9397-08002B2CF9AE}" pid="9" name="_ReviewingToolsShownOnce">
    <vt:lpwstr/>
  </property>
</Properties>
</file>