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D6E22E" w14:textId="1FA698EA" w:rsidR="00F71CDB" w:rsidRPr="00024E20" w:rsidRDefault="002049D3">
      <w:pPr>
        <w:spacing w:after="0" w:line="480" w:lineRule="auto"/>
        <w:jc w:val="center"/>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 xml:space="preserve">Hormonal contraceptive use </w:t>
      </w:r>
      <w:r w:rsidR="002A4AC3" w:rsidRPr="00024E20">
        <w:rPr>
          <w:rFonts w:ascii="Times New Roman" w:eastAsia="Times New Roman" w:hAnsi="Times New Roman" w:cs="Times New Roman"/>
          <w:b/>
          <w:color w:val="000000" w:themeColor="text1"/>
          <w:sz w:val="24"/>
          <w:szCs w:val="24"/>
        </w:rPr>
        <w:t xml:space="preserve">and </w:t>
      </w:r>
      <w:r w:rsidRPr="00024E20">
        <w:rPr>
          <w:rFonts w:ascii="Times New Roman" w:eastAsia="Times New Roman" w:hAnsi="Times New Roman" w:cs="Times New Roman"/>
          <w:b/>
          <w:color w:val="000000" w:themeColor="text1"/>
          <w:sz w:val="24"/>
          <w:szCs w:val="24"/>
        </w:rPr>
        <w:t>physical performance</w:t>
      </w:r>
      <w:r w:rsidR="000A6C7E" w:rsidRPr="00024E20">
        <w:rPr>
          <w:rFonts w:ascii="Times New Roman" w:eastAsia="Times New Roman" w:hAnsi="Times New Roman" w:cs="Times New Roman"/>
          <w:b/>
          <w:color w:val="000000" w:themeColor="text1"/>
          <w:sz w:val="24"/>
          <w:szCs w:val="24"/>
        </w:rPr>
        <w:t>,</w:t>
      </w:r>
      <w:r w:rsidR="00FD3CFB" w:rsidRPr="00024E20">
        <w:rPr>
          <w:rFonts w:ascii="Times New Roman" w:eastAsia="Times New Roman" w:hAnsi="Times New Roman" w:cs="Times New Roman"/>
          <w:b/>
          <w:color w:val="000000" w:themeColor="text1"/>
          <w:sz w:val="24"/>
          <w:szCs w:val="24"/>
        </w:rPr>
        <w:t xml:space="preserve"> body composition</w:t>
      </w:r>
      <w:r w:rsidR="000A6C7E" w:rsidRPr="00024E20">
        <w:rPr>
          <w:rFonts w:ascii="Times New Roman" w:eastAsia="Times New Roman" w:hAnsi="Times New Roman" w:cs="Times New Roman"/>
          <w:b/>
          <w:color w:val="000000" w:themeColor="text1"/>
          <w:sz w:val="24"/>
          <w:szCs w:val="24"/>
        </w:rPr>
        <w:t>,</w:t>
      </w:r>
      <w:r w:rsidRPr="00024E20">
        <w:rPr>
          <w:rFonts w:ascii="Times New Roman" w:eastAsia="Times New Roman" w:hAnsi="Times New Roman" w:cs="Times New Roman"/>
          <w:b/>
          <w:color w:val="000000" w:themeColor="text1"/>
          <w:sz w:val="24"/>
          <w:szCs w:val="24"/>
        </w:rPr>
        <w:t xml:space="preserve"> </w:t>
      </w:r>
      <w:r w:rsidR="002A4AC3" w:rsidRPr="00024E20">
        <w:rPr>
          <w:rFonts w:ascii="Times New Roman" w:eastAsia="Times New Roman" w:hAnsi="Times New Roman" w:cs="Times New Roman"/>
          <w:b/>
          <w:color w:val="000000" w:themeColor="text1"/>
          <w:sz w:val="24"/>
          <w:szCs w:val="24"/>
        </w:rPr>
        <w:t xml:space="preserve">and </w:t>
      </w:r>
      <w:r w:rsidRPr="00024E20">
        <w:rPr>
          <w:rFonts w:ascii="Times New Roman" w:eastAsia="Times New Roman" w:hAnsi="Times New Roman" w:cs="Times New Roman"/>
          <w:b/>
          <w:color w:val="000000" w:themeColor="text1"/>
          <w:sz w:val="24"/>
          <w:szCs w:val="24"/>
        </w:rPr>
        <w:t>musculoskeletal injuries during military training</w:t>
      </w:r>
    </w:p>
    <w:p w14:paraId="1CAFCA2B" w14:textId="77777777" w:rsidR="00F71CDB" w:rsidRPr="00024E20" w:rsidRDefault="00F71CDB">
      <w:pPr>
        <w:spacing w:after="0" w:line="480" w:lineRule="auto"/>
        <w:jc w:val="center"/>
        <w:rPr>
          <w:rFonts w:ascii="Times New Roman" w:eastAsia="Times New Roman" w:hAnsi="Times New Roman" w:cs="Times New Roman"/>
          <w:b/>
          <w:color w:val="000000" w:themeColor="text1"/>
          <w:sz w:val="24"/>
          <w:szCs w:val="24"/>
        </w:rPr>
      </w:pPr>
    </w:p>
    <w:p w14:paraId="1EEB83BA" w14:textId="50C061D4" w:rsidR="00F71CDB" w:rsidRPr="00024E20" w:rsidRDefault="002049D3">
      <w:pPr>
        <w:spacing w:after="0" w:line="480" w:lineRule="auto"/>
        <w:jc w:val="center"/>
        <w:rPr>
          <w:rFonts w:ascii="Times New Roman" w:eastAsia="Times New Roman" w:hAnsi="Times New Roman" w:cs="Times New Roman"/>
          <w:color w:val="000000" w:themeColor="text1"/>
          <w:sz w:val="24"/>
          <w:szCs w:val="24"/>
          <w:vertAlign w:val="superscript"/>
        </w:rPr>
      </w:pPr>
      <w:r w:rsidRPr="00024E20">
        <w:rPr>
          <w:rFonts w:ascii="Times New Roman" w:eastAsia="Times New Roman" w:hAnsi="Times New Roman" w:cs="Times New Roman"/>
          <w:color w:val="000000" w:themeColor="text1"/>
          <w:sz w:val="24"/>
          <w:szCs w:val="24"/>
        </w:rPr>
        <w:t>Thomas J O’Leary</w:t>
      </w:r>
      <w:r w:rsidRPr="00024E20">
        <w:rPr>
          <w:rFonts w:ascii="Times New Roman" w:eastAsia="Times New Roman" w:hAnsi="Times New Roman" w:cs="Times New Roman"/>
          <w:color w:val="000000" w:themeColor="text1"/>
          <w:sz w:val="24"/>
          <w:szCs w:val="24"/>
          <w:vertAlign w:val="superscript"/>
        </w:rPr>
        <w:t>1,2</w:t>
      </w:r>
      <w:r w:rsidRPr="00024E20">
        <w:rPr>
          <w:rFonts w:ascii="Times New Roman" w:eastAsia="Times New Roman" w:hAnsi="Times New Roman" w:cs="Times New Roman"/>
          <w:color w:val="000000" w:themeColor="text1"/>
          <w:sz w:val="24"/>
          <w:szCs w:val="24"/>
        </w:rPr>
        <w:t>, Hope A Evans</w:t>
      </w:r>
      <w:r w:rsidRPr="00024E20">
        <w:rPr>
          <w:rFonts w:ascii="Times New Roman" w:eastAsia="Times New Roman" w:hAnsi="Times New Roman" w:cs="Times New Roman"/>
          <w:color w:val="000000" w:themeColor="text1"/>
          <w:sz w:val="24"/>
          <w:szCs w:val="24"/>
          <w:vertAlign w:val="superscript"/>
        </w:rPr>
        <w:t>1</w:t>
      </w:r>
      <w:r w:rsidRPr="00024E20">
        <w:rPr>
          <w:rFonts w:ascii="Times New Roman" w:eastAsia="Times New Roman" w:hAnsi="Times New Roman" w:cs="Times New Roman"/>
          <w:color w:val="000000" w:themeColor="text1"/>
          <w:sz w:val="24"/>
          <w:szCs w:val="24"/>
        </w:rPr>
        <w:t>, Marie-Elise O Close</w:t>
      </w:r>
      <w:r w:rsidRPr="00024E20">
        <w:rPr>
          <w:rFonts w:ascii="Times New Roman" w:eastAsia="Times New Roman" w:hAnsi="Times New Roman" w:cs="Times New Roman"/>
          <w:color w:val="000000" w:themeColor="text1"/>
          <w:sz w:val="24"/>
          <w:szCs w:val="24"/>
          <w:vertAlign w:val="superscript"/>
        </w:rPr>
        <w:t>1</w:t>
      </w:r>
      <w:r w:rsidRPr="00024E20">
        <w:rPr>
          <w:rFonts w:ascii="Times New Roman" w:eastAsia="Times New Roman" w:hAnsi="Times New Roman" w:cs="Times New Roman"/>
          <w:color w:val="000000" w:themeColor="text1"/>
          <w:sz w:val="24"/>
          <w:szCs w:val="24"/>
        </w:rPr>
        <w:t>, Rachel M Izard</w:t>
      </w:r>
      <w:r w:rsidRPr="00024E20">
        <w:rPr>
          <w:rFonts w:ascii="Times New Roman" w:eastAsia="Times New Roman" w:hAnsi="Times New Roman" w:cs="Times New Roman"/>
          <w:color w:val="000000" w:themeColor="text1"/>
          <w:sz w:val="24"/>
          <w:szCs w:val="24"/>
          <w:vertAlign w:val="superscript"/>
        </w:rPr>
        <w:t>3</w:t>
      </w:r>
      <w:r w:rsidRPr="00024E20">
        <w:rPr>
          <w:rFonts w:ascii="Times New Roman" w:eastAsia="Times New Roman" w:hAnsi="Times New Roman" w:cs="Times New Roman"/>
          <w:color w:val="000000" w:themeColor="text1"/>
          <w:sz w:val="24"/>
          <w:szCs w:val="24"/>
        </w:rPr>
        <w:t>, Neil P Walsh</w:t>
      </w:r>
      <w:r w:rsidRPr="00024E20">
        <w:rPr>
          <w:rFonts w:ascii="Times New Roman" w:eastAsia="Times New Roman" w:hAnsi="Times New Roman" w:cs="Times New Roman"/>
          <w:color w:val="000000" w:themeColor="text1"/>
          <w:sz w:val="24"/>
          <w:szCs w:val="24"/>
          <w:vertAlign w:val="superscript"/>
        </w:rPr>
        <w:t>4</w:t>
      </w:r>
      <w:r w:rsidRPr="00024E20">
        <w:rPr>
          <w:rFonts w:ascii="Times New Roman" w:eastAsia="Times New Roman" w:hAnsi="Times New Roman" w:cs="Times New Roman"/>
          <w:color w:val="000000" w:themeColor="text1"/>
          <w:sz w:val="24"/>
          <w:szCs w:val="24"/>
        </w:rPr>
        <w:t>, Charlotte V Coombs</w:t>
      </w:r>
      <w:r w:rsidRPr="00024E20">
        <w:rPr>
          <w:rFonts w:ascii="Times New Roman" w:eastAsia="Times New Roman" w:hAnsi="Times New Roman" w:cs="Times New Roman"/>
          <w:color w:val="000000" w:themeColor="text1"/>
          <w:sz w:val="24"/>
          <w:szCs w:val="24"/>
          <w:vertAlign w:val="superscript"/>
        </w:rPr>
        <w:t>1</w:t>
      </w:r>
      <w:r w:rsidRPr="00024E20">
        <w:rPr>
          <w:rFonts w:ascii="Times New Roman" w:eastAsia="Times New Roman" w:hAnsi="Times New Roman" w:cs="Times New Roman"/>
          <w:color w:val="000000" w:themeColor="text1"/>
          <w:sz w:val="24"/>
          <w:szCs w:val="24"/>
        </w:rPr>
        <w:t>, Alexander T Carswell</w:t>
      </w:r>
      <w:r w:rsidRPr="00024E20">
        <w:rPr>
          <w:rFonts w:ascii="Times New Roman" w:eastAsia="Times New Roman" w:hAnsi="Times New Roman" w:cs="Times New Roman"/>
          <w:color w:val="000000" w:themeColor="text1"/>
          <w:sz w:val="24"/>
          <w:szCs w:val="24"/>
          <w:vertAlign w:val="superscript"/>
        </w:rPr>
        <w:t>5</w:t>
      </w:r>
      <w:r w:rsidRPr="00024E20">
        <w:rPr>
          <w:rFonts w:ascii="Times New Roman" w:eastAsia="Times New Roman" w:hAnsi="Times New Roman" w:cs="Times New Roman"/>
          <w:color w:val="000000" w:themeColor="text1"/>
          <w:sz w:val="24"/>
          <w:szCs w:val="24"/>
        </w:rPr>
        <w:t>, Samuel J Oliver</w:t>
      </w:r>
      <w:r w:rsidR="00480FB5" w:rsidRPr="00024E20">
        <w:rPr>
          <w:rFonts w:ascii="Times New Roman" w:eastAsia="Times New Roman" w:hAnsi="Times New Roman" w:cs="Times New Roman"/>
          <w:color w:val="000000" w:themeColor="text1"/>
          <w:sz w:val="24"/>
          <w:szCs w:val="24"/>
          <w:vertAlign w:val="superscript"/>
        </w:rPr>
        <w:t>6</w:t>
      </w:r>
      <w:r w:rsidRPr="00024E20">
        <w:rPr>
          <w:rFonts w:ascii="Times New Roman" w:eastAsia="Times New Roman" w:hAnsi="Times New Roman" w:cs="Times New Roman"/>
          <w:color w:val="000000" w:themeColor="text1"/>
          <w:sz w:val="24"/>
          <w:szCs w:val="24"/>
        </w:rPr>
        <w:t>, Jonathan C</w:t>
      </w:r>
      <w:r w:rsidR="00480FB5"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Y Tang</w:t>
      </w:r>
      <w:r w:rsidRPr="00024E20">
        <w:rPr>
          <w:rFonts w:ascii="Times New Roman" w:eastAsia="Times New Roman" w:hAnsi="Times New Roman" w:cs="Times New Roman"/>
          <w:color w:val="000000" w:themeColor="text1"/>
          <w:sz w:val="24"/>
          <w:szCs w:val="24"/>
          <w:vertAlign w:val="superscript"/>
        </w:rPr>
        <w:t>5,</w:t>
      </w:r>
      <w:r w:rsidR="00480FB5" w:rsidRPr="00024E20">
        <w:rPr>
          <w:rFonts w:ascii="Times New Roman" w:eastAsia="Times New Roman" w:hAnsi="Times New Roman" w:cs="Times New Roman"/>
          <w:color w:val="000000" w:themeColor="text1"/>
          <w:sz w:val="24"/>
          <w:szCs w:val="24"/>
          <w:vertAlign w:val="superscript"/>
        </w:rPr>
        <w:t>7</w:t>
      </w:r>
      <w:r w:rsidRPr="00024E20">
        <w:rPr>
          <w:rFonts w:ascii="Times New Roman" w:eastAsia="Times New Roman" w:hAnsi="Times New Roman" w:cs="Times New Roman"/>
          <w:color w:val="000000" w:themeColor="text1"/>
          <w:sz w:val="24"/>
          <w:szCs w:val="24"/>
        </w:rPr>
        <w:t>, William D Fraser</w:t>
      </w:r>
      <w:r w:rsidRPr="00024E20">
        <w:rPr>
          <w:rFonts w:ascii="Times New Roman" w:eastAsia="Times New Roman" w:hAnsi="Times New Roman" w:cs="Times New Roman"/>
          <w:color w:val="000000" w:themeColor="text1"/>
          <w:sz w:val="24"/>
          <w:szCs w:val="24"/>
          <w:vertAlign w:val="superscript"/>
        </w:rPr>
        <w:t>5,</w:t>
      </w:r>
      <w:r w:rsidR="00480FB5" w:rsidRPr="00024E20">
        <w:rPr>
          <w:rFonts w:ascii="Times New Roman" w:eastAsia="Times New Roman" w:hAnsi="Times New Roman" w:cs="Times New Roman"/>
          <w:color w:val="000000" w:themeColor="text1"/>
          <w:sz w:val="24"/>
          <w:szCs w:val="24"/>
          <w:vertAlign w:val="superscript"/>
        </w:rPr>
        <w:t>7</w:t>
      </w:r>
      <w:r w:rsidRPr="00024E20">
        <w:rPr>
          <w:rFonts w:ascii="Times New Roman" w:eastAsia="Times New Roman" w:hAnsi="Times New Roman" w:cs="Times New Roman"/>
          <w:color w:val="000000" w:themeColor="text1"/>
          <w:sz w:val="24"/>
          <w:szCs w:val="24"/>
        </w:rPr>
        <w:t>, Julie P Greeves</w:t>
      </w:r>
      <w:r w:rsidRPr="00024E20">
        <w:rPr>
          <w:rFonts w:ascii="Times New Roman" w:eastAsia="Times New Roman" w:hAnsi="Times New Roman" w:cs="Times New Roman"/>
          <w:color w:val="000000" w:themeColor="text1"/>
          <w:sz w:val="24"/>
          <w:szCs w:val="24"/>
          <w:vertAlign w:val="superscript"/>
        </w:rPr>
        <w:t>1,2,5</w:t>
      </w:r>
    </w:p>
    <w:p w14:paraId="4C294193" w14:textId="77777777" w:rsidR="00F71CDB" w:rsidRPr="00024E20" w:rsidRDefault="00F71CDB">
      <w:pPr>
        <w:spacing w:after="0" w:line="480" w:lineRule="auto"/>
        <w:jc w:val="center"/>
        <w:rPr>
          <w:rFonts w:ascii="Times New Roman" w:eastAsia="Times New Roman" w:hAnsi="Times New Roman" w:cs="Times New Roman"/>
          <w:color w:val="000000" w:themeColor="text1"/>
          <w:sz w:val="24"/>
          <w:szCs w:val="24"/>
        </w:rPr>
      </w:pPr>
    </w:p>
    <w:p w14:paraId="65C5776C" w14:textId="02A15B81" w:rsidR="00F71CDB" w:rsidRPr="00024E20" w:rsidRDefault="002049D3">
      <w:pPr>
        <w:spacing w:after="0" w:line="480" w:lineRule="auto"/>
        <w:jc w:val="center"/>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vertAlign w:val="superscript"/>
        </w:rPr>
        <w:t>1</w:t>
      </w:r>
      <w:r w:rsidRPr="00024E20">
        <w:rPr>
          <w:rFonts w:ascii="Times New Roman" w:eastAsia="Times New Roman" w:hAnsi="Times New Roman" w:cs="Times New Roman"/>
          <w:color w:val="000000" w:themeColor="text1"/>
          <w:sz w:val="24"/>
          <w:szCs w:val="24"/>
        </w:rPr>
        <w:t xml:space="preserve">Army Health and Performance Research, Army Headquarters, Andover, United Kingdom; </w:t>
      </w:r>
      <w:r w:rsidRPr="00024E20">
        <w:rPr>
          <w:rFonts w:ascii="Times New Roman" w:eastAsia="Times New Roman" w:hAnsi="Times New Roman" w:cs="Times New Roman"/>
          <w:color w:val="000000" w:themeColor="text1"/>
          <w:sz w:val="24"/>
          <w:szCs w:val="24"/>
          <w:vertAlign w:val="superscript"/>
        </w:rPr>
        <w:t>2</w:t>
      </w:r>
      <w:r w:rsidRPr="00024E20">
        <w:rPr>
          <w:rFonts w:ascii="Times New Roman" w:eastAsia="Times New Roman" w:hAnsi="Times New Roman" w:cs="Times New Roman"/>
          <w:color w:val="000000" w:themeColor="text1"/>
          <w:sz w:val="24"/>
          <w:szCs w:val="24"/>
        </w:rPr>
        <w:t xml:space="preserve">Division of Surgery and Interventional Science, UCL, London, UK; </w:t>
      </w:r>
      <w:r w:rsidRPr="00024E20">
        <w:rPr>
          <w:rFonts w:ascii="Times New Roman" w:eastAsia="Times New Roman" w:hAnsi="Times New Roman" w:cs="Times New Roman"/>
          <w:color w:val="000000" w:themeColor="text1"/>
          <w:sz w:val="24"/>
          <w:szCs w:val="24"/>
          <w:vertAlign w:val="superscript"/>
        </w:rPr>
        <w:t xml:space="preserve">3 </w:t>
      </w:r>
      <w:r w:rsidRPr="00024E20">
        <w:rPr>
          <w:rFonts w:ascii="Times New Roman" w:eastAsia="Times New Roman" w:hAnsi="Times New Roman" w:cs="Times New Roman"/>
          <w:color w:val="000000" w:themeColor="text1"/>
          <w:sz w:val="24"/>
          <w:szCs w:val="24"/>
        </w:rPr>
        <w:t xml:space="preserve">Defence Science and Technology, Ministry of Defence, </w:t>
      </w:r>
      <w:proofErr w:type="spellStart"/>
      <w:r w:rsidRPr="00024E20">
        <w:rPr>
          <w:rFonts w:ascii="Times New Roman" w:eastAsia="Times New Roman" w:hAnsi="Times New Roman" w:cs="Times New Roman"/>
          <w:color w:val="000000" w:themeColor="text1"/>
          <w:sz w:val="24"/>
          <w:szCs w:val="24"/>
        </w:rPr>
        <w:t>Porton</w:t>
      </w:r>
      <w:proofErr w:type="spellEnd"/>
      <w:r w:rsidRPr="00024E20">
        <w:rPr>
          <w:rFonts w:ascii="Times New Roman" w:eastAsia="Times New Roman" w:hAnsi="Times New Roman" w:cs="Times New Roman"/>
          <w:color w:val="000000" w:themeColor="text1"/>
          <w:sz w:val="24"/>
          <w:szCs w:val="24"/>
        </w:rPr>
        <w:t xml:space="preserve"> Down, United Kingdom; </w:t>
      </w:r>
      <w:r w:rsidRPr="00024E20">
        <w:rPr>
          <w:rFonts w:ascii="Times New Roman" w:eastAsia="Times New Roman" w:hAnsi="Times New Roman" w:cs="Times New Roman"/>
          <w:color w:val="000000" w:themeColor="text1"/>
          <w:sz w:val="24"/>
          <w:szCs w:val="24"/>
          <w:vertAlign w:val="superscript"/>
        </w:rPr>
        <w:t>4</w:t>
      </w:r>
      <w:r w:rsidRPr="00024E20">
        <w:rPr>
          <w:rFonts w:ascii="Times New Roman" w:eastAsia="Times New Roman" w:hAnsi="Times New Roman" w:cs="Times New Roman"/>
          <w:color w:val="000000" w:themeColor="text1"/>
          <w:sz w:val="24"/>
          <w:szCs w:val="24"/>
        </w:rPr>
        <w:t xml:space="preserve">Faculty of Science, Liverpool John </w:t>
      </w:r>
      <w:proofErr w:type="spellStart"/>
      <w:r w:rsidRPr="00024E20">
        <w:rPr>
          <w:rFonts w:ascii="Times New Roman" w:eastAsia="Times New Roman" w:hAnsi="Times New Roman" w:cs="Times New Roman"/>
          <w:color w:val="000000" w:themeColor="text1"/>
          <w:sz w:val="24"/>
          <w:szCs w:val="24"/>
        </w:rPr>
        <w:t>Moores</w:t>
      </w:r>
      <w:proofErr w:type="spellEnd"/>
      <w:r w:rsidRPr="00024E20">
        <w:rPr>
          <w:rFonts w:ascii="Times New Roman" w:eastAsia="Times New Roman" w:hAnsi="Times New Roman" w:cs="Times New Roman"/>
          <w:color w:val="000000" w:themeColor="text1"/>
          <w:sz w:val="24"/>
          <w:szCs w:val="24"/>
        </w:rPr>
        <w:t xml:space="preserve"> University, Liverpool, United Kingdom; </w:t>
      </w:r>
      <w:r w:rsidRPr="00024E20">
        <w:rPr>
          <w:rFonts w:ascii="Times New Roman" w:eastAsia="Times New Roman" w:hAnsi="Times New Roman" w:cs="Times New Roman"/>
          <w:color w:val="000000" w:themeColor="text1"/>
          <w:sz w:val="24"/>
          <w:szCs w:val="24"/>
          <w:vertAlign w:val="superscript"/>
        </w:rPr>
        <w:t>5</w:t>
      </w:r>
      <w:r w:rsidRPr="00024E20">
        <w:rPr>
          <w:rFonts w:ascii="Times New Roman" w:eastAsia="Times New Roman" w:hAnsi="Times New Roman" w:cs="Times New Roman"/>
          <w:color w:val="000000" w:themeColor="text1"/>
          <w:sz w:val="24"/>
          <w:szCs w:val="24"/>
        </w:rPr>
        <w:t xml:space="preserve">Norwich Medical School, University of East Anglia, Norwich, United Kingdom; </w:t>
      </w:r>
      <w:r w:rsidR="00480FB5" w:rsidRPr="00024E20">
        <w:rPr>
          <w:rFonts w:ascii="Times New Roman" w:eastAsia="Times New Roman" w:hAnsi="Times New Roman" w:cs="Times New Roman"/>
          <w:color w:val="000000" w:themeColor="text1"/>
          <w:sz w:val="24"/>
          <w:szCs w:val="24"/>
          <w:vertAlign w:val="superscript"/>
        </w:rPr>
        <w:t>6</w:t>
      </w:r>
      <w:r w:rsidRPr="00024E20">
        <w:rPr>
          <w:rFonts w:ascii="Times New Roman" w:eastAsia="Times New Roman" w:hAnsi="Times New Roman" w:cs="Times New Roman"/>
          <w:color w:val="000000" w:themeColor="text1"/>
          <w:sz w:val="24"/>
          <w:szCs w:val="24"/>
        </w:rPr>
        <w:t xml:space="preserve">College of </w:t>
      </w:r>
      <w:r w:rsidR="00D32541" w:rsidRPr="00024E20">
        <w:rPr>
          <w:rFonts w:ascii="Times New Roman" w:eastAsia="Times New Roman" w:hAnsi="Times New Roman" w:cs="Times New Roman"/>
          <w:color w:val="000000" w:themeColor="text1"/>
          <w:sz w:val="24"/>
          <w:szCs w:val="24"/>
        </w:rPr>
        <w:t>Medicine and Health</w:t>
      </w:r>
      <w:r w:rsidRPr="00024E20">
        <w:rPr>
          <w:rFonts w:ascii="Times New Roman" w:eastAsia="Times New Roman" w:hAnsi="Times New Roman" w:cs="Times New Roman"/>
          <w:color w:val="000000" w:themeColor="text1"/>
          <w:sz w:val="24"/>
          <w:szCs w:val="24"/>
        </w:rPr>
        <w:t>, Bangor University, Bangor, United Kingdom;</w:t>
      </w:r>
      <w:r w:rsidRPr="00024E20">
        <w:rPr>
          <w:rFonts w:ascii="Times New Roman" w:eastAsia="Times New Roman" w:hAnsi="Times New Roman" w:cs="Times New Roman"/>
          <w:color w:val="000000" w:themeColor="text1"/>
          <w:sz w:val="24"/>
          <w:szCs w:val="24"/>
          <w:vertAlign w:val="superscript"/>
        </w:rPr>
        <w:t xml:space="preserve"> </w:t>
      </w:r>
      <w:r w:rsidR="00480FB5" w:rsidRPr="00024E20">
        <w:rPr>
          <w:rFonts w:ascii="Times New Roman" w:eastAsia="Times New Roman" w:hAnsi="Times New Roman" w:cs="Times New Roman"/>
          <w:color w:val="000000" w:themeColor="text1"/>
          <w:sz w:val="24"/>
          <w:szCs w:val="24"/>
          <w:vertAlign w:val="superscript"/>
        </w:rPr>
        <w:t>7</w:t>
      </w:r>
      <w:r w:rsidR="00B81620" w:rsidRPr="00024E20">
        <w:rPr>
          <w:rFonts w:ascii="Times New Roman" w:eastAsia="Times New Roman" w:hAnsi="Times New Roman" w:cs="Times New Roman"/>
          <w:color w:val="000000" w:themeColor="text1"/>
          <w:sz w:val="24"/>
          <w:szCs w:val="24"/>
        </w:rPr>
        <w:t xml:space="preserve">Departments of Clinical Biochemistry, Diabetes and Endocrinology, </w:t>
      </w:r>
      <w:r w:rsidRPr="00024E20">
        <w:rPr>
          <w:rFonts w:ascii="Times New Roman" w:eastAsia="Times New Roman" w:hAnsi="Times New Roman" w:cs="Times New Roman"/>
          <w:color w:val="000000" w:themeColor="text1"/>
          <w:sz w:val="24"/>
          <w:szCs w:val="24"/>
        </w:rPr>
        <w:t>Norfolk and Norwich University Hospital, Norwich, United Kingdom</w:t>
      </w:r>
    </w:p>
    <w:p w14:paraId="63834DF6"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21F66844" w14:textId="5C5E5099" w:rsidR="002F7F90"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color w:val="000000" w:themeColor="text1"/>
          <w:sz w:val="24"/>
          <w:szCs w:val="24"/>
        </w:rPr>
        <w:t xml:space="preserve">Corresponding author: </w:t>
      </w:r>
      <w:r w:rsidR="00755688" w:rsidRPr="00024E20">
        <w:rPr>
          <w:rFonts w:ascii="Times New Roman" w:eastAsia="Times New Roman" w:hAnsi="Times New Roman" w:cs="Times New Roman"/>
          <w:color w:val="000000" w:themeColor="text1"/>
          <w:sz w:val="24"/>
          <w:szCs w:val="24"/>
        </w:rPr>
        <w:t>Thomas J O’Leary</w:t>
      </w:r>
      <w:r w:rsidRPr="00024E20">
        <w:rPr>
          <w:rFonts w:ascii="Times New Roman" w:eastAsia="Times New Roman" w:hAnsi="Times New Roman" w:cs="Times New Roman"/>
          <w:color w:val="000000" w:themeColor="text1"/>
          <w:sz w:val="24"/>
          <w:szCs w:val="24"/>
        </w:rPr>
        <w:t xml:space="preserve"> PhD, Army Health and Performance Research, Army Headquarters, Andover, Hampshire, SP11 8HT, United Kingdom. Email: </w:t>
      </w:r>
      <w:r w:rsidR="00755688" w:rsidRPr="00024E20">
        <w:rPr>
          <w:rFonts w:ascii="Times New Roman" w:eastAsia="Times New Roman" w:hAnsi="Times New Roman" w:cs="Times New Roman"/>
          <w:color w:val="000000" w:themeColor="text1"/>
          <w:sz w:val="24"/>
          <w:szCs w:val="24"/>
        </w:rPr>
        <w:t>thomas.oleary100@mod.gov.uk</w:t>
      </w:r>
    </w:p>
    <w:p w14:paraId="66A2A05B" w14:textId="77777777" w:rsidR="00F71CDB" w:rsidRPr="00024E20" w:rsidRDefault="00F71CDB">
      <w:pPr>
        <w:spacing w:after="0" w:line="480" w:lineRule="auto"/>
        <w:rPr>
          <w:rFonts w:ascii="Times New Roman" w:eastAsia="Times New Roman" w:hAnsi="Times New Roman" w:cs="Times New Roman"/>
          <w:b/>
          <w:color w:val="000000" w:themeColor="text1"/>
          <w:sz w:val="24"/>
          <w:szCs w:val="24"/>
        </w:rPr>
      </w:pPr>
    </w:p>
    <w:p w14:paraId="07EEC2BD" w14:textId="77777777" w:rsidR="00F71CDB" w:rsidRPr="00024E20" w:rsidRDefault="002049D3">
      <w:pPr>
        <w:spacing w:after="0" w:line="480" w:lineRule="auto"/>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color w:val="000000" w:themeColor="text1"/>
          <w:sz w:val="24"/>
          <w:szCs w:val="24"/>
        </w:rPr>
        <w:t xml:space="preserve">Running title: </w:t>
      </w:r>
      <w:r w:rsidRPr="00024E20">
        <w:rPr>
          <w:rFonts w:ascii="Times New Roman" w:eastAsia="Times New Roman" w:hAnsi="Times New Roman" w:cs="Times New Roman"/>
          <w:color w:val="000000" w:themeColor="text1"/>
          <w:sz w:val="24"/>
          <w:szCs w:val="24"/>
        </w:rPr>
        <w:t>Hormonal contraceptives in military training.</w:t>
      </w:r>
    </w:p>
    <w:p w14:paraId="6DB193EA" w14:textId="77777777" w:rsidR="00F71CDB" w:rsidRPr="00024E20" w:rsidRDefault="00F71CDB">
      <w:pPr>
        <w:spacing w:after="0" w:line="480" w:lineRule="auto"/>
        <w:jc w:val="both"/>
        <w:rPr>
          <w:rFonts w:ascii="Times New Roman" w:eastAsia="Times New Roman" w:hAnsi="Times New Roman" w:cs="Times New Roman"/>
          <w:b/>
          <w:color w:val="000000" w:themeColor="text1"/>
          <w:sz w:val="24"/>
          <w:szCs w:val="24"/>
        </w:rPr>
      </w:pPr>
    </w:p>
    <w:p w14:paraId="50846E3E" w14:textId="77777777" w:rsidR="00E132C5" w:rsidRPr="00024E20" w:rsidRDefault="00E132C5">
      <w:pPr>
        <w:spacing w:after="0" w:line="480" w:lineRule="auto"/>
        <w:jc w:val="both"/>
        <w:rPr>
          <w:rFonts w:ascii="Times New Roman" w:eastAsia="Times New Roman" w:hAnsi="Times New Roman" w:cs="Times New Roman"/>
          <w:color w:val="000000" w:themeColor="text1"/>
          <w:sz w:val="24"/>
          <w:szCs w:val="24"/>
        </w:rPr>
        <w:sectPr w:rsidR="00E132C5" w:rsidRPr="00024E20">
          <w:footerReference w:type="default" r:id="rId8"/>
          <w:pgSz w:w="11906" w:h="16838"/>
          <w:pgMar w:top="1440" w:right="1440" w:bottom="1440" w:left="1440" w:header="708" w:footer="708" w:gutter="0"/>
          <w:pgNumType w:start="1"/>
          <w:cols w:space="720"/>
        </w:sectPr>
      </w:pPr>
    </w:p>
    <w:p w14:paraId="10E40BE9" w14:textId="62A3B361" w:rsidR="00FD44C2" w:rsidRPr="00024E20" w:rsidRDefault="002049D3" w:rsidP="00FD44C2">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lastRenderedPageBreak/>
        <w:t>Abstract</w:t>
      </w:r>
    </w:p>
    <w:p w14:paraId="4C8A19B0" w14:textId="56F78937" w:rsidR="00F71CDB" w:rsidRPr="00024E20" w:rsidRDefault="00480FB5">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bCs/>
          <w:color w:val="000000" w:themeColor="text1"/>
          <w:sz w:val="24"/>
          <w:szCs w:val="24"/>
        </w:rPr>
        <w:t>Purpose:</w:t>
      </w:r>
      <w:r w:rsidRPr="00024E20">
        <w:rPr>
          <w:rFonts w:ascii="Times New Roman" w:eastAsia="Times New Roman" w:hAnsi="Times New Roman" w:cs="Times New Roman"/>
          <w:color w:val="000000" w:themeColor="text1"/>
          <w:sz w:val="24"/>
          <w:szCs w:val="24"/>
        </w:rPr>
        <w:t xml:space="preserve"> </w:t>
      </w:r>
      <w:r w:rsidR="00E34222" w:rsidRPr="00024E20">
        <w:rPr>
          <w:rFonts w:ascii="Times New Roman" w:eastAsia="Times New Roman" w:hAnsi="Times New Roman" w:cs="Times New Roman"/>
          <w:color w:val="000000" w:themeColor="text1"/>
          <w:sz w:val="24"/>
          <w:szCs w:val="24"/>
        </w:rPr>
        <w:t>To i</w:t>
      </w:r>
      <w:r w:rsidR="00FD44C2" w:rsidRPr="00024E20">
        <w:rPr>
          <w:rFonts w:ascii="Times New Roman" w:eastAsia="Times New Roman" w:hAnsi="Times New Roman" w:cs="Times New Roman"/>
          <w:color w:val="000000" w:themeColor="text1"/>
          <w:sz w:val="24"/>
          <w:szCs w:val="24"/>
        </w:rPr>
        <w:t>nvestigate associations between hormonal contraceptive use and physical performance, body composition, and musculoskeletal injur</w:t>
      </w:r>
      <w:r w:rsidR="00E34222" w:rsidRPr="00024E20">
        <w:rPr>
          <w:rFonts w:ascii="Times New Roman" w:eastAsia="Times New Roman" w:hAnsi="Times New Roman" w:cs="Times New Roman"/>
          <w:color w:val="000000" w:themeColor="text1"/>
          <w:sz w:val="24"/>
          <w:szCs w:val="24"/>
        </w:rPr>
        <w:t xml:space="preserve">ies </w:t>
      </w:r>
      <w:r w:rsidR="00FD44C2" w:rsidRPr="00024E20">
        <w:rPr>
          <w:rFonts w:ascii="Times New Roman" w:eastAsia="Times New Roman" w:hAnsi="Times New Roman" w:cs="Times New Roman"/>
          <w:color w:val="000000" w:themeColor="text1"/>
          <w:sz w:val="24"/>
          <w:szCs w:val="24"/>
        </w:rPr>
        <w:t xml:space="preserve">in </w:t>
      </w:r>
      <w:r w:rsidR="00B3128D" w:rsidRPr="00024E20">
        <w:rPr>
          <w:rFonts w:ascii="Times New Roman" w:eastAsia="Times New Roman" w:hAnsi="Times New Roman" w:cs="Times New Roman"/>
          <w:color w:val="000000" w:themeColor="text1"/>
          <w:sz w:val="24"/>
          <w:szCs w:val="24"/>
        </w:rPr>
        <w:t xml:space="preserve">basic </w:t>
      </w:r>
      <w:r w:rsidR="00FD44C2" w:rsidRPr="00024E20">
        <w:rPr>
          <w:rFonts w:ascii="Times New Roman" w:eastAsia="Times New Roman" w:hAnsi="Times New Roman" w:cs="Times New Roman"/>
          <w:color w:val="000000" w:themeColor="text1"/>
          <w:sz w:val="24"/>
          <w:szCs w:val="24"/>
        </w:rPr>
        <w:t xml:space="preserve">military training. </w:t>
      </w:r>
      <w:r w:rsidRPr="00024E20">
        <w:rPr>
          <w:rFonts w:ascii="Times New Roman" w:eastAsia="Times New Roman" w:hAnsi="Times New Roman" w:cs="Times New Roman"/>
          <w:b/>
          <w:bCs/>
          <w:color w:val="000000" w:themeColor="text1"/>
          <w:sz w:val="24"/>
          <w:szCs w:val="24"/>
        </w:rPr>
        <w:t>Methods:</w:t>
      </w:r>
      <w:r w:rsidR="0005318E" w:rsidRPr="00024E20">
        <w:rPr>
          <w:rFonts w:ascii="Times New Roman" w:eastAsia="Times New Roman" w:hAnsi="Times New Roman" w:cs="Times New Roman"/>
          <w:color w:val="000000" w:themeColor="text1"/>
          <w:sz w:val="24"/>
          <w:szCs w:val="24"/>
        </w:rPr>
        <w:t xml:space="preserve"> Female</w:t>
      </w:r>
      <w:r w:rsidR="00FD44C2" w:rsidRPr="00024E20">
        <w:rPr>
          <w:rFonts w:ascii="Times New Roman" w:eastAsia="Times New Roman" w:hAnsi="Times New Roman" w:cs="Times New Roman"/>
          <w:color w:val="000000" w:themeColor="text1"/>
          <w:sz w:val="24"/>
          <w:szCs w:val="24"/>
        </w:rPr>
        <w:t xml:space="preserve"> British Army recruits</w:t>
      </w:r>
      <w:r w:rsidR="005E146B" w:rsidRPr="00024E20">
        <w:rPr>
          <w:rFonts w:ascii="Times New Roman" w:eastAsia="Times New Roman" w:hAnsi="Times New Roman" w:cs="Times New Roman"/>
          <w:color w:val="000000" w:themeColor="text1"/>
          <w:sz w:val="24"/>
          <w:szCs w:val="24"/>
        </w:rPr>
        <w:t xml:space="preserve"> </w:t>
      </w:r>
      <w:r w:rsidR="00E34222" w:rsidRPr="00024E20">
        <w:rPr>
          <w:rFonts w:ascii="Times New Roman" w:eastAsia="Times New Roman" w:hAnsi="Times New Roman" w:cs="Times New Roman"/>
          <w:color w:val="000000" w:themeColor="text1"/>
          <w:sz w:val="24"/>
          <w:szCs w:val="24"/>
        </w:rPr>
        <w:t xml:space="preserve">(n = 450) </w:t>
      </w:r>
      <w:r w:rsidR="00FA25D2" w:rsidRPr="00024E20">
        <w:rPr>
          <w:rFonts w:ascii="Times New Roman" w:eastAsia="Times New Roman" w:hAnsi="Times New Roman" w:cs="Times New Roman"/>
          <w:color w:val="000000" w:themeColor="text1"/>
          <w:sz w:val="24"/>
          <w:szCs w:val="24"/>
        </w:rPr>
        <w:t xml:space="preserve">were </w:t>
      </w:r>
      <w:r w:rsidR="0025121B" w:rsidRPr="00024E20">
        <w:rPr>
          <w:rFonts w:ascii="Times New Roman" w:eastAsia="Times New Roman" w:hAnsi="Times New Roman" w:cs="Times New Roman"/>
          <w:color w:val="000000" w:themeColor="text1"/>
          <w:sz w:val="24"/>
          <w:szCs w:val="24"/>
        </w:rPr>
        <w:t>grouped</w:t>
      </w:r>
      <w:r w:rsidR="00FA25D2" w:rsidRPr="00024E20">
        <w:rPr>
          <w:rFonts w:ascii="Times New Roman" w:eastAsia="Times New Roman" w:hAnsi="Times New Roman" w:cs="Times New Roman"/>
          <w:color w:val="000000" w:themeColor="text1"/>
          <w:sz w:val="24"/>
          <w:szCs w:val="24"/>
        </w:rPr>
        <w:t xml:space="preserve"> as non-users (n</w:t>
      </w:r>
      <w:r w:rsidR="002A4AC3" w:rsidRPr="00024E20">
        <w:rPr>
          <w:rFonts w:ascii="Times New Roman" w:eastAsia="Times New Roman" w:hAnsi="Times New Roman" w:cs="Times New Roman"/>
          <w:color w:val="000000" w:themeColor="text1"/>
          <w:sz w:val="24"/>
          <w:szCs w:val="24"/>
        </w:rPr>
        <w:t xml:space="preserve"> </w:t>
      </w:r>
      <w:r w:rsidR="00FA25D2" w:rsidRPr="00024E20">
        <w:rPr>
          <w:rFonts w:ascii="Times New Roman" w:eastAsia="Times New Roman" w:hAnsi="Times New Roman" w:cs="Times New Roman"/>
          <w:color w:val="000000" w:themeColor="text1"/>
          <w:sz w:val="24"/>
          <w:szCs w:val="24"/>
        </w:rPr>
        <w:t xml:space="preserve">= </w:t>
      </w:r>
      <w:r w:rsidR="002A4AC3" w:rsidRPr="00024E20">
        <w:rPr>
          <w:rFonts w:ascii="Times New Roman" w:eastAsia="Times New Roman" w:hAnsi="Times New Roman" w:cs="Times New Roman"/>
          <w:color w:val="000000" w:themeColor="text1"/>
          <w:sz w:val="24"/>
          <w:szCs w:val="24"/>
        </w:rPr>
        <w:t>182</w:t>
      </w:r>
      <w:r w:rsidR="00FA25D2" w:rsidRPr="00024E20">
        <w:rPr>
          <w:rFonts w:ascii="Times New Roman" w:eastAsia="Times New Roman" w:hAnsi="Times New Roman" w:cs="Times New Roman"/>
          <w:color w:val="000000" w:themeColor="text1"/>
          <w:sz w:val="24"/>
          <w:szCs w:val="24"/>
        </w:rPr>
        <w:t>), combined oral contraceptive users (COCP; n</w:t>
      </w:r>
      <w:r w:rsidR="002A4AC3" w:rsidRPr="00024E20">
        <w:rPr>
          <w:rFonts w:ascii="Times New Roman" w:eastAsia="Times New Roman" w:hAnsi="Times New Roman" w:cs="Times New Roman"/>
          <w:color w:val="000000" w:themeColor="text1"/>
          <w:sz w:val="24"/>
          <w:szCs w:val="24"/>
        </w:rPr>
        <w:t xml:space="preserve"> </w:t>
      </w:r>
      <w:r w:rsidR="00FA25D2" w:rsidRPr="00024E20">
        <w:rPr>
          <w:rFonts w:ascii="Times New Roman" w:eastAsia="Times New Roman" w:hAnsi="Times New Roman" w:cs="Times New Roman"/>
          <w:color w:val="000000" w:themeColor="text1"/>
          <w:sz w:val="24"/>
          <w:szCs w:val="24"/>
        </w:rPr>
        <w:t>=</w:t>
      </w:r>
      <w:r w:rsidR="002A4AC3" w:rsidRPr="00024E20">
        <w:rPr>
          <w:rFonts w:ascii="Times New Roman" w:eastAsia="Times New Roman" w:hAnsi="Times New Roman" w:cs="Times New Roman"/>
          <w:color w:val="000000" w:themeColor="text1"/>
          <w:sz w:val="24"/>
          <w:szCs w:val="24"/>
        </w:rPr>
        <w:t xml:space="preserve"> 184</w:t>
      </w:r>
      <w:r w:rsidR="00FA25D2" w:rsidRPr="00024E20">
        <w:rPr>
          <w:rFonts w:ascii="Times New Roman" w:eastAsia="Times New Roman" w:hAnsi="Times New Roman" w:cs="Times New Roman"/>
          <w:color w:val="000000" w:themeColor="text1"/>
          <w:sz w:val="24"/>
          <w:szCs w:val="24"/>
        </w:rPr>
        <w:t>), or progestin-only users (POC; n</w:t>
      </w:r>
      <w:r w:rsidR="002A4AC3" w:rsidRPr="00024E20">
        <w:rPr>
          <w:rFonts w:ascii="Times New Roman" w:eastAsia="Times New Roman" w:hAnsi="Times New Roman" w:cs="Times New Roman"/>
          <w:color w:val="000000" w:themeColor="text1"/>
          <w:sz w:val="24"/>
          <w:szCs w:val="24"/>
        </w:rPr>
        <w:t xml:space="preserve"> </w:t>
      </w:r>
      <w:r w:rsidR="00FA25D2" w:rsidRPr="00024E20">
        <w:rPr>
          <w:rFonts w:ascii="Times New Roman" w:eastAsia="Times New Roman" w:hAnsi="Times New Roman" w:cs="Times New Roman"/>
          <w:color w:val="000000" w:themeColor="text1"/>
          <w:sz w:val="24"/>
          <w:szCs w:val="24"/>
        </w:rPr>
        <w:t>=</w:t>
      </w:r>
      <w:r w:rsidR="002A4AC3" w:rsidRPr="00024E20">
        <w:rPr>
          <w:rFonts w:ascii="Times New Roman" w:eastAsia="Times New Roman" w:hAnsi="Times New Roman" w:cs="Times New Roman"/>
          <w:color w:val="000000" w:themeColor="text1"/>
          <w:sz w:val="24"/>
          <w:szCs w:val="24"/>
        </w:rPr>
        <w:t xml:space="preserve"> 144</w:t>
      </w:r>
      <w:r w:rsidR="00FA25D2" w:rsidRPr="00024E20">
        <w:rPr>
          <w:rFonts w:ascii="Times New Roman" w:eastAsia="Times New Roman" w:hAnsi="Times New Roman" w:cs="Times New Roman"/>
          <w:color w:val="000000" w:themeColor="text1"/>
          <w:sz w:val="24"/>
          <w:szCs w:val="24"/>
        </w:rPr>
        <w:t xml:space="preserve">). </w:t>
      </w:r>
      <w:r w:rsidR="00B3128D" w:rsidRPr="00024E20">
        <w:rPr>
          <w:rFonts w:ascii="Times New Roman" w:eastAsia="Times New Roman" w:hAnsi="Times New Roman" w:cs="Times New Roman"/>
          <w:color w:val="000000" w:themeColor="text1"/>
          <w:sz w:val="24"/>
          <w:szCs w:val="24"/>
        </w:rPr>
        <w:t>P</w:t>
      </w:r>
      <w:r w:rsidR="00FD44C2" w:rsidRPr="00024E20">
        <w:rPr>
          <w:rFonts w:ascii="Times New Roman" w:eastAsia="Times New Roman" w:hAnsi="Times New Roman" w:cs="Times New Roman"/>
          <w:color w:val="000000" w:themeColor="text1"/>
          <w:sz w:val="24"/>
          <w:szCs w:val="24"/>
        </w:rPr>
        <w:t xml:space="preserve">hysical performance (2.4 km run, lift strength, leg power), body composition, iron </w:t>
      </w:r>
      <w:r w:rsidRPr="00024E20">
        <w:rPr>
          <w:rFonts w:ascii="Times New Roman" w:eastAsia="Times New Roman" w:hAnsi="Times New Roman" w:cs="Times New Roman"/>
          <w:color w:val="000000" w:themeColor="text1"/>
          <w:sz w:val="24"/>
          <w:szCs w:val="24"/>
        </w:rPr>
        <w:t xml:space="preserve">and vitamin D </w:t>
      </w:r>
      <w:r w:rsidR="00FD44C2" w:rsidRPr="00024E20">
        <w:rPr>
          <w:rFonts w:ascii="Times New Roman" w:eastAsia="Times New Roman" w:hAnsi="Times New Roman" w:cs="Times New Roman"/>
          <w:color w:val="000000" w:themeColor="text1"/>
          <w:sz w:val="24"/>
          <w:szCs w:val="24"/>
        </w:rPr>
        <w:t>status</w:t>
      </w:r>
      <w:r w:rsidR="00D41AE4"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and bone metabolism </w:t>
      </w:r>
      <w:r w:rsidR="00FA25D2" w:rsidRPr="00024E20">
        <w:rPr>
          <w:rFonts w:ascii="Times New Roman" w:eastAsia="Times New Roman" w:hAnsi="Times New Roman" w:cs="Times New Roman"/>
          <w:color w:val="000000" w:themeColor="text1"/>
          <w:sz w:val="24"/>
          <w:szCs w:val="24"/>
        </w:rPr>
        <w:t>were</w:t>
      </w:r>
      <w:r w:rsidR="00B3128D" w:rsidRPr="00024E20">
        <w:rPr>
          <w:rFonts w:ascii="Times New Roman" w:eastAsia="Times New Roman" w:hAnsi="Times New Roman" w:cs="Times New Roman"/>
          <w:color w:val="000000" w:themeColor="text1"/>
          <w:sz w:val="24"/>
          <w:szCs w:val="24"/>
        </w:rPr>
        <w:t xml:space="preserve"> measured </w:t>
      </w:r>
      <w:r w:rsidR="00FD44C2" w:rsidRPr="00024E20">
        <w:rPr>
          <w:rFonts w:ascii="Times New Roman" w:eastAsia="Times New Roman" w:hAnsi="Times New Roman" w:cs="Times New Roman"/>
          <w:color w:val="000000" w:themeColor="text1"/>
          <w:sz w:val="24"/>
          <w:szCs w:val="24"/>
        </w:rPr>
        <w:t>at the start (week 1) and end (week 13) of training.</w:t>
      </w:r>
      <w:r w:rsidR="00B3128D" w:rsidRPr="00024E20">
        <w:rPr>
          <w:rFonts w:ascii="Times New Roman" w:eastAsia="Times New Roman" w:hAnsi="Times New Roman" w:cs="Times New Roman"/>
          <w:color w:val="000000" w:themeColor="text1"/>
          <w:sz w:val="24"/>
          <w:szCs w:val="24"/>
        </w:rPr>
        <w:t xml:space="preserve"> Lower body musculoskeletal injuries were recorded from medical records.</w:t>
      </w:r>
      <w:r w:rsidR="00FD44C2"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b/>
          <w:bCs/>
          <w:color w:val="000000" w:themeColor="text1"/>
          <w:sz w:val="24"/>
          <w:szCs w:val="24"/>
        </w:rPr>
        <w:t>Results:</w:t>
      </w:r>
      <w:r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Training decreased 2.4 km run time</w:t>
      </w:r>
      <w:r w:rsidR="005F3458" w:rsidRPr="00024E20">
        <w:rPr>
          <w:rFonts w:ascii="Times New Roman" w:eastAsia="Times New Roman" w:hAnsi="Times New Roman" w:cs="Times New Roman"/>
          <w:color w:val="000000" w:themeColor="text1"/>
          <w:sz w:val="24"/>
          <w:szCs w:val="24"/>
        </w:rPr>
        <w:t xml:space="preserve"> (–3.7%)</w:t>
      </w:r>
      <w:r w:rsidR="00FD44C2" w:rsidRPr="00024E20">
        <w:rPr>
          <w:rFonts w:ascii="Times New Roman" w:eastAsia="Times New Roman" w:hAnsi="Times New Roman" w:cs="Times New Roman"/>
          <w:color w:val="000000" w:themeColor="text1"/>
          <w:sz w:val="24"/>
          <w:szCs w:val="24"/>
        </w:rPr>
        <w:t xml:space="preserve"> and fat mass</w:t>
      </w:r>
      <w:r w:rsidR="005F3458" w:rsidRPr="00024E20">
        <w:rPr>
          <w:rFonts w:ascii="Times New Roman" w:eastAsia="Times New Roman" w:hAnsi="Times New Roman" w:cs="Times New Roman"/>
          <w:color w:val="000000" w:themeColor="text1"/>
          <w:sz w:val="24"/>
          <w:szCs w:val="24"/>
        </w:rPr>
        <w:t xml:space="preserve"> (–9</w:t>
      </w:r>
      <w:r w:rsidR="000F04AE" w:rsidRPr="00024E20">
        <w:rPr>
          <w:rFonts w:ascii="Times New Roman" w:eastAsia="Times New Roman" w:hAnsi="Times New Roman" w:cs="Times New Roman"/>
          <w:color w:val="000000" w:themeColor="text1"/>
          <w:sz w:val="24"/>
          <w:szCs w:val="24"/>
        </w:rPr>
        <w:t>.</w:t>
      </w:r>
      <w:r w:rsidR="005F3458" w:rsidRPr="00024E20">
        <w:rPr>
          <w:rFonts w:ascii="Times New Roman" w:eastAsia="Times New Roman" w:hAnsi="Times New Roman" w:cs="Times New Roman"/>
          <w:color w:val="000000" w:themeColor="text1"/>
          <w:sz w:val="24"/>
          <w:szCs w:val="24"/>
        </w:rPr>
        <w:t>6%)</w:t>
      </w:r>
      <w:r w:rsidR="00FD44C2" w:rsidRPr="00024E20">
        <w:rPr>
          <w:rFonts w:ascii="Times New Roman" w:eastAsia="Times New Roman" w:hAnsi="Times New Roman" w:cs="Times New Roman"/>
          <w:color w:val="000000" w:themeColor="text1"/>
          <w:sz w:val="24"/>
          <w:szCs w:val="24"/>
        </w:rPr>
        <w:t>, and increased lift strength</w:t>
      </w:r>
      <w:r w:rsidR="005F3458" w:rsidRPr="00024E20">
        <w:rPr>
          <w:rFonts w:ascii="Times New Roman" w:eastAsia="Times New Roman" w:hAnsi="Times New Roman" w:cs="Times New Roman"/>
          <w:color w:val="000000" w:themeColor="text1"/>
          <w:sz w:val="24"/>
          <w:szCs w:val="24"/>
        </w:rPr>
        <w:t xml:space="preserve"> (4.5%)</w:t>
      </w:r>
      <w:r w:rsidR="00FD44C2" w:rsidRPr="00024E20">
        <w:rPr>
          <w:rFonts w:ascii="Times New Roman" w:eastAsia="Times New Roman" w:hAnsi="Times New Roman" w:cs="Times New Roman"/>
          <w:color w:val="000000" w:themeColor="text1"/>
          <w:sz w:val="24"/>
          <w:szCs w:val="24"/>
        </w:rPr>
        <w:t>, leg power</w:t>
      </w:r>
      <w:r w:rsidR="005F3458" w:rsidRPr="00024E20">
        <w:rPr>
          <w:rFonts w:ascii="Times New Roman" w:eastAsia="Times New Roman" w:hAnsi="Times New Roman" w:cs="Times New Roman"/>
          <w:color w:val="000000" w:themeColor="text1"/>
          <w:sz w:val="24"/>
          <w:szCs w:val="24"/>
        </w:rPr>
        <w:t xml:space="preserve"> (1.5%)</w:t>
      </w:r>
      <w:r w:rsidR="00FD44C2" w:rsidRPr="00024E20">
        <w:rPr>
          <w:rFonts w:ascii="Times New Roman" w:eastAsia="Times New Roman" w:hAnsi="Times New Roman" w:cs="Times New Roman"/>
          <w:color w:val="000000" w:themeColor="text1"/>
          <w:sz w:val="24"/>
          <w:szCs w:val="24"/>
        </w:rPr>
        <w:t>, lean mass</w:t>
      </w:r>
      <w:r w:rsidR="005F3458" w:rsidRPr="00024E20">
        <w:rPr>
          <w:rFonts w:ascii="Times New Roman" w:eastAsia="Times New Roman" w:hAnsi="Times New Roman" w:cs="Times New Roman"/>
          <w:color w:val="000000" w:themeColor="text1"/>
          <w:sz w:val="24"/>
          <w:szCs w:val="24"/>
        </w:rPr>
        <w:t xml:space="preserve"> (</w:t>
      </w:r>
      <w:r w:rsidR="007A475F" w:rsidRPr="00024E20">
        <w:rPr>
          <w:rFonts w:ascii="Times New Roman" w:eastAsia="Times New Roman" w:hAnsi="Times New Roman" w:cs="Times New Roman"/>
          <w:color w:val="000000" w:themeColor="text1"/>
          <w:sz w:val="24"/>
          <w:szCs w:val="24"/>
        </w:rPr>
        <w:t>5.4</w:t>
      </w:r>
      <w:r w:rsidR="005F3458" w:rsidRPr="00024E20">
        <w:rPr>
          <w:rFonts w:ascii="Times New Roman" w:eastAsia="Times New Roman" w:hAnsi="Times New Roman" w:cs="Times New Roman"/>
          <w:color w:val="000000" w:themeColor="text1"/>
          <w:sz w:val="24"/>
          <w:szCs w:val="24"/>
        </w:rPr>
        <w:t>%)</w:t>
      </w:r>
      <w:r w:rsidR="000F04AE"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and whole-body</w:t>
      </w:r>
      <w:r w:rsidR="007A475F" w:rsidRPr="00024E20">
        <w:rPr>
          <w:rFonts w:ascii="Times New Roman" w:eastAsia="Times New Roman" w:hAnsi="Times New Roman" w:cs="Times New Roman"/>
          <w:color w:val="000000" w:themeColor="text1"/>
          <w:sz w:val="24"/>
          <w:szCs w:val="24"/>
        </w:rPr>
        <w:t xml:space="preserve"> (0.9%)</w:t>
      </w:r>
      <w:r w:rsidR="00FD44C2" w:rsidRPr="00024E20">
        <w:rPr>
          <w:rFonts w:ascii="Times New Roman" w:eastAsia="Times New Roman" w:hAnsi="Times New Roman" w:cs="Times New Roman"/>
          <w:color w:val="000000" w:themeColor="text1"/>
          <w:sz w:val="24"/>
          <w:szCs w:val="24"/>
        </w:rPr>
        <w:t>, arms</w:t>
      </w:r>
      <w:r w:rsidR="00967574" w:rsidRPr="00024E20">
        <w:rPr>
          <w:rFonts w:ascii="Times New Roman" w:eastAsia="Times New Roman" w:hAnsi="Times New Roman" w:cs="Times New Roman"/>
          <w:color w:val="000000" w:themeColor="text1"/>
          <w:sz w:val="24"/>
          <w:szCs w:val="24"/>
        </w:rPr>
        <w:t xml:space="preserve"> (1.8%)</w:t>
      </w:r>
      <w:r w:rsidR="00FD44C2" w:rsidRPr="00024E20">
        <w:rPr>
          <w:rFonts w:ascii="Times New Roman" w:eastAsia="Times New Roman" w:hAnsi="Times New Roman" w:cs="Times New Roman"/>
          <w:color w:val="000000" w:themeColor="text1"/>
          <w:sz w:val="24"/>
          <w:szCs w:val="24"/>
        </w:rPr>
        <w:t>, and legs</w:t>
      </w:r>
      <w:r w:rsidR="00967574" w:rsidRPr="00024E20">
        <w:rPr>
          <w:rFonts w:ascii="Times New Roman" w:eastAsia="Times New Roman" w:hAnsi="Times New Roman" w:cs="Times New Roman"/>
          <w:color w:val="000000" w:themeColor="text1"/>
          <w:sz w:val="24"/>
          <w:szCs w:val="24"/>
        </w:rPr>
        <w:t xml:space="preserve"> (1.4%)</w:t>
      </w:r>
      <w:r w:rsidR="00FD44C2" w:rsidRPr="00024E20">
        <w:rPr>
          <w:rFonts w:ascii="Times New Roman" w:eastAsia="Times New Roman" w:hAnsi="Times New Roman" w:cs="Times New Roman"/>
          <w:color w:val="000000" w:themeColor="text1"/>
          <w:sz w:val="24"/>
          <w:szCs w:val="24"/>
        </w:rPr>
        <w:t xml:space="preserve"> </w:t>
      </w:r>
      <w:proofErr w:type="spellStart"/>
      <w:r w:rsidR="00FD44C2" w:rsidRPr="00024E20">
        <w:rPr>
          <w:rFonts w:ascii="Times New Roman" w:eastAsia="Times New Roman" w:hAnsi="Times New Roman" w:cs="Times New Roman"/>
          <w:color w:val="000000" w:themeColor="text1"/>
          <w:sz w:val="24"/>
          <w:szCs w:val="24"/>
        </w:rPr>
        <w:t>aBMD</w:t>
      </w:r>
      <w:proofErr w:type="spellEnd"/>
      <w:r w:rsidR="00FD44C2" w:rsidRPr="00024E20">
        <w:rPr>
          <w:rFonts w:ascii="Times New Roman" w:eastAsia="Times New Roman" w:hAnsi="Times New Roman" w:cs="Times New Roman"/>
          <w:color w:val="000000" w:themeColor="text1"/>
          <w:sz w:val="24"/>
          <w:szCs w:val="24"/>
        </w:rPr>
        <w:t xml:space="preserve"> (p ≤ 0.015)</w:t>
      </w:r>
      <w:r w:rsidR="000F04AE"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t</w:t>
      </w:r>
      <w:r w:rsidR="001E0444" w:rsidRPr="00024E20">
        <w:rPr>
          <w:rFonts w:ascii="Times New Roman" w:eastAsia="Times New Roman" w:hAnsi="Times New Roman" w:cs="Times New Roman"/>
          <w:color w:val="000000" w:themeColor="text1"/>
          <w:sz w:val="24"/>
          <w:szCs w:val="24"/>
        </w:rPr>
        <w:t xml:space="preserve">he training response was </w:t>
      </w:r>
      <w:r w:rsidR="00FD44C2" w:rsidRPr="00024E20">
        <w:rPr>
          <w:rFonts w:ascii="Times New Roman" w:eastAsia="Times New Roman" w:hAnsi="Times New Roman" w:cs="Times New Roman"/>
          <w:color w:val="000000" w:themeColor="text1"/>
          <w:sz w:val="24"/>
          <w:szCs w:val="24"/>
        </w:rPr>
        <w:t>no</w:t>
      </w:r>
      <w:r w:rsidR="001E0444" w:rsidRPr="00024E20">
        <w:rPr>
          <w:rFonts w:ascii="Times New Roman" w:eastAsia="Times New Roman" w:hAnsi="Times New Roman" w:cs="Times New Roman"/>
          <w:color w:val="000000" w:themeColor="text1"/>
          <w:sz w:val="24"/>
          <w:szCs w:val="24"/>
        </w:rPr>
        <w:t>t</w:t>
      </w:r>
      <w:r w:rsidR="00FD44C2" w:rsidRPr="00024E20">
        <w:rPr>
          <w:rFonts w:ascii="Times New Roman" w:eastAsia="Times New Roman" w:hAnsi="Times New Roman" w:cs="Times New Roman"/>
          <w:color w:val="000000" w:themeColor="text1"/>
          <w:sz w:val="24"/>
          <w:szCs w:val="24"/>
        </w:rPr>
        <w:t xml:space="preserve"> differen</w:t>
      </w:r>
      <w:r w:rsidR="001E0444" w:rsidRPr="00024E20">
        <w:rPr>
          <w:rFonts w:ascii="Times New Roman" w:eastAsia="Times New Roman" w:hAnsi="Times New Roman" w:cs="Times New Roman"/>
          <w:color w:val="000000" w:themeColor="text1"/>
          <w:sz w:val="24"/>
          <w:szCs w:val="24"/>
        </w:rPr>
        <w:t xml:space="preserve">t </w:t>
      </w:r>
      <w:r w:rsidR="00FD44C2" w:rsidRPr="00024E20">
        <w:rPr>
          <w:rFonts w:ascii="Times New Roman" w:eastAsia="Times New Roman" w:hAnsi="Times New Roman" w:cs="Times New Roman"/>
          <w:color w:val="000000" w:themeColor="text1"/>
          <w:sz w:val="24"/>
          <w:szCs w:val="24"/>
        </w:rPr>
        <w:t>between groups</w:t>
      </w:r>
      <w:r w:rsidR="00830A68"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 xml:space="preserve">(p ≥ 0.173). </w:t>
      </w:r>
      <w:r w:rsidRPr="00024E20">
        <w:rPr>
          <w:rFonts w:ascii="Times New Roman" w:eastAsia="Times New Roman" w:hAnsi="Times New Roman" w:cs="Times New Roman"/>
          <w:color w:val="000000" w:themeColor="text1"/>
          <w:sz w:val="24"/>
          <w:szCs w:val="24"/>
        </w:rPr>
        <w:t>L</w:t>
      </w:r>
      <w:r w:rsidR="00FD44C2" w:rsidRPr="00024E20">
        <w:rPr>
          <w:rFonts w:ascii="Times New Roman" w:eastAsia="Times New Roman" w:hAnsi="Times New Roman" w:cs="Times New Roman"/>
          <w:color w:val="000000" w:themeColor="text1"/>
          <w:sz w:val="24"/>
          <w:szCs w:val="24"/>
        </w:rPr>
        <w:t>ift strength was lower in COCP users than non-users (p = 0.044). Whole-body</w:t>
      </w:r>
      <w:r w:rsidR="0036434B"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w:t>
      </w:r>
      <w:r w:rsidR="0036434B" w:rsidRPr="00024E20">
        <w:rPr>
          <w:rFonts w:ascii="Times New Roman" w:eastAsia="Times New Roman" w:hAnsi="Times New Roman" w:cs="Times New Roman"/>
          <w:color w:val="000000" w:themeColor="text1"/>
          <w:sz w:val="24"/>
          <w:szCs w:val="24"/>
        </w:rPr>
        <w:t>trunk, and</w:t>
      </w:r>
      <w:r w:rsidR="00FD44C2" w:rsidRPr="00024E20">
        <w:rPr>
          <w:rFonts w:ascii="Times New Roman" w:eastAsia="Times New Roman" w:hAnsi="Times New Roman" w:cs="Times New Roman"/>
          <w:color w:val="000000" w:themeColor="text1"/>
          <w:sz w:val="24"/>
          <w:szCs w:val="24"/>
        </w:rPr>
        <w:t xml:space="preserve"> legs </w:t>
      </w:r>
      <w:proofErr w:type="spellStart"/>
      <w:r w:rsidR="00FD44C2" w:rsidRPr="00024E20">
        <w:rPr>
          <w:rFonts w:ascii="Times New Roman" w:eastAsia="Times New Roman" w:hAnsi="Times New Roman" w:cs="Times New Roman"/>
          <w:color w:val="000000" w:themeColor="text1"/>
          <w:sz w:val="24"/>
          <w:szCs w:val="24"/>
        </w:rPr>
        <w:t>aBMD</w:t>
      </w:r>
      <w:proofErr w:type="spellEnd"/>
      <w:r w:rsidR="00FD44C2" w:rsidRPr="00024E20">
        <w:rPr>
          <w:rFonts w:ascii="Times New Roman" w:eastAsia="Times New Roman" w:hAnsi="Times New Roman" w:cs="Times New Roman"/>
          <w:color w:val="000000" w:themeColor="text1"/>
          <w:sz w:val="24"/>
          <w:szCs w:val="24"/>
        </w:rPr>
        <w:t xml:space="preserve"> w</w:t>
      </w:r>
      <w:r w:rsidR="00ED7300" w:rsidRPr="00024E20">
        <w:rPr>
          <w:rFonts w:ascii="Times New Roman" w:eastAsia="Times New Roman" w:hAnsi="Times New Roman" w:cs="Times New Roman"/>
          <w:color w:val="000000" w:themeColor="text1"/>
          <w:sz w:val="24"/>
          <w:szCs w:val="24"/>
        </w:rPr>
        <w:t>ere</w:t>
      </w:r>
      <w:r w:rsidR="00FD44C2" w:rsidRPr="00024E20">
        <w:rPr>
          <w:rFonts w:ascii="Times New Roman" w:eastAsia="Times New Roman" w:hAnsi="Times New Roman" w:cs="Times New Roman"/>
          <w:color w:val="000000" w:themeColor="text1"/>
          <w:sz w:val="24"/>
          <w:szCs w:val="24"/>
        </w:rPr>
        <w:t xml:space="preserve"> lower in POC users than</w:t>
      </w:r>
      <w:r w:rsidR="00ED7300" w:rsidRPr="00024E20">
        <w:rPr>
          <w:rFonts w:ascii="Times New Roman" w:eastAsia="Times New Roman" w:hAnsi="Times New Roman" w:cs="Times New Roman"/>
          <w:color w:val="000000" w:themeColor="text1"/>
          <w:sz w:val="24"/>
          <w:szCs w:val="24"/>
        </w:rPr>
        <w:t xml:space="preserve"> </w:t>
      </w:r>
      <w:r w:rsidR="0036434B" w:rsidRPr="00024E20">
        <w:rPr>
          <w:rFonts w:ascii="Times New Roman" w:eastAsia="Times New Roman" w:hAnsi="Times New Roman" w:cs="Times New Roman"/>
          <w:color w:val="000000" w:themeColor="text1"/>
          <w:sz w:val="24"/>
          <w:szCs w:val="24"/>
        </w:rPr>
        <w:t xml:space="preserve">non-users and/or </w:t>
      </w:r>
      <w:r w:rsidR="00ED7300" w:rsidRPr="00024E20">
        <w:rPr>
          <w:rFonts w:ascii="Times New Roman" w:eastAsia="Times New Roman" w:hAnsi="Times New Roman" w:cs="Times New Roman"/>
          <w:color w:val="000000" w:themeColor="text1"/>
          <w:sz w:val="24"/>
          <w:szCs w:val="24"/>
        </w:rPr>
        <w:t xml:space="preserve">COCP users </w:t>
      </w:r>
      <w:r w:rsidR="00FD44C2" w:rsidRPr="00024E20">
        <w:rPr>
          <w:rFonts w:ascii="Times New Roman" w:eastAsia="Times New Roman" w:hAnsi="Times New Roman" w:cs="Times New Roman"/>
          <w:color w:val="000000" w:themeColor="text1"/>
          <w:sz w:val="24"/>
          <w:szCs w:val="24"/>
        </w:rPr>
        <w:t>(</w:t>
      </w:r>
      <w:r w:rsidR="00ED7300" w:rsidRPr="00024E20">
        <w:rPr>
          <w:rFonts w:ascii="Times New Roman" w:eastAsia="Times New Roman" w:hAnsi="Times New Roman" w:cs="Times New Roman"/>
          <w:color w:val="000000" w:themeColor="text1"/>
          <w:sz w:val="24"/>
          <w:szCs w:val="24"/>
        </w:rPr>
        <w:t xml:space="preserve">p </w:t>
      </w:r>
      <w:r w:rsidR="0036434B"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0.041). There </w:t>
      </w:r>
      <w:r w:rsidR="00FA25D2" w:rsidRPr="00024E20">
        <w:rPr>
          <w:rFonts w:ascii="Times New Roman" w:eastAsia="Times New Roman" w:hAnsi="Times New Roman" w:cs="Times New Roman"/>
          <w:color w:val="000000" w:themeColor="text1"/>
          <w:sz w:val="24"/>
          <w:szCs w:val="24"/>
        </w:rPr>
        <w:t>were no</w:t>
      </w:r>
      <w:r w:rsidR="00FD44C2" w:rsidRPr="00024E20">
        <w:rPr>
          <w:rFonts w:ascii="Times New Roman" w:eastAsia="Times New Roman" w:hAnsi="Times New Roman" w:cs="Times New Roman"/>
          <w:color w:val="000000" w:themeColor="text1"/>
          <w:sz w:val="24"/>
          <w:szCs w:val="24"/>
        </w:rPr>
        <w:t xml:space="preserve"> associations between hormonal contraceptive use and musculoskeletal or </w:t>
      </w:r>
      <w:r w:rsidR="0025121B" w:rsidRPr="00024E20">
        <w:rPr>
          <w:rFonts w:ascii="Times New Roman" w:eastAsia="Times New Roman" w:hAnsi="Times New Roman" w:cs="Times New Roman"/>
          <w:color w:val="000000" w:themeColor="text1"/>
          <w:sz w:val="24"/>
          <w:szCs w:val="24"/>
        </w:rPr>
        <w:t>bone stress injury</w:t>
      </w:r>
      <w:r w:rsidR="00172B22" w:rsidRPr="00024E20">
        <w:rPr>
          <w:rFonts w:ascii="Times New Roman" w:eastAsia="Times New Roman" w:hAnsi="Times New Roman" w:cs="Times New Roman"/>
          <w:color w:val="000000" w:themeColor="text1"/>
          <w:sz w:val="24"/>
          <w:szCs w:val="24"/>
        </w:rPr>
        <w:t xml:space="preserve"> (p ≥ 0.429)</w:t>
      </w:r>
      <w:r w:rsidR="00FD44C2" w:rsidRPr="00024E20">
        <w:rPr>
          <w:rFonts w:ascii="Times New Roman" w:eastAsia="Times New Roman" w:hAnsi="Times New Roman" w:cs="Times New Roman"/>
          <w:color w:val="000000" w:themeColor="text1"/>
          <w:sz w:val="24"/>
          <w:szCs w:val="24"/>
        </w:rPr>
        <w:t xml:space="preserve">. Training </w:t>
      </w:r>
      <w:r w:rsidR="000256E8" w:rsidRPr="00024E20">
        <w:rPr>
          <w:rFonts w:ascii="Times New Roman" w:eastAsia="Times New Roman" w:hAnsi="Times New Roman" w:cs="Times New Roman"/>
          <w:color w:val="000000" w:themeColor="text1"/>
          <w:sz w:val="24"/>
          <w:szCs w:val="24"/>
        </w:rPr>
        <w:t xml:space="preserve">did not change ferritin (p = 0.968), but </w:t>
      </w:r>
      <w:r w:rsidR="00FD44C2" w:rsidRPr="00024E20">
        <w:rPr>
          <w:rFonts w:ascii="Times New Roman" w:eastAsia="Times New Roman" w:hAnsi="Times New Roman" w:cs="Times New Roman"/>
          <w:color w:val="000000" w:themeColor="text1"/>
          <w:sz w:val="24"/>
          <w:szCs w:val="24"/>
        </w:rPr>
        <w:t>decreased haemoglobin and total 25(OH)D, and increased PTH, βCTX, and PINP (p ≤ 0.005)</w:t>
      </w:r>
      <w:r w:rsidR="000256E8"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the training response was not different between groups (p ≥ 0.368). Total 25(OH)D was higher</w:t>
      </w:r>
      <w:r w:rsidR="00FA25D2"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and βCTX and PINP were lower</w:t>
      </w:r>
      <w:r w:rsidR="00FA25D2" w:rsidRPr="00024E20">
        <w:rPr>
          <w:rFonts w:ascii="Times New Roman" w:eastAsia="Times New Roman" w:hAnsi="Times New Roman" w:cs="Times New Roman"/>
          <w:color w:val="000000" w:themeColor="text1"/>
          <w:sz w:val="24"/>
          <w:szCs w:val="24"/>
        </w:rPr>
        <w:t>,</w:t>
      </w:r>
      <w:r w:rsidR="00FD44C2" w:rsidRPr="00024E20">
        <w:rPr>
          <w:rFonts w:ascii="Times New Roman" w:eastAsia="Times New Roman" w:hAnsi="Times New Roman" w:cs="Times New Roman"/>
          <w:color w:val="000000" w:themeColor="text1"/>
          <w:sz w:val="24"/>
          <w:szCs w:val="24"/>
        </w:rPr>
        <w:t xml:space="preserve"> in COCP users than non-users and POC users; PTH was lower in COCP users than non-users, </w:t>
      </w:r>
      <w:proofErr w:type="gramStart"/>
      <w:r w:rsidR="00FD44C2" w:rsidRPr="00024E20">
        <w:rPr>
          <w:rFonts w:ascii="Times New Roman" w:eastAsia="Times New Roman" w:hAnsi="Times New Roman" w:cs="Times New Roman"/>
          <w:color w:val="000000" w:themeColor="text1"/>
          <w:sz w:val="24"/>
          <w:szCs w:val="24"/>
        </w:rPr>
        <w:t>and</w:t>
      </w:r>
      <w:r w:rsidR="00FE651A" w:rsidRPr="00024E20">
        <w:rPr>
          <w:rFonts w:ascii="Times New Roman" w:eastAsia="Times New Roman" w:hAnsi="Times New Roman" w:cs="Times New Roman"/>
          <w:color w:val="000000" w:themeColor="text1"/>
          <w:sz w:val="24"/>
          <w:szCs w:val="24"/>
        </w:rPr>
        <w:t>;</w:t>
      </w:r>
      <w:proofErr w:type="gramEnd"/>
      <w:r w:rsidR="00FD44C2" w:rsidRPr="00024E20">
        <w:rPr>
          <w:rFonts w:ascii="Times New Roman" w:eastAsia="Times New Roman" w:hAnsi="Times New Roman" w:cs="Times New Roman"/>
          <w:color w:val="000000" w:themeColor="text1"/>
          <w:sz w:val="24"/>
          <w:szCs w:val="24"/>
        </w:rPr>
        <w:t xml:space="preserve"> βCTX and PINP were higher in POC users than non-users (p ≤ 0.017). </w:t>
      </w:r>
      <w:r w:rsidRPr="00024E20">
        <w:rPr>
          <w:rFonts w:ascii="Times New Roman" w:eastAsia="Times New Roman" w:hAnsi="Times New Roman" w:cs="Times New Roman"/>
          <w:b/>
          <w:bCs/>
          <w:color w:val="000000" w:themeColor="text1"/>
          <w:sz w:val="24"/>
          <w:szCs w:val="24"/>
        </w:rPr>
        <w:t>Conclusions:</w:t>
      </w:r>
      <w:r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Hormonal contraceptive use was not associated with performance</w:t>
      </w:r>
      <w:r w:rsidR="00E50E5F" w:rsidRPr="00024E20">
        <w:rPr>
          <w:rFonts w:ascii="Times New Roman" w:eastAsia="Times New Roman" w:hAnsi="Times New Roman" w:cs="Times New Roman"/>
          <w:color w:val="000000" w:themeColor="text1"/>
          <w:sz w:val="24"/>
          <w:szCs w:val="24"/>
        </w:rPr>
        <w:t xml:space="preserve"> </w:t>
      </w:r>
      <w:r w:rsidR="00FD44C2" w:rsidRPr="00024E20">
        <w:rPr>
          <w:rFonts w:ascii="Times New Roman" w:eastAsia="Times New Roman" w:hAnsi="Times New Roman" w:cs="Times New Roman"/>
          <w:color w:val="000000" w:themeColor="text1"/>
          <w:sz w:val="24"/>
          <w:szCs w:val="24"/>
        </w:rPr>
        <w:t xml:space="preserve">or injury outcomes in </w:t>
      </w:r>
      <w:r w:rsidR="00E50E5F" w:rsidRPr="00024E20">
        <w:rPr>
          <w:rFonts w:ascii="Times New Roman" w:eastAsia="Times New Roman" w:hAnsi="Times New Roman" w:cs="Times New Roman"/>
          <w:color w:val="000000" w:themeColor="text1"/>
          <w:sz w:val="24"/>
          <w:szCs w:val="24"/>
        </w:rPr>
        <w:t>military</w:t>
      </w:r>
      <w:r w:rsidR="00FD44C2" w:rsidRPr="00024E20">
        <w:rPr>
          <w:rFonts w:ascii="Times New Roman" w:eastAsia="Times New Roman" w:hAnsi="Times New Roman" w:cs="Times New Roman"/>
          <w:color w:val="000000" w:themeColor="text1"/>
          <w:sz w:val="24"/>
          <w:szCs w:val="24"/>
        </w:rPr>
        <w:t xml:space="preserve"> training</w:t>
      </w:r>
      <w:r w:rsidR="002A4AC3" w:rsidRPr="00024E20">
        <w:rPr>
          <w:rFonts w:ascii="Times New Roman" w:eastAsia="Times New Roman" w:hAnsi="Times New Roman" w:cs="Times New Roman"/>
          <w:color w:val="000000" w:themeColor="text1"/>
          <w:sz w:val="24"/>
          <w:szCs w:val="24"/>
        </w:rPr>
        <w:t>.</w:t>
      </w:r>
    </w:p>
    <w:p w14:paraId="79CD155D" w14:textId="77777777" w:rsidR="004A4EC4" w:rsidRPr="00024E20" w:rsidRDefault="004A4EC4">
      <w:pPr>
        <w:spacing w:after="0" w:line="480" w:lineRule="auto"/>
        <w:jc w:val="both"/>
        <w:rPr>
          <w:rFonts w:ascii="Times New Roman" w:eastAsia="Times New Roman" w:hAnsi="Times New Roman" w:cs="Times New Roman"/>
          <w:b/>
          <w:color w:val="000000" w:themeColor="text1"/>
          <w:sz w:val="24"/>
          <w:szCs w:val="24"/>
        </w:rPr>
      </w:pPr>
    </w:p>
    <w:p w14:paraId="1AA86124" w14:textId="79E8FA09" w:rsidR="007405FE" w:rsidRPr="00024E20" w:rsidRDefault="002A4AC3">
      <w:pPr>
        <w:spacing w:after="0" w:line="480" w:lineRule="auto"/>
        <w:jc w:val="both"/>
        <w:rPr>
          <w:rFonts w:ascii="Times New Roman" w:eastAsia="Times New Roman" w:hAnsi="Times New Roman" w:cs="Times New Roman"/>
          <w:color w:val="000000" w:themeColor="text1"/>
          <w:sz w:val="24"/>
          <w:szCs w:val="24"/>
        </w:rPr>
        <w:sectPr w:rsidR="007405FE" w:rsidRPr="00024E20">
          <w:pgSz w:w="11906" w:h="16838"/>
          <w:pgMar w:top="1440" w:right="1440" w:bottom="1440" w:left="1440" w:header="708" w:footer="708" w:gutter="0"/>
          <w:lnNumType w:countBy="1" w:restart="continuous"/>
          <w:cols w:space="720"/>
        </w:sectPr>
      </w:pPr>
      <w:r w:rsidRPr="00024E20">
        <w:rPr>
          <w:rFonts w:ascii="Times New Roman" w:eastAsia="Times New Roman" w:hAnsi="Times New Roman" w:cs="Times New Roman"/>
          <w:b/>
          <w:color w:val="000000" w:themeColor="text1"/>
          <w:sz w:val="24"/>
          <w:szCs w:val="24"/>
        </w:rPr>
        <w:t>Key Words:</w:t>
      </w:r>
      <w:r w:rsidRPr="00024E20">
        <w:rPr>
          <w:rFonts w:ascii="Times New Roman" w:eastAsia="Times New Roman" w:hAnsi="Times New Roman" w:cs="Times New Roman"/>
          <w:color w:val="000000" w:themeColor="text1"/>
          <w:sz w:val="24"/>
          <w:szCs w:val="24"/>
        </w:rPr>
        <w:t xml:space="preserve"> Bone; Endurance; Muscle, Musculoskeletal Injury; Oestrogens; Progestogens</w:t>
      </w:r>
    </w:p>
    <w:p w14:paraId="35DC08FA" w14:textId="7FDB3F55" w:rsidR="00FD44C2"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lastRenderedPageBreak/>
        <w:t>Introduction</w:t>
      </w:r>
    </w:p>
    <w:p w14:paraId="116EE946" w14:textId="1CF99E61" w:rsidR="00D07AC9" w:rsidRPr="00024E20" w:rsidRDefault="00FD44C2" w:rsidP="00FD44C2">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Cs/>
          <w:color w:val="000000" w:themeColor="text1"/>
          <w:sz w:val="24"/>
          <w:szCs w:val="24"/>
        </w:rPr>
        <w:t xml:space="preserve">Hormonal contraceptive use is common </w:t>
      </w:r>
      <w:r w:rsidR="00570CB4" w:rsidRPr="00024E20">
        <w:rPr>
          <w:rFonts w:ascii="Times New Roman" w:eastAsia="Times New Roman" w:hAnsi="Times New Roman" w:cs="Times New Roman"/>
          <w:bCs/>
          <w:color w:val="000000" w:themeColor="text1"/>
          <w:sz w:val="24"/>
          <w:szCs w:val="24"/>
        </w:rPr>
        <w:t xml:space="preserve">in </w:t>
      </w:r>
      <w:r w:rsidRPr="00024E20">
        <w:rPr>
          <w:rFonts w:ascii="Times New Roman" w:eastAsia="Times New Roman" w:hAnsi="Times New Roman" w:cs="Times New Roman"/>
          <w:bCs/>
          <w:color w:val="000000" w:themeColor="text1"/>
          <w:sz w:val="24"/>
          <w:szCs w:val="24"/>
        </w:rPr>
        <w:t>military personnel and athletes;</w:t>
      </w:r>
      <w:r w:rsidRPr="00024E20">
        <w:rPr>
          <w:rFonts w:ascii="Times New Roman" w:eastAsia="Times New Roman" w:hAnsi="Times New Roman" w:cs="Times New Roman"/>
          <w:color w:val="000000" w:themeColor="text1"/>
          <w:sz w:val="24"/>
          <w:szCs w:val="24"/>
        </w:rPr>
        <w:t xml:space="preserve"> 5</w:t>
      </w:r>
      <w:r w:rsidR="00410D85" w:rsidRPr="00024E20">
        <w:rPr>
          <w:rFonts w:ascii="Times New Roman" w:eastAsia="Times New Roman" w:hAnsi="Times New Roman" w:cs="Times New Roman"/>
          <w:color w:val="000000" w:themeColor="text1"/>
          <w:sz w:val="24"/>
          <w:szCs w:val="24"/>
        </w:rPr>
        <w:t>8</w:t>
      </w:r>
      <w:r w:rsidRPr="00024E20">
        <w:rPr>
          <w:rFonts w:ascii="Times New Roman" w:eastAsia="Times New Roman" w:hAnsi="Times New Roman" w:cs="Times New Roman"/>
          <w:color w:val="000000" w:themeColor="text1"/>
          <w:sz w:val="24"/>
          <w:szCs w:val="24"/>
        </w:rPr>
        <w:t xml:space="preserve">% of British Servicewomen (unpublished) and </w:t>
      </w:r>
      <w:r w:rsidR="002F7F90" w:rsidRPr="00024E20">
        <w:rPr>
          <w:rFonts w:ascii="Times New Roman" w:eastAsia="Times New Roman" w:hAnsi="Times New Roman" w:cs="Times New Roman"/>
          <w:color w:val="000000" w:themeColor="text1"/>
          <w:sz w:val="24"/>
          <w:szCs w:val="24"/>
        </w:rPr>
        <w:t>50</w:t>
      </w:r>
      <w:r w:rsidRPr="00024E20">
        <w:rPr>
          <w:rFonts w:ascii="Times New Roman" w:eastAsia="Times New Roman" w:hAnsi="Times New Roman" w:cs="Times New Roman"/>
          <w:color w:val="000000" w:themeColor="text1"/>
          <w:sz w:val="24"/>
          <w:szCs w:val="24"/>
        </w:rPr>
        <w:t>% of elite female UK athletes</w:t>
      </w:r>
      <w:r w:rsidR="005F1ACB" w:rsidRPr="00024E20">
        <w:rPr>
          <w:rFonts w:ascii="Times New Roman" w:eastAsia="Times New Roman" w:hAnsi="Times New Roman" w:cs="Times New Roman"/>
          <w:color w:val="000000" w:themeColor="text1"/>
          <w:sz w:val="24"/>
          <w:szCs w:val="24"/>
        </w:rPr>
        <w:t xml:space="preserve"> </w:t>
      </w:r>
      <w:r w:rsidR="005F1ACB" w:rsidRPr="00024E20">
        <w:rPr>
          <w:rFonts w:ascii="Times New Roman" w:eastAsia="Times New Roman" w:hAnsi="Times New Roman" w:cs="Times New Roman"/>
          <w:color w:val="000000" w:themeColor="text1"/>
          <w:sz w:val="24"/>
          <w:szCs w:val="24"/>
        </w:rPr>
        <w:fldChar w:fldCharType="begin"/>
      </w:r>
      <w:r w:rsidR="005F1ACB" w:rsidRPr="00024E20">
        <w:rPr>
          <w:rFonts w:ascii="Times New Roman" w:eastAsia="Times New Roman" w:hAnsi="Times New Roman" w:cs="Times New Roman"/>
          <w:color w:val="000000" w:themeColor="text1"/>
          <w:sz w:val="24"/>
          <w:szCs w:val="24"/>
        </w:rPr>
        <w:instrText xml:space="preserve"> ADDIN ZOTERO_ITEM CSL_CITATION {"citationID":"C7hbfF0r","properties":{"formattedCitation":"(1)","plainCitation":"(1)","noteIndex":0},"citationItems":[{"id":5363,"uris":["http://zotero.org/users/6787375/items/MESRMK3Y"],"itemData":{"id":5363,"type":"article-journal","abstract":"PURPOSE: To identify the period prevalence of hormonal contraceptive (HC) use and characterize the perceived side effects associated with the menstrual cycle and HC use. METHODS: A total of 430 elite female athletes completed a questionnaire to assess the period prevalence of HC use, the reasons for initiation and discontinuation of HCs, and the side effects experienced by HC and non-HC users. Descriptive statistics, between-groups comparisons, and associations between categorical variables were calculated. RESULTS: Of athletes studied, 49.5% were currently using HCs and 69.8% had used HCs at some point. Combined oral contraceptives were most commonly used (68.1%), with 30.0% using progestin-only contraceptives (implant = 13.1%, injection = 3.7%, and intrauterine system = 2.8%). Perceived negative side effects were more common with progestin-only HC use (39.1%) compared with combined-HC use (17.8%; P = .001) and were most prevalent in implant users (53.6%; P = .004). HC users reported perceived positive side effects relating to their ability to predict and/or manipulate the timing, frequency, and amount of menstrual bleeding. Non-HC users had a menstrual cycle length of 29 (5) d and 77.4% reported negative side effects during their menstrual cycle, primarily during days 1-2 of menstruation (81.6%). CONCLUSIONS: Approximately half of elite athletes used HCs, and progestin-only contraceptive users reported greater incidences of negative side effects, especially with the implant. Because of the high interindividual variability in reported side effects, athletes and practitioners should maintain an open dialogue to pursue the best interests of the athlete.","container-title":"Int J Sports Physiol Perform","DOI":"10.1123/ijspp.2017-0330","ISSN":"1555-0273 (Electronic) 1555-0265 (Linking)","issue":"7","journalAbbreviation":"International journal of sports physiology and performance","page":"926-932","title":"Period Prevalence and Perceived Side Effects of Hormonal Contraceptive Use and the Menstrual Cycle in Elite Athletes","volume":"13","author":[{"family":"Martin","given":"D."},{"family":"Sale","given":"C."},{"family":"Cooper","given":"S. B."},{"family":"Elliott-Sale","given":"K. J."}],"issued":{"date-parts":[["2018",8,1]]}}}],"schema":"https://github.com/citation-style-language/schema/raw/master/csl-citation.json"} </w:instrText>
      </w:r>
      <w:r w:rsidR="005F1ACB"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(1)</w:t>
      </w:r>
      <w:r w:rsidR="005F1ACB"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w:t>
      </w:r>
      <w:r w:rsidR="00AD7A19" w:rsidRPr="00024E20">
        <w:rPr>
          <w:rFonts w:ascii="Times New Roman" w:eastAsia="Times New Roman" w:hAnsi="Times New Roman" w:cs="Times New Roman"/>
          <w:color w:val="000000" w:themeColor="text1"/>
          <w:sz w:val="24"/>
          <w:szCs w:val="24"/>
        </w:rPr>
        <w:t xml:space="preserve">use </w:t>
      </w:r>
      <w:r w:rsidRPr="00024E20">
        <w:rPr>
          <w:rFonts w:ascii="Times New Roman" w:eastAsia="Times New Roman" w:hAnsi="Times New Roman" w:cs="Times New Roman"/>
          <w:color w:val="000000" w:themeColor="text1"/>
          <w:sz w:val="24"/>
          <w:szCs w:val="24"/>
        </w:rPr>
        <w:t>hormonal contracepti</w:t>
      </w:r>
      <w:r w:rsidR="00AD7A19" w:rsidRPr="00024E20">
        <w:rPr>
          <w:rFonts w:ascii="Times New Roman" w:eastAsia="Times New Roman" w:hAnsi="Times New Roman" w:cs="Times New Roman"/>
          <w:color w:val="000000" w:themeColor="text1"/>
          <w:sz w:val="24"/>
          <w:szCs w:val="24"/>
        </w:rPr>
        <w:t>ves</w:t>
      </w:r>
      <w:r w:rsidRPr="00024E20">
        <w:rPr>
          <w:rFonts w:ascii="Times New Roman" w:eastAsia="Times New Roman" w:hAnsi="Times New Roman" w:cs="Times New Roman"/>
          <w:color w:val="000000" w:themeColor="text1"/>
          <w:sz w:val="24"/>
          <w:szCs w:val="24"/>
        </w:rPr>
        <w:t xml:space="preserve"> compared with 34% of the</w:t>
      </w:r>
      <w:r w:rsidR="00525EEE" w:rsidRPr="00024E20">
        <w:rPr>
          <w:rFonts w:ascii="Times New Roman" w:eastAsia="Times New Roman" w:hAnsi="Times New Roman" w:cs="Times New Roman"/>
          <w:color w:val="000000" w:themeColor="text1"/>
          <w:sz w:val="24"/>
          <w:szCs w:val="24"/>
        </w:rPr>
        <w:t xml:space="preserve"> UK</w:t>
      </w:r>
      <w:r w:rsidRPr="00024E20">
        <w:rPr>
          <w:rFonts w:ascii="Times New Roman" w:eastAsia="Times New Roman" w:hAnsi="Times New Roman" w:cs="Times New Roman"/>
          <w:color w:val="000000" w:themeColor="text1"/>
          <w:sz w:val="24"/>
          <w:szCs w:val="24"/>
        </w:rPr>
        <w:t xml:space="preserve"> general population </w:t>
      </w:r>
      <w:r w:rsidR="005F1ACB" w:rsidRPr="00024E20">
        <w:rPr>
          <w:rFonts w:ascii="Times New Roman" w:eastAsia="Times New Roman" w:hAnsi="Times New Roman" w:cs="Times New Roman"/>
          <w:color w:val="000000" w:themeColor="text1"/>
          <w:sz w:val="24"/>
          <w:szCs w:val="24"/>
        </w:rPr>
        <w:fldChar w:fldCharType="begin"/>
      </w:r>
      <w:r w:rsidR="005F1ACB" w:rsidRPr="00024E20">
        <w:rPr>
          <w:rFonts w:ascii="Times New Roman" w:eastAsia="Times New Roman" w:hAnsi="Times New Roman" w:cs="Times New Roman"/>
          <w:color w:val="000000" w:themeColor="text1"/>
          <w:sz w:val="24"/>
          <w:szCs w:val="24"/>
        </w:rPr>
        <w:instrText xml:space="preserve"> ADDIN ZOTERO_ITEM CSL_CITATION {"citationID":"pN4mtmYY","properties":{"formattedCitation":"(2)","plainCitation":"(2)","noteIndex":0},"citationItems":[{"id":8163,"uris":["http://zotero.org/users/6787375/items/VUMXID5D"],"itemData":{"id":8163,"type":"article-journal","abstract":"OBJECTIVE: To determine prescription contraceptive use in the UK.\nDESIGN: Observational study using a primary care database.\nSETTING: The Health Improvement Network (THIN).\nPOPULATION: Women in THIN aged 12-49 years in 2008, registered with their primary care doctor for at least 5 years, and with a prescription history of at least 1 year were included.\nMETHODS: THIN was searched using the Read and MULTILEX codes for the following methods: combined oral contraceptives (COCs), progestogen-only pills (POPs), copper intrauterine devices (Cu-IUDs), the levonorgestrel-releasing intrauterine system (LNG-IUS), progestogen-only implants, progestogen-only injections, and contraceptive patches.\nMAIN OUTCOME MEASURES: Prevalence, switching, and duration of prescriptions.\nRESULTS: A cohort of 194 054 women was identified. The prevalence of contraceptive use was: COCs, 16.2% (95% confidence interval, 95% CI 16.1-16.3%); POPs, 5.6% (95% CI 5.5-5.6%); Cu-IUD, 4.5% (95% CI 4.4-4.5%); LNG-IUS, 4.2% (95% CI 4.1-4.2%); progestogen-only implants, 1.5% (95% CI 1.5-1.6%); progestogen-only injections, 2.4% (95% CI 2.3-2.4%); and contraceptive patches, 0.1% (95% CI 0.1-0.2%). Within 1 year, 9.8% of new COC users switched to alternative COCs, and 9.0% changed to a different method. Among new COC users who did not switch method, 34.8% did not continue use beyond 3 months, and were no longer using a prescription contraceptive.\nCONCLUSIONS: Among users of oral contraceptives who did not switch method, over one-third did not continue use beyond 3 months. This supports current UK guidelines recommending a follow-up consultation with a healthcare professional 3 months after the first prescription of COCs.","container-title":"BJOG: an international journal of obstetrics and gynaecology","DOI":"10.1111/1471-0528.12465","ISSN":"1471-0528","issue":"1","journalAbbreviation":"BJOG","language":"eng","note":"PMID: 24118863","page":"53-60; discussion 60-61","source":"PubMed","title":"Use of prescription contraceptive methods in the UK general population: a primary care study","title-short":"Use of prescription contraceptive methods in the UK general population","volume":"121","author":[{"family":"Cea-Soriano","given":"L."},{"family":"García Rodríguez","given":"L. A."},{"family":"Machlitt","given":"A."},{"family":"Wallander","given":"M.-A."}],"issued":{"date-parts":[["2014",1]]}}}],"schema":"https://github.com/citation-style-language/schema/raw/master/csl-citation.json"} </w:instrText>
      </w:r>
      <w:r w:rsidR="005F1ACB"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(2)</w:t>
      </w:r>
      <w:r w:rsidR="005F1ACB"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Hormonal contraceptives contain synthetic oestradiol (ethinyl oestradiol) and / or progest</w:t>
      </w:r>
      <w:r w:rsidR="0025614D" w:rsidRPr="00024E20">
        <w:rPr>
          <w:rFonts w:ascii="Times New Roman" w:eastAsia="Times New Roman" w:hAnsi="Times New Roman" w:cs="Times New Roman"/>
          <w:color w:val="000000" w:themeColor="text1"/>
          <w:sz w:val="24"/>
          <w:szCs w:val="24"/>
        </w:rPr>
        <w:t xml:space="preserve">ogens </w:t>
      </w:r>
      <w:r w:rsidRPr="00024E20">
        <w:rPr>
          <w:rFonts w:ascii="Times New Roman" w:eastAsia="Times New Roman" w:hAnsi="Times New Roman" w:cs="Times New Roman"/>
          <w:color w:val="000000" w:themeColor="text1"/>
          <w:sz w:val="24"/>
          <w:szCs w:val="24"/>
        </w:rPr>
        <w:t xml:space="preserve">(progestins), which </w:t>
      </w:r>
      <w:r w:rsidR="00C6028D" w:rsidRPr="00024E20">
        <w:rPr>
          <w:rFonts w:ascii="Times New Roman" w:eastAsia="Times New Roman" w:hAnsi="Times New Roman" w:cs="Times New Roman"/>
          <w:color w:val="000000" w:themeColor="text1"/>
          <w:sz w:val="24"/>
          <w:szCs w:val="24"/>
        </w:rPr>
        <w:t xml:space="preserve">can </w:t>
      </w:r>
      <w:r w:rsidRPr="00024E20">
        <w:rPr>
          <w:rFonts w:ascii="Times New Roman" w:eastAsia="Times New Roman" w:hAnsi="Times New Roman" w:cs="Times New Roman"/>
          <w:color w:val="000000" w:themeColor="text1"/>
          <w:sz w:val="24"/>
          <w:szCs w:val="24"/>
        </w:rPr>
        <w:t>suppress the hypothalamic</w:t>
      </w:r>
      <w:r w:rsidR="00570CB4"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pituitary</w:t>
      </w:r>
      <w:r w:rsidR="00570CB4"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ovarian axis and lower endogenous </w:t>
      </w:r>
      <w:r w:rsidR="00570CB4" w:rsidRPr="00024E20">
        <w:rPr>
          <w:rFonts w:ascii="Times New Roman" w:eastAsia="Times New Roman" w:hAnsi="Times New Roman" w:cs="Times New Roman"/>
          <w:color w:val="000000" w:themeColor="text1"/>
          <w:sz w:val="24"/>
          <w:szCs w:val="24"/>
        </w:rPr>
        <w:t>17</w:t>
      </w:r>
      <w:r w:rsidR="00570CB4" w:rsidRPr="00024E20">
        <w:rPr>
          <w:rFonts w:ascii="Times New Roman" w:eastAsia="Times New Roman" w:hAnsi="Times New Roman" w:cs="Times New Roman"/>
          <w:color w:val="000000" w:themeColor="text1"/>
          <w:sz w:val="24"/>
          <w:szCs w:val="24"/>
        </w:rPr>
        <w:sym w:font="Symbol" w:char="F062"/>
      </w:r>
      <w:r w:rsidR="00570CB4"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oestradiol</w:t>
      </w:r>
      <w:r w:rsidR="006928F3" w:rsidRPr="00024E20">
        <w:rPr>
          <w:rFonts w:ascii="Times New Roman" w:eastAsia="Times New Roman" w:hAnsi="Times New Roman" w:cs="Times New Roman"/>
          <w:color w:val="000000" w:themeColor="text1"/>
          <w:sz w:val="24"/>
          <w:szCs w:val="24"/>
        </w:rPr>
        <w:t xml:space="preserve"> </w:t>
      </w:r>
      <w:r w:rsidR="006928F3"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{"citationID":"BH602wjk","properties":{"formattedCitation":"(3, 4)","plainCitation":"(3, 4)","noteIndex":0},"citationItems":[{"id":1672,"uris":["http://zotero.org/groups/2537978/items/PX3HCGVC"],"itemData":{"id":1672,"type":"article-journal","abstract":"Oral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006928F3"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(3, 4)</w:t>
      </w:r>
      <w:r w:rsidR="006928F3" w:rsidRPr="00024E20">
        <w:rPr>
          <w:rFonts w:ascii="Times New Roman" w:eastAsia="Times New Roman" w:hAnsi="Times New Roman" w:cs="Times New Roman"/>
          <w:color w:val="000000" w:themeColor="text1"/>
          <w:sz w:val="24"/>
          <w:szCs w:val="24"/>
        </w:rPr>
        <w:fldChar w:fldCharType="end"/>
      </w:r>
      <w:r w:rsidR="002F7F90" w:rsidRPr="00024E20">
        <w:rPr>
          <w:rFonts w:ascii="Times New Roman" w:eastAsia="Times New Roman" w:hAnsi="Times New Roman" w:cs="Times New Roman"/>
          <w:color w:val="000000" w:themeColor="text1"/>
          <w:sz w:val="24"/>
          <w:szCs w:val="24"/>
        </w:rPr>
        <w:t>. W</w:t>
      </w:r>
      <w:r w:rsidR="004A5C7E" w:rsidRPr="00024E20">
        <w:rPr>
          <w:rFonts w:ascii="Times New Roman" w:eastAsia="Times New Roman" w:hAnsi="Times New Roman" w:cs="Times New Roman"/>
          <w:color w:val="000000" w:themeColor="text1"/>
          <w:sz w:val="24"/>
          <w:szCs w:val="24"/>
        </w:rPr>
        <w:t>hilst both the combined oral contrace</w:t>
      </w:r>
      <w:r w:rsidR="002F7F90" w:rsidRPr="00024E20">
        <w:rPr>
          <w:rFonts w:ascii="Times New Roman" w:eastAsia="Times New Roman" w:hAnsi="Times New Roman" w:cs="Times New Roman"/>
          <w:color w:val="000000" w:themeColor="text1"/>
          <w:sz w:val="24"/>
          <w:szCs w:val="24"/>
        </w:rPr>
        <w:t>p</w:t>
      </w:r>
      <w:r w:rsidR="004A5C7E" w:rsidRPr="00024E20">
        <w:rPr>
          <w:rFonts w:ascii="Times New Roman" w:eastAsia="Times New Roman" w:hAnsi="Times New Roman" w:cs="Times New Roman"/>
          <w:color w:val="000000" w:themeColor="text1"/>
          <w:sz w:val="24"/>
          <w:szCs w:val="24"/>
        </w:rPr>
        <w:t>tive pill (COCP) and progestin-only contraceptives (POC) lower endogenous oestradiol, COCP</w:t>
      </w:r>
      <w:r w:rsidR="002F7F90" w:rsidRPr="00024E20">
        <w:rPr>
          <w:rFonts w:ascii="Times New Roman" w:eastAsia="Times New Roman" w:hAnsi="Times New Roman" w:cs="Times New Roman"/>
          <w:color w:val="000000" w:themeColor="text1"/>
          <w:sz w:val="24"/>
          <w:szCs w:val="24"/>
        </w:rPr>
        <w:t>s</w:t>
      </w:r>
      <w:r w:rsidR="004A5C7E" w:rsidRPr="00024E20">
        <w:rPr>
          <w:rFonts w:ascii="Times New Roman" w:eastAsia="Times New Roman" w:hAnsi="Times New Roman" w:cs="Times New Roman"/>
          <w:color w:val="000000" w:themeColor="text1"/>
          <w:sz w:val="24"/>
          <w:szCs w:val="24"/>
        </w:rPr>
        <w:t xml:space="preserve"> provide</w:t>
      </w:r>
      <w:r w:rsidR="00B205EE" w:rsidRPr="00024E20">
        <w:rPr>
          <w:rFonts w:ascii="Times New Roman" w:eastAsia="Times New Roman" w:hAnsi="Times New Roman" w:cs="Times New Roman"/>
          <w:color w:val="000000" w:themeColor="text1"/>
          <w:sz w:val="24"/>
          <w:szCs w:val="24"/>
        </w:rPr>
        <w:t xml:space="preserve"> exogenous</w:t>
      </w:r>
      <w:r w:rsidR="004A5C7E" w:rsidRPr="00024E20">
        <w:rPr>
          <w:rFonts w:ascii="Times New Roman" w:eastAsia="Times New Roman" w:hAnsi="Times New Roman" w:cs="Times New Roman"/>
          <w:color w:val="000000" w:themeColor="text1"/>
          <w:sz w:val="24"/>
          <w:szCs w:val="24"/>
        </w:rPr>
        <w:t xml:space="preserve"> ethinyl oestradiol</w:t>
      </w:r>
      <w:r w:rsidR="00636FC0" w:rsidRPr="00024E20">
        <w:rPr>
          <w:rFonts w:ascii="Times New Roman" w:eastAsia="Times New Roman" w:hAnsi="Times New Roman" w:cs="Times New Roman"/>
          <w:color w:val="000000" w:themeColor="text1"/>
          <w:sz w:val="24"/>
          <w:szCs w:val="24"/>
        </w:rPr>
        <w:t xml:space="preserve"> whereas POCs do not</w:t>
      </w:r>
      <w:r w:rsidR="006928F3" w:rsidRPr="00024E20">
        <w:rPr>
          <w:rFonts w:ascii="Times New Roman" w:eastAsia="Times New Roman" w:hAnsi="Times New Roman" w:cs="Times New Roman"/>
          <w:color w:val="000000" w:themeColor="text1"/>
          <w:sz w:val="24"/>
          <w:szCs w:val="24"/>
        </w:rPr>
        <w:t xml:space="preserve"> </w:t>
      </w:r>
      <w:r w:rsidR="006928F3"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{"citationID":"zebwXCm4","properties":{"formattedCitation":"(3, 4)","plainCitation":"(3, 4)","noteIndex":0},"citationItems":[{"id":1672,"uris":["http://zotero.org/groups/2537978/items/PX3HCGVC"],"itemData":{"id":1672,"type":"article-journal","abstract":"Oral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006928F3"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(3, 4)</w:t>
      </w:r>
      <w:r w:rsidR="006928F3" w:rsidRPr="00024E20">
        <w:rPr>
          <w:rFonts w:ascii="Times New Roman" w:eastAsia="Times New Roman" w:hAnsi="Times New Roman" w:cs="Times New Roman"/>
          <w:color w:val="000000" w:themeColor="text1"/>
          <w:sz w:val="24"/>
          <w:szCs w:val="24"/>
        </w:rPr>
        <w:fldChar w:fldCharType="end"/>
      </w:r>
      <w:r w:rsidR="004A5C7E"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Oestradiol </w:t>
      </w:r>
      <w:r w:rsidR="009E002F" w:rsidRPr="00024E20">
        <w:rPr>
          <w:rFonts w:ascii="Times New Roman" w:eastAsia="Times New Roman" w:hAnsi="Times New Roman" w:cs="Times New Roman"/>
          <w:color w:val="000000" w:themeColor="text1"/>
          <w:sz w:val="24"/>
          <w:szCs w:val="24"/>
        </w:rPr>
        <w:t xml:space="preserve">has wide spread effects on energy </w:t>
      </w:r>
      <w:r w:rsidR="00E618DD" w:rsidRPr="00024E20">
        <w:rPr>
          <w:rFonts w:ascii="Times New Roman" w:eastAsia="Times New Roman" w:hAnsi="Times New Roman" w:cs="Times New Roman"/>
          <w:color w:val="000000" w:themeColor="text1"/>
          <w:sz w:val="24"/>
          <w:szCs w:val="24"/>
        </w:rPr>
        <w:t xml:space="preserve">metabolism and nervous system, </w:t>
      </w:r>
      <w:r w:rsidR="008B4330" w:rsidRPr="00024E20">
        <w:rPr>
          <w:rFonts w:ascii="Times New Roman" w:eastAsia="Times New Roman" w:hAnsi="Times New Roman" w:cs="Times New Roman"/>
          <w:color w:val="000000" w:themeColor="text1"/>
          <w:sz w:val="24"/>
          <w:szCs w:val="24"/>
        </w:rPr>
        <w:t>cardiovascular</w:t>
      </w:r>
      <w:r w:rsidR="00E618DD"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muscle, ligament, tendon, and bone function</w:t>
      </w:r>
      <w:r w:rsidR="00EC6B73" w:rsidRPr="00024E20">
        <w:rPr>
          <w:rFonts w:ascii="Times New Roman" w:eastAsia="Times New Roman" w:hAnsi="Times New Roman" w:cs="Times New Roman"/>
          <w:color w:val="000000" w:themeColor="text1"/>
          <w:sz w:val="24"/>
          <w:szCs w:val="24"/>
        </w:rPr>
        <w:t xml:space="preserve"> </w:t>
      </w:r>
      <w:r w:rsidR="00EC6B73"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{"citationID":"AgoDH02X","properties":{"formattedCitation":"(5\\uc0\\u8211{}8)","plainCitation":"(5–8)","noteIndex":0},"citationItems":[{"id":2854,"uris":["http://zotero.org/users/6787375/items/L8M2CIX3"],"itemData":{"id":2854,"type":"article-journal","abstract":"Estrogen has a dramatic effect on musculoskeletal function. Beyond the known relationship between estrogen and bone, it directly affects the structure and function of other musculoskeletal tissues such as muscle, tendon, and ligament. In these other musculoskeletal tissues, estrogen improves muscle mass and strength, and increases the collagen content of connective tissues. However, unlike bone and muscle where estrogen improves function, in tendons and ligaments estrogen decreases stiffness, and this directly affects performance and injury rates. High estrogen levels can decrease power and performance and make women more prone for catastrophic ligament injury. The goal of the current work is to review the research that forms the basis of our understanding how estrogen affects muscle, tendon, and ligament and how hormonal manipulation can be used to optimize performance and promote female participation in an active lifestyle at any age.","container-title":"Front Physiol","DOI":"10.3389/fphys.2018.01834","ISSN":"1664-042X (Print) 1664-042X (Linking)","journalAbbreviation":"Frontiers in physiology","note":"PMCID: PMC6341375","page":"1834","title":"Effect of Estrogen on Musculoskeletal Performance and Injury Risk","volume":"9","author":[{"family":"Chidi-Ogbolu","given":"N."},{"family":"Baar","given":"K."}],"issued":{"date-parts":[["2018"]]}}},{"id":2953,"uris":["http://zotero.org/users/6787375/items/5K9BPSGL"],"itemData":{"id":2953,"type":"article-journal","abstract":"Sex steroids are essential for skeletal development and the maintenance of bone health throughout adult life, and estrogen deficiency at menopause is a major pathogenetic factor in the development of osteoporosis in postmenopausal women. The mechanisms by which the skeletal effects of sex steroids are mediated remain incompletely understood, but in recent years there have been considerable advances in our knowledge of how estrogens and, to a lesser extent androgens, influence bone modeling and remodeling in health and disease. New insights into estrogen receptor structure and function, recent discoveries about the development and activity of osteoclasts, and lessons learned from human and animal genetic mutations have all contributed to increased understanding of the skeletal effects of estrogen, both in males and females. Studies of untreated and treated osteoporosis in postmenopausal women have also contributed to this knowledge and have provided unequivocal evidence for the potential of high-dose estrogen therapy to have anabolic skeletal effects. The development of selective estrogen receptor modulators has provided a new approach to the prevention of osteoporosis and other major diseases of menopause and has implications for the therapeutic use of other steroid hormones, including androgens. Further elucidation of the mechanisms by which sex steroids affect bone thus has the potential to improve the clinical management not only of osteoporosis, both in men and women, but also of a number of other diseases related to sex hormone status.","container-title":"Physiol Rev","DOI":"10.1152/physrev.2001.81.1.419","ISSN":"0031-9333 (Print) 0031-9333 (Linking)","issue":"1","journalAbbreviation":"Physiological reviews","page":"419-447","title":"Sex steroids and bone","volume":"81","author":[{"family":"Compston","given":"J. E."}],"issued":{"date-parts":[["2001",1]]}}},{"id":8178,"uris":["http://zotero.org/users/6787375/items/CYQUN9UB"],"itemData":{"id":8178,"type":"chapter","container-title":"Sex Hormones, Exercise and Women","edition":"Second","publisher":"Springer","title":"Sex Hormones and Endurance Exercise in Women: Physiological and Psychological Factors Affecting Performance","author":[{"family":"Minahan","given":"Clare"},{"family":"Sabapathy","given":"Surendran"}]}},{"id":8187,"uris":["http://zotero.org/users/6787375/items/WDBAI5W3"],"itemData":{"id":8187,"type":"chapter","container-title":"Sex Hormones, Exercise and Women","edition":"Second","publisher":"Springer","title":"Sex Hormone Effects on the Nervous System and Their Impact on Muscle Strength and Motor Performance in Women","author":[{"family":"Piirainen","given":"Jarmo M"},{"family":"Nevanpera","given":"Samuli"},{"family":"Tenan","given":"Matthew S"}]}}],"schema":"https://github.com/citation-style-language/schema/raw/master/csl-citation.json"} </w:instrText>
      </w:r>
      <w:r w:rsidR="00EC6B73"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(5–8)</w:t>
      </w:r>
      <w:r w:rsidR="00EC6B73" w:rsidRPr="00024E20">
        <w:rPr>
          <w:rFonts w:ascii="Times New Roman" w:eastAsia="Times New Roman" w:hAnsi="Times New Roman" w:cs="Times New Roman"/>
          <w:color w:val="000000" w:themeColor="text1"/>
          <w:sz w:val="24"/>
          <w:szCs w:val="24"/>
        </w:rPr>
        <w:fldChar w:fldCharType="end"/>
      </w:r>
      <w:r w:rsidR="002F7F90" w:rsidRPr="00024E20">
        <w:rPr>
          <w:rFonts w:ascii="Times New Roman" w:eastAsia="Times New Roman" w:hAnsi="Times New Roman" w:cs="Times New Roman"/>
          <w:color w:val="000000" w:themeColor="text1"/>
          <w:sz w:val="24"/>
          <w:szCs w:val="24"/>
        </w:rPr>
        <w:t>.</w:t>
      </w:r>
      <w:r w:rsidR="009E002F" w:rsidRPr="00024E20">
        <w:rPr>
          <w:rFonts w:ascii="Times New Roman" w:eastAsia="Times New Roman" w:hAnsi="Times New Roman" w:cs="Times New Roman"/>
          <w:color w:val="000000" w:themeColor="text1"/>
          <w:sz w:val="24"/>
          <w:szCs w:val="24"/>
        </w:rPr>
        <w:t xml:space="preserve"> Therefore, hormonal contraceptive</w:t>
      </w:r>
      <w:r w:rsidR="00636FC0" w:rsidRPr="00024E20">
        <w:rPr>
          <w:rFonts w:ascii="Times New Roman" w:eastAsia="Times New Roman" w:hAnsi="Times New Roman" w:cs="Times New Roman"/>
          <w:color w:val="000000" w:themeColor="text1"/>
          <w:sz w:val="24"/>
          <w:szCs w:val="24"/>
        </w:rPr>
        <w:t xml:space="preserve"> type </w:t>
      </w:r>
      <w:r w:rsidR="009E002F" w:rsidRPr="00024E20">
        <w:rPr>
          <w:rFonts w:ascii="Times New Roman" w:eastAsia="Times New Roman" w:hAnsi="Times New Roman" w:cs="Times New Roman"/>
          <w:color w:val="000000" w:themeColor="text1"/>
          <w:sz w:val="24"/>
          <w:szCs w:val="24"/>
        </w:rPr>
        <w:t>may</w:t>
      </w:r>
      <w:r w:rsidR="00636FC0" w:rsidRPr="00024E20">
        <w:rPr>
          <w:rFonts w:ascii="Times New Roman" w:eastAsia="Times New Roman" w:hAnsi="Times New Roman" w:cs="Times New Roman"/>
          <w:color w:val="000000" w:themeColor="text1"/>
          <w:sz w:val="24"/>
          <w:szCs w:val="24"/>
        </w:rPr>
        <w:t xml:space="preserve"> differentially</w:t>
      </w:r>
      <w:r w:rsidR="009E002F" w:rsidRPr="00024E20">
        <w:rPr>
          <w:rFonts w:ascii="Times New Roman" w:eastAsia="Times New Roman" w:hAnsi="Times New Roman" w:cs="Times New Roman"/>
          <w:color w:val="000000" w:themeColor="text1"/>
          <w:sz w:val="24"/>
          <w:szCs w:val="24"/>
        </w:rPr>
        <w:t xml:space="preserve"> influence physical performance, body composition, and musculoskeletal injury risk in active women </w:t>
      </w:r>
      <w:r w:rsidR="009E002F" w:rsidRPr="00024E20">
        <w:rPr>
          <w:rFonts w:ascii="Times New Roman" w:eastAsia="Times New Roman" w:hAnsi="Times New Roman" w:cs="Times New Roman"/>
          <w:color w:val="000000" w:themeColor="text1"/>
          <w:sz w:val="24"/>
          <w:szCs w:val="24"/>
        </w:rPr>
        <w:fldChar w:fldCharType="begin"/>
      </w:r>
      <w:r w:rsidR="009E002F" w:rsidRPr="00024E20">
        <w:rPr>
          <w:rFonts w:ascii="Times New Roman" w:eastAsia="Times New Roman" w:hAnsi="Times New Roman" w:cs="Times New Roman"/>
          <w:color w:val="000000" w:themeColor="text1"/>
          <w:sz w:val="24"/>
          <w:szCs w:val="24"/>
        </w:rPr>
        <w:instrText xml:space="preserve"> ADDIN ZOTERO_ITEM CSL_CITATION {"citationID":"e8gOycFT","properties":{"formattedCitation":"(3, 9\\uc0\\u8211{}12)","plainCitation":"(3, 9–12)","noteIndex":0},"citationItems":[{"id":8176,"uris":["http://zotero.org/users/6787375/items/KGJGEMUF"],"itemData":{"id":8176,"type":"article-journal","abstract":"Abstract Hormonal contraceptives are used by approximately half of female athletes and may affect athletic performance as a result of their action on the endogenous hormonal milieu. In athletes, hormonal contraceptive use appears to have little effect on body composition, however further studies are needed assessing progestin-only contraceptives as they may have a negative effect in the general population. The type of progestin contained within the contraceptive may influence the anabolic response of muscle to loading although this relationship is complex as it may be due to either direct or indirect effects of exogenous hormones on protein synthesis and satellite cell proliferation. The altered hormonal milieu in hormonal contraceptive users has predominately been shown to have no effect on muscle strength and whilst maximal oxygen uptake is sometimes reduced, this does not translate into measures of performance. The majority of previous research has used cross-sectional designs and/or grouped together different types and brands of hormonal contraceptives and little research has been conducted on progestin-only contraceptives in athletes. Future research should use prospective, randomised-controlled designs to assess the effects of all types of hormonal contraceptives on athletic performance in females.\n          , \n            Resumo Os métodos contraceptivos hormonais são usados por aproximadamente metade das atletas do sexo feminino e podem afetar o desempenho atlético como resultado de sua ação hormonal sistêmica. Nas atletas, o uso de anticoncepcionais parece ter pouco efeito sobre a composição corporal, porém novos estudos são necessários para avaliar os efeitos dos contraceptivos derivados apenas de progestina, pois podem ter um efeito negativo na população em geral. O tipo de progestina contido dentro do contraceptivo pode influenciar a resposta anabólica do músculo, embora esta relação seja complexa em virtude dos efeitos diretos ou indiretos de hormônios exógenos na síntese da proteína e na proliferação das células satélites. A resposta sistêmica hormonal alterada em usuárias de contraceptivos parece não influenciar a força muscular e, embora o consumo máximo de oxigênio às vezes seja reduzida, isso não afeta as medidas de desempenho. A maioria das pesquisas utilizou desenhos transversais e/ou agrupou diferentes tipos e marcas de anticoncepcionais hormonais e poucos estudos têm sido realizada sobre anticoncepcionais com progestina em atletas. Futuros estudos devem usar desenhos experimentais prospectivos, randomizados e controlados para avaliar os efeitos de todos os tipos de contraceptivos hormonais no desempenho atlético em mulheres.","container-title":"Revista Brasileira de Educação Física e Esporte","DOI":"10.1590/1807-55092016000401087","ISSN":"1807-5509","issue":"4","journalAbbreviation":"Rev. bras. educ. fís. esporte","page":"1087-1096","source":"DOI.org (Crossref)","title":"A perspective on current research investigating the effects of hormonal contraceptives on determinants of female athlete performance","volume":"30","author":[{"family":"Martin","given":"Daniel"},{"family":"Elliott-Sale","given":"Kirsty"},{"literal":"Nottingham Trent University, United Kingdom"}],"issued":{"date-parts":[["2016",12]]}}},{"id":1672,"uris":["http://zotero.org/groups/2537978/items/PX3HCGVC"],"itemData":{"id":1672,"type":"article-journal","abstract":"Oral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A."},{"family":"Dolan","given":"Eimear"}],"issued":{"date-parts":[["2020",10,1]]}}},{"id":8179,"uris":["http://zotero.org/users/6787375/items/BYM6TSYU"],"itemData":{"id":8179,"type":"article-journal","abstract":"Abstract\n            \n              Background\n              Resistance exercise training is widely used by general and athletic populations to increase skeletal muscle hypertrophy, power and strength. Endogenous sex hormones influence various bodily functions, including possibly exercise performance, and may influence adaptive changes in response to exercise training. Hormonal contraceptive (HC) use modulates the profile of endogenous sex hormones, and therefore, there is increasing interest in the impact, if any, of HC use on adaptive responses to resistance exercise training.\n            \n            \n              Objective\n              Our aim is to provide a quantitative synthesis of the effect of HC use on skeletal muscle hypertrophy, power and strength adaptations in response to resistance exercise training.\n            \n            \n              Methods\n              A systematic review with meta-analysis was conducted on experimental studies which directly compared skeletal muscle hypertrophy, power and strength adaptations following resistance exercise training in hormonal contraceptive users and non-users conducted before July 2023. The search using the online databases PUBMED, SPORTDiscus, Web of Science, Embase and other supplementary search strategies yielded 4669 articles, with 8 articles (54 effects and 325 participants) meeting the inclusion criteria. The methodological quality of the included studies was assessed using the “Tool for the assessment of study quality and reporting in exercise”.\n            \n            \n              Results\n              \n                All included studies investigated the influence of oral contraceptive pills (OCP), with no study including participants using other forms of HC. The articles were analysed using a meta-analytic multilevel maximum likelihood estimator model. The results indicate that OCP use does not have a significant effect on hypertrophy [0.01, 95% confidence interval (CI) [− 0.11, 0.13],\n                t\n                 = 0.14,\n                p\n                 = 0.90), power (− 0.04, 95% CI [− 0.93, 0.84],\n                t\n                 =  − 0.29,\n                p\n                 = 0.80) or strength (0.10, 95% CI [− 0.08, 0.28],\n                t\n                 = 1.48,\n                p\n                 = 0.20).\n              \n            \n            \n              Discussion\n              Based on the present analysis, there is no evidence-based rationale to advocate for or against the use of OCPs in females partaking in resistance exercise training to increase hypertrophy, power and/or strength. Rather, an individualised approach considering an individual’s response to OCPs, their reasons for use and menstrual cycle history may be more appropriate.\n            \n            \n              Registration\n              The review protocol was registered on PROSPERO (ID number and hyperlink: CRD42022365677).","container-title":"Sports Medicine","DOI":"10.1007/s40279-023-01911-3","ISSN":"0112-1642, 1179-2035","issue":"1","journalAbbreviation":"Sports Med","language":"en","page":"105-125","source":"DOI.org (Crossref)","title":"The Effect of Hormonal Contraceptive Use on Skeletal Muscle Hypertrophy, Power and Strength Adaptations to Resistance Exercise Training: A Systematic Review and Multilevel Meta-analysis","title-short":"The Effect of Hormonal Contraceptive Use on Skeletal Muscle Hypertrophy, Power and Strength Adaptations to Resistance Exercise Training","volume":"54","author":[{"family":"Nolan","given":"David"},{"family":"McNulty","given":"Kelly L."},{"family":"Manninen","given":"Mika"},{"family":"Egan","given":"Brendan"}],"issued":{"date-parts":[["2024",1]]}}},{"id":8181,"uris":["http://zotero.org/users/6787375/items/U4YEVKP7"],"itemData":{"id":8181,"type":"article-journal","abstract":"Objective\n              Assess the association between combined hormonal contraceptives (CHC) use and musculoskeletal tissue pathophysiology, injuries or conditions.\n            \n            \n              Design\n              Systematic review with semiquantitative analyses and certainty of evidence assessment, guided by the Grading of Recommendations Assessment, Development and Evaluation approach.\n            \n            \n              Data Sources\n              MEDLINE, EMBASE, CENTRAL, SPORTDiscus, CINAHL searched from inception to April 2022.\n            \n            \n              Eligibility\n              Intervention and cohort studies that assessed the association between new or ongoing use of CHC and an outcome of musculoskeletal tissue pathophysiology, injury or condition in postpubertal premenopausal females.\n            \n            \n              Results\n              Across 50 included studies, we assessed the effect of CHC use on 30 unique musculoskeletal outcomes (75% bone related). Serious risk of bias was judged present in 82% of studies, with 52% adequately adjusting for confounding. Meta-analyses were not possible due to poor outcome reporting, and heterogeneity in estimate statistics and comparison conditions. Based on semiquantitative synthesis, there is low certainty evidence that CHC use was associated with elevated future fracture risk (risk ratio 1.02–1.20) and total knee arthroplasty (risk ratio 1.00–1.36). There is very low certainty evidence of unclear relationships between CHC use and a wide range of bone turnover and bone health outcomes. Evidence about the effect of CHC use on musculoskeletal tissues beyond bone, and the influence of CHC use in adolescence versus adulthood, is limited.\n            \n            \n              Conclusion\n              Given a paucity of high certainty evidence that CHC use is protective against musculoskeletal pathophysiology, injury or conditions, it is premature and inappropriate to advocate, or prescribe CHC for these purposes.\n            \n            \n              PROSPERO registration number\n              This review was registered on PROSPERO CRD42021224582 on 8 January 2021.","container-title":"British Journal of Sports Medicine","DOI":"10.1136/bjsports-2022-106519","ISSN":"0306-3674, 1473-0480","issue":"18","journalAbbreviation":"Br J Sports Med","language":"en","page":"1195-1202","source":"DOI.org (Crossref)","title":"Combined hormonal contraceptive use is not protective against musculoskeletal conditions or injuries: a systematic review with data from 5 million females","title-short":"Combined hormonal contraceptive use is not protective against musculoskeletal conditions or injuries","volume":"57","author":[{"family":"White","given":"Lynita"},{"family":"Losciale","given":"Justin M"},{"family":"Squier","given":"Kipling"},{"family":"Guy","given":"Sarah"},{"family":"Scott","given":"Alex"},{"family":"Prior","given":"Jerilynn C"},{"family":"Whittaker","given":"Jackie L"}],"issued":{"date-parts":[["2023",9]]}}},{"id":8190,"uris":["http://zotero.org/users/6787375/items/L5KKZM7I"],"itemData":{"id":8190,"type":"article-journal","container-title":"Orthopaedic Journal of Sports Medicine","DOI":"10.1177/2325967119831061","ISSN":"2325-9671, 2325-9671","issue":"3","journalAbbreviation":"Orthopaedic Journal of Sports Medicine","language":"en","page":"232596711983106","source":"DOI.org (Crossref)","title":"Effect of Oral Contraceptives on Soft Tissue Injury Risk, Soft Tissue Laxity, and Muscle Strength: A Systematic Review of the Literature","title-short":"Effect of Oral Contraceptives on Soft Tissue Injury Risk, Soft Tissue Laxity, and Muscle Strength","volume":"7","author":[{"family":"Konopka","given":"Jaclyn A."},{"family":"Hsue","given":"Lauren J."},{"family":"Dragoo","given":"Jason L."}],"issued":{"date-parts":[["2019",3]]}}}],"schema":"https://github.com/citation-style-language/schema/raw/master/csl-citation.json"} </w:instrText>
      </w:r>
      <w:r w:rsidR="009E002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(3, 9–12)</w:t>
      </w:r>
      <w:r w:rsidR="009E002F" w:rsidRPr="00024E20">
        <w:rPr>
          <w:rFonts w:ascii="Times New Roman" w:eastAsia="Times New Roman" w:hAnsi="Times New Roman" w:cs="Times New Roman"/>
          <w:color w:val="000000" w:themeColor="text1"/>
          <w:sz w:val="24"/>
          <w:szCs w:val="24"/>
        </w:rPr>
        <w:fldChar w:fldCharType="end"/>
      </w:r>
      <w:r w:rsidR="009E002F" w:rsidRPr="00024E20">
        <w:rPr>
          <w:rFonts w:ascii="Times New Roman" w:eastAsia="Times New Roman" w:hAnsi="Times New Roman" w:cs="Times New Roman"/>
          <w:color w:val="000000" w:themeColor="text1"/>
          <w:sz w:val="24"/>
          <w:szCs w:val="24"/>
        </w:rPr>
        <w:t xml:space="preserve">. </w:t>
      </w:r>
      <w:r w:rsidR="00B0769B" w:rsidRPr="00024E20">
        <w:rPr>
          <w:rFonts w:ascii="Times New Roman" w:eastAsia="Times New Roman" w:hAnsi="Times New Roman" w:cs="Times New Roman"/>
          <w:color w:val="000000" w:themeColor="text1"/>
          <w:sz w:val="24"/>
          <w:szCs w:val="24"/>
        </w:rPr>
        <w:t xml:space="preserve">Basic military training prepares recruits for the demands of military service and is physically arduous, more so for female recruits than male recruits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{"citationID":"CsaGSRhc","properties":{"formattedCitation":"(13\\uc0\\u8211{}15)","plainCitation":"(13–15)","noteIndex":0},"citationItems":[{"id":6002,"uris":["http://zotero.org/users/6787375/items/M2C5VEPR"],"itemData":{"id":6002,"type":"article-journal","abstract":"PURPOSE: To compare training loads between men and women during 14 wk of British Army standard entry basic training. METHODS: Thirty-one male (mean +/- SD: age, 21 +/- 4 yr; height, 1.78 +/- 0.08 m; mass, 77.1 +/- 10.5 kg) and 28 female (age, 22 +/- 4 yr; height, 1.65 +/- 0.05 m; mass, 63.9 +/- 8.9 kg) British Army recruits had external (distance) and internal (HR, training impulse [TRIMP], RPE) training loads measured during weeks 1, 2, 6, 12, and 13 of basic training. Total energy expenditure was measured during weeks 1 to 2 and weeks 12 to 13. RESULTS: Daily distance was higher for men than women (13,508 +/- 666 vs 11,866 +/- 491 m, respectively, P &lt; 0.001). Average daily HR (29% +/- 3% vs 30% +/- 3% HR reserve) and RPE (4 +/- 1 vs 4 +/- 1) were not different between men and women, respectively (P &gt;/= 0.495). Daily TRIMP was higher for women than men (492 +/- 130 vs 261 +/- 145 au, respectively, P &lt; 0.001). Total energy expenditure was higher for men than women during weeks 1 to 2 (4020 +/- 620 vs 2847 +/- 323 kcal.d, respectively) and weeks 12 to 13 (4253 +/- 556 kcal.d vs 3390 +/- 344 kcal.d, respectively) (P &lt; 0.001). Daily RPE, HR, and TRIMP were related to daily distance (R = 0.18-0.57, P &lt;/= 0.037), and daily RPE was related to daily TRIMP and HR (R = 0.37-0.77, P &lt;/= 0.001). CONCLUSIONS: Sex differences in training loads could contribute to the greater injury risk for women during basic training. Daily RPE appears a practical option for measuring internal training load during military training.","container-title":"Med Sci Sports Exerc","DOI":"10.1249/MSS.0000000000001716","ISSN":"1530-0315 (Electronic) 0195-9131 (Linking)","issue":"12","journalAbbreviation":"Medicine and science in sports and exercise","page":"2565-2574","title":"Sex Differences in Training Loads during British Army Basic Training","volume":"50","author":[{"family":"O'Leary","given":"T. J."},{"family":"Saunders","given":"S. C."},{"family":"McGuire","given":"S. J."},{"family":"Venables","given":"M. C."},{"family":"Izard","given":"R. M."}],"issued":{"date-parts":[["2018",12]]}}},{"id":5998,"uris":["http://zotero.org/users/6787375/items/IPF5UP94"],"itemData":{"id":5998,"type":"article-journal","abstract":"OBJECTIVES: Women are resistant to neuromuscular fatigue compared to men in response to a range of exercise tasks. The sex differences in the neuromuscular responses to load carriage have yet to be investigated. DESIGN: Prospective cohort study. METHODS: Twenty-three male and 19 female British Army recruits completed a 9.7km loaded march within 90min, with the weight carried dependent on military trade (16+/-2kg for men and 15+/-1kg for women). Isometric maximal voluntary contraction (MVC) force of the knee extensors and vertical jump (VJ) height were examined pre- and post-loaded march to examine neuromuscular fatigue. Heart rate (HR) was recorded throughout and ratings of perceived exertion (RPE) was recorded following the march. RESULTS: HR was higher for women (173+/-9bmin(-1), 83+/-6% heart rate reserve) than men (158+/-8bmin(-1), 72+/-6% heart rate reserve) (p&lt;/=0.001). RPE following the march was also higher for women than men (6+/-2 vs 4+/-2, respectively, p&lt;0.001). The loss in MVC force was greater for men than women (-12+/-9% vs -9+/-13%, respectively, p=0.031), however VJ height was impaired to a similar extent (-5+/-11% vs -5+/-6%, respectively, p=0.582). CONCLUSIONS: The greater physiological stress during load carriage for women compared to men did not translate to a greater severity of knee extensor muscle fatigue, with women demonstrating fatigue resistance.","container-title":"J Sci Med Sport","DOI":"10.1016/j.jsams.2017.10.018","ISSN":"1878-1861 (Electronic) 1878-1861 (Linking)","issue":"6","journalAbbreviation":"Journal of science and medicine in sport / Sports Medicine Australia","page":"591-595","title":"Sex differences in neuromuscular fatigability in response to load carriage in the field in British Army recruits","volume":"21","author":[{"family":"O'Leary","given":"T. J."},{"family":"Saunders","given":"S. C."},{"family":"McGuire","given":"S. J."},{"family":"Izard","given":"R. M."}],"issued":{"date-parts":[["2018",6]]}}},{"id":8136,"uris":["http://zotero.org/users/6787375/items/SJC4F63F"],"itemData":{"id":8136,"type":"article-journal","abstract":"Energy deficits are common in military training and can result in endocrine and metabolic disturbances. This study provides first investigation of sex differences in energy balance, body composition, and endocrine and metabolic markers in response to prolonged and arduous military training. Men experienced greater energy deficits than women due to higher energy expenditure, which was not compensated for by increased energy intake. These energy deficits were not associated with decreases in fat or lean mass or metabolic or endocrine function.\n          , \n            This study investigated sex differences in energy balance, body composition, and metabolic and endocrine markers during prolonged military training. Twenty-three trainees (14 women) completed 44-wk military training (three terms of 14 wk with 2-wk adventurous training). Dietary intake and total energy expenditure were measured over 10 days during each term by weighed food and doubly labeled water. Body composition was measured by dual-energy X-ray absorptiometry (DXA) at baseline and at the end of each term. Circulating metabolic and endocrine markers were measured at baseline and at the end of terms 2 and 3. Absolute energy intake and total energy expenditure were higher, and energy balance was lower, for men than women ( P ≤ 0.008). Absolute energy intake and balance were lower, and total energy expenditure was higher, during term 2 than terms 1 and 3 ( P &lt; 0.001). Lean mass did not change with training ( P = 0.081). Fat mass and body fat increased from term 1 to terms 2 and 3 ( P ≤ 0.045). Leptin increased from baseline to terms 2 and 3 in women ( P ≤ 0.002) but not in men ( P ≥ 0.251). Testosterone and free androgen index increased from baseline to term 3 ( P ≤ 0.018). Free thyroxine (T4) decreased and thyroid-stimulating hormone (TSH) increased from baseline to term 2 and term 3 ( P ≤ 0.031). Cortisol decreased from baseline to term 3 ( P = 0.030). IGF-I and total triiodothyronine (T3) did not change with training ( P ≥ 0.148). Men experienced greater energy deficits than women during military training due to higher total energy expenditure.\n            NEW &amp; NOTEWORTHY Energy deficits are common in military training and can result in endocrine and metabolic disturbances. This study provides first investigation of sex differences in energy balance, body composition, and endocrine and metabolic markers in response to prolonged and arduous military training. Men experienced greater energy deficits than women due to higher energy expenditure, which was not compensated for by increased energy intake. These energy deficits were not associated with decreases in fat or lean mass or metabolic or endocrine function.","container-title":"Journal of Applied Physiology","DOI":"10.1152/japplphysiol.00864.2023","ISSN":"8750-7587, 1522-1601","issue":"4","journalAbbreviation":"Journal of Applied Physiology","language":"en","page":"938-948","source":"DOI.org (Crossref)","title":"Sex differences in energy balance, body composition, and metabolic and endocrine markers during prolonged arduous military training","volume":"136","author":[{"family":"O’Leary","given":"Thomas J."},{"family":"Gifford","given":"Robert M."},{"family":"Knight","given":"Rebecca L."},{"family":"Wright","given":"Jennifer"},{"family":"Handford","given":"Sally"},{"family":"Venables","given":"Michelle C."},{"family":"Reynolds","given":"Rebecca M."},{"family":"Woods","given":"David"},{"family":"Wardle","given":"Sophie L."},{"family":"Greeves","given":"Julie P."}],"issued":{"date-parts":[["2024",4,1]]}}}],"schema":"https://github.com/citation-style-language/schema/raw/master/csl-citation.json"}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(13–15)</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Basic military training improves physical performance </w:t>
      </w:r>
      <w:r w:rsidR="00B0769B" w:rsidRPr="00024E20">
        <w:rPr>
          <w:rFonts w:ascii="Times New Roman" w:eastAsia="Times New Roman" w:hAnsi="Times New Roman" w:cs="Times New Roman"/>
          <w:color w:val="000000" w:themeColor="text1"/>
          <w:sz w:val="24"/>
          <w:szCs w:val="24"/>
        </w:rPr>
        <w:fldChar w:fldCharType="begin"/>
      </w:r>
      <w:r w:rsidR="00465C87" w:rsidRPr="00024E20">
        <w:rPr>
          <w:rFonts w:ascii="Times New Roman" w:eastAsia="Times New Roman" w:hAnsi="Times New Roman" w:cs="Times New Roman"/>
          <w:color w:val="000000" w:themeColor="text1"/>
          <w:sz w:val="24"/>
          <w:szCs w:val="24"/>
        </w:rPr>
        <w:instrText xml:space="preserve"> ADDIN ZOTERO_ITEM CSL_CITATION {"citationID":"QpOYOkv8","properties":{"formattedCitation":"(16)","plainCitation":"(16)","noteIndex":0},"citationItems":[{"id":7533,"uris":["http://zotero.org/users/6787375/items/PHNEKPZM"],"itemData":{"id":7533,"type":"article-journal","abstract":"INTRODUCTION: Men and women joining the military undergo the same training, often in mixed-sex platoons. Given the inherent physiological and physical performance differences between men and women, it is reasonable to question whether sex differences exist in the adaptation to military training and, therefore, whether sex-specific training should be employed to optimise training adaptations. OBJECTIVE: To systematically review the literature evaluating changes in the physical performance of men and women following military training. METHODS: Six database sources were searched in addition to extensive secondary searching. Primary prospective intervention studies (all designs) evaluating physical training interventions in military populations, reporting pre- to post-training changes in physical fitness outcomes for both women and men, were included. RESULTS: We screened 3966 unique records. Twenty-nine studies (n = 37 study reports) were included, most of which were conducted in the USA and evaluated initial training for military recruits. Positive changes were more consistently observed in aerobic fitness and muscle strength (whole body and upper body) outcomes than lower body strength, muscle power or muscle endurance outcomes, following physical training. Relative pre- to post-training changes for all outcome measures tended to be greater in women than men although few statistically significant sex by outcome/time interactions were observed. CONCLUSION: Improvements in some, but not all, performance components were observed following a period of military training. Largely, these improvements were not significantly different between sexes. Further prospective research is needed to evaluate sex-specific differences in the response to physical training in controlled conditions to improve military physical training outcomes for both sexes.","container-title":"Sports Med","DOI":"10.1007/s40279-018-0983-4","ISSN":"1179-2035 (Electronic) 0112-1642 (Linking)","issue":"11","note":"PMCID: PMC6182553","page":"2623-2640","title":"Sex-Specific Changes in Physical Performance Following Military Training: A Systematic Review","volume":"48","author":[{"family":"Varley-Campbell","given":"J."},{"family":"Cooper","given":"C."},{"family":"Wilkerson","given":"D."},{"family":"Wardle","given":"S."},{"family":"Greeves","given":"J."},{"family":"Lorenc","given":"T."}],"issued":{"date-parts":[["2018",11]]}}}],"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465C87" w:rsidRPr="00024E20">
        <w:rPr>
          <w:rFonts w:ascii="Times New Roman" w:eastAsia="Times New Roman" w:hAnsi="Times New Roman" w:cs="Times New Roman"/>
          <w:noProof/>
          <w:color w:val="000000" w:themeColor="text1"/>
          <w:sz w:val="24"/>
          <w:szCs w:val="24"/>
        </w:rPr>
        <w:t>(16)</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and body composition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{"citationID":"YWK1FOwS","properties":{"formattedCitation":"(17)","plainCitation":"(17)","noteIndex":0},"citationItems":[{"id":97,"uris":["http://zotero.org/groups/2537978/items/SLMDUMVZ"],"itemData":{"id":97,"type":"article-journal","abstract":"Introduction: There are inherent differences in the physical performance and body composition of men and women. However, it is unclear whether there are any sex differences in the adaptations of these outcomes to basic military training. Methods: Thirty-one male (mean±SD, age 21±4 years, height 1.78±0.08 m, body mass 77.1±10.5 kg) and 28 female (age 22±4 years, height 1.65±0.05 m, body mass 63.9±8.9 kg) British Army recruits were assessed for aerobic fitness (2.4km run), strength (maximal dynamic lift strength [MDLS]), leg power (vertical jump [VJ]) and body composition (dual energy X-ray absorptiometry) before and after 14 weeks of basic military training. Training was characterised using doubly labelled water to measure energy expenditure (EE) (weeks 1-2 and 12-13), and heart rate and global positioning systems to measure training load (weeks 1, 2, 6, 12 and 13). Results: Average daily EE (4136±530 vs 3119±314 kcal d-1, p &lt; 0.001) and distance covered (13.5±0.7km vs 11.9±0.5 km, p &lt; 0.001) were higher for men than women, respectively, whereas training impulse was higher in women than men (490±130 vs 261±145 au, respectively, p &lt; 0.001). Training improved 2.4km run time for men and women (7±6% and 7±5%, respectively, p &lt; 0.001), with no difference between sexes (p = 0.759). Leg power increased following training for men (7±11%, p = 0.002) but not women (0±10%, p = 0.876). There were no other changes in physical performance for either sex. There was no change in body mass for men or women (p = 0.563), however, training increased total lean mass (men: 5±4% , women:6±5%, p &lt; 0.001) and reduced total fat mass (men: -13±18%, women: -8±11%, p &lt; 0.001), with no differences between sexes (p≥0.094). Conclusions: Despite differences in training loads, physical performance and body composition, men and women largely adapt to basic military training to a similar extent. Although lean mass increased, no improvements in maximal lifting strength were recorded. Since strength is considered an important contributor to successful occupational performance, interventions that improve strength during training should be investigated further.","archive":"Embase","container-title":"Journal of Science and Medicine in Sport","DOI":"10.1016/j.jsams.2017.09.183","ISSN":"1878-1861","language":"English","page":"S80","title":"Sex differences in physical performance and body composition adaptations to British Army basic military training","volume":"20","author":[{"family":"O'Leary","given":"T."},{"family":"Saunders","given":"S."},{"family":"McGuire","given":"S."},{"family":"Kefyalew","given":"S."},{"family":"Venables","given":"M."},{"family":"Izard","given":"R."}],"issued":{"date-parts":[["2017"]]}}}],"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(17)</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but also results in a high incidence of musculoskeletal injuries and bone stress injuries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{"citationID":"VuQ3wFrh","properties":{"formattedCitation":"(18)","plainCitation":"(18)","noteIndex":0},"citationItems":[{"id":6018,"uris":["http://zotero.org/users/6787375/items/46YSZVVP"],"itemData":{"id":6018,"type":"article-journal","abstract":"INTRODUCTION: Until recently, women were excluded from British combat roles. Their risk for musculoskeletal injury during basic training is two to three times higher than men. To better understand the musculoskeletal injury risk of women in British Army infantry basic training, we compared injury incidence between (1) men in standard entry training and men in infantry training, to assess the risk of infantry training; and (2) men and women in both standard entry and officer basic training, to assess the risk in women compared with men. METHODS: The incidence of musculoskeletal injury was determined from defence medical records for all men entering infantry training, and for all men and women entering standard entry and officer training, between April 2015 and March 2016. RESULTS: 7390 men (standard entry, n=4229; infantry, n=2683; officer, n=478) and 696 women (standard entry, n=626; officer, n=70) entered basic training. Men in infantry training had a lower incidence of musculoskeletal injury (391 vs 417 per 1000 personnel, OR 0.90 (95% CI 0.81 to 0.99), p=0.028) and a higher incidence of stress fracture (14 vs 5 per 1000 personnel, OR 2.80 (95% CI 1.64 to 4.80), p&lt;0.001) than men in standard entry training. Women had a higher incidence of musculoskeletal injury than men in standard entry training (522 vs 417 per 1000 personnel, OR 1.53 (95% CI 1.29 to 1.81), p&lt;0.001) and a higher incidence of stress fracture than men in officer training (114 vs 19 per 1000 personnel, OR 6.72 (95% CI 2.50 to 18.07), p&lt;0.001). CONCLUSION: Women in infantry training may be at similar risk for musculoskeletal injury, but at higher risk for stress fracture, compared with their non-infantry counterparts. Women in infantry training may be at higher risk for musculoskeletal injury and stress fracture compared with men in infantry training.","container-title":"BMJ Mil Health","DOI":"10.1136/jramc-2019-001347","ISSN":"2633-3775 (Electronic)","title":"Understanding the musculoskeletal injury risk of women in combat: the effect of infantry training and sex on musculoskeletal injury incidence during British Army basic training","author":[{"family":"O'Leary","given":"T. J."},{"family":"Wardle","given":"S. L."},{"family":"Rawcliffe","given":"A. J."},{"family":"Chapman","given":"S."},{"family":"Mole","given":"J."},{"family":"Greeves","given":"J. P."}],"issued":{"date-parts":[["2020",2,27]]}}}],"schema":"https://github.com/citation-style-language/schema/raw/master/csl-citation.json"}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(18)</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On average, female recruits have poorer physical performance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{"citationID":"xNiLDUrK","properties":{"formattedCitation":"(16)","plainCitation":"(16)","noteIndex":0},"citationItems":[{"id":7533,"uris":["http://zotero.org/users/6787375/items/PHNEKPZM"],"itemData":{"id":7533,"type":"article-journal","abstract":"INTRODUCTION: Men and women joining the military undergo the same training, often in mixed-sex platoons. Given the inherent physiological and physical performance differences between men and women, it is reasonable to question whether sex differences exist in the adaptation to military training and, therefore, whether sex-specific training should be employed to optimise training adaptations. OBJECTIVE: To systematically review the literature evaluating changes in the physical performance of men and women following military training. METHODS: Six database sources were searched in addition to extensive secondary searching. Primary prospective intervention studies (all designs) evaluating physical training interventions in military populations, reporting pre- to post-training changes in physical fitness outcomes for both women and men, were included. RESULTS: We screened 3966 unique records. Twenty-nine studies (n = 37 study reports) were included, most of which were conducted in the USA and evaluated initial training for military recruits. Positive changes were more consistently observed in aerobic fitness and muscle strength (whole body and upper body) outcomes than lower body strength, muscle power or muscle endurance outcomes, following physical training. Relative pre- to post-training changes for all outcome measures tended to be greater in women than men although few statistically significant sex by outcome/time interactions were observed. CONCLUSION: Improvements in some, but not all, performance components were observed following a period of military training. Largely, these improvements were not significantly different between sexes. Further prospective research is needed to evaluate sex-specific differences in the response to physical training in controlled conditions to improve military physical training outcomes for both sexes.","container-title":"Sports Med","DOI":"10.1007/s40279-018-0983-4","ISSN":"1179-2035 (Electronic) 0112-1642 (Linking)","issue":"11","note":"PMCID: PMC6182553","page":"2623-2640","title":"Sex-Specific Changes in Physical Performance Following Military Training: A Systematic Review","volume":"48","author":[{"family":"Varley-Campbell","given":"J."},{"family":"Cooper","given":"C."},{"family":"Wilkerson","given":"D."},{"family":"Wardle","given":"S."},{"family":"Greeves","given":"J."},{"family":"Lorenc","given":"T."}],"issued":{"date-parts":[["2018",11]]}}}],"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(16)</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lower lean mass and higher body fat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{"citationID":"Gm3XgMdh","properties":{"formattedCitation":"(15)","plainCitation":"(15)","noteIndex":0},"citationItems":[{"id":8136,"uris":["http://zotero.org/users/6787375/items/SJC4F63F"],"itemData":{"id":8136,"type":"article-journal","abstract":"Energy deficits are common in military training and can result in endocrine and metabolic disturbances. This study provides first investigation of sex differences in energy balance, body composition, and endocrine and metabolic markers in response to prolonged and arduous military training. Men experienced greater energy deficits than women due to higher energy expenditure, which was not compensated for by increased energy intake. These energy deficits were not associated with decreases in fat or lean mass or metabolic or endocrine function.\n          , \n            This study investigated sex differences in energy balance, body composition, and metabolic and endocrine markers during prolonged military training. Twenty-three trainees (14 women) completed 44-wk military training (three terms of 14 wk with 2-wk adventurous training). Dietary intake and total energy expenditure were measured over 10 days during each term by weighed food and doubly labeled water. Body composition was measured by dual-energy X-ray absorptiometry (DXA) at baseline and at the end of each term. Circulating metabolic and endocrine markers were measured at baseline and at the end of terms 2 and 3. Absolute energy intake and total energy expenditure were higher, and energy balance was lower, for men than women ( P ≤ 0.008). Absolute energy intake and balance were lower, and total energy expenditure was higher, during term 2 than terms 1 and 3 ( P &lt; 0.001). Lean mass did not change with training ( P = 0.081). Fat mass and body fat increased from term 1 to terms 2 and 3 ( P ≤ 0.045). Leptin increased from baseline to terms 2 and 3 in women ( P ≤ 0.002) but not in men ( P ≥ 0.251). Testosterone and free androgen index increased from baseline to term 3 ( P ≤ 0.018). Free thyroxine (T4) decreased and thyroid-stimulating hormone (TSH) increased from baseline to term 2 and term 3 ( P ≤ 0.031). Cortisol decreased from baseline to term 3 ( P = 0.030). IGF-I and total triiodothyronine (T3) did not change with training ( P ≥ 0.148). Men experienced greater energy deficits than women during military training due to higher total energy expenditure.\n            NEW &amp; NOTEWORTHY Energy deficits are common in military training and can result in endocrine and metabolic disturbances. This study provides first investigation of sex differences in energy balance, body composition, and endocrine and metabolic markers in response to prolonged and arduous military training. Men experienced greater energy deficits than women due to higher energy expenditure, which was not compensated for by increased energy intake. These energy deficits were not associated with decreases in fat or lean mass or metabolic or endocrine function.","container-title":"Journal of Applied Physiology","DOI":"10.1152/japplphysiol.00864.2023","ISSN":"8750-7587, 1522-1601","issue":"4","journalAbbreviation":"Journal of Applied Physiology","language":"en","page":"938-948","source":"DOI.org (Crossref)","title":"Sex differences in energy balance, body composition, and metabolic and endocrine markers during prolonged arduous military training","volume":"136","author":[{"family":"O’Leary","given":"Thomas J."},{"family":"Gifford","given":"Robert M."},{"family":"Knight","given":"Rebecca L."},{"family":"Wright","given":"Jennifer"},{"family":"Handford","given":"Sally"},{"family":"Venables","given":"Michelle C."},{"family":"Reynolds","given":"Rebecca M."},{"family":"Woods","given":"David"},{"family":"Wardle","given":"Sophie L."},{"family":"Greeves","given":"Julie P."}],"issued":{"date-parts":[["2024",4,1]]}}}],"schema":"https://github.com/citation-style-language/schema/raw/master/csl-citation.json"}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(15)</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and higher risk of musculoskeletal injuries and bone stress injuries </w:t>
      </w:r>
      <w:r w:rsidR="00B0769B"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{"citationID":"eHiSGhIA","properties":{"formattedCitation":"(18)","plainCitation":"(18)","noteIndex":0},"citationItems":[{"id":6018,"uris":["http://zotero.org/users/6787375/items/46YSZVVP"],"itemData":{"id":6018,"type":"article-journal","abstract":"INTRODUCTION: Until recently, women were excluded from British combat roles. Their risk for musculoskeletal injury during basic training is two to three times higher than men. To better understand the musculoskeletal injury risk of women in British Army infantry basic training, we compared injury incidence between (1) men in standard entry training and men in infantry training, to assess the risk of infantry training; and (2) men and women in both standard entry and officer basic training, to assess the risk in women compared with men. METHODS: The incidence of musculoskeletal injury was determined from defence medical records for all men entering infantry training, and for all men and women entering standard entry and officer training, between April 2015 and March 2016. RESULTS: 7390 men (standard entry, n=4229; infantry, n=2683; officer, n=478) and 696 women (standard entry, n=626; officer, n=70) entered basic training. Men in infantry training had a lower incidence of musculoskeletal injury (391 vs 417 per 1000 personnel, OR 0.90 (95% CI 0.81 to 0.99), p=0.028) and a higher incidence of stress fracture (14 vs 5 per 1000 personnel, OR 2.80 (95% CI 1.64 to 4.80), p&lt;0.001) than men in standard entry training. Women had a higher incidence of musculoskeletal injury than men in standard entry training (522 vs 417 per 1000 personnel, OR 1.53 (95% CI 1.29 to 1.81), p&lt;0.001) and a higher incidence of stress fracture than men in officer training (114 vs 19 per 1000 personnel, OR 6.72 (95% CI 2.50 to 18.07), p&lt;0.001). CONCLUSION: Women in infantry training may be at similar risk for musculoskeletal injury, but at higher risk for stress fracture, compared with their non-infantry counterparts. Women in infantry training may be at higher risk for musculoskeletal injury and stress fracture compared with men in infantry training.","container-title":"BMJ Mil Health","DOI":"10.1136/jramc-2019-001347","ISSN":"2633-3775 (Electronic)","title":"Understanding the musculoskeletal injury risk of women in combat: the effect of infantry training and sex on musculoskeletal injury incidence during British Army basic training","author":[{"family":"O'Leary","given":"T. J."},{"family":"Wardle","given":"S. L."},{"family":"Rawcliffe","given":"A. J."},{"family":"Chapman","given":"S."},{"family":"Mole","given":"J."},{"family":"Greeves","given":"J. P."}],"issued":{"date-parts":[["2020",2,27]]}}}],"schema":"https://github.com/citation-style-language/schema/raw/master/csl-citation.json"} </w:instrText>
      </w:r>
      <w:r w:rsidR="00B0769B"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(18)</w:t>
      </w:r>
      <w:r w:rsidR="00B0769B" w:rsidRPr="00024E20">
        <w:rPr>
          <w:rFonts w:ascii="Times New Roman" w:eastAsia="Times New Roman" w:hAnsi="Times New Roman" w:cs="Times New Roman"/>
          <w:color w:val="000000" w:themeColor="text1"/>
          <w:sz w:val="24"/>
          <w:szCs w:val="24"/>
        </w:rPr>
        <w:fldChar w:fldCharType="end"/>
      </w:r>
      <w:r w:rsidR="00B0769B" w:rsidRPr="00024E20">
        <w:rPr>
          <w:rFonts w:ascii="Times New Roman" w:eastAsia="Times New Roman" w:hAnsi="Times New Roman" w:cs="Times New Roman"/>
          <w:color w:val="000000" w:themeColor="text1"/>
          <w:sz w:val="24"/>
          <w:szCs w:val="24"/>
        </w:rPr>
        <w:t xml:space="preserve"> than male recruits in military training.</w:t>
      </w:r>
    </w:p>
    <w:p w14:paraId="75E68DCE" w14:textId="77777777" w:rsidR="009C7457" w:rsidRPr="00024E20" w:rsidRDefault="009C7457" w:rsidP="00FD44C2">
      <w:pPr>
        <w:spacing w:after="0" w:line="480" w:lineRule="auto"/>
        <w:jc w:val="both"/>
        <w:rPr>
          <w:rFonts w:ascii="Times New Roman" w:eastAsia="Times New Roman" w:hAnsi="Times New Roman" w:cs="Times New Roman"/>
          <w:color w:val="000000" w:themeColor="text1"/>
          <w:sz w:val="24"/>
          <w:szCs w:val="24"/>
        </w:rPr>
      </w:pPr>
    </w:p>
    <w:p w14:paraId="1C39DBED" w14:textId="4DC3F858" w:rsidR="009C7457" w:rsidRPr="00024E20" w:rsidRDefault="009C7457" w:rsidP="00FD44C2">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Longitudinal </w:t>
      </w:r>
      <w:r w:rsidR="00465C87" w:rsidRPr="00024E20">
        <w:rPr>
          <w:rFonts w:ascii="Times New Roman" w:eastAsia="Times New Roman" w:hAnsi="Times New Roman" w:cs="Times New Roman"/>
          <w:color w:val="000000" w:themeColor="text1"/>
          <w:sz w:val="24"/>
          <w:szCs w:val="24"/>
        </w:rPr>
        <w:t xml:space="preserve">studies show the COCP can decrease </w:t>
      </w:r>
      <w:r w:rsidRPr="00024E20">
        <w:rPr>
          <w:rFonts w:ascii="Times New Roman" w:eastAsia="Times New Roman" w:hAnsi="Times New Roman" w:cs="Times New Roman"/>
          <w:color w:val="000000" w:themeColor="text1"/>
          <w:sz w:val="24"/>
          <w:szCs w:val="24"/>
        </w:rPr>
        <w:t>maximal oxygen uptake (</w:t>
      </w:r>
      <w:r w:rsidRPr="00024E20">
        <w:rPr>
          <w:rFonts w:ascii="Times New Roman" w:eastAsia="Arial" w:hAnsi="Times New Roman" w:cs="Times New Roman"/>
          <w:color w:val="000000" w:themeColor="text1"/>
          <w:sz w:val="24"/>
          <w:szCs w:val="24"/>
        </w:rPr>
        <w:t>V̇O</w:t>
      </w:r>
      <w:r w:rsidRPr="00024E20">
        <w:rPr>
          <w:rFonts w:ascii="Times New Roman" w:eastAsia="Arial" w:hAnsi="Times New Roman" w:cs="Times New Roman"/>
          <w:color w:val="000000" w:themeColor="text1"/>
          <w:sz w:val="24"/>
          <w:szCs w:val="24"/>
          <w:vertAlign w:val="subscript"/>
        </w:rPr>
        <w:t>2max</w:t>
      </w:r>
      <w:r w:rsidRPr="00024E20">
        <w:rPr>
          <w:rFonts w:ascii="Times New Roman" w:eastAsia="Arial"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{"citationID":"sveXHR0w","properties":{"formattedCitation":"(19\\uc0\\u8211{}21)","plainCitation":"(19–21)","noteIndex":0},"citationItems":[{"id":8146,"uris":["http://zotero.org/users/6787375/items/4URCAX7G"],"itemData":{"id":8146,"type":"article-journal","abstract":"A study was undertaken to determine whether low-dose oral contraceptive usage would negate the beneficial effect of exercise on cardiorespiratory fitness, lipid and lipoprotein levels, and coagulation. Twelve exercising women were randomly allocated to groups of either oral contraceptive users or non-oral contraceptive users. When compared with results in the control group, maximal oxygen uptake (ml/kg1 X min1) decreased significantly in the oral contraceptive users during the 6-month period of observation. This was associated with an 8% decrease in both the oxygen uptake (2.34 to 2.17 L/min) and the oxygen pulse (12.1 +/- 3.2 to 11.2 +/- 2.2 ml/beat). The serum cholesterol, triglycerides, high-density lipoprotein/cholesterol, and high-density lipoprotein subfractions 2a and 2b levels were not altered. A significant increase in plasminogen activity was found in the oral contraceptive users: values increased from a coherent time average of 3.8 +/- 0.5 U/ml at baseline to 5.7 +/- 0.7 U/ml at 6 months; values returned to baseline levels 1 month after stopping the oral contraceptives (coherent time average of 3.9 +/- 0.6 U/ml; p less than 0.0001). No other significant changes were noted in the coagulation and anticoagulation factors studied. Low-dose oral contraceptive usage is associated with a decrease in functional aerobic capacity, but it does not impinge on the hemostatic mechanism or lipid-lipoprotein metabolism.","container-title":"American Journal of Obstetrics and Gynecology","DOI":"10.1016/0002-9378(87)90059-7","ISSN":"0002-9378","issue":"3","journalAbbreviation":"Am J Obstet Gynecol","language":"eng","note":"PMID: 3826206","page":"591-598","source":"PubMed","title":"The effect of low-dose oral contraceptives on cardiorespiratory function, coagulation, and lipids in exercising young women: a preliminary report","title-short":"The effect of low-dose oral contraceptives on cardiorespiratory function, coagulation, and lipids in exercising young women","volume":"156","author":[{"family":"Notelovitz","given":"M."},{"family":"Zauner","given":"C."},{"family":"McKenzie","given":"L."},{"family":"Suggs","given":"Y."},{"family":"Fields","given":"C."},{"family":"Kitchens","given":"C."}],"issued":{"date-parts":[["1987",3]]}}},{"id":8148,"uris":["http://zotero.org/users/6787375/items/QLPGP2C4"],"itemData":{"id":8148,"type":"article-journal","abstract":"We examined the effects of menstrual cycle phase and oral contraceptive (OC) use on peak oxygen consumption (VO(2 peak)). Six moderately active, eumenorrheic women (25.5 +/- 1.5 yr) were studied before and after 4 mo of OC. Subjects were tested during the follicular and luteal phases before OC and the inactive and high-dose phases after OC. Before OC, there were no significant differences between the follicular and luteal phases in any of the variables studied. There were also no differences between the inactive and high-dose phases. Dietary composition, exercise patterns, and peak heart rate, minute ventilation, and respiratory exchange ratio did not change with OC use. However, OC use significantly (P &lt;/= 0.05) increased body weight (59.6 +/- 2.3 to 61.2 +/- 2.6 kg) and fat mass (13.3 +/- 1.3 to 14.5 +/- 1.3 kg) and decreased VO(2 peak) (-11%, 2.53 +/- 0.21 to 2.25 +/- 0.18 l/min). In conclusion, 1) endogenous ovarian steroids have little effect on VO(2 peak), but 2) the exogenous ovarian steroids in OC decrease peak exercise capacity in moderately physically active young women.","container-title":"Journal of Applied Physiology (Bethesda, Md.: 1985)","DOI":"10.1152/japplphysiol.00622.2002","ISSN":"8750-7587","issue":"5","journalAbbreviation":"J Appl Physiol (1985)","language":"eng","note":"PMID: 12381756","page":"1698-1702","source":"PubMed","title":"Effects of oral contraceptives on peak exercise capacity","volume":"93","author":[{"family":"Casazza","given":"Gretchen A."},{"family":"Suh","given":"Sang-Hoon"},{"family":"Miller","given":"Benjamin F."},{"family":"Navazio","given":"Franco M."},{"family":"Brooks","given":"George A."}],"issued":{"date-parts":[["2002",11]]}}},{"id":8150,"uris":["http://zotero.org/users/6787375/items/S7S2IC97"],"itemData":{"id":8150,"type":"article-journal","abstract":"BACKGROUND: Oral contraceptives are commonly used by women athletes. However, their effect on athletic performance is unclear.\nOBJECTIVES: To examine the effects of a moderate dose, triphasic oral contraceptive on measures of athletic performance in highly trained women athletes.\nMETHODS: This is a double blind, placebo controlled trial in 14 women with ovulatory menstrual cycles and maximal aerobic capacity (VO(2)MAX) &gt;/==\" BORDER=\"0\"&gt;50 ml/kg/min. Four measures of athletic performance were tested: VO(2)MAX, anaerobic capacity (anaerobic speed test), aerobic endurance (time to fatigue at 90% of VO(2)MAX), and isokinetic strength (Cybex II dynamometer). Height, weight, and six skinfold measurements were also recorded. All these observational tests were completed during both the follicular and mid-luteal phases of an ovulatory menstrual cycle. Cycle phases were confirmed by assaying plasma oestradiol and progesterone. Participants were subsequently randomly assigned to either a tricyclic oral contraceptive or placebo and retested in identical fashion (oral contraceptive phase).\nRESULTS: Absolute and relative changes in VO(2)MAX from follicular to oral contraceptive phase decreased in the oral contraceptive group by 4.7%, whereas the placebo group showed a slight increase (+1.5%) over the same time period. Two of the women taking oral contraceptive had decreases of 4 and 9 ml/kg/min. In contrast, most women in the placebo group improved or maintained VO(2)MAX. There was also a significant increase in the sum of skinfolds in women taking oral contraceptive compared with those taking placebo (p&lt;0.01). There were no significant changes in other physiological variables (maximum ventilation, heart rate, respiratory exchange ratio, packed cell volume) or measures of performance (anaerobic speed test, aerobic endurance, isokinetic strength) as a function of oral contraceptive treatment.\nCONCLUSIONS: The decrease in VO(2)MAX that occurs when oral contraceptive is taken may influence elite sporting performance in some women. Further studies are required to determine the mechanisms of this change.","container-title":"British Journal of Sports Medicine","DOI":"10.1136/bjsm.37.4.315","ISSN":"0306-3674","issue":"4","journalAbbreviation":"Br J Sports Med","language":"eng","note":"PMID: 12893716\nPMCID: PMC1724664","page":"315-320","source":"PubMed","title":"Decreased maximal aerobic capacity with use of a triphasic oral contraceptive in highly active women: a randomised controlled trial","title-short":"Decreased maximal aerobic capacity with use of a triphasic oral contraceptive in highly active women","volume":"37","author":[{"family":"Lebrun","given":"C. M."},{"family":"Petit","given":"M. A."},{"family":"McKenzie","given":"D. C."},{"family":"Taunton","given":"J. E."},{"family":"Prior","given":"J. C."}],"issued":{"date-parts":[["2003",8]]}}}],"schema":"https://github.com/citation-style-language/schema/raw/master/csl-citation.json"}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(19–21)</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w:t>
      </w:r>
      <w:r w:rsidR="00465C87" w:rsidRPr="00024E20">
        <w:rPr>
          <w:rFonts w:ascii="Times New Roman" w:eastAsia="Times New Roman" w:hAnsi="Times New Roman" w:cs="Times New Roman"/>
          <w:color w:val="000000" w:themeColor="text1"/>
          <w:sz w:val="24"/>
          <w:szCs w:val="24"/>
        </w:rPr>
        <w:t xml:space="preserve">and increase body mass and body </w:t>
      </w:r>
      <w:r w:rsidR="005700DD" w:rsidRPr="00024E20">
        <w:rPr>
          <w:rFonts w:ascii="Times New Roman" w:eastAsia="Times New Roman" w:hAnsi="Times New Roman" w:cs="Times New Roman"/>
          <w:color w:val="000000" w:themeColor="text1"/>
          <w:sz w:val="24"/>
          <w:szCs w:val="24"/>
        </w:rPr>
        <w:t xml:space="preserve">fat </w:t>
      </w:r>
      <w:r w:rsidR="00465C87" w:rsidRPr="00024E20">
        <w:rPr>
          <w:rFonts w:ascii="Times New Roman" w:eastAsia="Times New Roman" w:hAnsi="Times New Roman" w:cs="Times New Roman"/>
          <w:color w:val="000000" w:themeColor="text1"/>
          <w:sz w:val="24"/>
          <w:szCs w:val="24"/>
        </w:rPr>
        <w:fldChar w:fldCharType="begin"/>
      </w:r>
      <w:r w:rsidR="00465C87" w:rsidRPr="00024E20">
        <w:rPr>
          <w:rFonts w:ascii="Times New Roman" w:eastAsia="Times New Roman" w:hAnsi="Times New Roman" w:cs="Times New Roman"/>
          <w:color w:val="000000" w:themeColor="text1"/>
          <w:sz w:val="24"/>
          <w:szCs w:val="24"/>
        </w:rPr>
        <w:instrText xml:space="preserve"> ADDIN ZOTERO_ITEM CSL_CITATION {"citationID":"6mkhz18M","properties":{"formattedCitation":"(21)","plainCitation":"(21)","noteIndex":0},"citationItems":[{"id":8150,"uris":["http://zotero.org/users/6787375/items/S7S2IC97"],"itemData":{"id":8150,"type":"article-journal","abstract":"BACKGROUND: Oral contraceptives are commonly used by women athletes. However, their effect on athletic performance is unclear.\nOBJECTIVES: To examine the effects of a moderate dose, triphasic oral contraceptive on measures of athletic performance in highly trained women athletes.\nMETHODS: This is a double blind, placebo controlled trial in 14 women with ovulatory menstrual cycles and maximal aerobic capacity (VO(2)MAX) &gt;/==\" BORDER=\"0\"&gt;50 ml/kg/min. Four measures of athletic performance were tested: VO(2)MAX, anaerobic capacity (anaerobic speed test), aerobic endurance (time to fatigue at 90% of VO(2)MAX), and isokinetic strength (Cybex II dynamometer). Height, weight, and six skinfold measurements were also recorded. All these observational tests were completed during both the follicular and mid-luteal phases of an ovulatory menstrual cycle. Cycle phases were confirmed by assaying plasma oestradiol and progesterone. Participants were subsequently randomly assigned to either a tricyclic oral contraceptive or placebo and retested in identical fashion (oral contraceptive phase).\nRESULTS: Absolute and relative changes in VO(2)MAX from follicular to oral contraceptive phase decreased in the oral contraceptive group by 4.7%, whereas the placebo group showed a slight increase (+1.5%) over the same time period. Two of the women taking oral contraceptive had decreases of 4 and 9 ml/kg/min. In contrast, most women in the placebo group improved or maintained VO(2)MAX. There was also a significant increase in the sum of skinfolds in women taking oral contraceptive compared with those taking placebo (p&lt;0.01). There were no significant changes in other physiological variables (maximum ventilation, heart rate, respiratory exchange ratio, packed cell volume) or measures of performance (anaerobic speed test, aerobic endurance, isokinetic strength) as a function of oral contraceptive treatment.\nCONCLUSIONS: The decrease in VO(2)MAX that occurs when oral contraceptive is taken may influence elite sporting performance in some women. Further studies are required to determine the mechanisms of this change.","container-title":"British Journal of Sports Medicine","DOI":"10.1136/bjsm.37.4.315","ISSN":"0306-3674","issue":"4","journalAbbreviation":"Br J Sports Med","language":"eng","note":"PMID: 12893716\nPMCID: PMC1724664","page":"315-320","source":"PubMed","title":"Decreased maximal aerobic capacity with use of a triphasic oral contraceptive in highly active women: a randomised controlled trial","title-short":"Decreased maximal aerobic capacity with use of a triphasic oral contraceptive in highly active women","volume":"37","author":[{"family":"Lebrun","given":"C. M."},{"family":"Petit","given":"M. A."},{"family":"McKenzie","given":"D. C."},{"family":"Taunton","given":"J. E."},{"family":"Prior","given":"J. C."}],"issued":{"date-parts":[["2003",8]]}}}],"schema":"https://github.com/citation-style-language/schema/raw/master/csl-citation.json"} </w:instrText>
      </w:r>
      <w:r w:rsidR="00465C87" w:rsidRPr="00024E20">
        <w:rPr>
          <w:rFonts w:ascii="Times New Roman" w:eastAsia="Times New Roman" w:hAnsi="Times New Roman" w:cs="Times New Roman"/>
          <w:color w:val="000000" w:themeColor="text1"/>
          <w:sz w:val="24"/>
          <w:szCs w:val="24"/>
        </w:rPr>
        <w:fldChar w:fldCharType="separate"/>
      </w:r>
      <w:r w:rsidR="00465C87" w:rsidRPr="00024E20">
        <w:rPr>
          <w:rFonts w:ascii="Times New Roman" w:eastAsia="Times New Roman" w:hAnsi="Times New Roman" w:cs="Times New Roman"/>
          <w:noProof/>
          <w:color w:val="000000" w:themeColor="text1"/>
          <w:sz w:val="24"/>
          <w:szCs w:val="24"/>
        </w:rPr>
        <w:t>(21)</w:t>
      </w:r>
      <w:r w:rsidR="00465C87" w:rsidRPr="00024E20">
        <w:rPr>
          <w:rFonts w:ascii="Times New Roman" w:eastAsia="Times New Roman" w:hAnsi="Times New Roman" w:cs="Times New Roman"/>
          <w:color w:val="000000" w:themeColor="text1"/>
          <w:sz w:val="24"/>
          <w:szCs w:val="24"/>
        </w:rPr>
        <w:fldChar w:fldCharType="end"/>
      </w:r>
      <w:r w:rsidR="00465C87" w:rsidRPr="00024E20">
        <w:rPr>
          <w:rFonts w:ascii="Times New Roman" w:eastAsia="Times New Roman" w:hAnsi="Times New Roman" w:cs="Times New Roman"/>
          <w:color w:val="000000" w:themeColor="text1"/>
          <w:sz w:val="24"/>
          <w:szCs w:val="24"/>
        </w:rPr>
        <w:t xml:space="preserve">, and cross-sectional studies show COCP users have </w:t>
      </w:r>
      <w:r w:rsidR="00410D85" w:rsidRPr="00024E20">
        <w:rPr>
          <w:rFonts w:ascii="Times New Roman" w:eastAsia="Times New Roman" w:hAnsi="Times New Roman" w:cs="Times New Roman"/>
          <w:color w:val="000000" w:themeColor="text1"/>
          <w:sz w:val="24"/>
          <w:szCs w:val="24"/>
        </w:rPr>
        <w:t xml:space="preserve">slightly </w:t>
      </w:r>
      <w:r w:rsidR="00465C87" w:rsidRPr="00024E20">
        <w:rPr>
          <w:rFonts w:ascii="Times New Roman" w:eastAsia="Times New Roman" w:hAnsi="Times New Roman" w:cs="Times New Roman"/>
          <w:color w:val="000000" w:themeColor="text1"/>
          <w:sz w:val="24"/>
          <w:szCs w:val="24"/>
        </w:rPr>
        <w:t xml:space="preserve">lower </w:t>
      </w:r>
      <w:r w:rsidRPr="00024E20">
        <w:rPr>
          <w:rFonts w:ascii="Times New Roman" w:eastAsia="Times New Roman" w:hAnsi="Times New Roman" w:cs="Times New Roman"/>
          <w:color w:val="000000" w:themeColor="text1"/>
          <w:sz w:val="24"/>
          <w:szCs w:val="24"/>
        </w:rPr>
        <w:t xml:space="preserve">muscle strength </w:t>
      </w:r>
      <w:r w:rsidRPr="00024E20">
        <w:rPr>
          <w:rFonts w:ascii="Times New Roman" w:eastAsia="Times New Roman" w:hAnsi="Times New Roman" w:cs="Times New Roman"/>
          <w:color w:val="000000" w:themeColor="text1"/>
          <w:sz w:val="24"/>
          <w:szCs w:val="24"/>
        </w:rPr>
        <w:fldChar w:fldCharType="begin"/>
      </w:r>
      <w:r w:rsidRPr="00024E20">
        <w:rPr>
          <w:rFonts w:ascii="Times New Roman" w:eastAsia="Times New Roman" w:hAnsi="Times New Roman" w:cs="Times New Roman"/>
          <w:color w:val="000000" w:themeColor="text1"/>
          <w:sz w:val="24"/>
          <w:szCs w:val="24"/>
        </w:rPr>
        <w:instrText xml:space="preserve"> ADDIN ZOTERO_ITEM CSL_CITATION {"citationID":"IF2HPTaO","properties":{"formattedCitation":"(3)","plainCitation":"(3)","noteIndex":0},"citationItems":[{"id":1672,"uris":["http://zotero.org/groups/2537978/items/PX3HCGVC"],"itemData":{"id":1672,"type":"article-journal","abstract":"Oral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w:t>
      </w:r>
      <w:r w:rsidRPr="00024E20">
        <w:rPr>
          <w:rFonts w:ascii="Times New Roman" w:eastAsia="Times New Roman" w:hAnsi="Times New Roman" w:cs="Times New Roman"/>
          <w:color w:val="000000" w:themeColor="text1"/>
          <w:sz w:val="24"/>
          <w:szCs w:val="24"/>
        </w:rPr>
        <w:fldChar w:fldCharType="end"/>
      </w:r>
      <w:r w:rsidR="00465C87" w:rsidRPr="00024E20">
        <w:rPr>
          <w:rFonts w:ascii="Times New Roman" w:eastAsia="Times New Roman" w:hAnsi="Times New Roman" w:cs="Times New Roman"/>
          <w:color w:val="000000" w:themeColor="text1"/>
          <w:sz w:val="24"/>
          <w:szCs w:val="24"/>
        </w:rPr>
        <w:t xml:space="preserve"> and similar </w:t>
      </w:r>
      <w:r w:rsidRPr="00024E20">
        <w:rPr>
          <w:rFonts w:ascii="Times New Roman" w:eastAsia="Times New Roman" w:hAnsi="Times New Roman" w:cs="Times New Roman"/>
          <w:color w:val="000000" w:themeColor="text1"/>
          <w:sz w:val="24"/>
          <w:szCs w:val="24"/>
        </w:rPr>
        <w:t xml:space="preserve">muscle adaptations (strength, power, or hypertrophy) to resistance training </w:t>
      </w:r>
      <w:r w:rsidRPr="00024E20">
        <w:rPr>
          <w:rFonts w:ascii="Times New Roman" w:eastAsia="Times New Roman" w:hAnsi="Times New Roman" w:cs="Times New Roman"/>
          <w:color w:val="000000" w:themeColor="text1"/>
          <w:sz w:val="24"/>
          <w:szCs w:val="24"/>
        </w:rPr>
        <w:fldChar w:fldCharType="begin"/>
      </w:r>
      <w:r w:rsidRPr="00024E20">
        <w:rPr>
          <w:rFonts w:ascii="Times New Roman" w:eastAsia="Times New Roman" w:hAnsi="Times New Roman" w:cs="Times New Roman"/>
          <w:color w:val="000000" w:themeColor="text1"/>
          <w:sz w:val="24"/>
          <w:szCs w:val="24"/>
        </w:rPr>
        <w:instrText xml:space="preserve"> ADDIN ZOTERO_ITEM CSL_CITATION {"citationID":"taA6mZJt","properties":{"formattedCitation":"(10)","plainCitation":"(10)","noteIndex":0},"citationItems":[{"id":8179,"uris":["http://zotero.org/users/6787375/items/BYM6TSYU"],"itemData":{"id":8179,"type":"article-journal","abstract":"Abstract\n            \n              Background\n              Resistance exercise training is widely used by general and athletic populations to increase skeletal muscle hypertrophy, power and strength. Endogenous sex hormones influence various bodily functions, including possibly exercise performance, and may influence adaptive changes in response to exercise training. Hormonal contraceptive (HC) use modulates the profile of endogenous sex hormones, and therefore, there is increasing interest in the impact, if any, of HC use on adaptive responses to resistance exercise training.\n            \n            \n              Objective\n              Our aim is to provide a quantitative synthesis of the effect of HC use on skeletal muscle hypertrophy, power and strength adaptations in response to resistance exercise training.\n            \n            \n              Methods\n              A systematic review with meta-analysis was conducted on experimental studies which directly compared skeletal muscle hypertrophy, power and strength adaptations following resistance exercise training in hormonal contraceptive users and non-users conducted before July 2023. The search using the online databases PUBMED, SPORTDiscus, Web of Science, Embase and other supplementary search strategies yielded 4669 articles, with 8 articles (54 effects and 325 participants) meeting the inclusion criteria. The methodological quality of the included studies was assessed using the “Tool for the assessment of study quality and reporting in exercise”.\n            \n            \n              Results\n              \n                All included studies investigated the influence of oral contraceptive pills (OCP), with no study including participants using other forms of HC. The articles were analysed using a meta-analytic multilevel maximum likelihood estimator model. The results indicate that OCP use does not have a significant effect on hypertrophy [0.01, 95% confidence interval (CI) [− 0.11, 0.13],\n                t\n                 = 0.14,\n                p\n                 = 0.90), power (− 0.04, 95% CI [− 0.93, 0.84],\n                t\n                 =  − 0.29,\n                p\n                 = 0.80) or strength (0.10, 95% CI [− 0.08, 0.28],\n                t\n                 = 1.48,\n                p\n                 = 0.20).\n              \n            \n            \n              Discussion\n              Based on the present analysis, there is no evidence-based rationale to advocate for or against the use of OCPs in females partaking in resistance exercise training to increase hypertrophy, power and/or strength. Rather, an individualised approach considering an individual’s response to OCPs, their reasons for use and menstrual cycle history may be more appropriate.\n            \n            \n              Registration\n              The review protocol was registered on PROSPERO (ID number and hyperlink: CRD42022365677).","container-title":"Sports Medicine","DOI":"10.1007/s40279-023-01911-3","ISSN":"0112-1642, 1179-2035","issue":"1","journalAbbreviation":"Sports Med","language":"en","page":"105-125","source":"DOI.org (Crossref)","title":"The Effect of Hormonal Contraceptive Use on Skeletal Muscle Hypertrophy, Power and Strength Adaptations to Resistance Exercise Training: A Systematic Review and Multilevel Meta-analysis","title-short":"The Effect of Hormonal Contraceptive Use on Skeletal Muscle Hypertrophy, Power and Strength Adaptations to Resistance Exercise Training","volume":"54","author":[{"family":"Nolan","given":"David"},{"family":"McNulty","given":"Kelly L."},{"family":"Manninen","given":"Mika"},{"family":"Egan","given":"Brendan"}],"issued":{"date-parts":[["2024",1]]}}}],"schema":"https://github.com/citation-style-language/schema/raw/master/csl-citation.json"}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(10)</w:t>
      </w:r>
      <w:r w:rsidRPr="00024E20">
        <w:rPr>
          <w:rFonts w:ascii="Times New Roman" w:eastAsia="Times New Roman" w:hAnsi="Times New Roman" w:cs="Times New Roman"/>
          <w:color w:val="000000" w:themeColor="text1"/>
          <w:sz w:val="24"/>
          <w:szCs w:val="24"/>
        </w:rPr>
        <w:fldChar w:fldCharType="end"/>
      </w:r>
      <w:r w:rsidR="00465C87" w:rsidRPr="00024E20">
        <w:rPr>
          <w:rFonts w:ascii="Times New Roman" w:eastAsia="Times New Roman" w:hAnsi="Times New Roman" w:cs="Times New Roman"/>
          <w:color w:val="000000" w:themeColor="text1"/>
          <w:sz w:val="24"/>
          <w:szCs w:val="24"/>
        </w:rPr>
        <w:t xml:space="preserve"> than non-users</w:t>
      </w:r>
      <w:r w:rsidRPr="00024E20">
        <w:rPr>
          <w:rFonts w:ascii="Times New Roman" w:eastAsia="Times New Roman" w:hAnsi="Times New Roman" w:cs="Times New Roman"/>
          <w:color w:val="000000" w:themeColor="text1"/>
          <w:sz w:val="24"/>
          <w:szCs w:val="24"/>
        </w:rPr>
        <w:t xml:space="preserve">. </w:t>
      </w:r>
      <w:r w:rsidR="00636FC0" w:rsidRPr="00024E20">
        <w:rPr>
          <w:rFonts w:ascii="Times New Roman" w:eastAsia="Times New Roman" w:hAnsi="Times New Roman" w:cs="Times New Roman"/>
          <w:color w:val="000000" w:themeColor="text1"/>
          <w:sz w:val="24"/>
          <w:szCs w:val="24"/>
        </w:rPr>
        <w:t xml:space="preserve">These potential negative effects </w:t>
      </w:r>
      <w:r w:rsidR="007D7D58" w:rsidRPr="00024E20">
        <w:rPr>
          <w:rFonts w:ascii="Times New Roman" w:eastAsia="Times New Roman" w:hAnsi="Times New Roman" w:cs="Times New Roman"/>
          <w:color w:val="000000" w:themeColor="text1"/>
          <w:sz w:val="24"/>
          <w:szCs w:val="24"/>
        </w:rPr>
        <w:t xml:space="preserve">of the COCP </w:t>
      </w:r>
      <w:r w:rsidR="00636FC0" w:rsidRPr="00024E20">
        <w:rPr>
          <w:rFonts w:ascii="Times New Roman" w:eastAsia="Times New Roman" w:hAnsi="Times New Roman" w:cs="Times New Roman"/>
          <w:color w:val="000000" w:themeColor="text1"/>
          <w:sz w:val="24"/>
          <w:szCs w:val="24"/>
        </w:rPr>
        <w:t>on performance and body composition may result in increased risk of musculoskeletal injur</w:t>
      </w:r>
      <w:r w:rsidR="00AB084B" w:rsidRPr="00024E20">
        <w:rPr>
          <w:rFonts w:ascii="Times New Roman" w:eastAsia="Times New Roman" w:hAnsi="Times New Roman" w:cs="Times New Roman"/>
          <w:color w:val="000000" w:themeColor="text1"/>
          <w:sz w:val="24"/>
          <w:szCs w:val="24"/>
        </w:rPr>
        <w:t>ies</w:t>
      </w:r>
      <w:r w:rsidR="00636FC0" w:rsidRPr="00024E20">
        <w:rPr>
          <w:rFonts w:ascii="Times New Roman" w:eastAsia="Times New Roman" w:hAnsi="Times New Roman" w:cs="Times New Roman"/>
          <w:color w:val="000000" w:themeColor="text1"/>
          <w:sz w:val="24"/>
          <w:szCs w:val="24"/>
        </w:rPr>
        <w:t xml:space="preserve"> in military training</w:t>
      </w:r>
      <w:r w:rsidR="007936EA" w:rsidRPr="00024E20">
        <w:rPr>
          <w:rFonts w:ascii="Times New Roman" w:eastAsia="Times New Roman" w:hAnsi="Times New Roman" w:cs="Times New Roman"/>
          <w:color w:val="000000" w:themeColor="text1"/>
          <w:sz w:val="24"/>
          <w:szCs w:val="24"/>
        </w:rPr>
        <w:t xml:space="preserve"> </w:t>
      </w:r>
      <w:r w:rsidR="007936EA" w:rsidRPr="00024E20">
        <w:rPr>
          <w:rFonts w:ascii="Times New Roman" w:eastAsia="Times New Roman" w:hAnsi="Times New Roman" w:cs="Times New Roman"/>
          <w:color w:val="000000" w:themeColor="text1"/>
          <w:sz w:val="24"/>
          <w:szCs w:val="24"/>
        </w:rPr>
        <w:fldChar w:fldCharType="begin"/>
      </w:r>
      <w:r w:rsidR="007936EA" w:rsidRPr="00024E20">
        <w:rPr>
          <w:rFonts w:ascii="Times New Roman" w:eastAsia="Times New Roman" w:hAnsi="Times New Roman" w:cs="Times New Roman"/>
          <w:color w:val="000000" w:themeColor="text1"/>
          <w:sz w:val="24"/>
          <w:szCs w:val="24"/>
        </w:rPr>
        <w:instrText xml:space="preserve"> ADDIN ZOTERO_ITEM CSL_CITATION {"citationID":"a2kgtdlnp3","properties":{"formattedCitation":"(22)","plainCitation":"(22)","noteIndex":0},"citationItems":[{"id":2465,"uris":["http://zotero.org/users/6787375/items/MRMJMZW8"],"itemData":{"id":2465,"type":"article-journal","abstract":"This study aimed to identify risk factors for training injuries resulting in referral to a remedial instructor (RI) or medical discharge (MD) among British Army recruits undertaking initial training. Physical performance and anthropometric data for 11,937 male and 1,480 female recruits were examined as potential risk factors for RI referral and MD, using Cox regression. There was a trend showing that female recruits' MD rates were higher than male recruits' rates (p = 0.096), and RI referral rates were significantly greater for women than for men (p = 0.041). The independent risk factors for MD were 2.4-km run time, ethnicity, and Army training regiment attended (p &lt; 0.001), and those for RI referral were 2.4-km run time, ethnicity, Army training regiment attended, and body mass index (p &lt; 0.001). Gender was not an independent risk factor for injury, suggesting that lower levels of aerobic fitness are the primary cause of the greater incidence of injury among female recruits during British Army initial training.","container-title":"Mil Med","ISSN":"0026-4075 (Print) 0026-4075 (Linking)","issue":"3","page":"278-86","title":"Risk factors for training injuries among British Army recruits","volume":"173","author":[{"family":"Blacker","given":"S. D."},{"family":"Wilkinson","given":"D. M."},{"family":"Bilzon","given":"J. L."},{"family":"Rayson","given":"M. P."}],"issued":{"date-parts":[["2008",3]]}}}],"schema":"https://github.com/citation-style-language/schema/raw/master/csl-citation.json"} </w:instrText>
      </w:r>
      <w:r w:rsidR="007936EA" w:rsidRPr="00024E20">
        <w:rPr>
          <w:rFonts w:ascii="Times New Roman" w:eastAsia="Times New Roman" w:hAnsi="Times New Roman" w:cs="Times New Roman"/>
          <w:color w:val="000000" w:themeColor="text1"/>
          <w:sz w:val="24"/>
          <w:szCs w:val="24"/>
        </w:rPr>
        <w:fldChar w:fldCharType="separate"/>
      </w:r>
      <w:r w:rsidR="007936EA" w:rsidRPr="00024E20">
        <w:rPr>
          <w:rFonts w:ascii="Times New Roman" w:hAnsi="Times New Roman" w:cs="Times New Roman"/>
          <w:color w:val="000000" w:themeColor="text1"/>
          <w:sz w:val="24"/>
        </w:rPr>
        <w:t>(22)</w:t>
      </w:r>
      <w:r w:rsidR="007936EA" w:rsidRPr="00024E20">
        <w:rPr>
          <w:rFonts w:ascii="Times New Roman" w:eastAsia="Times New Roman" w:hAnsi="Times New Roman" w:cs="Times New Roman"/>
          <w:color w:val="000000" w:themeColor="text1"/>
          <w:sz w:val="24"/>
          <w:szCs w:val="24"/>
        </w:rPr>
        <w:fldChar w:fldCharType="end"/>
      </w:r>
      <w:r w:rsidR="007936EA" w:rsidRPr="00024E20">
        <w:rPr>
          <w:rFonts w:ascii="Times New Roman" w:eastAsia="Times New Roman" w:hAnsi="Times New Roman" w:cs="Times New Roman"/>
          <w:color w:val="000000" w:themeColor="text1"/>
          <w:sz w:val="24"/>
          <w:szCs w:val="24"/>
        </w:rPr>
        <w:t xml:space="preserve"> </w:t>
      </w:r>
      <w:r w:rsidR="00AB084B" w:rsidRPr="00024E20">
        <w:rPr>
          <w:rFonts w:ascii="Times New Roman" w:eastAsia="Times New Roman" w:hAnsi="Times New Roman" w:cs="Times New Roman"/>
          <w:color w:val="000000" w:themeColor="text1"/>
          <w:sz w:val="24"/>
          <w:szCs w:val="24"/>
        </w:rPr>
        <w:t>in COCP users</w:t>
      </w:r>
      <w:r w:rsidR="00636FC0" w:rsidRPr="00024E20">
        <w:rPr>
          <w:rFonts w:ascii="Times New Roman" w:eastAsia="Times New Roman" w:hAnsi="Times New Roman" w:cs="Times New Roman"/>
          <w:color w:val="000000" w:themeColor="text1"/>
          <w:sz w:val="24"/>
          <w:szCs w:val="24"/>
        </w:rPr>
        <w:t>. Conversely,</w:t>
      </w:r>
      <w:r w:rsidRPr="00024E20">
        <w:rPr>
          <w:rFonts w:ascii="Times New Roman" w:eastAsia="Times New Roman" w:hAnsi="Times New Roman" w:cs="Times New Roman"/>
          <w:color w:val="000000" w:themeColor="text1"/>
          <w:sz w:val="24"/>
          <w:szCs w:val="24"/>
        </w:rPr>
        <w:t xml:space="preserve"> COCP</w:t>
      </w:r>
      <w:r w:rsidR="009B4B1E" w:rsidRPr="00024E20">
        <w:rPr>
          <w:rFonts w:ascii="Times New Roman" w:eastAsia="Times New Roman" w:hAnsi="Times New Roman" w:cs="Times New Roman"/>
          <w:color w:val="000000" w:themeColor="text1"/>
          <w:sz w:val="24"/>
          <w:szCs w:val="24"/>
        </w:rPr>
        <w:t xml:space="preserve"> users can </w:t>
      </w:r>
      <w:r w:rsidR="00AB084B" w:rsidRPr="00024E20">
        <w:rPr>
          <w:rFonts w:ascii="Times New Roman" w:eastAsia="Times New Roman" w:hAnsi="Times New Roman" w:cs="Times New Roman"/>
          <w:color w:val="000000" w:themeColor="text1"/>
          <w:sz w:val="24"/>
          <w:szCs w:val="24"/>
        </w:rPr>
        <w:t>ha</w:t>
      </w:r>
      <w:r w:rsidR="009B4B1E" w:rsidRPr="00024E20">
        <w:rPr>
          <w:rFonts w:ascii="Times New Roman" w:eastAsia="Times New Roman" w:hAnsi="Times New Roman" w:cs="Times New Roman"/>
          <w:color w:val="000000" w:themeColor="text1"/>
          <w:sz w:val="24"/>
          <w:szCs w:val="24"/>
        </w:rPr>
        <w:t>ve</w:t>
      </w:r>
      <w:r w:rsidR="00AB084B" w:rsidRPr="00024E20">
        <w:rPr>
          <w:rFonts w:ascii="Times New Roman" w:eastAsia="Times New Roman" w:hAnsi="Times New Roman" w:cs="Times New Roman"/>
          <w:color w:val="000000" w:themeColor="text1"/>
          <w:sz w:val="24"/>
          <w:szCs w:val="24"/>
        </w:rPr>
        <w:t xml:space="preserve"> </w:t>
      </w:r>
      <w:r w:rsidR="00636FC0" w:rsidRPr="00024E20">
        <w:rPr>
          <w:rFonts w:ascii="Times New Roman" w:eastAsia="Times New Roman" w:hAnsi="Times New Roman" w:cs="Times New Roman"/>
          <w:color w:val="000000" w:themeColor="text1"/>
          <w:sz w:val="24"/>
          <w:szCs w:val="24"/>
        </w:rPr>
        <w:t xml:space="preserve">higher </w:t>
      </w:r>
      <w:r w:rsidRPr="00024E20">
        <w:rPr>
          <w:rFonts w:ascii="Times New Roman" w:eastAsia="Times New Roman" w:hAnsi="Times New Roman" w:cs="Times New Roman"/>
          <w:color w:val="000000" w:themeColor="text1"/>
          <w:sz w:val="24"/>
          <w:szCs w:val="24"/>
        </w:rPr>
        <w:t xml:space="preserve">total </w:t>
      </w:r>
      <w:r w:rsidRPr="00024E20">
        <w:rPr>
          <w:rFonts w:ascii="Times New Roman" w:hAnsi="Times New Roman" w:cs="Times New Roman"/>
          <w:color w:val="000000" w:themeColor="text1"/>
          <w:sz w:val="24"/>
          <w:szCs w:val="24"/>
        </w:rPr>
        <w:lastRenderedPageBreak/>
        <w:t>25-hydroxyvitamin-D (</w:t>
      </w:r>
      <w:r w:rsidRPr="00024E20">
        <w:rPr>
          <w:rFonts w:ascii="Times New Roman" w:eastAsia="Times New Roman" w:hAnsi="Times New Roman" w:cs="Times New Roman"/>
          <w:color w:val="000000" w:themeColor="text1"/>
          <w:sz w:val="24"/>
          <w:szCs w:val="24"/>
        </w:rPr>
        <w:t>25(OH)D)</w:t>
      </w:r>
      <w:r w:rsidR="00554A4F" w:rsidRPr="00024E20">
        <w:rPr>
          <w:rFonts w:ascii="Times New Roman" w:eastAsia="Times New Roman" w:hAnsi="Times New Roman" w:cs="Times New Roman"/>
          <w:color w:val="000000" w:themeColor="text1"/>
          <w:sz w:val="24"/>
          <w:szCs w:val="24"/>
        </w:rPr>
        <w:t xml:space="preserve"> than non-users and depot medroxyprogesterone (DMPA, a long acting POC) users</w:t>
      </w:r>
      <w:r w:rsidR="00465C87" w:rsidRPr="00024E20">
        <w:rPr>
          <w:rFonts w:ascii="Times New Roman" w:eastAsia="Times New Roman" w:hAnsi="Times New Roman" w:cs="Times New Roman"/>
          <w:color w:val="000000" w:themeColor="text1"/>
          <w:sz w:val="24"/>
          <w:szCs w:val="24"/>
        </w:rPr>
        <w:t xml:space="preserve"> at the start of military training</w:t>
      </w:r>
      <w:r w:rsidR="00D26039"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WKYvLuzf","properties":{"formattedCitation":"(23)","plainCitation":"(23)","noteIndex":0},"citationItems":[{"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(23)</w:t>
      </w:r>
      <w:r w:rsidRPr="00024E20">
        <w:rPr>
          <w:rFonts w:ascii="Times New Roman" w:eastAsia="Times New Roman" w:hAnsi="Times New Roman" w:cs="Times New Roman"/>
          <w:color w:val="000000" w:themeColor="text1"/>
          <w:sz w:val="24"/>
          <w:szCs w:val="24"/>
        </w:rPr>
        <w:fldChar w:fldCharType="end"/>
      </w:r>
      <w:r w:rsidR="009B4B1E" w:rsidRPr="00024E20">
        <w:rPr>
          <w:rFonts w:ascii="Times New Roman" w:eastAsia="Times New Roman" w:hAnsi="Times New Roman" w:cs="Times New Roman"/>
          <w:color w:val="000000" w:themeColor="text1"/>
          <w:sz w:val="24"/>
          <w:szCs w:val="24"/>
        </w:rPr>
        <w:t>;</w:t>
      </w:r>
      <w:r w:rsidR="00636FC0" w:rsidRPr="00024E20">
        <w:rPr>
          <w:rFonts w:ascii="Times New Roman" w:eastAsia="Times New Roman" w:hAnsi="Times New Roman" w:cs="Times New Roman"/>
          <w:color w:val="000000" w:themeColor="text1"/>
          <w:sz w:val="24"/>
          <w:szCs w:val="24"/>
        </w:rPr>
        <w:t xml:space="preserve"> higher baseline total 25(OH)D is associated with better baseline physical performance </w:t>
      </w:r>
      <w:r w:rsidR="00636FC0"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{"citationID":"JGOhJeAE","properties":{"formattedCitation":"(24)","plainCitation":"(24)","noteIndex":0},"citationItems":[{"id":2775,"uris":["http://zotero.org/users/6787375/items/WRMSS89E"],"itemData":{"id":2775,"type":"article-journal","abstract":"PURPOSE: To determine vitamin D metabolites and vitamin D receptor (VDR) single-nucleotide polymorphisms (SNPs) relationships with physical performance. METHODS: In 1205 men and 322 women (94.8% white Caucasian, 22.0 +/- 2.8 years) commencing military training, we measured: serum vitamin D metabolites (25-hydroxyvitamin D (25(OH)D) and 24,25-dihydroxyvitamin D (24,25(OH)2D) by high-performance liquid chromatography tandem mass spectrophotometry, and 1,25-dihydroxyvitamin D (1,25(OH)2D) by immunoassay); VDR SNPs (rs2228570, rs4516035, and rs7139166 by polymerase chain reaction genotyping); and endurance performance by 2.4 km run, muscle strength by maximal dynamic lift, and muscle power by maximal vertical jump. RESULTS: Serum 25(OH)D was negatively associated with 2.4 km run time and positively associated with muscle power (beta = -12.0 and 90.1), 1,25(OH)2D was positively associated with run time and negatively associated with strength and muscle power (beta = 5.6, -1.06, and -38.4), and 24,25(OH)2D was negatively associated with run time (beta = -8.9; P &lt; 0.01), after controlling for age, sex, smoking, alcohol, physical activity, time outdoors, season, and BMI. Vitamin D metabolites (25(OH)D, 1,25(OH)2D, and 24,25(OH)2D) together explained variances of 5.0% in run time, 0.7% in strength, and 0.9% in muscle power (DeltaF P &lt; 0.001). All performance measures were superior with low 1,25(OH)2D:24,25(OH)2D ratio (P &lt; 0.05). VDR SNPs were not associated with physical performance (DeltaF P &gt;/= 0.306). CONCLUSIONS: Vitamin D metabolites accounted for a small portion of variance in physical performance. Associations between vitamin D metabolites and run time were the most consistent. VDR SNPs explained no variance in performance. Greater conversion of 25(OH)D to 24,25(OH)2D, relative to 1,25(OH)2D (i.e., low 1,25(OH)2D:24,25(OH)2D ratio), was favourable for performance, indicating 24,25(OH)2D may have a role in optimising physical performance.","container-title":"Med Sci Sports Exerc","DOI":"10.1249/MSS.0000000000002987","ISSN":"1530-0315 (Electronic) 0195-9131 (Linking)","journalAbbreviation":"Medicine and science in sports and exercise","title":"Vitamin D Metabolites are Associated with Physical Performance in Young Healthy Adults","author":[{"family":"Carswell","given":"A. T."},{"family":"Jackson","given":"S."},{"family":"Swinton","given":"P."},{"family":"O'Leary","given":"T. J."},{"family":"Tang","given":"J. C. Y."},{"family":"Oliver","given":"S. J."},{"family":"Sale","given":"C."},{"family":"Izard","given":"R. M."},{"family":"Walsh","given":"N. P."},{"family":"Fraser","given":"W. D."},{"family":"Greeves","given":"J. P."}],"issued":{"date-parts":[["2022",6,29]]}}}],"schema":"https://github.com/citation-style-language/schema/raw/master/csl-citation.json"} </w:instrText>
      </w:r>
      <w:r w:rsidR="00636FC0"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(24)</w:t>
      </w:r>
      <w:r w:rsidR="00636FC0" w:rsidRPr="00024E20">
        <w:rPr>
          <w:rFonts w:ascii="Times New Roman" w:eastAsia="Times New Roman" w:hAnsi="Times New Roman" w:cs="Times New Roman"/>
          <w:color w:val="000000" w:themeColor="text1"/>
          <w:sz w:val="24"/>
          <w:szCs w:val="24"/>
        </w:rPr>
        <w:fldChar w:fldCharType="end"/>
      </w:r>
      <w:r w:rsidR="00590E18" w:rsidRPr="00024E20">
        <w:rPr>
          <w:rFonts w:ascii="Times New Roman" w:eastAsia="Times New Roman" w:hAnsi="Times New Roman" w:cs="Times New Roman"/>
          <w:color w:val="000000" w:themeColor="text1"/>
          <w:sz w:val="24"/>
          <w:szCs w:val="24"/>
        </w:rPr>
        <w:t xml:space="preserve"> and</w:t>
      </w:r>
      <w:r w:rsidR="00636FC0" w:rsidRPr="00024E20">
        <w:rPr>
          <w:rFonts w:ascii="Times New Roman" w:eastAsia="Times New Roman" w:hAnsi="Times New Roman" w:cs="Times New Roman"/>
          <w:color w:val="000000" w:themeColor="text1"/>
          <w:sz w:val="24"/>
          <w:szCs w:val="24"/>
        </w:rPr>
        <w:t xml:space="preserve"> a lower risk of </w:t>
      </w:r>
      <w:r w:rsidR="00161AE7" w:rsidRPr="00024E20">
        <w:rPr>
          <w:rFonts w:ascii="Times New Roman" w:eastAsia="Times New Roman" w:hAnsi="Times New Roman" w:cs="Times New Roman"/>
          <w:color w:val="000000" w:themeColor="text1"/>
          <w:sz w:val="24"/>
          <w:szCs w:val="24"/>
        </w:rPr>
        <w:t xml:space="preserve">stress fractures </w:t>
      </w:r>
      <w:r w:rsidR="00161AE7"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{"citationID":"a28sv9el8fh","properties":{"formattedCitation":"(25)","plainCitation":"(25)","noteIndex":0},"citationItems":[{"id":3091,"uris":["http://zotero.org/users/6787375/items/6INEUWD8"],"itemData":{"id":3091,"type":"article-journal","abstract":"BACKGROUND: Low serum 25-hydroxyvitamin D (25(OH)D) levels have been associated with stress fractures in various physically active populations such as the military. PURPOSE: To examine the association between serum 25(OH)D levels and stress fractures in the military. STUDY DESIGN: Systematic review and meta-analysis. METHODS: Relevant studies were identified through searching multiple databases and manually screening reference lists. Two reviewers independently selected the included studies by applying the eligibility criteria to the title, abstract, and/or full text of the articles yielded in the search. Two reviewers also independently conducted the methodological quality assessment and data extraction. A random-effects model was used to calculate the mean difference (MD) with 95% CI in serum 25(OH)D levels between stress fracture cases and controls. RESULTS: Nine observational studies on lower extremity stress fractures were eligible, and 1 was excluded due to inadequate data. A total of 2634 military personnel (age, 18-30 years; 44% male) with 761 cases (16% male) and 1873 controls (61% male) from 8 studies were included in the analysis. Three of the 8 studies measured serum 25(OH)D levels at the time of stress fracture diagnosis, and the 5 remaining studies measured serum 25(OH)D levels at the time of entry into basic training. The mean serum 25(OH)D level was lower in stress fracture cases than in controls at the time of entry into basic training (MD, -2.63 ng/mL; 95% CI, -5.80 to 0.54; P = .10; I(2) = 65%) and at the time of stress fracture diagnosis (MD, -2.26 ng/mL; 95% CI, -3.89 to -0.63; P = .007; I(2) = 42%). CONCLUSION: Despite the inherent limitations of the included studies, the study results suggest some association between low serum 25(OH)D levels and lower extremity stress fractures in military personnel. Given the rigorous training of military personnel, implementing strategies to ensure sufficient 25(OH)D levels may be beneficial for reducing the risk of stress fractures.","container-title":"Am J Sports Med","DOI":"10.1177/0363546514555971","ISSN":"1552-3365 (Electronic) 0363-5465 (Linking)","issue":"8","page":"2064-72","title":"Serum 25-Hydroxyvitamin D Levels and Stress Fractures in Military Personnel: A Systematic Review and Meta-analysis","volume":"43","author":[{"family":"Dao","given":"D."},{"family":"Sodhi","given":"S."},{"family":"Tabasinejad","given":"R."},{"family":"Peterson","given":"D."},{"family":"Ayeni","given":"O. R."},{"family":"Bhandari","given":"M."},{"family":"Farrokhyar","given":"F."}],"issued":{"date-parts":[["2015",8]]}}}],"schema":"https://github.com/citation-style-language/schema/raw/master/csl-citation.json"} </w:instrText>
      </w:r>
      <w:r w:rsidR="00161AE7"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(25)</w:t>
      </w:r>
      <w:r w:rsidR="00161AE7"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in military training</w:t>
      </w:r>
      <w:r w:rsidR="00AB084B" w:rsidRPr="00024E20">
        <w:rPr>
          <w:rFonts w:ascii="Times New Roman" w:eastAsia="Times New Roman" w:hAnsi="Times New Roman" w:cs="Times New Roman"/>
          <w:color w:val="000000" w:themeColor="text1"/>
          <w:sz w:val="24"/>
          <w:szCs w:val="24"/>
        </w:rPr>
        <w:t xml:space="preserve">, indicating a potential </w:t>
      </w:r>
      <w:r w:rsidR="007936EA" w:rsidRPr="00024E20">
        <w:rPr>
          <w:rFonts w:ascii="Times New Roman" w:eastAsia="Times New Roman" w:hAnsi="Times New Roman" w:cs="Times New Roman"/>
          <w:color w:val="000000" w:themeColor="text1"/>
          <w:sz w:val="24"/>
          <w:szCs w:val="24"/>
        </w:rPr>
        <w:t xml:space="preserve">mechanism by which </w:t>
      </w:r>
      <w:r w:rsidR="00AB084B" w:rsidRPr="00024E20">
        <w:rPr>
          <w:rFonts w:ascii="Times New Roman" w:eastAsia="Times New Roman" w:hAnsi="Times New Roman" w:cs="Times New Roman"/>
          <w:color w:val="000000" w:themeColor="text1"/>
          <w:sz w:val="24"/>
          <w:szCs w:val="24"/>
        </w:rPr>
        <w:t>COCP</w:t>
      </w:r>
      <w:r w:rsidR="007936EA" w:rsidRPr="00024E20">
        <w:rPr>
          <w:rFonts w:ascii="Times New Roman" w:eastAsia="Times New Roman" w:hAnsi="Times New Roman" w:cs="Times New Roman"/>
          <w:color w:val="000000" w:themeColor="text1"/>
          <w:sz w:val="24"/>
          <w:szCs w:val="24"/>
        </w:rPr>
        <w:t>s might reduce</w:t>
      </w:r>
      <w:r w:rsidR="00AB084B" w:rsidRPr="00024E20">
        <w:rPr>
          <w:rFonts w:ascii="Times New Roman" w:eastAsia="Times New Roman" w:hAnsi="Times New Roman" w:cs="Times New Roman"/>
          <w:color w:val="000000" w:themeColor="text1"/>
          <w:sz w:val="24"/>
          <w:szCs w:val="24"/>
        </w:rPr>
        <w:t xml:space="preserve"> musculoskeletal injury risk</w:t>
      </w:r>
      <w:r w:rsidRPr="00024E20">
        <w:rPr>
          <w:rFonts w:ascii="Times New Roman" w:eastAsia="Times New Roman" w:hAnsi="Times New Roman" w:cs="Times New Roman"/>
          <w:color w:val="000000" w:themeColor="text1"/>
          <w:sz w:val="24"/>
          <w:szCs w:val="24"/>
        </w:rPr>
        <w:t>. Generally, hormonal contraceptives might</w:t>
      </w:r>
      <w:r w:rsidR="00B0769B" w:rsidRPr="00024E20">
        <w:rPr>
          <w:rFonts w:ascii="Times New Roman" w:eastAsia="Times New Roman" w:hAnsi="Times New Roman" w:cs="Times New Roman"/>
          <w:color w:val="000000" w:themeColor="text1"/>
          <w:sz w:val="24"/>
          <w:szCs w:val="24"/>
        </w:rPr>
        <w:t xml:space="preserve"> also</w:t>
      </w:r>
      <w:r w:rsidRPr="00024E20">
        <w:rPr>
          <w:rFonts w:ascii="Times New Roman" w:eastAsia="Times New Roman" w:hAnsi="Times New Roman" w:cs="Times New Roman"/>
          <w:color w:val="000000" w:themeColor="text1"/>
          <w:sz w:val="24"/>
          <w:szCs w:val="24"/>
        </w:rPr>
        <w:t xml:space="preserve"> reduce risk of musculoskeletal injury and increase physical performance in military training by reducing or suppressing menstrual bleeding to preserve iron status</w:t>
      </w:r>
      <w:r w:rsidRPr="00024E20" w:rsidDel="00CE5FBD">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{"citationID":"uviCS4x7","properties":{"formattedCitation":"(26)","plainCitation":"(26)","noteIndex":0},"citationItems":[{"id":8077,"uris":["http://zotero.org/users/6787375/items/H3ESNK7Z"],"itemData":{"id":8077,"type":"article-journal","abstract":"Abstract\n            \n              This study investigated sex differences in iron status, and associations between iron status and endurance and musculoskeletal outcomes, in military training. 2,277 British Army trainees (581 women) participated. Iron markers and endurance performance (2.4 km run) were measured at the start (week 1) and end (week 13) of training. Whole-body areal body mineral density (aBMD) and markers of bone metabolism were measured at week 1. Injuries during training were recorded. Training decreased haemoglobin in men and women (mean change [95% CI], −0.1 [−0.2, −0.0] and −0.7 [−0.9, −0.6] g∙dL\n              -1\n              , both p &lt; 0.001), but more so in women (p &lt; 0.001). Ferritin decreased in men and women (−27 [−28, −23] and −5 [−8, −1] ug∙L, both p ≤ 0.001), but more so in men (p &lt; 0.001). sTfR increased in men and women (2.9 [2.3, 3.6] and 3.8 [2.7, 4.9] nmol∙L, both p &lt; 0.001), with no difference between sexes (p = 0.872). RDW increased in men (0.3 [0.2, 0.4]%, p &lt; 0.001), but not women (0.1 [−0.1, 0.2]%, p = 0.956). MCV decreased in men (−1.5 [−1.8, −1.1] fL, p &lt; 0.001), but not women (0.4 [−0.4, 1.3] fL, p = 0.087). Lower ferritin was associated with slower 2.4 km run time (p = 0.018), sustaining a lower limb overuse injury (p = 0.048), lower aBMD (p = 0.021), and higher βCTX and P1NP (both p &lt; 0.001) controlling for sex. Improving iron stores before training may protect haemoglobin in women and improve endurance and protect against injury.","container-title":"British Journal of Nutrition","DOI":"10.1017/S0007114523001812","ISSN":"0007-1145, 1475-2662","journalAbbreviation":"Br J Nutr","language":"en","page":"1-30","source":"DOI.org (Crossref)","title":"Sex differences in iron status during military training: a prospective cohort study of longitudinal changes and associations with endurance performance and musculoskeletal outcomes","title-short":"Sex differences in iron status during military training","author":[{"family":"O’Leary","given":"Thomas J"},{"family":"Jackson","given":"Sarah"},{"family":"Izard","given":"Rachel M"},{"family":"Walsh","given":"Neil P"},{"family":"Coombs","given":"Charlotte V"},{"family":"Carswell","given":"Alexander T"},{"family":"Oliver","given":"Samuel J"},{"family":"Tang","given":"Jonathan Cy"},{"family":"Fraser","given":"William D"},{"family":"Greeves","given":"Julie P"}],"issued":{"date-parts":[["2023",9,21]]}}}],"schema":"https://github.com/citation-style-language/schema/raw/master/csl-citation.json"}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(26)</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Depot medroxyprogesterone users have been shown to have higher circulating concentrations of bone formation and resorption markers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{"citationID":"VOdT8I2A","properties":{"formattedCitation":"(27)","plainCitation":"(27)","noteIndex":0},"citationItems":[{"id":2985,"uris":["http://zotero.org/users/6787375/items/WG94CAXC"],"itemData":{"id":2985,"type":"article-journal","abstract":"INTRODUCTION: Hormonal contraceptive use might impair bone health and increase the risk of stress fracture by decreasing endogenous oestrogen production, a central regulator of bone metabolism. This cross-sectional study investigated bone density and biochemical markers of bone metabolism in women taking hormonal contraceptives on entry to basic military training. METHODS: Forty-five female British Army recruits had biochemical markers of bone metabolism, areal bone mineral density (aBMD) and tibial speed of sound (tSOS) measured at the start of basic military training. Participants were compared by their method of hormonal contraception: no hormonal contraception (NONE), combined contraceptive pill (CP) or depot-medroxyprogesterone acetate (DMPA) (20+/-2.8 years, 1.64+/-0.63 m, 61.7+/-6.2 kg). RESULTS: aBMD was not different between groups (p&gt;/=0.204), but tSOS was higher in NONE (3%, p=0.014) when compared with DMPA users. Beta C-terminal telopeptide was higher in NONE (45%, p=0.037) and DMPA users (90%, p=0.003) compared with CP users. Procollagen type 1 N-terminal propeptide was higher in DMPA users compared with NONE (43%, p=0.045) and CP users (127%, p=0.001), and higher in NONE compared with CP users (59%, p=0.014). Bone alkaline phosphatase was higher in DMPA users compared with CP users (56%, p=0.044). CONCLUSIONS: DMPA use was associated with increased bone turnover and decreased cortical bone integrity of the tibia. Lower cortical bone integrity in DMPA users was possibly mediated by increased intracortical remodelling, but trabecular bone was not affected by contraceptive use.","container-title":"BMJ Mil Health","DOI":"10.1136/bmjmilitary-2020-001745","ISSN":"2633-3775 (Electronic) 2633-3767 (Linking)","title":"Hormonal contraceptive use, bone density and biochemical markers of bone metabolism in British Army recruits","author":[{"family":"Coombs","given":"C. V."},{"family":"O'Leary","given":"T. J."},{"family":"Tang","given":"J. C. Y."},{"family":"Fraser","given":"W. D."},{"family":"Greeves","given":"J. P."}],"issued":{"date-parts":[["2021",3,15]]}}}],"schema":"https://github.com/citation-style-language/schema/raw/master/csl-citation.json"}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(27)</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and higher bone stress injury risk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{"citationID":"S2YapcZh","properties":{"formattedCitation":"(28)","plainCitation":"(28)","noteIndex":0},"citationItems":[{"id":4936,"uris":["http://zotero.org/users/6787375/items/NUQGQWGT"],"itemData":{"id":4936,"type":"article-journal","abstract":"Estimates are that stress fractures during basic training (BT) occur in as many as 14% of US female military recruits. Injuries of this type lead to morbidity ranging from minor pain to serious lifetime disability. Since women are assuming an increasing role in the military, this high risk of stress fracture is of concern. The purpose of this prospective study was to determine factors that predict stress fracture during BT in US Army female recruits. The analysis was part of an investigation using quantitative ultrasound (QUS) to determine risk of stress fracture during BT. Prior to the start of BT, we obtained QUS measurements and asked each subject to complete a risk factor questionnaire. We completed assessments for 3758 recruits who then proceeded to 8 weeks of BT, during which time any diagnosed stress fractures were reported to us by Army clinicians. Stress fractures were confirmed with radiographs. The incidence of stress fracture was 8.5% per 8 weeks. Factors associated with stress fracture include: QUS, age, race, alcohol and tobacco use, weight-bearing exercise, lowest adult weight, corticosteroid use, and, in white women only, use of depo-medroxyprogesterone acetate (DMPA). Women who fractured were older than women who remained fracture-free, and black women were less likely to sustain a fracture than whites and other races. Compared with their non-stress-fracture counterparts, recruits who developed stress fractures were more likely to report current or past smoking, alcoholic drinking of &gt; 10 drinks/week, corticosteroid use and lower adult weight. A history of regular exercise was protective against stress fracture, and a longer history of exercise further decreased the relative risk of fracture. Although current weight was not associated with stress fracture, lowest adult weight was inversely related to the risk of fracture. We conclude that prevention of stress fractures in female military recruits should include a thorough assessment of lifestyle factors such as exercise patterns, alcohol and tobacco habits, and corticosteroid and DMPA use. Assessment of risk factors may be helpful in pinpointing female recruits who should have further evaluation of their bone health or additional preparation, such as gradual increases in physical activity, prior to being exposed to the rigor of BT.","container-title":"Osteoporos Int","DOI":"10.1007/s001980170155","ISSN":"0937-941X (Print) 0937-941X (Linking)","issue":"1","page":"35-42","title":"The impact of lifestyle factors on stress fractures in female Army recruits","volume":"12","author":[{"family":"Lappe","given":"J. M."},{"family":"Stegman","given":"M. R."},{"family":"Recker","given":"R. R."}],"issued":{"date-parts":[["2001"]]}}}],"schema":"https://github.com/citation-style-language/schema/raw/master/csl-citation.json"}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(28)</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in military training than non-users and / or COCP users. Several studies also show a loss of areal bone mineral density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with long-term DMPA use but the effect of other POCs on bone are poorly understood </w:t>
      </w:r>
      <w:r w:rsidRPr="00024E20">
        <w:rPr>
          <w:rFonts w:ascii="Times New Roman" w:eastAsia="Times New Roman" w:hAnsi="Times New Roman" w:cs="Times New Roman"/>
          <w:color w:val="000000" w:themeColor="text1"/>
          <w:sz w:val="24"/>
          <w:szCs w:val="24"/>
        </w:rPr>
        <w:fldChar w:fldCharType="begin"/>
      </w:r>
      <w:r w:rsidR="007D7D58" w:rsidRPr="00024E20">
        <w:rPr>
          <w:rFonts w:ascii="Times New Roman" w:eastAsia="Times New Roman" w:hAnsi="Times New Roman" w:cs="Times New Roman"/>
          <w:color w:val="000000" w:themeColor="text1"/>
          <w:sz w:val="24"/>
          <w:szCs w:val="24"/>
        </w:rPr>
        <w:instrText xml:space="preserve"> ADDIN ZOTERO_ITEM CSL_CITATION {"citationID":"SG2nDPJv","properties":{"formattedCitation":"(4, 29, 30)","plainCitation":"(4, 29, 30)","noteIndex":0},"citationItems":[{"id":4006,"uris":["http://zotero.org/users/6787375/items/TZDSUJP9"],"itemData":{"id":4006,"type":"article-journal","abstract":"Estrogens and progestogens influence the bone. The major physiological effect of estrogen is the inhibition of bone resorption whereas progestogens exert activity through binding to specific progesterone receptors. New estrogen-free contraceptive and its possible implication on bone turnover are discussed in this review. Insufficient bone acquisition during development and/or accelerated bone loss after attainment of peak bone mass (PBM) are 2 processes that may predispose to fragility fractures in later life. The relative importance of bone acquisition during growth versus bone loss during adulthood for fracture risk has been explored by examining the variability of areal bone mineral density (BMD) (aBMD) values in relation to age. Bone mass acquired at the end of the growth period appears to be more important than bone loss occurring during adult life. The major physiological effect of estrogen is the inhibition of bone resorption. When estrogen transcription possesses binds to the receptors, various genes are activated, and a variety modified. Interleukin 6 (IL-6) stimulates bone resorption, and estrogen blocks osteoblast synthesis of IL-6. Estrogen may also antagonize the IL-6 receptors. Additionally, estrogen inhibits bone resorption by inducing small but cumulative changes in multiple estrogen-dependent regulatory factors including TNF-alpha and the OPG/RANKL/RANK system. Review on existing data including information about new estrogen-free contraceptives. All progestins exert activity through binding to specific progesterone receptors; hereby, three different groups of progestins exist: pregnanes, gonanes, and estranges. Progestins also comprise specific glucocorticoid, androgen, or mineralocorticoid receptor interactions. Anabolic action of a progestogen may be affected via androgenic, anti-androgenic, or synadrogenic activity. The C 19 nortestosterone class of progestogens is known to bind with more affinity to androgen receptors than the C21 progestins. This article reviews the effect of estrogens and progestogens on bone and presents new data of the currently approved drospirenone-only pill. The use of progestin-only contraceptives leading to an estradiol level between 30 and 50 pg/ml does not seem to lead to an accelerate bone loss.","container-title":"Osteoporos Int","DOI":"10.1007/s00198-019-05103-6","ISSN":"1433-2965 (Electronic) 0937-941X (Linking)","issue":"12","page":"2391-2400","title":"Bone health in estrogen-free contraception","volume":"30","author":[{"family":"Hadji","given":"P."},{"family":"Colli","given":"E."},{"family":"Regidor","given":"P. A."}],"issued":{"date-parts":[["2019",12]]}}},{"id":8188,"uris":["http://zotero.org/users/6787375/items/72FDJVTR"],"itemData":{"id":8188,"type":"article-journal","container-title":"Contraception","DOI":"10.1016/j.contraception.2005.12.010","ISSN":"00107824","issue":"5","journalAbbreviation":"Contraception","language":"en","license":"https://www.elsevier.com/tdm/userlicense/1.0/","page":"470-487","source":"DOI.org (Crossref)","title":"Progestogen-only contraception and bone mineral density: a systematic review","title-short":"Progestogen-only contraception and bone mineral density","volume":"73","author":[{"family":"Curtis","given":"Kathryn M."},{"family":"Martins","given":"Summer L."}],"issued":{"date-parts":[["2006",5]]}}},{"id":4160,"uris":["http://zotero.org/users/6787375/items/HDA88NBH"],"itemData":{"id":4160,"type":"article-journal","abstract":"Sex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7D7D58" w:rsidRPr="00024E20">
        <w:rPr>
          <w:rFonts w:ascii="Times New Roman" w:hAnsi="Times New Roman" w:cs="Times New Roman"/>
          <w:color w:val="000000" w:themeColor="text1"/>
          <w:sz w:val="24"/>
        </w:rPr>
        <w:t>(4, 29, 30)</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Conversely, some studies show that COCP users have lower circulating concentrations of markers of bone formation and bone resorption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{"citationID":"nfqgzsyM","properties":{"formattedCitation":"(27)","plainCitation":"(27)","noteIndex":0},"citationItems":[{"id":2985,"uris":["http://zotero.org/users/6787375/items/WG94CAXC"],"itemData":{"id":2985,"type":"article-journal","abstract":"INTRODUCTION: Hormonal contraceptive use might impair bone health and increase the risk of stress fracture by decreasing endogenous oestrogen production, a central regulator of bone metabolism. This cross-sectional study investigated bone density and biochemical markers of bone metabolism in women taking hormonal contraceptives on entry to basic military training. METHODS: Forty-five female British Army recruits had biochemical markers of bone metabolism, areal bone mineral density (aBMD) and tibial speed of sound (tSOS) measured at the start of basic military training. Participants were compared by their method of hormonal contraception: no hormonal contraception (NONE), combined contraceptive pill (CP) or depot-medroxyprogesterone acetate (DMPA) (20+/-2.8 years, 1.64+/-0.63 m, 61.7+/-6.2 kg). RESULTS: aBMD was not different between groups (p&gt;/=0.204), but tSOS was higher in NONE (3%, p=0.014) when compared with DMPA users. Beta C-terminal telopeptide was higher in NONE (45%, p=0.037) and DMPA users (90%, p=0.003) compared with CP users. Procollagen type 1 N-terminal propeptide was higher in DMPA users compared with NONE (43%, p=0.045) and CP users (127%, p=0.001), and higher in NONE compared with CP users (59%, p=0.014). Bone alkaline phosphatase was higher in DMPA users compared with CP users (56%, p=0.044). CONCLUSIONS: DMPA use was associated with increased bone turnover and decreased cortical bone integrity of the tibia. Lower cortical bone integrity in DMPA users was possibly mediated by increased intracortical remodelling, but trabecular bone was not affected by contraceptive use.","container-title":"BMJ Mil Health","DOI":"10.1136/bmjmilitary-2020-001745","ISSN":"2633-3775 (Electronic) 2633-3767 (Linking)","title":"Hormonal contraceptive use, bone density and biochemical markers of bone metabolism in British Army recruits","author":[{"family":"Coombs","given":"C. V."},{"family":"O'Leary","given":"T. J."},{"family":"Tang","given":"J. C. Y."},{"family":"Fraser","given":"W. D."},{"family":"Greeves","given":"J. P."}],"issued":{"date-parts":[["2021",3,15]]}}}],"schema":"https://github.com/citation-style-language/schema/raw/master/csl-citation.json"}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(27)</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and higher fracture risk </w:t>
      </w:r>
      <w:r w:rsidRPr="00024E20">
        <w:rPr>
          <w:rFonts w:ascii="Times New Roman" w:eastAsia="Times New Roman" w:hAnsi="Times New Roman" w:cs="Times New Roman"/>
          <w:color w:val="000000" w:themeColor="text1"/>
          <w:sz w:val="24"/>
          <w:szCs w:val="24"/>
        </w:rPr>
        <w:fldChar w:fldCharType="begin"/>
      </w:r>
      <w:r w:rsidRPr="00024E20">
        <w:rPr>
          <w:rFonts w:ascii="Times New Roman" w:eastAsia="Times New Roman" w:hAnsi="Times New Roman" w:cs="Times New Roman"/>
          <w:color w:val="000000" w:themeColor="text1"/>
          <w:sz w:val="24"/>
          <w:szCs w:val="24"/>
        </w:rPr>
        <w:instrText xml:space="preserve"> ADDIN ZOTERO_ITEM CSL_CITATION {"citationID":"me9cqJRV","properties":{"formattedCitation":"(11)","plainCitation":"(11)","noteIndex":0},"citationItems":[{"id":8181,"uris":["http://zotero.org/users/6787375/items/U4YEVKP7"],"itemData":{"id":8181,"type":"article-journal","abstract":"Objective\n              Assess the association between combined hormonal contraceptives (CHC) use and musculoskeletal tissue pathophysiology, injuries or conditions.\n            \n            \n              Design\n              Systematic review with semiquantitative analyses and certainty of evidence assessment, guided by the Grading of Recommendations Assessment, Development and Evaluation approach.\n            \n            \n              Data Sources\n              MEDLINE, EMBASE, CENTRAL, SPORTDiscus, CINAHL searched from inception to April 2022.\n            \n            \n              Eligibility\n              Intervention and cohort studies that assessed the association between new or ongoing use of CHC and an outcome of musculoskeletal tissue pathophysiology, injury or condition in postpubertal premenopausal females.\n            \n            \n              Results\n              Across 50 included studies, we assessed the effect of CHC use on 30 unique musculoskeletal outcomes (75% bone related). Serious risk of bias was judged present in 82% of studies, with 52% adequately adjusting for confounding. Meta-analyses were not possible due to poor outcome reporting, and heterogeneity in estimate statistics and comparison conditions. Based on semiquantitative synthesis, there is low certainty evidence that CHC use was associated with elevated future fracture risk (risk ratio 1.02–1.20) and total knee arthroplasty (risk ratio 1.00–1.36). There is very low certainty evidence of unclear relationships between CHC use and a wide range of bone turnover and bone health outcomes. Evidence about the effect of CHC use on musculoskeletal tissues beyond bone, and the influence of CHC use in adolescence versus adulthood, is limited.\n            \n            \n              Conclusion\n              Given a paucity of high certainty evidence that CHC use is protective against musculoskeletal pathophysiology, injury or conditions, it is premature and inappropriate to advocate, or prescribe CHC for these purposes.\n            \n            \n              PROSPERO registration number\n              This review was registered on PROSPERO CRD42021224582 on 8 January 2021.","container-title":"British Journal of Sports Medicine","DOI":"10.1136/bjsports-2022-106519","ISSN":"0306-3674, 1473-0480","issue":"18","journalAbbreviation":"Br J Sports Med","language":"en","page":"1195-1202","source":"DOI.org (Crossref)","title":"Combined hormonal contraceptive use is not protective against musculoskeletal conditions or injuries: a systematic review with data from 5 million females","title-short":"Combined hormonal contraceptive use is not protective against musculoskeletal conditions or injuries","volume":"57","author":[{"family":"White","given":"Lynita"},{"family":"Losciale","given":"Justin M"},{"family":"Squier","given":"Kipling"},{"family":"Guy","given":"Sarah"},{"family":"Scott","given":"Alex"},{"family":"Prior","given":"Jerilynn C"},{"family":"Whittaker","given":"Jackie L"}],"issued":{"date-parts":[["2023",9]]}}}],"schema":"https://github.com/citation-style-language/schema/raw/master/csl-citation.json"}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(11)</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compared with non-users. Both COCP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TjM5hel7","properties":{"formattedCitation":"(23)","plainCitation":"(23)","noteIndex":0},"citationItems":[{"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(23)</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and POC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{"citationID":"avqs1i8p3v","properties":{"formattedCitation":"(23, 31)","plainCitation":"(23, 31)","noteIndex":0},"citationItems":[{"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(23, 31)</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users experience blunted adaptation of distal tibial trabeculae in response to military training, compared with non-users, which may contribute to increased bone stress injury risk </w:t>
      </w:r>
      <w:r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{"citationID":"64XXzCgT","properties":{"formattedCitation":"(32)","plainCitation":"(32)","noteIndex":0},"citationItems":[{"id":4300,"uris":["http://zotero.org/users/6787375/items/55KF6J9V"],"itemData":{"id":4300,"type":"article-journal","abstract":"Mechanical loading leads to adaptive bone formation - the formation of new bone on existing skeletal surfaces - which increases bone strength and fatigue resistance. The same mechanical loading can also cause microdamage to bone and development of a stress fracture through targeted remodelling. Stress fractures are common in military recruits and cause significant morbidity, lost training time, and discharge from military service. This narrative review proposes strategies to promote adaptive bone formation as a novel approach to mitigate the risk of stress fracture injuries during arduous military training. Exercise that is unaccustomed, dynamic, high-impact, multidirectional, intermittent, and includes extended rest periods to restore bone mechanosensitivity, is most osteogenic. New bone formation can take up to one year to mineralize, and so new exercise training programmes should be initiated well in advance of military activities with high risk of stress fracture. Bone mechanosensitivity is highest in adolescence, before puberty, and so increasing physical activity in youth is likely to protect skeletal health in later life, including for those in the military. Recent data show that adaptive bone formation takes place during initial military training. Adaptive bone formation can also be supported with adequate sleep, vitamin D, calcium, and energy availability. Further evidence on how strategies to promote adaptive bone formation affect stress fracture risk are required. Adaptive bone formation can be optimized with a range of training and nutritional strategies to help create a resilient skeleton, which may protect against stress fracture throughout military service.","container-title":"Eur J Sport Sci","DOI":"10.1080/17461391.2021.1949637","ISSN":"1536-7290 (Electronic) 1536-7290 (Linking)","journalAbbreviation":"European journal of sport science","page":"1-12","title":"Promoting adaptive bone formation to prevent stress fractures in military personnel","author":[{"family":"Hughes","given":"J. M."},{"family":"O'Leary","given":"T. J."},{"family":"Koltun","given":"K. J."},{"family":"Greeves","given":"J. P."}],"issued":{"date-parts":[["2021",7,16]]}}}],"schema":"https://github.com/citation-style-language/schema/raw/master/csl-citation.json"}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(32)</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w:t>
      </w:r>
    </w:p>
    <w:p w14:paraId="758E1151" w14:textId="7AC188CA" w:rsidR="00EC6B73" w:rsidRPr="00024E20" w:rsidRDefault="00EC6B73" w:rsidP="00FD44C2">
      <w:pPr>
        <w:spacing w:after="0" w:line="480" w:lineRule="auto"/>
        <w:jc w:val="both"/>
        <w:rPr>
          <w:rFonts w:ascii="Times New Roman" w:eastAsia="Times New Roman" w:hAnsi="Times New Roman" w:cs="Times New Roman"/>
          <w:color w:val="000000" w:themeColor="text1"/>
          <w:sz w:val="24"/>
          <w:szCs w:val="24"/>
        </w:rPr>
      </w:pPr>
    </w:p>
    <w:p w14:paraId="3D769D2C" w14:textId="34DE861E" w:rsidR="00F71CDB" w:rsidRPr="00024E20" w:rsidRDefault="00FD367F">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Better understanding of the effects of hormonal contraceptives on physical performance, body composition, and musculoskeletal injury risk in military training will help inform hormonal contraceptive choices for female recruits </w:t>
      </w:r>
      <w:r w:rsidRPr="00024E20">
        <w:rPr>
          <w:rFonts w:ascii="Times New Roman" w:eastAsia="Times New Roman" w:hAnsi="Times New Roman" w:cs="Times New Roman"/>
          <w:color w:val="000000" w:themeColor="text1"/>
          <w:sz w:val="24"/>
          <w:szCs w:val="24"/>
        </w:rPr>
        <w:fldChar w:fldCharType="begin"/>
      </w:r>
      <w:r w:rsidR="00AB084B" w:rsidRPr="00024E20">
        <w:rPr>
          <w:rFonts w:ascii="Times New Roman" w:eastAsia="Times New Roman" w:hAnsi="Times New Roman" w:cs="Times New Roman"/>
          <w:color w:val="000000" w:themeColor="text1"/>
          <w:sz w:val="24"/>
          <w:szCs w:val="24"/>
        </w:rPr>
        <w:instrText xml:space="preserve"> ADDIN ZOTERO_ITEM CSL_CITATION {"citationID":"Umgyxxb5","properties":{"formattedCitation":"(33)","plainCitation":"(33)","noteIndex":0},"citationItems":[{"id":8196,"uris":["http://zotero.org/users/6787375/items/9WTTFMEI"],"itemData":{"id":8196,"type":"article-journal","container-title":"American Journal of Obstetrics and Gynecology","DOI":"10.1016/j.ajog.2024.05.044","ISSN":"00029378","journalAbbreviation":"American Journal of Obstetrics and Gynecology","language":"en","page":"S0002937824006306","source":"DOI.org (Crossref)","title":"Hormonal Contraception and Medical Readiness for Female Service Members","author":[{"family":"Ricker","given":"Emily A."},{"family":"Koltun","given":"Kristen J."},{"family":"De La Motte","given":"Sarah J."}],"issued":{"date-parts":[["2024",5]]}}}],"schema":"https://github.com/citation-style-language/schema/raw/master/csl-citation.json"}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(33)</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w:t>
      </w:r>
      <w:bookmarkStart w:id="0" w:name="_heading=h.v7z5iyp55kl8" w:colFirst="0" w:colLast="0"/>
      <w:bookmarkStart w:id="1" w:name="_heading=h.p4x6dq2g63ls" w:colFirst="0" w:colLast="0"/>
      <w:bookmarkStart w:id="2" w:name="_heading=h.30j0zll" w:colFirst="0" w:colLast="0"/>
      <w:bookmarkEnd w:id="0"/>
      <w:bookmarkEnd w:id="1"/>
      <w:bookmarkEnd w:id="2"/>
      <w:r w:rsidRPr="00024E20">
        <w:rPr>
          <w:rFonts w:ascii="Times New Roman" w:eastAsia="Times New Roman" w:hAnsi="Times New Roman" w:cs="Times New Roman"/>
          <w:color w:val="000000" w:themeColor="text1"/>
          <w:sz w:val="24"/>
          <w:szCs w:val="24"/>
        </w:rPr>
        <w:t xml:space="preserve"> </w:t>
      </w:r>
      <w:r w:rsidR="00BA3549" w:rsidRPr="00024E20">
        <w:rPr>
          <w:rFonts w:ascii="Times New Roman" w:eastAsia="Times New Roman" w:hAnsi="Times New Roman" w:cs="Times New Roman"/>
          <w:color w:val="000000" w:themeColor="text1"/>
          <w:sz w:val="24"/>
          <w:szCs w:val="24"/>
        </w:rPr>
        <w:t>M</w:t>
      </w:r>
      <w:r w:rsidR="00E132C5" w:rsidRPr="00024E20">
        <w:rPr>
          <w:rFonts w:ascii="Times New Roman" w:eastAsia="Times New Roman" w:hAnsi="Times New Roman" w:cs="Times New Roman"/>
          <w:color w:val="000000" w:themeColor="text1"/>
          <w:sz w:val="24"/>
          <w:szCs w:val="24"/>
        </w:rPr>
        <w:t xml:space="preserve">ost studies </w:t>
      </w:r>
      <w:r w:rsidR="00C95268" w:rsidRPr="00024E20">
        <w:rPr>
          <w:rFonts w:ascii="Times New Roman" w:eastAsia="Times New Roman" w:hAnsi="Times New Roman" w:cs="Times New Roman"/>
          <w:color w:val="000000" w:themeColor="text1"/>
          <w:sz w:val="24"/>
          <w:szCs w:val="24"/>
        </w:rPr>
        <w:t xml:space="preserve">investigating the effect of hormonal contraceptives on physical performance and body composition </w:t>
      </w:r>
      <w:r w:rsidR="00E615CB" w:rsidRPr="00024E20">
        <w:rPr>
          <w:rFonts w:ascii="Times New Roman" w:eastAsia="Times New Roman" w:hAnsi="Times New Roman" w:cs="Times New Roman"/>
          <w:color w:val="000000" w:themeColor="text1"/>
          <w:sz w:val="24"/>
          <w:szCs w:val="24"/>
        </w:rPr>
        <w:t>have</w:t>
      </w:r>
      <w:r w:rsidR="00172B22" w:rsidRPr="00024E20">
        <w:rPr>
          <w:rFonts w:ascii="Times New Roman" w:eastAsia="Times New Roman" w:hAnsi="Times New Roman" w:cs="Times New Roman"/>
          <w:color w:val="000000" w:themeColor="text1"/>
          <w:sz w:val="24"/>
          <w:szCs w:val="24"/>
        </w:rPr>
        <w:t xml:space="preserve"> small</w:t>
      </w:r>
      <w:r w:rsidR="00E615CB" w:rsidRPr="00024E20">
        <w:rPr>
          <w:rFonts w:ascii="Times New Roman" w:eastAsia="Times New Roman" w:hAnsi="Times New Roman" w:cs="Times New Roman"/>
          <w:color w:val="000000" w:themeColor="text1"/>
          <w:sz w:val="24"/>
          <w:szCs w:val="24"/>
        </w:rPr>
        <w:t xml:space="preserve"> sample sizes, are typically cross-sectional</w:t>
      </w:r>
      <w:r w:rsidR="007936EA" w:rsidRPr="00024E20">
        <w:rPr>
          <w:rFonts w:ascii="Times New Roman" w:eastAsia="Times New Roman" w:hAnsi="Times New Roman" w:cs="Times New Roman"/>
          <w:color w:val="000000" w:themeColor="text1"/>
          <w:sz w:val="24"/>
          <w:szCs w:val="24"/>
        </w:rPr>
        <w:t xml:space="preserve"> and not longitudinal</w:t>
      </w:r>
      <w:r w:rsidR="00E615CB" w:rsidRPr="00024E20">
        <w:rPr>
          <w:rFonts w:ascii="Times New Roman" w:eastAsia="Times New Roman" w:hAnsi="Times New Roman" w:cs="Times New Roman"/>
          <w:color w:val="000000" w:themeColor="text1"/>
          <w:sz w:val="24"/>
          <w:szCs w:val="24"/>
        </w:rPr>
        <w:t>, and exclude POC use</w:t>
      </w:r>
      <w:r w:rsidR="00E132C5" w:rsidRPr="00024E20">
        <w:rPr>
          <w:rFonts w:ascii="Times New Roman" w:eastAsia="Times New Roman" w:hAnsi="Times New Roman" w:cs="Times New Roman"/>
          <w:color w:val="000000" w:themeColor="text1"/>
          <w:sz w:val="24"/>
          <w:szCs w:val="24"/>
        </w:rPr>
        <w:t>.</w:t>
      </w:r>
      <w:r w:rsidR="00F32FC6" w:rsidRPr="00024E20">
        <w:rPr>
          <w:rFonts w:ascii="Times New Roman" w:eastAsia="Times New Roman" w:hAnsi="Times New Roman" w:cs="Times New Roman"/>
          <w:color w:val="000000" w:themeColor="text1"/>
          <w:sz w:val="24"/>
          <w:szCs w:val="24"/>
        </w:rPr>
        <w:t xml:space="preserve"> There are also little data in Servicewomen, where l</w:t>
      </w:r>
      <w:r w:rsidR="00E132C5" w:rsidRPr="00024E20">
        <w:rPr>
          <w:rFonts w:ascii="Times New Roman" w:eastAsia="Times New Roman" w:hAnsi="Times New Roman" w:cs="Times New Roman"/>
          <w:color w:val="000000" w:themeColor="text1"/>
          <w:sz w:val="24"/>
          <w:szCs w:val="24"/>
        </w:rPr>
        <w:t xml:space="preserve">ong-acting </w:t>
      </w:r>
      <w:r w:rsidR="00AA57FB" w:rsidRPr="00024E20">
        <w:rPr>
          <w:rFonts w:ascii="Times New Roman" w:eastAsia="Times New Roman" w:hAnsi="Times New Roman" w:cs="Times New Roman"/>
          <w:color w:val="000000" w:themeColor="text1"/>
          <w:sz w:val="24"/>
          <w:szCs w:val="24"/>
        </w:rPr>
        <w:t>POCs</w:t>
      </w:r>
      <w:r w:rsidR="006308D0" w:rsidRPr="00024E20">
        <w:rPr>
          <w:rFonts w:ascii="Times New Roman" w:eastAsia="Times New Roman" w:hAnsi="Times New Roman" w:cs="Times New Roman"/>
          <w:color w:val="000000" w:themeColor="text1"/>
          <w:sz w:val="24"/>
          <w:szCs w:val="24"/>
        </w:rPr>
        <w:t xml:space="preserve"> </w:t>
      </w:r>
      <w:r w:rsidR="00E132C5" w:rsidRPr="00024E20">
        <w:rPr>
          <w:rFonts w:ascii="Times New Roman" w:eastAsia="Times New Roman" w:hAnsi="Times New Roman" w:cs="Times New Roman"/>
          <w:color w:val="000000" w:themeColor="text1"/>
          <w:sz w:val="24"/>
          <w:szCs w:val="24"/>
        </w:rPr>
        <w:t>are</w:t>
      </w:r>
      <w:r w:rsidR="006F35BF" w:rsidRPr="00024E20">
        <w:rPr>
          <w:rFonts w:ascii="Times New Roman" w:eastAsia="Times New Roman" w:hAnsi="Times New Roman" w:cs="Times New Roman"/>
          <w:color w:val="000000" w:themeColor="text1"/>
          <w:sz w:val="24"/>
          <w:szCs w:val="24"/>
        </w:rPr>
        <w:t xml:space="preserve"> </w:t>
      </w:r>
      <w:r w:rsidR="00B205EE" w:rsidRPr="00024E20">
        <w:rPr>
          <w:rFonts w:ascii="Times New Roman" w:eastAsia="Times New Roman" w:hAnsi="Times New Roman" w:cs="Times New Roman"/>
          <w:color w:val="000000" w:themeColor="text1"/>
          <w:sz w:val="24"/>
          <w:szCs w:val="24"/>
        </w:rPr>
        <w:t xml:space="preserve">a </w:t>
      </w:r>
      <w:r w:rsidR="00520DF4" w:rsidRPr="00024E20">
        <w:rPr>
          <w:rFonts w:ascii="Times New Roman" w:eastAsia="Times New Roman" w:hAnsi="Times New Roman" w:cs="Times New Roman"/>
          <w:color w:val="000000" w:themeColor="text1"/>
          <w:sz w:val="24"/>
          <w:szCs w:val="24"/>
        </w:rPr>
        <w:t xml:space="preserve">common choice of </w:t>
      </w:r>
      <w:r w:rsidR="006F35BF" w:rsidRPr="00024E20">
        <w:rPr>
          <w:rFonts w:ascii="Times New Roman" w:eastAsia="Times New Roman" w:hAnsi="Times New Roman" w:cs="Times New Roman"/>
          <w:color w:val="000000" w:themeColor="text1"/>
          <w:sz w:val="24"/>
          <w:szCs w:val="24"/>
        </w:rPr>
        <w:t>hormonal contraceptive</w:t>
      </w:r>
      <w:r w:rsidR="00C95268" w:rsidRPr="00024E20">
        <w:rPr>
          <w:rFonts w:ascii="Times New Roman" w:eastAsia="Times New Roman" w:hAnsi="Times New Roman" w:cs="Times New Roman"/>
          <w:color w:val="000000" w:themeColor="text1"/>
          <w:sz w:val="24"/>
          <w:szCs w:val="24"/>
        </w:rPr>
        <w:t xml:space="preserve"> </w:t>
      </w:r>
      <w:r w:rsidR="00E132C5" w:rsidRPr="00024E20">
        <w:rPr>
          <w:rFonts w:ascii="Times New Roman" w:eastAsia="Times New Roman" w:hAnsi="Times New Roman" w:cs="Times New Roman"/>
          <w:color w:val="000000" w:themeColor="text1"/>
          <w:sz w:val="24"/>
          <w:szCs w:val="24"/>
        </w:rPr>
        <w:fldChar w:fldCharType="begin"/>
      </w:r>
      <w:r w:rsidR="00AB084B" w:rsidRPr="00024E20">
        <w:rPr>
          <w:rFonts w:ascii="Times New Roman" w:eastAsia="Times New Roman" w:hAnsi="Times New Roman" w:cs="Times New Roman"/>
          <w:color w:val="000000" w:themeColor="text1"/>
          <w:sz w:val="24"/>
          <w:szCs w:val="24"/>
        </w:rPr>
        <w:instrText xml:space="preserve"> ADDIN ZOTERO_ITEM CSL_CITATION {"citationID":"ZYDXnWP4","properties":{"formattedCitation":"(34)","plainCitation":"(34)","noteIndex":0},"citationItems":[{"id":3273,"uris":["http://zotero.org/users/6787375/items/HXHQEMH3"],"itemData":{"id":3273,"type":"article-journal","abstract":"INTRODUCTION: Thirty four per cent of women use hormonal contraceptives in the UK and the contraceptive pill is the most common method. There are no comparable data in the UK Armed Forces, but servicewomen are often required to complete physically arduous job roles in combat zones and may be more likely to take contraceptives to control or stop menstrual bleeding than the general population. We explored the prevalence of hormonal contraceptive prescriptions in the UK Armed Forces. METHODS: The study used defence medical records (Defence Medical Information Capability Programme) to identify hormonal contraceptive prescriptions for all serving regular UK servicewomen (n=15 738) as of 1 September 2017. RESULTS: Thirty one per cent of servicewomen (Royal Navy, 28%; British Army, 30%; Royal Air Force, 34%) had a current prescription for a hormonal contraceptive. Non-officer ranks were more likely to have a prescription for a hormonal contraceptive (32%) than officers (27%) (p&lt;0.01). The contraceptive pill was more commonly prescribed (68%) than long-acting reversible contraceptive methods (32%) (contraceptive injection, 11%; contraceptive implant, 11%; intrauterine device, 10%). CONCLUSION: Prescription data suggest that the prevalence of hormonal contraceptive use in UK servicewomen is comparable with the general UK population. These findings suggest that military service does not influence prevalence or choice of hormonal contraceptives.","container-title":"BMJ Mil Health","DOI":"10.1136/bmjmilitary-2020-001594","ISSN":"2633-3775 (Electronic) 2633-3767 (Linking)","title":"Hormonal contraceptive prescriptions in the UK Armed Forces","author":[{"family":"Double","given":"R. L."},{"family":"Wardle","given":"S. L."},{"family":"O'Leary","given":"T. J."},{"family":"Weaden","given":"N."},{"family":"Bailey","given":"G."},{"family":"Greeves","given":"J. P."}],"issued":{"date-parts":[["2021",1,18]]}}}],"schema":"https://github.com/citation-style-language/schema/raw/master/csl-citation.json"} </w:instrText>
      </w:r>
      <w:r w:rsidR="00E132C5"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(34)</w:t>
      </w:r>
      <w:r w:rsidR="00E132C5" w:rsidRPr="00024E20">
        <w:rPr>
          <w:rFonts w:ascii="Times New Roman" w:eastAsia="Times New Roman" w:hAnsi="Times New Roman" w:cs="Times New Roman"/>
          <w:color w:val="000000" w:themeColor="text1"/>
          <w:sz w:val="24"/>
          <w:szCs w:val="24"/>
        </w:rPr>
        <w:fldChar w:fldCharType="end"/>
      </w:r>
      <w:r w:rsidR="000B61C5" w:rsidRPr="00024E20">
        <w:rPr>
          <w:rFonts w:ascii="Times New Roman" w:eastAsia="Times New Roman" w:hAnsi="Times New Roman" w:cs="Times New Roman"/>
          <w:color w:val="000000" w:themeColor="text1"/>
          <w:sz w:val="24"/>
          <w:szCs w:val="24"/>
        </w:rPr>
        <w:t xml:space="preserve">. </w:t>
      </w:r>
      <w:r w:rsidR="002049D3" w:rsidRPr="00024E20">
        <w:rPr>
          <w:rFonts w:ascii="Times New Roman" w:eastAsia="Times New Roman" w:hAnsi="Times New Roman" w:cs="Times New Roman"/>
          <w:color w:val="000000" w:themeColor="text1"/>
          <w:sz w:val="24"/>
          <w:szCs w:val="24"/>
        </w:rPr>
        <w:t>The primary aims of this study were to examine associations between hormonal contraceptive use</w:t>
      </w:r>
      <w:r w:rsidR="00F63C2D" w:rsidRPr="00024E20">
        <w:rPr>
          <w:rFonts w:ascii="Times New Roman" w:eastAsia="Times New Roman" w:hAnsi="Times New Roman" w:cs="Times New Roman"/>
          <w:color w:val="000000" w:themeColor="text1"/>
          <w:sz w:val="24"/>
          <w:szCs w:val="24"/>
        </w:rPr>
        <w:t xml:space="preserve"> (non-users </w:t>
      </w:r>
      <w:r w:rsidR="00F63C2D" w:rsidRPr="00024E20">
        <w:rPr>
          <w:rFonts w:ascii="Times New Roman" w:eastAsia="Times New Roman" w:hAnsi="Times New Roman" w:cs="Times New Roman"/>
          <w:i/>
          <w:iCs/>
          <w:color w:val="000000" w:themeColor="text1"/>
          <w:sz w:val="24"/>
          <w:szCs w:val="24"/>
        </w:rPr>
        <w:t>vs</w:t>
      </w:r>
      <w:r w:rsidR="00F63C2D" w:rsidRPr="00024E20">
        <w:rPr>
          <w:rFonts w:ascii="Times New Roman" w:eastAsia="Times New Roman" w:hAnsi="Times New Roman" w:cs="Times New Roman"/>
          <w:color w:val="000000" w:themeColor="text1"/>
          <w:sz w:val="24"/>
          <w:szCs w:val="24"/>
        </w:rPr>
        <w:t xml:space="preserve"> COCP </w:t>
      </w:r>
      <w:proofErr w:type="gramStart"/>
      <w:r w:rsidR="00F63C2D" w:rsidRPr="00024E20">
        <w:rPr>
          <w:rFonts w:ascii="Times New Roman" w:eastAsia="Times New Roman" w:hAnsi="Times New Roman" w:cs="Times New Roman"/>
          <w:color w:val="000000" w:themeColor="text1"/>
          <w:sz w:val="24"/>
          <w:szCs w:val="24"/>
        </w:rPr>
        <w:t>users</w:t>
      </w:r>
      <w:proofErr w:type="gramEnd"/>
      <w:r w:rsidR="00F63C2D" w:rsidRPr="00024E20">
        <w:rPr>
          <w:rFonts w:ascii="Times New Roman" w:eastAsia="Times New Roman" w:hAnsi="Times New Roman" w:cs="Times New Roman"/>
          <w:color w:val="000000" w:themeColor="text1"/>
          <w:sz w:val="24"/>
          <w:szCs w:val="24"/>
        </w:rPr>
        <w:t xml:space="preserve"> </w:t>
      </w:r>
      <w:r w:rsidR="00F63C2D" w:rsidRPr="00024E20">
        <w:rPr>
          <w:rFonts w:ascii="Times New Roman" w:eastAsia="Times New Roman" w:hAnsi="Times New Roman" w:cs="Times New Roman"/>
          <w:i/>
          <w:iCs/>
          <w:color w:val="000000" w:themeColor="text1"/>
          <w:sz w:val="24"/>
          <w:szCs w:val="24"/>
        </w:rPr>
        <w:t>vs</w:t>
      </w:r>
      <w:r w:rsidR="00F63C2D" w:rsidRPr="00024E20">
        <w:rPr>
          <w:rFonts w:ascii="Times New Roman" w:eastAsia="Times New Roman" w:hAnsi="Times New Roman" w:cs="Times New Roman"/>
          <w:color w:val="000000" w:themeColor="text1"/>
          <w:sz w:val="24"/>
          <w:szCs w:val="24"/>
        </w:rPr>
        <w:t xml:space="preserve"> POC users)</w:t>
      </w:r>
      <w:r w:rsidR="002049D3" w:rsidRPr="00024E20">
        <w:rPr>
          <w:rFonts w:ascii="Times New Roman" w:eastAsia="Times New Roman" w:hAnsi="Times New Roman" w:cs="Times New Roman"/>
          <w:color w:val="000000" w:themeColor="text1"/>
          <w:sz w:val="24"/>
          <w:szCs w:val="24"/>
        </w:rPr>
        <w:t xml:space="preserve"> and physical performance, body </w:t>
      </w:r>
      <w:r w:rsidR="002049D3" w:rsidRPr="00024E20">
        <w:rPr>
          <w:rFonts w:ascii="Times New Roman" w:eastAsia="Times New Roman" w:hAnsi="Times New Roman" w:cs="Times New Roman"/>
          <w:color w:val="000000" w:themeColor="text1"/>
          <w:sz w:val="24"/>
          <w:szCs w:val="24"/>
        </w:rPr>
        <w:lastRenderedPageBreak/>
        <w:t xml:space="preserve">composition, and musculoskeletal injury incidence during military training. Secondary aims were to explore the effect of hormonal contraceptive use on circulating markers of iron status, vitamin D status, and bone metabolism. We hypothesised that </w:t>
      </w:r>
      <w:r w:rsidR="00520DF4" w:rsidRPr="00024E20">
        <w:rPr>
          <w:rFonts w:ascii="Times New Roman" w:eastAsia="Times New Roman" w:hAnsi="Times New Roman" w:cs="Times New Roman"/>
          <w:color w:val="000000" w:themeColor="text1"/>
          <w:sz w:val="24"/>
          <w:szCs w:val="24"/>
        </w:rPr>
        <w:t>COCP use would be associated with poorer physical performance and higher body fat</w:t>
      </w:r>
      <w:r w:rsidR="00F63C2D" w:rsidRPr="00024E20">
        <w:rPr>
          <w:rFonts w:ascii="Times New Roman" w:eastAsia="Times New Roman" w:hAnsi="Times New Roman" w:cs="Times New Roman"/>
          <w:color w:val="000000" w:themeColor="text1"/>
          <w:sz w:val="24"/>
          <w:szCs w:val="24"/>
        </w:rPr>
        <w:t xml:space="preserve"> and total 25(OH)D</w:t>
      </w:r>
      <w:r w:rsidR="009B4B1E" w:rsidRPr="00024E20">
        <w:rPr>
          <w:rFonts w:ascii="Times New Roman" w:eastAsia="Times New Roman" w:hAnsi="Times New Roman" w:cs="Times New Roman"/>
          <w:color w:val="000000" w:themeColor="text1"/>
          <w:sz w:val="24"/>
          <w:szCs w:val="24"/>
        </w:rPr>
        <w:t xml:space="preserve"> at baseline and follow-up</w:t>
      </w:r>
      <w:r w:rsidR="00520DF4" w:rsidRPr="00024E20">
        <w:rPr>
          <w:rFonts w:ascii="Times New Roman" w:eastAsia="Times New Roman" w:hAnsi="Times New Roman" w:cs="Times New Roman"/>
          <w:color w:val="000000" w:themeColor="text1"/>
          <w:sz w:val="24"/>
          <w:szCs w:val="24"/>
        </w:rPr>
        <w:t xml:space="preserve">, but COCP users, POC users, and non-users would have similar performance and body composition adaptations to training. We also hypothesised that </w:t>
      </w:r>
      <w:r w:rsidR="00E7354E" w:rsidRPr="00024E20">
        <w:rPr>
          <w:rFonts w:ascii="Times New Roman" w:eastAsia="Times New Roman" w:hAnsi="Times New Roman" w:cs="Times New Roman"/>
          <w:color w:val="000000" w:themeColor="text1"/>
          <w:sz w:val="24"/>
          <w:szCs w:val="24"/>
        </w:rPr>
        <w:t xml:space="preserve">POC use will be associated with </w:t>
      </w:r>
      <w:r w:rsidR="00520DF4" w:rsidRPr="00024E20">
        <w:rPr>
          <w:rFonts w:ascii="Times New Roman" w:eastAsia="Times New Roman" w:hAnsi="Times New Roman" w:cs="Times New Roman"/>
          <w:color w:val="000000" w:themeColor="text1"/>
          <w:sz w:val="24"/>
          <w:szCs w:val="24"/>
        </w:rPr>
        <w:t xml:space="preserve">lower </w:t>
      </w:r>
      <w:proofErr w:type="spellStart"/>
      <w:r w:rsidR="00520DF4" w:rsidRPr="00024E20">
        <w:rPr>
          <w:rFonts w:ascii="Times New Roman" w:eastAsia="Times New Roman" w:hAnsi="Times New Roman" w:cs="Times New Roman"/>
          <w:color w:val="000000" w:themeColor="text1"/>
          <w:sz w:val="24"/>
          <w:szCs w:val="24"/>
        </w:rPr>
        <w:t>aBMD</w:t>
      </w:r>
      <w:proofErr w:type="spellEnd"/>
      <w:r w:rsidR="009B4B1E" w:rsidRPr="00024E20">
        <w:rPr>
          <w:rFonts w:ascii="Times New Roman" w:eastAsia="Times New Roman" w:hAnsi="Times New Roman" w:cs="Times New Roman"/>
          <w:color w:val="000000" w:themeColor="text1"/>
          <w:sz w:val="24"/>
          <w:szCs w:val="24"/>
        </w:rPr>
        <w:t xml:space="preserve"> and </w:t>
      </w:r>
      <w:r w:rsidR="00520DF4" w:rsidRPr="00024E20">
        <w:rPr>
          <w:rFonts w:ascii="Times New Roman" w:eastAsia="Times New Roman" w:hAnsi="Times New Roman" w:cs="Times New Roman"/>
          <w:color w:val="000000" w:themeColor="text1"/>
          <w:sz w:val="24"/>
          <w:szCs w:val="24"/>
        </w:rPr>
        <w:t>higher markers of bone turnover</w:t>
      </w:r>
      <w:r w:rsidR="009B4B1E" w:rsidRPr="00024E20">
        <w:rPr>
          <w:rFonts w:ascii="Times New Roman" w:eastAsia="Times New Roman" w:hAnsi="Times New Roman" w:cs="Times New Roman"/>
          <w:color w:val="000000" w:themeColor="text1"/>
          <w:sz w:val="24"/>
          <w:szCs w:val="24"/>
        </w:rPr>
        <w:t xml:space="preserve"> at baseline and follow-up</w:t>
      </w:r>
      <w:r w:rsidR="00520DF4" w:rsidRPr="00024E20">
        <w:rPr>
          <w:rFonts w:ascii="Times New Roman" w:eastAsia="Times New Roman" w:hAnsi="Times New Roman" w:cs="Times New Roman"/>
          <w:color w:val="000000" w:themeColor="text1"/>
          <w:sz w:val="24"/>
          <w:szCs w:val="24"/>
        </w:rPr>
        <w:t xml:space="preserve">, and </w:t>
      </w:r>
      <w:r w:rsidR="00E7354E" w:rsidRPr="00024E20">
        <w:rPr>
          <w:rFonts w:ascii="Times New Roman" w:eastAsia="Times New Roman" w:hAnsi="Times New Roman" w:cs="Times New Roman"/>
          <w:color w:val="000000" w:themeColor="text1"/>
          <w:sz w:val="24"/>
          <w:szCs w:val="24"/>
        </w:rPr>
        <w:t xml:space="preserve">increased risk of </w:t>
      </w:r>
      <w:r w:rsidR="002049D3" w:rsidRPr="00024E20">
        <w:rPr>
          <w:rFonts w:ascii="Times New Roman" w:eastAsia="Times New Roman" w:hAnsi="Times New Roman" w:cs="Times New Roman"/>
          <w:color w:val="000000" w:themeColor="text1"/>
          <w:sz w:val="24"/>
          <w:szCs w:val="24"/>
        </w:rPr>
        <w:t xml:space="preserve">musculoskeletal </w:t>
      </w:r>
      <w:r w:rsidR="00F63C2D" w:rsidRPr="00024E20">
        <w:rPr>
          <w:rFonts w:ascii="Times New Roman" w:eastAsia="Times New Roman" w:hAnsi="Times New Roman" w:cs="Times New Roman"/>
          <w:color w:val="000000" w:themeColor="text1"/>
          <w:sz w:val="24"/>
          <w:szCs w:val="24"/>
        </w:rPr>
        <w:t xml:space="preserve">and bone stress </w:t>
      </w:r>
      <w:r w:rsidR="002049D3" w:rsidRPr="00024E20">
        <w:rPr>
          <w:rFonts w:ascii="Times New Roman" w:eastAsia="Times New Roman" w:hAnsi="Times New Roman" w:cs="Times New Roman"/>
          <w:color w:val="000000" w:themeColor="text1"/>
          <w:sz w:val="24"/>
          <w:szCs w:val="24"/>
        </w:rPr>
        <w:t>injury risk</w:t>
      </w:r>
      <w:r w:rsidR="00E7354E" w:rsidRPr="00024E20">
        <w:rPr>
          <w:rFonts w:ascii="Times New Roman" w:eastAsia="Times New Roman" w:hAnsi="Times New Roman" w:cs="Times New Roman"/>
          <w:color w:val="000000" w:themeColor="text1"/>
          <w:sz w:val="24"/>
          <w:szCs w:val="24"/>
        </w:rPr>
        <w:t>.</w:t>
      </w:r>
    </w:p>
    <w:p w14:paraId="0A786CF7"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48F8FA40" w14:textId="77777777"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Methods</w:t>
      </w:r>
    </w:p>
    <w:p w14:paraId="12A53DC6" w14:textId="77777777"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Participants</w:t>
      </w:r>
    </w:p>
    <w:p w14:paraId="683F8435" w14:textId="26F346F0" w:rsidR="00F71CDB" w:rsidRPr="00024E20" w:rsidRDefault="002049D3">
      <w:pPr>
        <w:spacing w:after="0" w:line="480" w:lineRule="auto"/>
        <w:jc w:val="both"/>
        <w:rPr>
          <w:rFonts w:ascii="Times New Roman" w:eastAsia="Times New Roman" w:hAnsi="Times New Roman" w:cs="Times New Roman"/>
          <w:color w:val="000000" w:themeColor="text1"/>
          <w:sz w:val="28"/>
          <w:szCs w:val="28"/>
        </w:rPr>
      </w:pPr>
      <w:r w:rsidRPr="00024E20">
        <w:rPr>
          <w:rFonts w:ascii="Times New Roman" w:eastAsia="Times New Roman" w:hAnsi="Times New Roman" w:cs="Times New Roman"/>
          <w:color w:val="000000" w:themeColor="text1"/>
          <w:sz w:val="24"/>
          <w:szCs w:val="24"/>
        </w:rPr>
        <w:t xml:space="preserve">The study was advertised to new female British Army recruits from </w:t>
      </w:r>
      <w:r w:rsidR="008818DC" w:rsidRPr="00024E20">
        <w:rPr>
          <w:rFonts w:ascii="Times New Roman" w:eastAsia="Times New Roman" w:hAnsi="Times New Roman" w:cs="Times New Roman"/>
          <w:color w:val="000000" w:themeColor="text1"/>
          <w:sz w:val="24"/>
          <w:szCs w:val="24"/>
        </w:rPr>
        <w:t>January 2014</w:t>
      </w:r>
      <w:r w:rsidRPr="00024E20">
        <w:rPr>
          <w:rFonts w:ascii="Times New Roman" w:eastAsia="Times New Roman" w:hAnsi="Times New Roman" w:cs="Times New Roman"/>
          <w:color w:val="000000" w:themeColor="text1"/>
          <w:sz w:val="24"/>
          <w:szCs w:val="24"/>
        </w:rPr>
        <w:t xml:space="preserve"> to July 2017 during week one of their</w:t>
      </w:r>
      <w:r w:rsidR="00D5006F" w:rsidRPr="00024E20">
        <w:rPr>
          <w:rFonts w:ascii="Times New Roman" w:eastAsia="Times New Roman" w:hAnsi="Times New Roman" w:cs="Times New Roman"/>
          <w:color w:val="000000" w:themeColor="text1"/>
          <w:sz w:val="24"/>
          <w:szCs w:val="24"/>
        </w:rPr>
        <w:t xml:space="preserve"> standard entry</w:t>
      </w:r>
      <w:r w:rsidRPr="00024E20">
        <w:rPr>
          <w:rFonts w:ascii="Times New Roman" w:eastAsia="Times New Roman" w:hAnsi="Times New Roman" w:cs="Times New Roman"/>
          <w:color w:val="000000" w:themeColor="text1"/>
          <w:sz w:val="24"/>
          <w:szCs w:val="24"/>
        </w:rPr>
        <w:t xml:space="preserve"> basic training course (non-infantry, non-officer) at</w:t>
      </w:r>
      <w:r w:rsidR="00D5006F" w:rsidRPr="00024E20">
        <w:rPr>
          <w:rFonts w:ascii="Times New Roman" w:eastAsia="Times New Roman" w:hAnsi="Times New Roman" w:cs="Times New Roman"/>
          <w:color w:val="000000" w:themeColor="text1"/>
          <w:sz w:val="24"/>
          <w:szCs w:val="24"/>
        </w:rPr>
        <w:t xml:space="preserve"> the</w:t>
      </w:r>
      <w:r w:rsidRPr="00024E20">
        <w:rPr>
          <w:rFonts w:ascii="Times New Roman" w:eastAsia="Times New Roman" w:hAnsi="Times New Roman" w:cs="Times New Roman"/>
          <w:color w:val="000000" w:themeColor="text1"/>
          <w:sz w:val="24"/>
          <w:szCs w:val="24"/>
        </w:rPr>
        <w:t xml:space="preserve"> Army Training Centre, Pirbright</w:t>
      </w:r>
      <w:r w:rsidR="008818DC" w:rsidRPr="00024E20">
        <w:rPr>
          <w:rFonts w:ascii="Times New Roman" w:eastAsia="Times New Roman" w:hAnsi="Times New Roman" w:cs="Times New Roman"/>
          <w:color w:val="000000" w:themeColor="text1"/>
          <w:sz w:val="24"/>
          <w:szCs w:val="24"/>
        </w:rPr>
        <w:t>, UK</w:t>
      </w:r>
      <w:r w:rsidRPr="00024E20">
        <w:rPr>
          <w:rFonts w:ascii="Times New Roman" w:eastAsia="Times New Roman" w:hAnsi="Times New Roman" w:cs="Times New Roman"/>
          <w:color w:val="000000" w:themeColor="text1"/>
          <w:sz w:val="24"/>
          <w:szCs w:val="24"/>
        </w:rPr>
        <w:t xml:space="preserve">. All participants passed an initial military medical assessment and were confirmed to be injury free and not have any medical condition that precluded military service. </w:t>
      </w:r>
      <w:r w:rsidRPr="00024E20">
        <w:rPr>
          <w:rFonts w:ascii="Times New Roman" w:eastAsia="Times New Roman" w:hAnsi="Times New Roman" w:cs="Times New Roman"/>
          <w:color w:val="000000" w:themeColor="text1"/>
          <w:sz w:val="24"/>
          <w:szCs w:val="24"/>
          <w:highlight w:val="white"/>
        </w:rPr>
        <w:t xml:space="preserve">This study was conducted according to the guidelines laid down in the Declaration of Helsinki and all procedures were approved by the </w:t>
      </w:r>
      <w:r w:rsidRPr="00024E20">
        <w:rPr>
          <w:rFonts w:ascii="Times New Roman" w:eastAsia="Times New Roman" w:hAnsi="Times New Roman" w:cs="Times New Roman"/>
          <w:color w:val="000000" w:themeColor="text1"/>
          <w:sz w:val="24"/>
          <w:szCs w:val="24"/>
        </w:rPr>
        <w:t xml:space="preserve">Ministry of Defence Research Ethics Committee (ref: 165/Gen/10). Each participant had the study procedures and risks fully explained verbally and in writing. </w:t>
      </w:r>
      <w:r w:rsidRPr="00024E20">
        <w:rPr>
          <w:rFonts w:ascii="Times New Roman" w:eastAsia="Times New Roman" w:hAnsi="Times New Roman" w:cs="Times New Roman"/>
          <w:color w:val="000000" w:themeColor="text1"/>
          <w:sz w:val="24"/>
          <w:szCs w:val="24"/>
          <w:highlight w:val="white"/>
        </w:rPr>
        <w:t xml:space="preserve">Written informed consent was obtained from all participants. </w:t>
      </w:r>
    </w:p>
    <w:p w14:paraId="67BFD6B1" w14:textId="77777777" w:rsidR="00F71CDB" w:rsidRPr="00024E20" w:rsidRDefault="00F71CDB">
      <w:pPr>
        <w:spacing w:after="0" w:line="480" w:lineRule="auto"/>
        <w:jc w:val="both"/>
        <w:rPr>
          <w:rFonts w:ascii="Times New Roman" w:eastAsia="Times New Roman" w:hAnsi="Times New Roman" w:cs="Times New Roman"/>
          <w:i/>
          <w:color w:val="000000" w:themeColor="text1"/>
          <w:sz w:val="24"/>
          <w:szCs w:val="24"/>
        </w:rPr>
      </w:pPr>
    </w:p>
    <w:p w14:paraId="459C44A7" w14:textId="77777777"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Experimental Design</w:t>
      </w:r>
    </w:p>
    <w:p w14:paraId="17029A47" w14:textId="0FE5F72E" w:rsidR="00F71CDB" w:rsidRPr="00024E20" w:rsidRDefault="002049D3" w:rsidP="0009133F">
      <w:pPr>
        <w:spacing w:after="0" w:line="480" w:lineRule="auto"/>
        <w:jc w:val="both"/>
        <w:rPr>
          <w:rFonts w:ascii="Times New Roman" w:eastAsia="Times New Roman" w:hAnsi="Times New Roman" w:cs="Times New Roman"/>
          <w:color w:val="000000" w:themeColor="text1"/>
          <w:sz w:val="24"/>
          <w:szCs w:val="24"/>
        </w:rPr>
      </w:pPr>
      <w:bookmarkStart w:id="3" w:name="_heading=h.1fob9te" w:colFirst="0" w:colLast="0"/>
      <w:bookmarkEnd w:id="3"/>
      <w:r w:rsidRPr="00024E20">
        <w:rPr>
          <w:rFonts w:ascii="Times New Roman" w:eastAsia="Times New Roman" w:hAnsi="Times New Roman" w:cs="Times New Roman"/>
          <w:color w:val="000000" w:themeColor="text1"/>
          <w:sz w:val="24"/>
          <w:szCs w:val="24"/>
        </w:rPr>
        <w:t xml:space="preserve">This study was an observational prospective cohort study. These data were secondary analyses as part of a larger study exploring micronutrient deficiencies and health and performance outcomes </w:t>
      </w:r>
      <w:r w:rsidR="00C80470" w:rsidRPr="00024E20">
        <w:rPr>
          <w:rFonts w:ascii="Times New Roman" w:hAnsi="Times New Roman" w:cs="Times New Roman"/>
          <w:color w:val="000000" w:themeColor="text1"/>
          <w:sz w:val="24"/>
          <w:szCs w:val="24"/>
        </w:rPr>
        <w:fldChar w:fldCharType="begin"/>
      </w:r>
      <w:r w:rsidR="006E0E7F" w:rsidRPr="00024E20">
        <w:rPr>
          <w:rFonts w:ascii="Times New Roman" w:hAnsi="Times New Roman" w:cs="Times New Roman"/>
          <w:color w:val="000000" w:themeColor="text1"/>
          <w:sz w:val="24"/>
          <w:szCs w:val="24"/>
        </w:rPr>
        <w:instrText xml:space="preserve"> ADDIN ZOTERO_ITEM CSL_CITATION {"citationID":"vEtrNE9d","properties":{"formattedCitation":"(24, 26, 35, 36)","plainCitation":"(24, 26, 35, 36)","noteIndex":0},"citationItems":[{"id":2775,"uris":["http://zotero.org/users/6787375/items/WRMSS89E"],"itemData":{"id":2775,"type":"article-journal","abstract":"PURPOSE: To determine vitamin D metabolites and vitamin D receptor (VDR) single-nucleotide polymorphisms (SNPs) relationships with physical performance. METHODS: In 1205 men and 322 women (94.8% white Caucasian, 22.0 +/- 2.8 years) commencing military training, we measured: serum vitamin D metabolites (25-hydroxyvitamin D (25(OH)D) and 24,25-dihydroxyvitamin D (24,25(OH)2D) by high-performance liquid chromatography tandem mass spectrophotometry, and 1,25-dihydroxyvitamin D (1,25(OH)2D) by immunoassay); VDR SNPs (rs2228570, rs4516035, and rs7139166 by polymerase chain reaction genotyping); and endurance performance by 2.4 km run, muscle strength by maximal dynamic lift, and muscle power by maximal vertical jump. RESULTS: Serum 25(OH)D was negatively associated with 2.4 km run time and positively associated with muscle power (beta = -12.0 and 90.1), 1,25(OH)2D was positively associated with run time and negatively associated with strength and muscle power (beta = 5.6, -1.06, and -38.4), and 24,25(OH)2D was negatively associated with run time (beta = -8.9; P &lt; 0.01), after controlling for age, sex, smoking, alcohol, physical activity, time outdoors, season, and BMI. Vitamin D metabolites (25(OH)D, 1,25(OH)2D, and 24,25(OH)2D) together explained variances of 5.0% in run time, 0.7% in strength, and 0.9% in muscle power (DeltaF P &lt; 0.001). All performance measures were superior with low 1,25(OH)2D:24,25(OH)2D ratio (P &lt; 0.05). VDR SNPs were not associated with physical performance (DeltaF P &gt;/= 0.306). CONCLUSIONS: Vitamin D metabolites accounted for a small portion of variance in physical performance. Associations between vitamin D metabolites and run time were the most consistent. VDR SNPs explained no variance in performance. Greater conversion of 25(OH)D to 24,25(OH)2D, relative to 1,25(OH)2D (i.e., low 1,25(OH)2D:24,25(OH)2D ratio), was favourable for performance, indicating 24,25(OH)2D may have a role in optimising physical performance.","container-title":"Med Sci Sports Exerc","DOI":"10.1249/MSS.0000000000002987","ISSN":"1530-0315 (Electronic) 0195-9131 (Linking)","journalAbbreviation":"Medicine and science in sports and exercise","title":"Vitamin D Metabolites are Associated with Physical Performance in Young Healthy Adults","author":[{"family":"Carswell","given":"A. T."},{"family":"Jackson","given":"S."},{"family":"Swinton","given":"P."},{"family":"O'Leary","given":"T. J."},{"family":"Tang","given":"J. C. Y."},{"family":"Oliver","given":"S. J."},{"family":"Sale","given":"C."},{"family":"Izard","given":"R. M."},{"family":"Walsh","given":"N. P."},{"family":"Fraser","given":"W. D."},{"family":"Greeves","given":"J. P."}],"issued":{"date-parts":[["2022",6,29]]}}},{"id":8023,"uris":["http://zotero.org/users/6787375/items/9QTNDFNW"],"itemData":{"id":8023,"type":"article-journal","abstract":"Abstract\n            \n              Purpose\n              \n                To determine serum 25(OH)D and 1,25(OH)\n                2\n                D relationship with hepatitis B vaccination (study 1). Then, to investigate the effects on hepatitis B vaccination of achieving vitamin D sufficiency (serum 25(OH)D ≥ 50 nmol/L) by a unique comparison of simulated sunlight and oral vitamin D\n                3\n                supplementation in wintertime (study 2).\n              \n            \n            \n              Methods\n              \n                Study 1 involved 447 adults. In study 2, 3 days after the initial hepatitis B vaccination, 119 men received either placebo, simulated sunlight (1.3 × standard-erythema dose, 3 × /week for 4 weeks and then 1 × /week for 8 weeks) or oral vitamin D\n                3\n                (1000 IU/day for 4 weeks and 400 IU/day for 8 weeks). We measured hepatitis B vaccination efficacy as percentage of responders with anti-hepatitis B surface antigen immunoglobulin G ≥ 10 mIU/mL.\n              \n            \n            \n              Results\n              \n                In study 1, vaccine response was poorer in persons with low vitamin D status (25(OH)D ≤ 40 vs 41–71 nmol/L mean difference [95% confidence interval] − 15% [− 26, − 3%]; 1,25(OH)\n                2\n                D ≤ 120 vs ≥ 157 pmol/L − 12% [− 24%, − 1%]). Vaccine response was also poorer in winter than summer (− 18% [− 31%, − 3%]), when serum 25(OH)D and 1,25(OH)\n                2\n                D were at seasonal nadirs, and 81% of persons had serum 25(OH)D &lt; 50 nmol/L. In study 2, vitamin D supplementation strategies were similarly effective in achieving vitamin D sufficiency from the winter vitamin D nadir in almost all (~ 95%); however, the supplementation beginning 3 days after the initial vaccination did not effect the vaccine response (vitamin D vs placebo 4% [− 21%, 14%]).\n              \n            \n            \n              Conclusion\n              Low vitamin D status at initial vaccination was associated with poorer hepatitis B vaccine response (study 1); however, vitamin D supplementation commencing 3 days after vaccination (study 2) did not influence the vaccination response.\n            \n            \n              Clinical trial registry number\n              \n                Study 1 NCT02416895;\n                https://clinicaltrials.gov/ct2/show/study/NCT02416895\n                ; Study 2 NCT03132103;\n                https://clinicaltrials.gov/ct2/show/NCT03132103\n                .","container-title":"European Journal of Nutrition","DOI":"10.1007/s00394-020-02261-w","ISSN":"1436-6207, 1436-6215","issue":"1","journalAbbreviation":"Eur J Nutr","language":"en","page":"475-491","source":"DOI.org (Crossref)","title":"Vitamin D and the hepatitis B vaccine response: a prospective cohort study and a randomized, placebo-controlled oral vitamin D3 and simulated sunlight supplementation trial in healthy adults","title-short":"Vitamin D and the hepatitis B vaccine response","volume":"60","author":[{"family":"Kashi","given":"Daniel S."},{"family":"Oliver","given":"Samuel J."},{"family":"Wentz","given":"Laurel M."},{"family":"Roberts","given":"Ross"},{"family":"Carswell","given":"Alexander T."},{"family":"Tang","given":"Jonathan C. Y."},{"family":"Jackson","given":"Sarah"},{"family":"Izard","given":"Rachel M."},{"family":"Allan","given":"Donald"},{"family":"Rhodes","given":"Lesley E."},{"family":"Fraser","given":"William D."},{"family":"Greeves","given":"Julie P."},{"family":"Walsh","given":"Neil P."}],"issued":{"date-parts":[["2021",2]]}}},{"id":8025,"uris":["http://zotero.org/users/6787375/items/N89ELI3A"],"itemData":{"id":8025,"type":"article-journal","container-title":"Medicine &amp; Science in Sports &amp; Exercise","DOI":"10.1249/MSS.0000000000002604","ISSN":"1530-0315, 0195-9131","issue":"7","language":"en","page":"1505-1516","source":"DOI.org (Crossref)","title":"Influence of Vitamin D Supplementation by Simulated Sunlight or Oral D3 on Respiratory Infection during Military Training","volume":"53","author":[{"family":"Harrison","given":"Sophie E."},{"family":"Oliver","given":"Samuel J."},{"family":"Kashi","given":"Daniel S."},{"family":"Carswell","given":"Alexander T."},{"family":"Edwards","given":"Jason P."},{"family":"Wentz","given":"Laurel M."},{"family":"Roberts","given":"Ross"},{"family":"Tang","given":"Jonathan C. Y."},{"family":"Izard","given":"Rachel M."},{"family":"Jackson","given":"Sarah"},{"family":"Allan","given":"Donald"},{"family":"Rhodes","given":"Lesley E."},{"family":"Fraser","given":"William D."},{"family":"Greeves","given":"Julie P."},{"family":"Walsh","given":"Neil P."}],"issued":{"date-parts":[["2021",7]]}}},{"id":8077,"uris":["http://zotero.org/users/6787375/items/H3ESNK7Z"],"itemData":{"id":8077,"type":"article-journal","abstract":"Abstract\n            \n              This study investigated sex differences in iron status, and associations between iron status and endurance and musculoskeletal outcomes, in military training. 2,277 British Army trainees (581 women) participated. Iron markers and endurance performance (2.4 km run) were measured at the start (week 1) and end (week 13) of training. Whole-body areal body mineral density (aBMD) and markers of bone metabolism were measured at week 1. Injuries during training were recorded. Training decreased haemoglobin in men and women (mean change [95% CI], −0.1 [−0.2, −0.0] and −0.7 [−0.9, −0.6] g∙dL\n              -1\n              , both p &lt; 0.001), but more so in women (p &lt; 0.001). Ferritin decreased in men and women (−27 [−28, −23] and −5 [−8, −1] ug∙L, both p ≤ 0.001), but more so in men (p &lt; 0.001). sTfR increased in men and women (2.9 [2.3, 3.6] and 3.8 [2.7, 4.9] nmol∙L, both p &lt; 0.001), with no difference between sexes (p = 0.872). RDW increased in men (0.3 [0.2, 0.4]%, p &lt; 0.001), but not women (0.1 [−0.1, 0.2]%, p = 0.956). MCV decreased in men (−1.5 [−1.8, −1.1] fL, p &lt; 0.001), but not women (0.4 [−0.4, 1.3] fL, p = 0.087). Lower ferritin was associated with slower 2.4 km run time (p = 0.018), sustaining a lower limb overuse injury (p = 0.048), lower aBMD (p = 0.021), and higher βCTX and P1NP (both p &lt; 0.001) controlling for sex. Improving iron stores before training may protect haemoglobin in women and improve endurance and protect against injury.","container-title":"British Journal of Nutrition","DOI":"10.1017/S0007114523001812","ISSN":"0007-1145, 1475-2662","journalAbbreviation":"Br J Nutr","language":"en","page":"1-30","source":"DOI.org (Crossref)","title":"Sex differences in iron status during military training: a prospective cohort study of longitudinal changes and associations with endurance performance and musculoskeletal outcomes","title-short":"Sex differences in iron status during military training","author":[{"family":"O’Leary","given":"Thomas J"},{"family":"Jackson","given":"Sarah"},{"family":"Izard","given":"Rachel M"},{"family":"Walsh","given":"Neil P"},{"family":"Coombs","given":"Charlotte V"},{"family":"Carswell","given":"Alexander T"},{"family":"Oliver","given":"Samuel J"},{"family":"Tang","given":"Jonathan Cy"},{"family":"Fraser","given":"William D"},{"family":"Greeves","given":"Julie P"}],"issued":{"date-parts":[["2023",9,21]]}}}],"schema":"https://github.com/citation-style-language/schema/raw/master/csl-citation.json"} </w:instrText>
      </w:r>
      <w:r w:rsidR="00C80470" w:rsidRPr="00024E20">
        <w:rPr>
          <w:rFonts w:ascii="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(24, 26, 35, 36)</w:t>
      </w:r>
      <w:r w:rsidR="00C80470" w:rsidRPr="00024E20">
        <w:rPr>
          <w:rFonts w:ascii="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Participants had measures of physical performance and body </w:t>
      </w:r>
      <w:r w:rsidRPr="00024E20">
        <w:rPr>
          <w:rFonts w:ascii="Times New Roman" w:eastAsia="Times New Roman" w:hAnsi="Times New Roman" w:cs="Times New Roman"/>
          <w:color w:val="000000" w:themeColor="text1"/>
          <w:sz w:val="24"/>
          <w:szCs w:val="24"/>
        </w:rPr>
        <w:lastRenderedPageBreak/>
        <w:t xml:space="preserve">composition taken at the start (week 1) and end (week 13) of </w:t>
      </w:r>
      <w:r w:rsidR="00D5337D" w:rsidRPr="00024E20">
        <w:rPr>
          <w:rFonts w:ascii="Times New Roman" w:eastAsia="Times New Roman" w:hAnsi="Times New Roman" w:cs="Times New Roman"/>
          <w:color w:val="000000" w:themeColor="text1"/>
          <w:sz w:val="24"/>
          <w:szCs w:val="24"/>
        </w:rPr>
        <w:t>their</w:t>
      </w:r>
      <w:r w:rsidRPr="00024E20">
        <w:rPr>
          <w:rFonts w:ascii="Times New Roman" w:eastAsia="Times New Roman" w:hAnsi="Times New Roman" w:cs="Times New Roman"/>
          <w:color w:val="000000" w:themeColor="text1"/>
          <w:sz w:val="24"/>
          <w:szCs w:val="24"/>
        </w:rPr>
        <w:t xml:space="preserve"> basic military training course</w:t>
      </w:r>
      <w:r w:rsidR="00AD5187" w:rsidRPr="00024E20">
        <w:rPr>
          <w:rFonts w:ascii="Times New Roman" w:eastAsia="Times New Roman" w:hAnsi="Times New Roman" w:cs="Times New Roman"/>
          <w:color w:val="000000" w:themeColor="text1"/>
          <w:sz w:val="24"/>
          <w:szCs w:val="24"/>
        </w:rPr>
        <w:t>, and v</w:t>
      </w:r>
      <w:r w:rsidRPr="00024E20">
        <w:rPr>
          <w:rFonts w:ascii="Times New Roman" w:eastAsia="Times New Roman" w:hAnsi="Times New Roman" w:cs="Times New Roman"/>
          <w:color w:val="000000" w:themeColor="text1"/>
          <w:sz w:val="24"/>
          <w:szCs w:val="24"/>
        </w:rPr>
        <w:t xml:space="preserve">enous blood samples were taken for the analysis of biochemical markers of iron status, vitamin D status, and bone metabolism. Participants </w:t>
      </w:r>
      <w:r w:rsidR="00D65AD5" w:rsidRPr="00024E20">
        <w:rPr>
          <w:rFonts w:ascii="Times New Roman" w:eastAsia="Times New Roman" w:hAnsi="Times New Roman" w:cs="Times New Roman"/>
          <w:color w:val="000000" w:themeColor="text1"/>
          <w:sz w:val="24"/>
          <w:szCs w:val="24"/>
        </w:rPr>
        <w:t xml:space="preserve">had height and body mass measured, and </w:t>
      </w:r>
      <w:r w:rsidRPr="00024E20">
        <w:rPr>
          <w:rFonts w:ascii="Times New Roman" w:eastAsia="Times New Roman" w:hAnsi="Times New Roman" w:cs="Times New Roman"/>
          <w:color w:val="000000" w:themeColor="text1"/>
          <w:sz w:val="24"/>
          <w:szCs w:val="24"/>
        </w:rPr>
        <w:t xml:space="preserve">self-reported their hormonal contraceptive use, </w:t>
      </w:r>
      <w:r w:rsidR="00D5337D" w:rsidRPr="00024E20">
        <w:rPr>
          <w:rFonts w:ascii="Times New Roman" w:eastAsia="Times New Roman" w:hAnsi="Times New Roman" w:cs="Times New Roman"/>
          <w:color w:val="000000" w:themeColor="text1"/>
          <w:sz w:val="24"/>
          <w:szCs w:val="24"/>
        </w:rPr>
        <w:t xml:space="preserve">menstrual cycle </w:t>
      </w:r>
      <w:r w:rsidR="00AD5187" w:rsidRPr="00024E20">
        <w:rPr>
          <w:rFonts w:ascii="Times New Roman" w:eastAsia="Times New Roman" w:hAnsi="Times New Roman" w:cs="Times New Roman"/>
          <w:color w:val="000000" w:themeColor="text1"/>
          <w:sz w:val="24"/>
          <w:szCs w:val="24"/>
        </w:rPr>
        <w:t>status</w:t>
      </w:r>
      <w:r w:rsidR="00D5337D"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smoking habits, and </w:t>
      </w:r>
      <w:r w:rsidR="00AD5187" w:rsidRPr="00024E20">
        <w:rPr>
          <w:rFonts w:ascii="Times New Roman" w:eastAsia="Times New Roman" w:hAnsi="Times New Roman" w:cs="Times New Roman"/>
          <w:color w:val="000000" w:themeColor="text1"/>
          <w:sz w:val="24"/>
          <w:szCs w:val="24"/>
        </w:rPr>
        <w:t>bone stress injury</w:t>
      </w:r>
      <w:r w:rsidRPr="00024E20">
        <w:rPr>
          <w:rFonts w:ascii="Times New Roman" w:eastAsia="Times New Roman" w:hAnsi="Times New Roman" w:cs="Times New Roman"/>
          <w:color w:val="000000" w:themeColor="text1"/>
          <w:sz w:val="24"/>
          <w:szCs w:val="24"/>
        </w:rPr>
        <w:t xml:space="preserve"> history using</w:t>
      </w:r>
      <w:r w:rsidR="006F35BF" w:rsidRPr="00024E20">
        <w:rPr>
          <w:rFonts w:ascii="Times New Roman" w:eastAsia="Times New Roman" w:hAnsi="Times New Roman" w:cs="Times New Roman"/>
          <w:color w:val="000000" w:themeColor="text1"/>
          <w:sz w:val="24"/>
          <w:szCs w:val="24"/>
        </w:rPr>
        <w:t xml:space="preserve"> bespoke</w:t>
      </w:r>
      <w:r w:rsidRPr="00024E20">
        <w:rPr>
          <w:rFonts w:ascii="Times New Roman" w:eastAsia="Times New Roman" w:hAnsi="Times New Roman" w:cs="Times New Roman"/>
          <w:color w:val="000000" w:themeColor="text1"/>
          <w:sz w:val="24"/>
          <w:szCs w:val="24"/>
        </w:rPr>
        <w:t xml:space="preserve"> questionnaires</w:t>
      </w:r>
      <w:r w:rsidR="000C0C9A" w:rsidRPr="00024E20">
        <w:rPr>
          <w:rFonts w:ascii="Times New Roman" w:eastAsia="Times New Roman" w:hAnsi="Times New Roman" w:cs="Times New Roman"/>
          <w:color w:val="000000" w:themeColor="text1"/>
          <w:sz w:val="24"/>
          <w:szCs w:val="24"/>
        </w:rPr>
        <w:t xml:space="preserve"> at week 1</w:t>
      </w:r>
      <w:r w:rsidRPr="00024E20">
        <w:rPr>
          <w:rFonts w:ascii="Times New Roman" w:eastAsia="Times New Roman" w:hAnsi="Times New Roman" w:cs="Times New Roman"/>
          <w:color w:val="000000" w:themeColor="text1"/>
          <w:sz w:val="24"/>
          <w:szCs w:val="24"/>
        </w:rPr>
        <w:t xml:space="preserve">. </w:t>
      </w:r>
      <w:r w:rsidR="00AD5F4A" w:rsidRPr="00024E20">
        <w:rPr>
          <w:rFonts w:ascii="Times New Roman" w:eastAsia="Times New Roman" w:hAnsi="Times New Roman" w:cs="Times New Roman"/>
          <w:color w:val="000000" w:themeColor="text1"/>
          <w:sz w:val="24"/>
          <w:szCs w:val="24"/>
        </w:rPr>
        <w:t xml:space="preserve">Participants were asked to select their </w:t>
      </w:r>
      <w:r w:rsidR="00314215" w:rsidRPr="00024E20">
        <w:rPr>
          <w:rFonts w:ascii="Times New Roman" w:eastAsia="Times New Roman" w:hAnsi="Times New Roman" w:cs="Times New Roman"/>
          <w:color w:val="000000" w:themeColor="text1"/>
          <w:sz w:val="24"/>
          <w:szCs w:val="24"/>
        </w:rPr>
        <w:t xml:space="preserve">current </w:t>
      </w:r>
      <w:r w:rsidR="00AD5F4A" w:rsidRPr="00024E20">
        <w:rPr>
          <w:rFonts w:ascii="Times New Roman" w:eastAsia="Times New Roman" w:hAnsi="Times New Roman" w:cs="Times New Roman"/>
          <w:color w:val="000000" w:themeColor="text1"/>
          <w:sz w:val="24"/>
          <w:szCs w:val="24"/>
        </w:rPr>
        <w:t>hormonal contraceptive by type (</w:t>
      </w:r>
      <w:r w:rsidR="00AD5F4A" w:rsidRPr="00024E20">
        <w:rPr>
          <w:rFonts w:ascii="Times New Roman" w:eastAsia="Times New Roman" w:hAnsi="Times New Roman" w:cs="Times New Roman"/>
          <w:i/>
          <w:iCs/>
          <w:color w:val="000000" w:themeColor="text1"/>
          <w:sz w:val="24"/>
          <w:szCs w:val="24"/>
        </w:rPr>
        <w:t xml:space="preserve">e.g., </w:t>
      </w:r>
      <w:r w:rsidR="00AD5F4A" w:rsidRPr="00024E20">
        <w:rPr>
          <w:rFonts w:ascii="Times New Roman" w:eastAsia="Times New Roman" w:hAnsi="Times New Roman" w:cs="Times New Roman"/>
          <w:color w:val="000000" w:themeColor="text1"/>
          <w:sz w:val="24"/>
          <w:szCs w:val="24"/>
        </w:rPr>
        <w:t>COCP, progestin</w:t>
      </w:r>
      <w:r w:rsidR="00321170" w:rsidRPr="00024E20">
        <w:rPr>
          <w:rFonts w:ascii="Times New Roman" w:eastAsia="Times New Roman" w:hAnsi="Times New Roman" w:cs="Times New Roman"/>
          <w:color w:val="000000" w:themeColor="text1"/>
          <w:sz w:val="24"/>
          <w:szCs w:val="24"/>
        </w:rPr>
        <w:t>-</w:t>
      </w:r>
      <w:r w:rsidR="00AD5F4A" w:rsidRPr="00024E20">
        <w:rPr>
          <w:rFonts w:ascii="Times New Roman" w:eastAsia="Times New Roman" w:hAnsi="Times New Roman" w:cs="Times New Roman"/>
          <w:color w:val="000000" w:themeColor="text1"/>
          <w:sz w:val="24"/>
          <w:szCs w:val="24"/>
        </w:rPr>
        <w:t>only pill, implant, injection)</w:t>
      </w:r>
      <w:r w:rsidR="00555708" w:rsidRPr="00024E20">
        <w:rPr>
          <w:rFonts w:ascii="Times New Roman" w:eastAsia="Times New Roman" w:hAnsi="Times New Roman" w:cs="Times New Roman"/>
          <w:color w:val="000000" w:themeColor="text1"/>
          <w:sz w:val="24"/>
          <w:szCs w:val="24"/>
        </w:rPr>
        <w:t xml:space="preserve"> and a</w:t>
      </w:r>
      <w:r w:rsidR="00AD5F4A" w:rsidRPr="00024E20">
        <w:rPr>
          <w:rFonts w:ascii="Times New Roman" w:eastAsia="Times New Roman" w:hAnsi="Times New Roman" w:cs="Times New Roman"/>
          <w:color w:val="000000" w:themeColor="text1"/>
          <w:sz w:val="24"/>
          <w:szCs w:val="24"/>
        </w:rPr>
        <w:t xml:space="preserve">ll questionnaires were completed with a researcher to </w:t>
      </w:r>
      <w:r w:rsidR="00314215" w:rsidRPr="00024E20">
        <w:rPr>
          <w:rFonts w:ascii="Times New Roman" w:eastAsia="Times New Roman" w:hAnsi="Times New Roman" w:cs="Times New Roman"/>
          <w:color w:val="000000" w:themeColor="text1"/>
          <w:sz w:val="24"/>
          <w:szCs w:val="24"/>
        </w:rPr>
        <w:t xml:space="preserve">ensure correct coding of hormonal </w:t>
      </w:r>
      <w:r w:rsidR="00AD5F4A" w:rsidRPr="00024E20">
        <w:rPr>
          <w:rFonts w:ascii="Times New Roman" w:eastAsia="Times New Roman" w:hAnsi="Times New Roman" w:cs="Times New Roman"/>
          <w:color w:val="000000" w:themeColor="text1"/>
          <w:sz w:val="24"/>
          <w:szCs w:val="24"/>
        </w:rPr>
        <w:t xml:space="preserve">contraceptive type. </w:t>
      </w:r>
      <w:r w:rsidR="009C7457" w:rsidRPr="00024E20">
        <w:rPr>
          <w:rFonts w:ascii="Times New Roman" w:eastAsia="Times New Roman" w:hAnsi="Times New Roman" w:cs="Times New Roman"/>
          <w:color w:val="000000" w:themeColor="text1"/>
          <w:sz w:val="24"/>
          <w:szCs w:val="24"/>
        </w:rPr>
        <w:t>Participants were grouped according to current hormonal contraceptive use in training as follows: i) no hormonal contraception (non-users, n = 182); ii) COCP users (</w:t>
      </w:r>
      <w:r w:rsidR="009C7457" w:rsidRPr="00024E20">
        <w:rPr>
          <w:rFonts w:ascii="Times New Roman" w:eastAsia="Times New Roman" w:hAnsi="Times New Roman" w:cs="Times New Roman"/>
          <w:i/>
          <w:color w:val="000000" w:themeColor="text1"/>
          <w:sz w:val="24"/>
          <w:szCs w:val="24"/>
        </w:rPr>
        <w:t>e.g.,</w:t>
      </w:r>
      <w:r w:rsidR="009C7457" w:rsidRPr="00024E20">
        <w:rPr>
          <w:rFonts w:ascii="Times New Roman" w:eastAsia="Times New Roman" w:hAnsi="Times New Roman" w:cs="Times New Roman"/>
          <w:color w:val="000000" w:themeColor="text1"/>
          <w:sz w:val="24"/>
          <w:szCs w:val="24"/>
        </w:rPr>
        <w:t xml:space="preserve"> </w:t>
      </w:r>
      <w:proofErr w:type="spellStart"/>
      <w:r w:rsidR="009C7457" w:rsidRPr="00024E20">
        <w:rPr>
          <w:rFonts w:ascii="Times New Roman" w:eastAsia="Times New Roman" w:hAnsi="Times New Roman" w:cs="Times New Roman"/>
          <w:color w:val="000000" w:themeColor="text1"/>
          <w:sz w:val="24"/>
          <w:szCs w:val="24"/>
        </w:rPr>
        <w:t>Microgynon</w:t>
      </w:r>
      <w:proofErr w:type="spellEnd"/>
      <w:r w:rsidR="009C7457" w:rsidRPr="00024E20">
        <w:rPr>
          <w:rFonts w:ascii="Times New Roman" w:eastAsia="Times New Roman" w:hAnsi="Times New Roman" w:cs="Times New Roman"/>
          <w:color w:val="000000" w:themeColor="text1"/>
          <w:sz w:val="24"/>
          <w:szCs w:val="24"/>
        </w:rPr>
        <w:t xml:space="preserve"> 30) (n = 124); iii) POC users (progestin-only pill [</w:t>
      </w:r>
      <w:r w:rsidR="009C7457" w:rsidRPr="00024E20">
        <w:rPr>
          <w:rFonts w:ascii="Times New Roman" w:eastAsia="Times New Roman" w:hAnsi="Times New Roman" w:cs="Times New Roman"/>
          <w:i/>
          <w:color w:val="000000" w:themeColor="text1"/>
          <w:sz w:val="24"/>
          <w:szCs w:val="24"/>
        </w:rPr>
        <w:t>e.g.,</w:t>
      </w:r>
      <w:r w:rsidR="009C7457" w:rsidRPr="00024E20">
        <w:rPr>
          <w:rFonts w:ascii="Times New Roman" w:eastAsia="Times New Roman" w:hAnsi="Times New Roman" w:cs="Times New Roman"/>
          <w:color w:val="000000" w:themeColor="text1"/>
          <w:sz w:val="24"/>
          <w:szCs w:val="24"/>
        </w:rPr>
        <w:t xml:space="preserve"> </w:t>
      </w:r>
      <w:proofErr w:type="spellStart"/>
      <w:r w:rsidR="009C7457" w:rsidRPr="00024E20">
        <w:rPr>
          <w:rFonts w:ascii="Times New Roman" w:eastAsia="Times New Roman" w:hAnsi="Times New Roman" w:cs="Times New Roman"/>
          <w:color w:val="000000" w:themeColor="text1"/>
          <w:sz w:val="24"/>
          <w:szCs w:val="24"/>
        </w:rPr>
        <w:t>Micronor</w:t>
      </w:r>
      <w:proofErr w:type="spellEnd"/>
      <w:r w:rsidR="009C7457" w:rsidRPr="00024E20">
        <w:rPr>
          <w:rFonts w:ascii="Times New Roman" w:eastAsia="Times New Roman" w:hAnsi="Times New Roman" w:cs="Times New Roman"/>
          <w:color w:val="000000" w:themeColor="text1"/>
          <w:sz w:val="24"/>
          <w:szCs w:val="24"/>
        </w:rPr>
        <w:t>], implant [</w:t>
      </w:r>
      <w:r w:rsidR="009C7457" w:rsidRPr="00024E20">
        <w:rPr>
          <w:rFonts w:ascii="Times New Roman" w:eastAsia="Times New Roman" w:hAnsi="Times New Roman" w:cs="Times New Roman"/>
          <w:i/>
          <w:color w:val="000000" w:themeColor="text1"/>
          <w:sz w:val="24"/>
          <w:szCs w:val="24"/>
        </w:rPr>
        <w:t>e.g.,</w:t>
      </w:r>
      <w:r w:rsidR="009C7457" w:rsidRPr="00024E20">
        <w:rPr>
          <w:rFonts w:ascii="Times New Roman" w:eastAsia="Times New Roman" w:hAnsi="Times New Roman" w:cs="Times New Roman"/>
          <w:color w:val="000000" w:themeColor="text1"/>
          <w:sz w:val="24"/>
          <w:szCs w:val="24"/>
        </w:rPr>
        <w:t xml:space="preserve"> Nexplanon], and injection [DMPA]) (n = 144) </w:t>
      </w:r>
      <w:r w:rsidR="009C7457"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{"citationID":"cdsPG6vS","properties":{"formattedCitation":"(31, 37)","plainCitation":"(31, 37)","noteIndex":0},"citationItems":[{"id":6010,"uris":["http://zotero.org/users/6787375/items/GN6QNGYT"],"itemData":{"id":6010,"type":"article-journal","abstract":"Bone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P."}],"issued":{"date-parts":[["2021",7]]}}},{"id":8094,"uris":["http://zotero.org/users/6787375/items/JKG33UE2"],"itemData":{"id":8094,"type":"article-journal","abstract":"We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considered.\n          , \n            Hypothalamic-pituitary-gonadal (HPG) axis suppression in exercising women can be caused by low energy availability (EA), but the impact of a real-world, multistressor training environment on reproductive and metabolic function is unknown. This study aimed to characterize reproductive and metabolic adaptation in women undertaking basic military training. A prospective cohort study in women undertaking 11-month initial military training ( n = 47) was carried out. Dynamic low-dose 1-h gonadotrophin-releasing hormone (GnRH) tests were completed after 0 and 7 mo of training. Urine progesterone was sampled weekly throughout. Body composition (dual X-ray absorptiometry), fasting insulin resistance (homeostatic modeling assessment 2, HOMA2), leptin, sex steroids, anti-Müllerian hormone (AMH), and inhibin B were measured after 0, 7, and 11 mo with an additional assessment of body composition at 3 mo. Luteinizing hormone (LH) and follicle-stimulating hormone (FSH) responses were suppressed after 7 mo (both P &lt; 0.001). Among noncontraceptive users ( n = 20), 65% had regular (23–35 days) cycles preenrollment, falling to 24% by 7 mo of training. Of women in whom urine progesterone was measured ( n = 24), 87% of cycles showed no evidence of ovulation. There was little change in AMH, LH, and estradiol, although inhibin B and FSH increased ( P &lt; 0.05). Fat mass fluctuated during training but at month 11 was unchanged from baseline. Fat-free mass did not change. Visceral adiposity, HOMA2, and leptin increased (all P &lt; 0.001). HPG axis suppression with anovulation occurred in response to training without evidence of low EA. Increased insulin resistance may have contributed to the observed pituitary and ovarian dysfunction. Our findings are likely to represent an adaptive response of reproductive function to the multistressor nature of military training.\n            NEW &amp; NOTEWORTHY 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considered.","container-title":"American Journal of Physiology-Endocrinology and Metabolism","DOI":"10.1152/ajpendo.00019.2021","ISSN":"0193-1849, 1522-1555","issue":"2","journalAbbreviation":"American Journal of Physiology-Endocrinology and Metabolism","language":"en","page":"E281-E291","source":"DOI.org (Crossref)","title":"Reproductive and metabolic adaptation to multistressor training in women","volume":"321","author":[{"family":"Gifford","given":"Robert M."},{"family":"O’Leary","given":"Thomas J."},{"family":"Wardle","given":"Sophie L."},{"family":"Double","given":"Rebecca L."},{"family":"Homer","given":"Natalie Z. M."},{"family":"Howie","given":"A. Forbes"},{"family":"Greeves","given":"Julie P."},{"family":"Anderson","given":"Richard A."},{"family":"Woods","given":"David R."},{"family":"Reynolds","given":"Rebecca M."}],"issued":{"date-parts":[["2021",8,1]]}}}],"schema":"https://github.com/citation-style-language/schema/raw/master/csl-citation.json"} </w:instrText>
      </w:r>
      <w:r w:rsidR="009C7457"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(31, 37)</w:t>
      </w:r>
      <w:r w:rsidR="009C7457" w:rsidRPr="00024E20">
        <w:rPr>
          <w:rFonts w:ascii="Times New Roman" w:eastAsia="Times New Roman" w:hAnsi="Times New Roman" w:cs="Times New Roman"/>
          <w:color w:val="000000" w:themeColor="text1"/>
          <w:sz w:val="24"/>
          <w:szCs w:val="24"/>
        </w:rPr>
        <w:fldChar w:fldCharType="end"/>
      </w:r>
      <w:r w:rsidR="009C7457"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Progest</w:t>
      </w:r>
      <w:r w:rsidR="00123DA9" w:rsidRPr="00024E20">
        <w:rPr>
          <w:rFonts w:ascii="Times New Roman" w:eastAsia="Times New Roman" w:hAnsi="Times New Roman" w:cs="Times New Roman"/>
          <w:color w:val="000000" w:themeColor="text1"/>
          <w:sz w:val="24"/>
          <w:szCs w:val="24"/>
        </w:rPr>
        <w:t>in</w:t>
      </w:r>
      <w:r w:rsidRPr="00024E20">
        <w:rPr>
          <w:rFonts w:ascii="Times New Roman" w:eastAsia="Times New Roman" w:hAnsi="Times New Roman" w:cs="Times New Roman"/>
          <w:color w:val="000000" w:themeColor="text1"/>
          <w:sz w:val="24"/>
          <w:szCs w:val="24"/>
        </w:rPr>
        <w:t xml:space="preserve">-only methods were grouped together based on their similar endocrine effects </w:t>
      </w:r>
      <w:r w:rsidR="00C80470" w:rsidRPr="00024E20">
        <w:rPr>
          <w:rFonts w:ascii="Times New Roman" w:eastAsia="Times New Roman" w:hAnsi="Times New Roman" w:cs="Times New Roman"/>
          <w:color w:val="000000" w:themeColor="text1"/>
          <w:sz w:val="24"/>
          <w:szCs w:val="24"/>
        </w:rPr>
        <w:fldChar w:fldCharType="begin"/>
      </w:r>
      <w:r w:rsidR="00AB084B" w:rsidRPr="00024E20">
        <w:rPr>
          <w:rFonts w:ascii="Times New Roman" w:eastAsia="Times New Roman" w:hAnsi="Times New Roman" w:cs="Times New Roman"/>
          <w:color w:val="000000" w:themeColor="text1"/>
          <w:sz w:val="24"/>
          <w:szCs w:val="24"/>
        </w:rPr>
        <w:instrText xml:space="preserve"> ADDIN ZOTERO_ITEM CSL_CITATION {"citationID":"JfWiFVTZ","properties":{"formattedCitation":"(37)","plainCitation":"(37)","noteIndex":0},"citationItems":[{"id":8094,"uris":["http://zotero.org/users/6787375/items/JKG33UE2"],"itemData":{"id":8094,"type":"article-journal","abstract":"We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considered.\n          , \n            Hypothalamic-pituitary-gonadal (HPG) axis suppression in exercising women can be caused by low energy availability (EA), but the impact of a real-world, multistressor training environment on reproductive and metabolic function is unknown. This study aimed to characterize reproductive and metabolic adaptation in women undertaking basic military training. A prospective cohort study in women undertaking 11-month initial military training ( n = 47) was carried out. Dynamic low-dose 1-h gonadotrophin-releasing hormone (GnRH) tests were completed after 0 and 7 mo of training. Urine progesterone was sampled weekly throughout. Body composition (dual X-ray absorptiometry), fasting insulin resistance (homeostatic modeling assessment 2, HOMA2), leptin, sex steroids, anti-Müllerian hormone (AMH), and inhibin B were measured after 0, 7, and 11 mo with an additional assessment of body composition at 3 mo. Luteinizing hormone (LH) and follicle-stimulating hormone (FSH) responses were suppressed after 7 mo (both P &lt; 0.001). Among noncontraceptive users ( n = 20), 65% had regular (23–35 days) cycles preenrollment, falling to 24% by 7 mo of training. Of women in whom urine progesterone was measured ( n = 24), 87% of cycles showed no evidence of ovulation. There was little change in AMH, LH, and estradiol, although inhibin B and FSH increased ( P &lt; 0.05). Fat mass fluctuated during training but at month 11 was unchanged from baseline. Fat-free mass did not change. Visceral adiposity, HOMA2, and leptin increased (all P &lt; 0.001). HPG axis suppression with anovulation occurred in response to training without evidence of low EA. Increased insulin resistance may have contributed to the observed pituitary and ovarian dysfunction. Our findings are likely to represent an adaptive response of reproductive function to the multistressor nature of military training.\n            NEW &amp; NOTEWORTHY 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considered.","container-title":"American Journal of Physiology-Endocrinology and Metabolism","DOI":"10.1152/ajpendo.00019.2021","ISSN":"0193-1849, 1522-1555","issue":"2","journalAbbreviation":"American Journal of Physiology-Endocrinology and Metabolism","language":"en","page":"E281-E291","source":"DOI.org (Crossref)","title":"Reproductive and metabolic adaptation to multistressor training in women","volume":"321","author":[{"family":"Gifford","given":"Robert M."},{"family":"O’Leary","given":"Thomas J."},{"family":"Wardle","given":"Sophie L."},{"family":"Double","given":"Rebecca L."},{"family":"Homer","given":"Natalie Z. M."},{"family":"Howie","given":"A. Forbes"},{"family":"Greeves","given":"Julie P."},{"family":"Anderson","given":"Richard A."},{"family":"Woods","given":"David R."},{"family":"Reynolds","given":"Rebecca M."}],"issued":{"date-parts":[["2021",8,1]]}}}],"schema":"https://github.com/citation-style-language/schema/raw/master/csl-citation.json"} </w:instrText>
      </w:r>
      <w:r w:rsidR="00C80470"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(37)</w:t>
      </w:r>
      <w:r w:rsidR="00C80470"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w:t>
      </w:r>
      <w:r w:rsidR="00A06ABF" w:rsidRPr="00024E20">
        <w:rPr>
          <w:rFonts w:ascii="Times New Roman" w:eastAsia="Times New Roman" w:hAnsi="Times New Roman" w:cs="Times New Roman"/>
          <w:color w:val="000000" w:themeColor="text1"/>
          <w:sz w:val="24"/>
          <w:szCs w:val="24"/>
        </w:rPr>
        <w:t xml:space="preserve"> Participants</w:t>
      </w:r>
      <w:r w:rsidRPr="00024E20">
        <w:rPr>
          <w:rFonts w:ascii="Times New Roman" w:eastAsia="Times New Roman" w:hAnsi="Times New Roman" w:cs="Times New Roman"/>
          <w:color w:val="000000" w:themeColor="text1"/>
          <w:sz w:val="24"/>
          <w:szCs w:val="24"/>
        </w:rPr>
        <w:t xml:space="preserve"> using another hormonal contraceptive (</w:t>
      </w:r>
      <w:r w:rsidRPr="00024E20">
        <w:rPr>
          <w:rFonts w:ascii="Times New Roman" w:eastAsia="Times New Roman" w:hAnsi="Times New Roman" w:cs="Times New Roman"/>
          <w:i/>
          <w:color w:val="000000" w:themeColor="text1"/>
          <w:sz w:val="24"/>
          <w:szCs w:val="24"/>
        </w:rPr>
        <w:t>e.g.,</w:t>
      </w:r>
      <w:r w:rsidRPr="00024E20">
        <w:rPr>
          <w:rFonts w:ascii="Times New Roman" w:eastAsia="Times New Roman" w:hAnsi="Times New Roman" w:cs="Times New Roman"/>
          <w:color w:val="000000" w:themeColor="text1"/>
          <w:sz w:val="24"/>
          <w:szCs w:val="24"/>
        </w:rPr>
        <w:t xml:space="preserve"> intrauterine device), multiple hormonal contraceptives, or did not know their hormonal contraceptive were excluded from analyses. Week 1 measurements were made following the initial medical assessment and before military training commenced. Participants completed the 14-week British Army soldier basic military training course</w:t>
      </w:r>
      <w:r w:rsidR="00D5337D" w:rsidRPr="00024E20">
        <w:rPr>
          <w:rFonts w:ascii="Times New Roman" w:eastAsia="Times New Roman" w:hAnsi="Times New Roman" w:cs="Times New Roman"/>
          <w:color w:val="000000" w:themeColor="text1"/>
          <w:sz w:val="24"/>
          <w:szCs w:val="24"/>
        </w:rPr>
        <w:t xml:space="preserve">, which </w:t>
      </w:r>
      <w:r w:rsidRPr="00024E20">
        <w:rPr>
          <w:rFonts w:ascii="Times New Roman" w:eastAsia="Times New Roman" w:hAnsi="Times New Roman" w:cs="Times New Roman"/>
          <w:color w:val="000000" w:themeColor="text1"/>
          <w:sz w:val="24"/>
          <w:szCs w:val="24"/>
        </w:rPr>
        <w:t xml:space="preserve">is intended to develop basic military skills and physical fitness. The 14-week training programme </w:t>
      </w:r>
      <w:r w:rsidR="005B56B2" w:rsidRPr="00024E20">
        <w:rPr>
          <w:rFonts w:ascii="Times New Roman" w:eastAsia="Times New Roman" w:hAnsi="Times New Roman" w:cs="Times New Roman"/>
          <w:color w:val="000000" w:themeColor="text1"/>
          <w:sz w:val="24"/>
          <w:szCs w:val="24"/>
        </w:rPr>
        <w:t xml:space="preserve">contains </w:t>
      </w:r>
      <w:r w:rsidRPr="00024E20">
        <w:rPr>
          <w:rFonts w:ascii="Times New Roman" w:eastAsia="Times New Roman" w:hAnsi="Times New Roman" w:cs="Times New Roman"/>
          <w:color w:val="000000" w:themeColor="text1"/>
          <w:sz w:val="24"/>
          <w:szCs w:val="24"/>
        </w:rPr>
        <w:t>periods of aerobic endurance training, strength and conditioning, military-specific fitness training (obstacle course, circuit training), military drill, progressive loaded marching, and basic military skills (field exercise, weapon handling). Week 14 involves a decrease in typical military activities and an increase in the administrative burden as trainees prepare to complete the basic training component of their course</w:t>
      </w:r>
      <w:r w:rsidR="00173B01" w:rsidRPr="00024E20">
        <w:rPr>
          <w:rFonts w:ascii="Times New Roman" w:eastAsia="Times New Roman" w:hAnsi="Times New Roman" w:cs="Times New Roman"/>
          <w:color w:val="000000" w:themeColor="text1"/>
          <w:sz w:val="24"/>
          <w:szCs w:val="24"/>
        </w:rPr>
        <w:t xml:space="preserve">, so </w:t>
      </w:r>
      <w:r w:rsidRPr="00024E20">
        <w:rPr>
          <w:rFonts w:ascii="Times New Roman" w:eastAsia="Times New Roman" w:hAnsi="Times New Roman" w:cs="Times New Roman"/>
          <w:color w:val="000000" w:themeColor="text1"/>
          <w:sz w:val="24"/>
          <w:szCs w:val="24"/>
        </w:rPr>
        <w:t xml:space="preserve">post-training measurements were taken in week 13. Participants’ medical records were accessed to obtain a record of clinician-diagnosed lower </w:t>
      </w:r>
      <w:r w:rsidR="0009133F" w:rsidRPr="00024E20">
        <w:rPr>
          <w:rFonts w:ascii="Times New Roman" w:eastAsia="Times New Roman" w:hAnsi="Times New Roman" w:cs="Times New Roman"/>
          <w:color w:val="000000" w:themeColor="text1"/>
          <w:sz w:val="24"/>
          <w:szCs w:val="24"/>
        </w:rPr>
        <w:t>body</w:t>
      </w:r>
      <w:r w:rsidRPr="00024E20">
        <w:rPr>
          <w:rFonts w:ascii="Times New Roman" w:eastAsia="Times New Roman" w:hAnsi="Times New Roman" w:cs="Times New Roman"/>
          <w:color w:val="000000" w:themeColor="text1"/>
          <w:sz w:val="24"/>
          <w:szCs w:val="24"/>
        </w:rPr>
        <w:t xml:space="preserve"> </w:t>
      </w:r>
      <w:r w:rsidR="0039576B" w:rsidRPr="00024E20">
        <w:rPr>
          <w:rFonts w:ascii="Times New Roman" w:eastAsia="Times New Roman" w:hAnsi="Times New Roman" w:cs="Times New Roman"/>
          <w:color w:val="000000" w:themeColor="text1"/>
          <w:sz w:val="24"/>
          <w:szCs w:val="24"/>
        </w:rPr>
        <w:t>(including hip / pelvis</w:t>
      </w:r>
      <w:r w:rsidR="0009133F" w:rsidRPr="00024E20">
        <w:rPr>
          <w:rFonts w:ascii="Times New Roman" w:eastAsia="Times New Roman" w:hAnsi="Times New Roman" w:cs="Times New Roman"/>
          <w:color w:val="000000" w:themeColor="text1"/>
          <w:sz w:val="24"/>
          <w:szCs w:val="24"/>
        </w:rPr>
        <w:t xml:space="preserve"> and lower limb</w:t>
      </w:r>
      <w:r w:rsidR="0039576B"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overuse </w:t>
      </w:r>
      <w:r w:rsidR="00FA66ED" w:rsidRPr="00024E20">
        <w:rPr>
          <w:rFonts w:ascii="Times New Roman" w:eastAsia="Times New Roman" w:hAnsi="Times New Roman" w:cs="Times New Roman"/>
          <w:color w:val="000000" w:themeColor="text1"/>
          <w:sz w:val="24"/>
          <w:szCs w:val="24"/>
        </w:rPr>
        <w:t xml:space="preserve">musculoskeletal </w:t>
      </w:r>
      <w:r w:rsidRPr="00024E20">
        <w:rPr>
          <w:rFonts w:ascii="Times New Roman" w:eastAsia="Times New Roman" w:hAnsi="Times New Roman" w:cs="Times New Roman"/>
          <w:color w:val="000000" w:themeColor="text1"/>
          <w:sz w:val="24"/>
          <w:szCs w:val="24"/>
        </w:rPr>
        <w:t xml:space="preserve">injuries and </w:t>
      </w:r>
      <w:r w:rsidR="00173B01" w:rsidRPr="00024E20">
        <w:rPr>
          <w:rFonts w:ascii="Times New Roman" w:eastAsia="Times New Roman" w:hAnsi="Times New Roman" w:cs="Times New Roman"/>
          <w:color w:val="000000" w:themeColor="text1"/>
          <w:sz w:val="24"/>
          <w:szCs w:val="24"/>
        </w:rPr>
        <w:t xml:space="preserve">bone stress injuries </w:t>
      </w:r>
      <w:r w:rsidRPr="00024E20">
        <w:rPr>
          <w:rFonts w:ascii="Times New Roman" w:eastAsia="Times New Roman" w:hAnsi="Times New Roman" w:cs="Times New Roman"/>
          <w:color w:val="000000" w:themeColor="text1"/>
          <w:sz w:val="24"/>
          <w:szCs w:val="24"/>
        </w:rPr>
        <w:t xml:space="preserve">during the first 14 weeks of training; lower </w:t>
      </w:r>
      <w:r w:rsidR="0009133F" w:rsidRPr="00024E20">
        <w:rPr>
          <w:rFonts w:ascii="Times New Roman" w:eastAsia="Times New Roman" w:hAnsi="Times New Roman" w:cs="Times New Roman"/>
          <w:color w:val="000000" w:themeColor="text1"/>
          <w:sz w:val="24"/>
          <w:szCs w:val="24"/>
        </w:rPr>
        <w:lastRenderedPageBreak/>
        <w:t>body</w:t>
      </w:r>
      <w:r w:rsidRPr="00024E20">
        <w:rPr>
          <w:rFonts w:ascii="Times New Roman" w:eastAsia="Times New Roman" w:hAnsi="Times New Roman" w:cs="Times New Roman"/>
          <w:color w:val="000000" w:themeColor="text1"/>
          <w:sz w:val="24"/>
          <w:szCs w:val="24"/>
        </w:rPr>
        <w:t xml:space="preserve"> </w:t>
      </w:r>
      <w:r w:rsidR="00173B01" w:rsidRPr="00024E20">
        <w:rPr>
          <w:rFonts w:ascii="Times New Roman" w:eastAsia="Times New Roman" w:hAnsi="Times New Roman" w:cs="Times New Roman"/>
          <w:color w:val="000000" w:themeColor="text1"/>
          <w:sz w:val="24"/>
          <w:szCs w:val="24"/>
        </w:rPr>
        <w:t>bone stress injuries</w:t>
      </w:r>
      <w:r w:rsidRPr="00024E20">
        <w:rPr>
          <w:rFonts w:ascii="Times New Roman" w:eastAsia="Times New Roman" w:hAnsi="Times New Roman" w:cs="Times New Roman"/>
          <w:color w:val="000000" w:themeColor="text1"/>
          <w:sz w:val="24"/>
          <w:szCs w:val="24"/>
        </w:rPr>
        <w:t xml:space="preserve"> were recorded separately from overuse </w:t>
      </w:r>
      <w:r w:rsidR="00FA66ED" w:rsidRPr="00024E20">
        <w:rPr>
          <w:rFonts w:ascii="Times New Roman" w:eastAsia="Times New Roman" w:hAnsi="Times New Roman" w:cs="Times New Roman"/>
          <w:color w:val="000000" w:themeColor="text1"/>
          <w:sz w:val="24"/>
          <w:szCs w:val="24"/>
        </w:rPr>
        <w:t xml:space="preserve">musculoskeletal </w:t>
      </w:r>
      <w:r w:rsidRPr="00024E20">
        <w:rPr>
          <w:rFonts w:ascii="Times New Roman" w:eastAsia="Times New Roman" w:hAnsi="Times New Roman" w:cs="Times New Roman"/>
          <w:color w:val="000000" w:themeColor="text1"/>
          <w:sz w:val="24"/>
          <w:szCs w:val="24"/>
        </w:rPr>
        <w:t>injuries.</w:t>
      </w:r>
      <w:r w:rsidR="0009133F" w:rsidRPr="00024E20">
        <w:rPr>
          <w:rFonts w:ascii="Times New Roman" w:eastAsia="Times New Roman" w:hAnsi="Times New Roman" w:cs="Times New Roman"/>
          <w:color w:val="000000" w:themeColor="text1"/>
          <w:sz w:val="24"/>
          <w:szCs w:val="24"/>
        </w:rPr>
        <w:t xml:space="preserve"> Overuse musculoskeletal injuries were defined as pain, inflammation, or a functional disorder that involved joints, muscles, tendons, ligaments, and associated connective tissues, with the mechanism of injury a result of use over time, rather than a traumatic event (</w:t>
      </w:r>
      <w:r w:rsidR="0009133F" w:rsidRPr="00024E20">
        <w:rPr>
          <w:rFonts w:ascii="Times New Roman" w:eastAsia="Times New Roman" w:hAnsi="Times New Roman" w:cs="Times New Roman"/>
          <w:i/>
          <w:iCs/>
          <w:color w:val="000000" w:themeColor="text1"/>
          <w:sz w:val="24"/>
          <w:szCs w:val="24"/>
        </w:rPr>
        <w:t>e.g.,</w:t>
      </w:r>
      <w:r w:rsidR="0009133F" w:rsidRPr="00024E20">
        <w:rPr>
          <w:rFonts w:ascii="Times New Roman" w:eastAsia="Times New Roman" w:hAnsi="Times New Roman" w:cs="Times New Roman"/>
          <w:color w:val="000000" w:themeColor="text1"/>
          <w:sz w:val="24"/>
          <w:szCs w:val="24"/>
        </w:rPr>
        <w:t xml:space="preserve"> plantar fasciitis, Achilles tendinopathy, patellar tendinitis, iliotibial band syndrome) </w:t>
      </w:r>
      <w:r w:rsidR="0009133F"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{"citationID":"CXj5TOS0","properties":{"formattedCitation":"(38)","plainCitation":"(38)","noteIndex":0},"citationItems":[{"id":8074,"uris":["http://zotero.org/users/6787375/items/TQPI5AJ4"],"itemData":{"id":8074,"type":"article-journal","abstract":"ABSTRACT\n            \n              The relationship between vitamin D metabolites and lower body (pelvis and lower limb) overuse injury is unclear. In a prospective cohort study, we investigated the association between vitamin D metabolites and incidence of lower body overuse musculoskeletal and bone stress injury in young adults undergoing initial military training during all seasons. In 1637 men and 530 women (aged 22.6 ± 7.5 years; body mass index [BMI], 24.0 ± 2.6 kg/m\n              ‐\n              2\n              ; 94.3% white ethnicity), we measured serum 25‐hydroxyvitamin D (25(OH)D) and 24,25‐dihydroxyvitamin D (24,25(OH)\n              2\n              D) by high‐performance liquid chromatography tandem mass spectrometry, and 1,25‐dihydroxyvitamin D (1,25(OH)\n              2\n              D) by immunoassay during week 1 of training. We examined whether the relationship between 25(OH)D and 1,25(OH)\n              2\n              D:24,25(OH)\n              2\n              D ratio was associated with overuse injury. During 12 weeks of training, 21.0% sustained ≥1 overuse musculoskeletal injury, and 5.6% sustained ≥1 bone stress injury. After controlling for sex, BMI, 2.4 km run time, smoking, bone injury history, and Army training course (Officer, standard, or Infantry), lower body overuse musculoskeletal injury incidence was higher for participants within the second lowest versus highest quartile of 24,25(OH)\n              2\n              D (odds ratio [OR] = 1.62; 95% confidence interval [CI] 1.13–2.32;\n              p\n               = 0.009) and lowest versus highest cluster of 25(OH)D and 1,25(OH)\n              2\n              D:24,25(OH)\n              2\n              D (OR = 6.30; 95% CI 1.89–21.2;\n              p\n               = 0.003). Lower body bone stress injury incidence was higher for participants within the lowest versus highest quartile of 24,25(OH)\n              2\n              D (OR = 4.02; 95% CI 1.82–8.87;\n              p\n               &lt; 0.001) and lowest versus highest cluster of 25(OH)D and 1,25(OH)\n              2\n              D:24,25(OH)\n              2\n              D (OR = 22.08; 95% CI 3.26–149.4;\n              p\n               = 0.001), after controlling for the same covariates. Greater conversion of 25(OH)D to 24,25(OH)\n              2\n              D, relative to 1,25(OH)\n              2\n              D (ie, low 1,25(OH)\n              2\n              D:24,25(OH)\n              2\n              D), and higher serum 24,25(OH)\n              2\n              D were associated with a lower incidence of lower body overuse musculoskeletal and bone stress injury. Serum 24,25(OH)\n              2\n              D may have a role in preventing overuse injury in young adults undertaking arduous physical training. © 2023 Crown copyright and The Authors.\n              Journal of Bone and Mineral Research\n              published by Wiley Periodicals LLC on behalf of American Society for Bone and Mineral Research (ASBMR). This article is published with the permission of the Controller of HMSO and the King's Printer for Scotland.","container-title":"Journal of Bone and Mineral Research","DOI":"10.1002/jbmr.4890","ISSN":"0884-0431, 1523-4681","journalAbbreviation":"J of Bone &amp; Mineral Res","language":"en","page":"jbmr.4890","source":"DOI.org (Crossref)","title":"Vitamin D Metabolites Are Associated With Musculoskeletal Injury in Young Adults: A Prospective Cohort Study","title-short":"Vitamin D Metabolites Are Associated With Musculoskeletal Injury in Young Adults","author":[{"family":"Carswell","given":"Alexander T"},{"family":"O'Leary","given":"Thomas J"},{"family":"Swinton","given":"Paul"},{"family":"Jackson","given":"Sarah"},{"family":"Tang","given":"Jonathan Cy"},{"family":"Oliver","given":"Samuel J"},{"family":"Izard","given":"Rachel M"},{"family":"Walsh","given":"Neil P"},{"family":"Fraser","given":"William D"},{"family":"Greeves","given":"Julie P"}],"issued":{"date-parts":[["2023",8,30]]}}}],"schema":"https://github.com/citation-style-language/schema/raw/master/csl-citation.json"} </w:instrText>
      </w:r>
      <w:r w:rsidR="0009133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(38)</w:t>
      </w:r>
      <w:r w:rsidR="0009133F" w:rsidRPr="00024E20">
        <w:rPr>
          <w:rFonts w:ascii="Times New Roman" w:eastAsia="Times New Roman" w:hAnsi="Times New Roman" w:cs="Times New Roman"/>
          <w:color w:val="000000" w:themeColor="text1"/>
          <w:sz w:val="24"/>
          <w:szCs w:val="24"/>
        </w:rPr>
        <w:fldChar w:fldCharType="end"/>
      </w:r>
      <w:r w:rsidR="0009133F" w:rsidRPr="00024E20">
        <w:rPr>
          <w:rFonts w:ascii="Times New Roman" w:eastAsia="Times New Roman" w:hAnsi="Times New Roman" w:cs="Times New Roman"/>
          <w:color w:val="000000" w:themeColor="text1"/>
          <w:sz w:val="24"/>
          <w:szCs w:val="24"/>
        </w:rPr>
        <w:t xml:space="preserve">. Bone stress injuries encompassed the spectrum of overuse injuries caused by microdamage accumulation in bone, frequently referred to as stress reactions and stress fractures (e.g., medial tibial stress syndrome, femoral, tibial, calcaneal, and metatarsal stress fractures) </w:t>
      </w:r>
      <w:r w:rsidR="0009133F"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{"citationID":"ZzMsghx4","properties":{"formattedCitation":"(38)","plainCitation":"(38)","noteIndex":0},"citationItems":[{"id":8074,"uris":["http://zotero.org/users/6787375/items/TQPI5AJ4"],"itemData":{"id":8074,"type":"article-journal","abstract":"ABSTRACT\n            \n              The relationship between vitamin D metabolites and lower body (pelvis and lower limb) overuse injury is unclear. In a prospective cohort study, we investigated the association between vitamin D metabolites and incidence of lower body overuse musculoskeletal and bone stress injury in young adults undergoing initial military training during all seasons. In 1637 men and 530 women (aged 22.6 ± 7.5 years; body mass index [BMI], 24.0 ± 2.6 kg/m\n              ‐\n              2\n              ; 94.3% white ethnicity), we measured serum 25‐hydroxyvitamin D (25(OH)D) and 24,25‐dihydroxyvitamin D (24,25(OH)\n              2\n              D) by high‐performance liquid chromatography tandem mass spectrometry, and 1,25‐dihydroxyvitamin D (1,25(OH)\n              2\n              D) by immunoassay during week 1 of training. We examined whether the relationship between 25(OH)D and 1,25(OH)\n              2\n              D:24,25(OH)\n              2\n              D ratio was associated with overuse injury. During 12 weeks of training, 21.0% sustained ≥1 overuse musculoskeletal injury, and 5.6% sustained ≥1 bone stress injury. After controlling for sex, BMI, 2.4 km run time, smoking, bone injury history, and Army training course (Officer, standard, or Infantry), lower body overuse musculoskeletal injury incidence was higher for participants within the second lowest versus highest quartile of 24,25(OH)\n              2\n              D (odds ratio [OR] = 1.62; 95% confidence interval [CI] 1.13–2.32;\n              p\n               = 0.009) and lowest versus highest cluster of 25(OH)D and 1,25(OH)\n              2\n              D:24,25(OH)\n              2\n              D (OR = 6.30; 95% CI 1.89–21.2;\n              p\n               = 0.003). Lower body bone stress injury incidence was higher for participants within the lowest versus highest quartile of 24,25(OH)\n              2\n              D (OR = 4.02; 95% CI 1.82–8.87;\n              p\n               &lt; 0.001) and lowest versus highest cluster of 25(OH)D and 1,25(OH)\n              2\n              D:24,25(OH)\n              2\n              D (OR = 22.08; 95% CI 3.26–149.4;\n              p\n               = 0.001), after controlling for the same covariates. Greater conversion of 25(OH)D to 24,25(OH)\n              2\n              D, relative to 1,25(OH)\n              2\n              D (ie, low 1,25(OH)\n              2\n              D:24,25(OH)\n              2\n              D), and higher serum 24,25(OH)\n              2\n              D were associated with a lower incidence of lower body overuse musculoskeletal and bone stress injury. Serum 24,25(OH)\n              2\n              D may have a role in preventing overuse injury in young adults undertaking arduous physical training. © 2023 Crown copyright and The Authors.\n              Journal of Bone and Mineral Research\n              published by Wiley Periodicals LLC on behalf of American Society for Bone and Mineral Research (ASBMR). This article is published with the permission of the Controller of HMSO and the King's Printer for Scotland.","container-title":"Journal of Bone and Mineral Research","DOI":"10.1002/jbmr.4890","ISSN":"0884-0431, 1523-4681","journalAbbreviation":"J of Bone &amp; Mineral Res","language":"en","page":"jbmr.4890","source":"DOI.org (Crossref)","title":"Vitamin D Metabolites Are Associated With Musculoskeletal Injury in Young Adults: A Prospective Cohort Study","title-short":"Vitamin D Metabolites Are Associated With Musculoskeletal Injury in Young Adults","author":[{"family":"Carswell","given":"Alexander T"},{"family":"O'Leary","given":"Thomas J"},{"family":"Swinton","given":"Paul"},{"family":"Jackson","given":"Sarah"},{"family":"Tang","given":"Jonathan Cy"},{"family":"Oliver","given":"Samuel J"},{"family":"Izard","given":"Rachel M"},{"family":"Walsh","given":"Neil P"},{"family":"Fraser","given":"William D"},{"family":"Greeves","given":"Julie P"}],"issued":{"date-parts":[["2023",8,30]]}}}],"schema":"https://github.com/citation-style-language/schema/raw/master/csl-citation.json"} </w:instrText>
      </w:r>
      <w:r w:rsidR="0009133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(38)</w:t>
      </w:r>
      <w:r w:rsidR="0009133F" w:rsidRPr="00024E20">
        <w:rPr>
          <w:rFonts w:ascii="Times New Roman" w:eastAsia="Times New Roman" w:hAnsi="Times New Roman" w:cs="Times New Roman"/>
          <w:color w:val="000000" w:themeColor="text1"/>
          <w:sz w:val="24"/>
          <w:szCs w:val="24"/>
        </w:rPr>
        <w:fldChar w:fldCharType="end"/>
      </w:r>
      <w:r w:rsidR="0009133F" w:rsidRPr="00024E20">
        <w:rPr>
          <w:rFonts w:ascii="Times New Roman" w:eastAsia="Times New Roman" w:hAnsi="Times New Roman" w:cs="Times New Roman"/>
          <w:color w:val="000000" w:themeColor="text1"/>
          <w:sz w:val="24"/>
          <w:szCs w:val="24"/>
        </w:rPr>
        <w:t>.</w:t>
      </w:r>
    </w:p>
    <w:p w14:paraId="59E566F0"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11CD5627" w14:textId="77777777" w:rsidR="00C80470" w:rsidRPr="00024E20" w:rsidRDefault="00C80470" w:rsidP="00C80470">
      <w:pPr>
        <w:autoSpaceDE w:val="0"/>
        <w:autoSpaceDN w:val="0"/>
        <w:adjustRightInd w:val="0"/>
        <w:spacing w:after="0" w:line="480" w:lineRule="auto"/>
        <w:jc w:val="both"/>
        <w:rPr>
          <w:rFonts w:ascii="Times New Roman" w:hAnsi="Times New Roman" w:cs="Times New Roman"/>
          <w:i/>
          <w:iCs/>
          <w:color w:val="000000" w:themeColor="text1"/>
          <w:sz w:val="24"/>
          <w:szCs w:val="24"/>
        </w:rPr>
      </w:pPr>
      <w:r w:rsidRPr="00024E20">
        <w:rPr>
          <w:rFonts w:ascii="Times New Roman" w:hAnsi="Times New Roman" w:cs="Times New Roman"/>
          <w:i/>
          <w:iCs/>
          <w:color w:val="000000" w:themeColor="text1"/>
          <w:sz w:val="24"/>
          <w:szCs w:val="24"/>
        </w:rPr>
        <w:t>Physical Performance</w:t>
      </w:r>
    </w:p>
    <w:p w14:paraId="0D6ED2F0" w14:textId="75C06DA2" w:rsidR="00C80470" w:rsidRPr="00024E20" w:rsidRDefault="00C80470" w:rsidP="00C80470">
      <w:pPr>
        <w:autoSpaceDE w:val="0"/>
        <w:autoSpaceDN w:val="0"/>
        <w:adjustRightInd w:val="0"/>
        <w:spacing w:after="0" w:line="48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Endurance performance was assessed as the time to complete a maximal effort 2.4 km run on a standardised running course. Participants completed an 800 m warm-up and completion time was recorded to the nearest second. The time to complete a 2.4 km run is indicative of maximal aerobic capacity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{"citationID":"XWdef0Eq","properties":{"formattedCitation":"(39)","plainCitation":"(39)","noteIndex":0},"citationItems":[{"id":8002,"uris":["http://zotero.org/users/6787375/items/VXRRKPBU"],"itemData":{"id":8002,"type":"article-journal","abstract":"Since the 2.4 km run time test is routinely used in military training programmes as an indicator of aerobic capacity and its possible improvement, an attempt was made to: (i) establish a regression equation of VO2max v. 2.4 km run time in a group of 20 young military volunteers; and (ii) determine whether this equation could be used to predict VO2max reliably from the 2.4 km time obtained from another group. Before and after training, VO2max was measured in all subjects using a treadmill test, and 2.4 km run time was determined in the field. Linear regression equations using the 2.4 km run time as the independent variable accounted for 76-92% of the variance in VO2max, while the standard error of the estimate varied from 2.24-2.91 ml/kg/min. In the second test group, the directly measured VO2max was 59.89 +/- 0.99 ml/kg/min, while the mean value estimated from the regression equation of the first group was 59.61 +/- 1.16 ml/kg/min (P less than 0.001). It was concluded that, in the population studied, the 2.4 km run time in the field reliably predicts VO2max measured during treadmill exercise in the laboratory.","container-title":"South African Medical Journal = Suid-Afrikaanse Tydskrif Vir Geneeskunde","ISSN":"0256-9574","issue":"6","journalAbbreviation":"S Afr Med J","language":"eng","note":"PMID: 2396155","page":"327-329","source":"PubMed","title":"Assessment of the 2.4 km run as a predictor of aerobic capacity","volume":"78","author":[{"family":"Burger","given":"S. C."},{"family":"Bertram","given":"S. R."},{"family":"Stewart","given":"R. I."}],"issued":{"date-parts":[["1990",9,15]]}}}],"schema":"https://github.com/citation-style-language/schema/raw/master/csl-citation.json"}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(39)</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xml:space="preserve"> and is a military field test assessed during selection, training, and throughout a military career. All participants were accustomed to performing this test from selection, before commencing military training. Maximal lift strength was determined as the maximal weight lifted using an incremental lift machine that simulates a power clean weightlifting movement </w:t>
      </w:r>
      <w:r w:rsidRPr="00024E20">
        <w:rPr>
          <w:rFonts w:ascii="Times New Roman" w:hAnsi="Times New Roman" w:cs="Times New Roman"/>
          <w:color w:val="000000" w:themeColor="text1"/>
          <w:sz w:val="24"/>
          <w:szCs w:val="24"/>
        </w:rPr>
        <w:fldChar w:fldCharType="begin"/>
      </w:r>
      <w:r w:rsidR="006E0E7F" w:rsidRPr="00024E20">
        <w:rPr>
          <w:rFonts w:ascii="Times New Roman" w:hAnsi="Times New Roman" w:cs="Times New Roman"/>
          <w:color w:val="000000" w:themeColor="text1"/>
          <w:sz w:val="24"/>
          <w:szCs w:val="24"/>
        </w:rPr>
        <w:instrText xml:space="preserve"> ADDIN ZOTERO_ITEM CSL_CITATION {"citationID":"REhOoBGS","properties":{"formattedCitation":"(24)","plainCitation":"(24)","noteIndex":0},"citationItems":[{"id":2775,"uris":["http://zotero.org/users/6787375/items/WRMSS89E"],"itemData":{"id":2775,"type":"article-journal","abstract":"PURPOSE: To determine vitamin D metabolites and vitamin D receptor (VDR) single-nucleotide polymorphisms (SNPs) relationships with physical performance. METHODS: In 1205 men and 322 women (94.8% white Caucasian, 22.0 +/- 2.8 years) commencing military training, we measured: serum vitamin D metabolites (25-hydroxyvitamin D (25(OH)D) and 24,25-dihydroxyvitamin D (24,25(OH)2D) by high-performance liquid chromatography tandem mass spectrophotometry, and 1,25-dihydroxyvitamin D (1,25(OH)2D) by immunoassay); VDR SNPs (rs2228570, rs4516035, and rs7139166 by polymerase chain reaction genotyping); and endurance performance by 2.4 km run, muscle strength by maximal dynamic lift, and muscle power by maximal vertical jump. RESULTS: Serum 25(OH)D was negatively associated with 2.4 km run time and positively associated with muscle power (beta = -12.0 and 90.1), 1,25(OH)2D was positively associated with run time and negatively associated with strength and muscle power (beta = 5.6, -1.06, and -38.4), and 24,25(OH)2D was negatively associated with run time (beta = -8.9; P &lt; 0.01), after controlling for age, sex, smoking, alcohol, physical activity, time outdoors, season, and BMI. Vitamin D metabolites (25(OH)D, 1,25(OH)2D, and 24,25(OH)2D) together explained variances of 5.0% in run time, 0.7% in strength, and 0.9% in muscle power (DeltaF P &lt; 0.001). All performance measures were superior with low 1,25(OH)2D:24,25(OH)2D ratio (P &lt; 0.05). VDR SNPs were not associated with physical performance (DeltaF P &gt;/= 0.306). CONCLUSIONS: Vitamin D metabolites accounted for a small portion of variance in physical performance. Associations between vitamin D metabolites and run time were the most consistent. VDR SNPs explained no variance in performance. Greater conversion of 25(OH)D to 24,25(OH)2D, relative to 1,25(OH)2D (i.e., low 1,25(OH)2D:24,25(OH)2D ratio), was favourable for performance, indicating 24,25(OH)2D may have a role in optimising physical performance.","container-title":"Med Sci Sports Exerc","DOI":"10.1249/MSS.0000000000002987","ISSN":"1530-0315 (Electronic) 0195-9131 (Linking)","journalAbbreviation":"Medicine and science in sports and exercise","title":"Vitamin D Metabolites are Associated with Physical Performance in Young Healthy Adults","author":[{"family":"Carswell","given":"A. T."},{"family":"Jackson","given":"S."},{"family":"Swinton","given":"P."},{"family":"O'Leary","given":"T. J."},{"family":"Tang","given":"J. C. Y."},{"family":"Oliver","given":"S. J."},{"family":"Sale","given":"C."},{"family":"Izard","given":"R. M."},{"family":"Walsh","given":"N. P."},{"family":"Fraser","given":"W. D."},{"family":"Greeves","given":"J. P."}],"issued":{"date-parts":[["2022",6,29]]}}}],"schema":"https://github.com/citation-style-language/schema/raw/master/csl-citation.json"}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6E0E7F" w:rsidRPr="00024E20">
        <w:rPr>
          <w:rFonts w:ascii="Times New Roman" w:hAnsi="Times New Roman" w:cs="Times New Roman"/>
          <w:noProof/>
          <w:color w:val="000000" w:themeColor="text1"/>
          <w:sz w:val="24"/>
          <w:szCs w:val="24"/>
        </w:rPr>
        <w:t>(24)</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xml:space="preserve">. The device consisted of a vertically moving carriage with handgrips positioned 0.30 m above the ground. Participants lifted the weight (20 kg starting mass) to a height of 1.45 m, the height of a British Army four tonne truck. The weight was increased by 5 kg after each successful lift and the test continued </w:t>
      </w:r>
      <w:r w:rsidR="0049159F" w:rsidRPr="00024E20">
        <w:rPr>
          <w:rFonts w:ascii="Times New Roman" w:hAnsi="Times New Roman" w:cs="Times New Roman"/>
          <w:color w:val="000000" w:themeColor="text1"/>
          <w:sz w:val="24"/>
          <w:szCs w:val="24"/>
        </w:rPr>
        <w:t>until</w:t>
      </w:r>
      <w:r w:rsidRPr="00024E20">
        <w:rPr>
          <w:rFonts w:ascii="Times New Roman" w:hAnsi="Times New Roman" w:cs="Times New Roman"/>
          <w:color w:val="000000" w:themeColor="text1"/>
          <w:sz w:val="24"/>
          <w:szCs w:val="24"/>
        </w:rPr>
        <w:t xml:space="preserve"> </w:t>
      </w:r>
      <w:r w:rsidR="0049159F" w:rsidRPr="00024E20">
        <w:rPr>
          <w:rFonts w:ascii="Times New Roman" w:hAnsi="Times New Roman" w:cs="Times New Roman"/>
          <w:color w:val="000000" w:themeColor="text1"/>
          <w:sz w:val="24"/>
          <w:szCs w:val="24"/>
        </w:rPr>
        <w:t>participants</w:t>
      </w:r>
      <w:r w:rsidR="00350E5A" w:rsidRPr="00024E20">
        <w:rPr>
          <w:rFonts w:ascii="Times New Roman" w:hAnsi="Times New Roman" w:cs="Times New Roman"/>
          <w:color w:val="000000" w:themeColor="text1"/>
          <w:sz w:val="24"/>
          <w:szCs w:val="24"/>
        </w:rPr>
        <w:t xml:space="preserve"> failed to</w:t>
      </w:r>
      <w:r w:rsidR="00C25AF9" w:rsidRPr="00024E20">
        <w:rPr>
          <w:rFonts w:ascii="Times New Roman" w:hAnsi="Times New Roman" w:cs="Times New Roman"/>
          <w:color w:val="000000" w:themeColor="text1"/>
          <w:sz w:val="24"/>
          <w:szCs w:val="24"/>
        </w:rPr>
        <w:t xml:space="preserve"> lift</w:t>
      </w:r>
      <w:r w:rsidRPr="00024E20">
        <w:rPr>
          <w:rFonts w:ascii="Times New Roman" w:hAnsi="Times New Roman" w:cs="Times New Roman"/>
          <w:color w:val="000000" w:themeColor="text1"/>
          <w:sz w:val="24"/>
          <w:szCs w:val="24"/>
        </w:rPr>
        <w:t xml:space="preserve"> a weight to 1.45 m after two successive attempts. This measure of maximal lift strength correlates with</w:t>
      </w:r>
      <w:r w:rsidR="00155821" w:rsidRPr="00024E20">
        <w:rPr>
          <w:rFonts w:ascii="Times New Roman" w:hAnsi="Times New Roman" w:cs="Times New Roman"/>
          <w:color w:val="000000" w:themeColor="text1"/>
          <w:sz w:val="24"/>
          <w:szCs w:val="24"/>
        </w:rPr>
        <w:t>,</w:t>
      </w:r>
      <w:r w:rsidRPr="00024E20">
        <w:rPr>
          <w:rFonts w:ascii="Times New Roman" w:hAnsi="Times New Roman" w:cs="Times New Roman"/>
          <w:color w:val="000000" w:themeColor="text1"/>
          <w:sz w:val="24"/>
          <w:szCs w:val="24"/>
        </w:rPr>
        <w:t xml:space="preserve"> and predicts </w:t>
      </w:r>
      <w:r w:rsidR="00155821" w:rsidRPr="00024E20">
        <w:rPr>
          <w:rFonts w:ascii="Times New Roman" w:hAnsi="Times New Roman" w:cs="Times New Roman"/>
          <w:color w:val="000000" w:themeColor="text1"/>
          <w:sz w:val="24"/>
          <w:szCs w:val="24"/>
        </w:rPr>
        <w:t xml:space="preserve">performance </w:t>
      </w:r>
      <w:r w:rsidRPr="00024E20">
        <w:rPr>
          <w:rFonts w:ascii="Times New Roman" w:hAnsi="Times New Roman" w:cs="Times New Roman"/>
          <w:color w:val="000000" w:themeColor="text1"/>
          <w:sz w:val="24"/>
          <w:szCs w:val="24"/>
        </w:rPr>
        <w:t xml:space="preserve">in military tasks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{"citationID":"V0o3Jtu2","properties":{"formattedCitation":"(40)","plainCitation":"(40)","noteIndex":0},"citationItems":[{"id":3641,"uris":["http://zotero.org/users/6787375/items/GAWXL3AB"],"itemData":{"id":3641,"type":"article-journal","abstract":"Physical fitness training of military recruits is an enduring focus of armies. This is important for safe and effective performance of general tasks that anyone may have to perform in a military setting as well as preparation for more specialized training in specific job specialties. Decades of studies on occupationally specific physical requirements have characterized the dual aerobic and strength demands of typical military tasks; however, scientifically founded strategies to prepare recruits with a good mix of these 2 physiologically opposing capabilities have not been well established. High levels of aerobic training can compromise resistance training gains and increase injury rates. Resistance training requires a greater commitment of time and resources as well as a greater understanding of the science to produce true strength gains that may be beneficial to military performance. These are critical issues for modern armies with increased demands for well-prepared soldiers and fewer injury losses. The actual physical requirements tied to metrics of success in military jobs are also under renewed examination as women are increasingly integrated into military jobs previously performed only by men. At the third International Congress on Soldiers' Physical Performance, a roundtable of 10 physiologists with military expertise presented comparative perspectives on aerobic and strength training. These topics included the physiological basis of training benefits, how to train effectively, how to measure training effectiveness, considerations for the integration of women, and the big perspective. Key discussion points centered on (a) the significance of findings from research on integrated training, (b) strategies for effective strength development, and","container-title":"J Strength Cond Res","DOI":"10.1519/JSC.0000000000001025","ISSN":"1533-4287 (Electronic) 1064-8011 (Linking)","journalAbbreviation":"Journal of strength and conditioning research / National Strength &amp; Conditioning Association","page":"S10-23","title":"Perspectives on Aerobic and Strength Influences on Military Physical Readiness: Report of an International Military Physiology Roundtable","volume":"29 Suppl 11","author":[{"family":"Friedl","given":"K. E."},{"family":"Knapik","given":"J. J."},{"family":"Hakkinen","given":"K."},{"family":"Baumgartner","given":"N."},{"family":"Groeller","given":"H."},{"family":"Taylor","given":"N. A."},{"family":"Duarte","given":"A. F."},{"family":"Kyrolainen","given":"H."},{"family":"Jones","given":"B. H."},{"family":"Kraemer","given":"W. J."},{"family":"Nindl","given":"B. C."}],"issued":{"date-parts":[["2015",11]]}}}],"schema":"https://github.com/citation-style-language/schema/raw/master/csl-citation.json"}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noProof/>
          <w:color w:val="000000" w:themeColor="text1"/>
          <w:sz w:val="24"/>
          <w:szCs w:val="24"/>
        </w:rPr>
        <w:t>(40)</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xml:space="preserve">. Vertical jump peak power output was assessed by countermovement vertical jump </w:t>
      </w:r>
      <w:r w:rsidRPr="00024E20">
        <w:rPr>
          <w:rFonts w:ascii="Times New Roman" w:hAnsi="Times New Roman" w:cs="Times New Roman"/>
          <w:color w:val="000000" w:themeColor="text1"/>
          <w:sz w:val="24"/>
          <w:szCs w:val="24"/>
        </w:rPr>
        <w:fldChar w:fldCharType="begin"/>
      </w:r>
      <w:r w:rsidR="006E0E7F" w:rsidRPr="00024E20">
        <w:rPr>
          <w:rFonts w:ascii="Times New Roman" w:hAnsi="Times New Roman" w:cs="Times New Roman"/>
          <w:color w:val="000000" w:themeColor="text1"/>
          <w:sz w:val="24"/>
          <w:szCs w:val="24"/>
        </w:rPr>
        <w:instrText xml:space="preserve"> ADDIN ZOTERO_ITEM CSL_CITATION {"citationID":"xQm7k7t9","properties":{"formattedCitation":"(24)","plainCitation":"(24)","noteIndex":0},"citationItems":[{"id":2775,"uris":["http://zotero.org/users/6787375/items/WRMSS89E"],"itemData":{"id":2775,"type":"article-journal","abstract":"PURPOSE: To determine vitamin D metabolites and vitamin D receptor (VDR) single-nucleotide polymorphisms (SNPs) relationships with physical performance. METHODS: In 1205 men and 322 women (94.8% white Caucasian, 22.0 +/- 2.8 years) commencing military training, we measured: serum vitamin D metabolites (25-hydroxyvitamin D (25(OH)D) and 24,25-dihydroxyvitamin D (24,25(OH)2D) by high-performance liquid chromatography tandem mass spectrophotometry, and 1,25-dihydroxyvitamin D (1,25(OH)2D) by immunoassay); VDR SNPs (rs2228570, rs4516035, and rs7139166 by polymerase chain reaction genotyping); and endurance performance by 2.4 km run, muscle strength by maximal dynamic lift, and muscle power by maximal vertical jump. RESULTS: Serum 25(OH)D was negatively associated with 2.4 km run time and positively associated with muscle power (beta = -12.0 and 90.1), 1,25(OH)2D was positively associated with run time and negatively associated with strength and muscle power (beta = 5.6, -1.06, and -38.4), and 24,25(OH)2D was negatively associated with run time (beta = -8.9; P &lt; 0.01), after controlling for age, sex, smoking, alcohol, physical activity, time outdoors, season, and BMI. Vitamin D metabolites (25(OH)D, 1,25(OH)2D, and 24,25(OH)2D) together explained variances of 5.0% in run time, 0.7% in strength, and 0.9% in muscle power (DeltaF P &lt; 0.001). All performance measures were superior with low 1,25(OH)2D:24,25(OH)2D ratio (P &lt; 0.05). VDR SNPs were not associated with physical performance (DeltaF P &gt;/= 0.306). CONCLUSIONS: Vitamin D metabolites accounted for a small portion of variance in physical performance. Associations between vitamin D metabolites and run time were the most consistent. VDR SNPs explained no variance in performance. Greater conversion of 25(OH)D to 24,25(OH)2D, relative to 1,25(OH)2D (i.e., low 1,25(OH)2D:24,25(OH)2D ratio), was favourable for performance, indicating 24,25(OH)2D may have a role in optimising physical performance.","container-title":"Med Sci Sports Exerc","DOI":"10.1249/MSS.0000000000002987","ISSN":"1530-0315 (Electronic) 0195-9131 (Linking)","journalAbbreviation":"Medicine and science in sports and exercise","title":"Vitamin D Metabolites are Associated with Physical Performance in Young Healthy Adults","author":[{"family":"Carswell","given":"A. T."},{"family":"Jackson","given":"S."},{"family":"Swinton","given":"P."},{"family":"O'Leary","given":"T. J."},{"family":"Tang","given":"J. C. Y."},{"family":"Oliver","given":"S. J."},{"family":"Sale","given":"C."},{"family":"Izard","given":"R. M."},{"family":"Walsh","given":"N. P."},{"family":"Fraser","given":"W. D."},{"family":"Greeves","given":"J. P."}],"issued":{"date-parts":[["2022",6,29]]}}}],"schema":"https://github.com/citation-style-language/schema/raw/master/csl-citation.json"}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6E0E7F" w:rsidRPr="00024E20">
        <w:rPr>
          <w:rFonts w:ascii="Times New Roman" w:hAnsi="Times New Roman" w:cs="Times New Roman"/>
          <w:noProof/>
          <w:color w:val="000000" w:themeColor="text1"/>
          <w:sz w:val="24"/>
          <w:szCs w:val="24"/>
        </w:rPr>
        <w:t>(24)</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xml:space="preserve"> using a jump mat (Takei Scientific Instruments, Tokyo, Japan) and calculated as: peak power (W) = (51.9 </w:t>
      </w:r>
      <w:r w:rsidRPr="00024E20">
        <w:rPr>
          <w:rFonts w:ascii="Times New Roman" w:hAnsi="Times New Roman" w:cs="Times New Roman"/>
          <w:color w:val="000000" w:themeColor="text1"/>
          <w:sz w:val="24"/>
          <w:szCs w:val="24"/>
          <w:shd w:val="clear" w:color="auto" w:fill="FFFFFF" w:themeFill="background1"/>
        </w:rPr>
        <w:t xml:space="preserve">× </w:t>
      </w:r>
      <w:r w:rsidRPr="00024E20">
        <w:rPr>
          <w:rFonts w:ascii="Times New Roman" w:hAnsi="Times New Roman" w:cs="Times New Roman"/>
          <w:color w:val="000000" w:themeColor="text1"/>
          <w:sz w:val="24"/>
          <w:szCs w:val="24"/>
        </w:rPr>
        <w:t xml:space="preserve">maximal vertical jump </w:t>
      </w:r>
      <w:r w:rsidRPr="00024E20">
        <w:rPr>
          <w:rFonts w:ascii="Times New Roman" w:hAnsi="Times New Roman" w:cs="Times New Roman"/>
          <w:color w:val="000000" w:themeColor="text1"/>
          <w:sz w:val="24"/>
          <w:szCs w:val="24"/>
        </w:rPr>
        <w:lastRenderedPageBreak/>
        <w:t xml:space="preserve">height (cm)) + (48.9 </w:t>
      </w:r>
      <w:r w:rsidRPr="00024E20">
        <w:rPr>
          <w:rFonts w:ascii="Times New Roman" w:hAnsi="Times New Roman" w:cs="Times New Roman"/>
          <w:color w:val="000000" w:themeColor="text1"/>
          <w:sz w:val="24"/>
          <w:szCs w:val="24"/>
          <w:shd w:val="clear" w:color="auto" w:fill="FFFFFF" w:themeFill="background1"/>
        </w:rPr>
        <w:t>×</w:t>
      </w:r>
      <w:r w:rsidRPr="00024E20">
        <w:rPr>
          <w:rFonts w:ascii="Times New Roman" w:hAnsi="Times New Roman" w:cs="Times New Roman"/>
          <w:color w:val="000000" w:themeColor="text1"/>
          <w:sz w:val="24"/>
          <w:szCs w:val="24"/>
        </w:rPr>
        <w:t xml:space="preserve"> body mass (kg)) – 2007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{"citationID":"l6ocC6iC","properties":{"formattedCitation":"(41)","plainCitation":"(41)","noteIndex":0},"citationItems":[{"id":6694,"uris":["http://zotero.org/users/6787375/items/8DVKJ3AZ"],"itemData":{"id":6694,"type":"article-journal","abstract":"The vertical jump-and-reach score is used as a component in the estimation of peak mechanical power in two equations put forth by Lewis and Harman et al. PURPOSE: The purpose of the present study was to: 1) cross-validate the two equations using the vertical jump-and-reach test, 2) develop a more accurate equation from a large heterogeneous population, 3) analyze gender differences and jump protocols, and 4) assess Predicted Residual Sum of Squares (PRESS) as a cross-validation procedure. METHODS: One hundred eight college-age male and female athletes and nonathletes were tested on a force platform. They performed three maximal effort vertical jumps each of the squat jump (SJ) and countermovement jump (CMJ) while simultaneously performing the vertical jump-and-reach test. Regression analysis was used to predict peak power from body mass and vertical jump height. RESULTS: SJ data yielded a better power prediction equation than did CMJ data because of the greater variability in CMJ technique. The following equation was derived from SJ data: Peak Power (W) = 60.7x (jump height cm]) +45.3x(body mass [kg])-2055. This equation revealed greater accuracy than either the Lewis or previous Harman et al. equations and underestimated peak power by less than 1%, with a SEE of 355.0 W using SJ protocol. The use of one equation for both males and females resulted in only a slight (5% of power output) difference between genders. Using CMJ data in the SJ-derived equation resulted in only a 2.7% overestimation of peak power. Cross-validation of regression equations using PRESS reveals accurate and reliable R2 and SEE values. CONCLUSIONS: The SJ equation is a slightly more accurate equation than that derived from CMJ data. This equation should be used in the determination of peak power in place of the formulas developed by both Harman et al. and Lewis. Separate equations for males and females are unnecessary.","container-title":"Med Sci Sports Exerc","ISSN":"0195-9131 (Print) 0195-9131 (Linking)","issue":"4","journalAbbreviation":"Medicine and science in sports and exercise","page":"572-7","title":"Cross-validation of three jump power equations","volume":"31","author":[{"family":"Sayers","given":"S. P."},{"family":"Harackiewicz","given":"D. V."},{"family":"Harman","given":"E. A."},{"family":"Frykman","given":"P. N."},{"family":"Rosenstein","given":"M. T."}],"issued":{"date-parts":[["1999",4]]}}}],"schema":"https://github.com/citation-style-language/schema/raw/master/csl-citation.json"}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noProof/>
          <w:color w:val="000000" w:themeColor="text1"/>
          <w:sz w:val="24"/>
          <w:szCs w:val="24"/>
        </w:rPr>
        <w:t>(41)</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xml:space="preserve">. Lower body power is important for the performance of military specific tasks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{"citationID":"nIjGT09s","properties":{"formattedCitation":"(40)","plainCitation":"(40)","noteIndex":0},"citationItems":[{"id":3641,"uris":["http://zotero.org/users/6787375/items/GAWXL3AB"],"itemData":{"id":3641,"type":"article-journal","abstract":"Physical fitness training of military recruits is an enduring focus of armies. This is important for safe and effective performance of general tasks that anyone may have to perform in a military setting as well as preparation for more specialized training in specific job specialties. Decades of studies on occupationally specific physical requirements have characterized the dual aerobic and strength demands of typical military tasks; however, scientifically founded strategies to prepare recruits with a good mix of these 2 physiologically opposing capabilities have not been well established. High levels of aerobic training can compromise resistance training gains and increase injury rates. Resistance training requires a greater commitment of time and resources as well as a greater understanding of the science to produce true strength gains that may be beneficial to military performance. These are critical issues for modern armies with increased demands for well-prepared soldiers and fewer injury losses. The actual physical requirements tied to metrics of success in military jobs are also under renewed examination as women are increasingly integrated into military jobs previously performed only by men. At the third International Congress on Soldiers' Physical Performance, a roundtable of 10 physiologists with military expertise presented comparative perspectives on aerobic and strength training. These topics included the physiological basis of training benefits, how to train effectively, how to measure training effectiveness, considerations for the integration of women, and the big perspective. Key discussion points centered on (a) the significance of findings from research on integrated training, (b) strategies for effective strength development, and","container-title":"J Strength Cond Res","DOI":"10.1519/JSC.0000000000001025","ISSN":"1533-4287 (Electronic) 1064-8011 (Linking)","journalAbbreviation":"Journal of strength and conditioning research / National Strength &amp; Conditioning Association","page":"S10-23","title":"Perspectives on Aerobic and Strength Influences on Military Physical Readiness: Report of an International Military Physiology Roundtable","volume":"29 Suppl 11","author":[{"family":"Friedl","given":"K. E."},{"family":"Knapik","given":"J. J."},{"family":"Hakkinen","given":"K."},{"family":"Baumgartner","given":"N."},{"family":"Groeller","given":"H."},{"family":"Taylor","given":"N. A."},{"family":"Duarte","given":"A. F."},{"family":"Kyrolainen","given":"H."},{"family":"Jones","given":"B. H."},{"family":"Kraemer","given":"W. J."},{"family":"Nindl","given":"B. C."}],"issued":{"date-parts":[["2015",11]]}}}],"schema":"https://github.com/citation-style-language/schema/raw/master/csl-citation.json"}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noProof/>
          <w:color w:val="000000" w:themeColor="text1"/>
          <w:sz w:val="24"/>
          <w:szCs w:val="24"/>
        </w:rPr>
        <w:t>(40)</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A belt was fitted around the waist of each participant and secured to a rubber mat. Participants were instructed to jump as high as possible three times, with their hands placed on their hips.</w:t>
      </w:r>
      <w:r w:rsidR="00D65AD5" w:rsidRPr="00024E20">
        <w:rPr>
          <w:rFonts w:ascii="Times New Roman" w:hAnsi="Times New Roman" w:cs="Times New Roman"/>
          <w:color w:val="000000" w:themeColor="text1"/>
          <w:sz w:val="24"/>
          <w:szCs w:val="24"/>
        </w:rPr>
        <w:t xml:space="preserve"> A fourth jump was performed if jump height increased across the three attempts, indicative of a learning effect.</w:t>
      </w:r>
      <w:r w:rsidRPr="00024E20">
        <w:rPr>
          <w:rFonts w:ascii="Times New Roman" w:hAnsi="Times New Roman" w:cs="Times New Roman"/>
          <w:color w:val="000000" w:themeColor="text1"/>
          <w:sz w:val="24"/>
          <w:szCs w:val="24"/>
        </w:rPr>
        <w:t xml:space="preserve"> Maximal jump height was recorded as the highest score achieved. </w:t>
      </w:r>
    </w:p>
    <w:p w14:paraId="72D0A23E"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48ED0927" w14:textId="77777777"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Body Composition</w:t>
      </w:r>
    </w:p>
    <w:p w14:paraId="4884F4E9" w14:textId="305A625E" w:rsidR="00F71CDB"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Whole-body lean mass, fat mass, and </w:t>
      </w:r>
      <w:proofErr w:type="spellStart"/>
      <w:r w:rsidR="0023707F" w:rsidRPr="00024E20">
        <w:rPr>
          <w:rFonts w:ascii="Times New Roman" w:eastAsia="Times New Roman" w:hAnsi="Times New Roman" w:cs="Times New Roman"/>
          <w:color w:val="000000" w:themeColor="text1"/>
          <w:sz w:val="24"/>
          <w:szCs w:val="24"/>
        </w:rPr>
        <w:t>a</w:t>
      </w:r>
      <w:r w:rsidRPr="00024E20">
        <w:rPr>
          <w:rFonts w:ascii="Times New Roman" w:eastAsia="Times New Roman" w:hAnsi="Times New Roman" w:cs="Times New Roman"/>
          <w:color w:val="000000" w:themeColor="text1"/>
          <w:sz w:val="24"/>
          <w:szCs w:val="24"/>
        </w:rPr>
        <w:t>BMD</w:t>
      </w:r>
      <w:proofErr w:type="spellEnd"/>
      <w:r w:rsidRPr="00024E20">
        <w:rPr>
          <w:rFonts w:ascii="Times New Roman" w:eastAsia="Times New Roman" w:hAnsi="Times New Roman" w:cs="Times New Roman"/>
          <w:color w:val="000000" w:themeColor="text1"/>
          <w:sz w:val="24"/>
          <w:szCs w:val="24"/>
        </w:rPr>
        <w:t xml:space="preserve"> w</w:t>
      </w:r>
      <w:r w:rsidR="00D65AD5" w:rsidRPr="00024E20">
        <w:rPr>
          <w:rFonts w:ascii="Times New Roman" w:eastAsia="Times New Roman" w:hAnsi="Times New Roman" w:cs="Times New Roman"/>
          <w:color w:val="000000" w:themeColor="text1"/>
          <w:sz w:val="24"/>
          <w:szCs w:val="24"/>
        </w:rPr>
        <w:t>ere</w:t>
      </w:r>
      <w:r w:rsidRPr="00024E20">
        <w:rPr>
          <w:rFonts w:ascii="Times New Roman" w:eastAsia="Times New Roman" w:hAnsi="Times New Roman" w:cs="Times New Roman"/>
          <w:color w:val="000000" w:themeColor="text1"/>
          <w:sz w:val="24"/>
          <w:szCs w:val="24"/>
        </w:rPr>
        <w:t xml:space="preserve"> assessed by DXA (Lunar </w:t>
      </w:r>
      <w:proofErr w:type="spellStart"/>
      <w:r w:rsidRPr="00024E20">
        <w:rPr>
          <w:rFonts w:ascii="Times New Roman" w:eastAsia="Times New Roman" w:hAnsi="Times New Roman" w:cs="Times New Roman"/>
          <w:color w:val="000000" w:themeColor="text1"/>
          <w:sz w:val="24"/>
          <w:szCs w:val="24"/>
        </w:rPr>
        <w:t>iDXA</w:t>
      </w:r>
      <w:proofErr w:type="spellEnd"/>
      <w:r w:rsidRPr="00024E20">
        <w:rPr>
          <w:rFonts w:ascii="Times New Roman" w:eastAsia="Times New Roman" w:hAnsi="Times New Roman" w:cs="Times New Roman"/>
          <w:color w:val="000000" w:themeColor="text1"/>
          <w:sz w:val="24"/>
          <w:szCs w:val="24"/>
        </w:rPr>
        <w:t xml:space="preserve">, GE Healthcare, Buckinghamshire, UK) whilst wearing light clothing. Arms, legs, and trunk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were derived from </w:t>
      </w:r>
      <w:r w:rsidR="0023707F" w:rsidRPr="00024E20">
        <w:rPr>
          <w:rFonts w:ascii="Times New Roman" w:eastAsia="Times New Roman" w:hAnsi="Times New Roman" w:cs="Times New Roman"/>
          <w:color w:val="000000" w:themeColor="text1"/>
          <w:sz w:val="24"/>
          <w:szCs w:val="24"/>
        </w:rPr>
        <w:t xml:space="preserve">regional analysis of </w:t>
      </w:r>
      <w:r w:rsidRPr="00024E20">
        <w:rPr>
          <w:rFonts w:ascii="Times New Roman" w:eastAsia="Times New Roman" w:hAnsi="Times New Roman" w:cs="Times New Roman"/>
          <w:color w:val="000000" w:themeColor="text1"/>
          <w:sz w:val="24"/>
          <w:szCs w:val="24"/>
        </w:rPr>
        <w:t>the whole-body scan.</w:t>
      </w:r>
      <w:r w:rsidR="00A264E4" w:rsidRPr="00024E20">
        <w:rPr>
          <w:rFonts w:ascii="Times New Roman" w:eastAsia="Times New Roman" w:hAnsi="Times New Roman" w:cs="Times New Roman"/>
          <w:color w:val="000000" w:themeColor="text1"/>
          <w:sz w:val="24"/>
          <w:szCs w:val="24"/>
        </w:rPr>
        <w:t xml:space="preserve"> </w:t>
      </w:r>
      <w:r w:rsidR="00A264E4" w:rsidRPr="00024E20">
        <w:rPr>
          <w:rFonts w:ascii="Times New Roman" w:hAnsi="Times New Roman"/>
          <w:color w:val="000000" w:themeColor="text1"/>
          <w:sz w:val="24"/>
        </w:rPr>
        <w:t xml:space="preserve">The CV and least significant change for whole-body </w:t>
      </w:r>
      <w:proofErr w:type="spellStart"/>
      <w:r w:rsidR="00A264E4" w:rsidRPr="00024E20">
        <w:rPr>
          <w:rFonts w:ascii="Times New Roman" w:hAnsi="Times New Roman"/>
          <w:color w:val="000000" w:themeColor="text1"/>
          <w:sz w:val="24"/>
        </w:rPr>
        <w:t>aBMD</w:t>
      </w:r>
      <w:proofErr w:type="spellEnd"/>
      <w:r w:rsidR="00A264E4" w:rsidRPr="00024E20">
        <w:rPr>
          <w:rFonts w:ascii="Times New Roman" w:hAnsi="Times New Roman"/>
          <w:color w:val="000000" w:themeColor="text1"/>
          <w:sz w:val="24"/>
        </w:rPr>
        <w:t xml:space="preserve"> is 0.5% and 1.5% with regional </w:t>
      </w:r>
      <w:proofErr w:type="spellStart"/>
      <w:r w:rsidR="00A264E4" w:rsidRPr="00024E20">
        <w:rPr>
          <w:rFonts w:ascii="Times New Roman" w:hAnsi="Times New Roman"/>
          <w:color w:val="000000" w:themeColor="text1"/>
          <w:sz w:val="24"/>
        </w:rPr>
        <w:t>aBMD</w:t>
      </w:r>
      <w:proofErr w:type="spellEnd"/>
      <w:r w:rsidR="00A264E4" w:rsidRPr="00024E20">
        <w:rPr>
          <w:rFonts w:ascii="Times New Roman" w:hAnsi="Times New Roman"/>
          <w:color w:val="000000" w:themeColor="text1"/>
          <w:sz w:val="24"/>
        </w:rPr>
        <w:t xml:space="preserve"> </w:t>
      </w:r>
      <w:r w:rsidR="00A264E4" w:rsidRPr="00024E20">
        <w:rPr>
          <w:rFonts w:ascii="Times New Roman" w:hAnsi="Times New Roman" w:cs="Times New Roman"/>
          <w:color w:val="000000" w:themeColor="text1"/>
          <w:sz w:val="24"/>
        </w:rPr>
        <w:t xml:space="preserve">≤ 1.5% and ≤ 4.2% </w:t>
      </w:r>
      <w:r w:rsidR="00A264E4" w:rsidRPr="00024E20">
        <w:rPr>
          <w:rFonts w:ascii="Times New Roman" w:hAnsi="Times New Roman" w:cs="Times New Roman"/>
          <w:color w:val="000000" w:themeColor="text1"/>
          <w:sz w:val="24"/>
        </w:rPr>
        <w:fldChar w:fldCharType="begin"/>
      </w:r>
      <w:r w:rsidR="006E0E7F" w:rsidRPr="00024E20">
        <w:rPr>
          <w:rFonts w:ascii="Times New Roman" w:hAnsi="Times New Roman" w:cs="Times New Roman"/>
          <w:color w:val="000000" w:themeColor="text1"/>
          <w:sz w:val="24"/>
        </w:rPr>
        <w:instrText xml:space="preserve"> ADDIN ZOTERO_ITEM CSL_CITATION {"citationID":"o7g5yIEF","properties":{"formattedCitation":"(31)","plainCitation":"(31)","noteIndex":0},"citationItems":[{"id":6010,"uris":["http://zotero.org/users/6787375/items/GN6QNGYT"],"itemData":{"id":6010,"type":"article-journal","abstract":"Bone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P."}],"issued":{"date-parts":[["2021",7]]}}}],"schema":"https://github.com/citation-style-language/schema/raw/master/csl-citation.json"} </w:instrText>
      </w:r>
      <w:r w:rsidR="00A264E4" w:rsidRPr="00024E20">
        <w:rPr>
          <w:rFonts w:ascii="Times New Roman" w:hAnsi="Times New Roman" w:cs="Times New Roman"/>
          <w:color w:val="000000" w:themeColor="text1"/>
          <w:sz w:val="24"/>
        </w:rPr>
        <w:fldChar w:fldCharType="separate"/>
      </w:r>
      <w:r w:rsidR="006E0E7F" w:rsidRPr="00024E20">
        <w:rPr>
          <w:rFonts w:ascii="Times New Roman" w:hAnsi="Times New Roman" w:cs="Times New Roman"/>
          <w:noProof/>
          <w:color w:val="000000" w:themeColor="text1"/>
          <w:sz w:val="24"/>
        </w:rPr>
        <w:t>(31)</w:t>
      </w:r>
      <w:r w:rsidR="00A264E4" w:rsidRPr="00024E20">
        <w:rPr>
          <w:rFonts w:ascii="Times New Roman" w:hAnsi="Times New Roman" w:cs="Times New Roman"/>
          <w:color w:val="000000" w:themeColor="text1"/>
          <w:sz w:val="24"/>
        </w:rPr>
        <w:fldChar w:fldCharType="end"/>
      </w:r>
      <w:r w:rsidR="00A264E4" w:rsidRPr="00024E20">
        <w:rPr>
          <w:rFonts w:ascii="Times New Roman" w:hAnsi="Times New Roman" w:cs="Times New Roman"/>
          <w:color w:val="000000" w:themeColor="text1"/>
          <w:sz w:val="24"/>
        </w:rPr>
        <w:t>.</w:t>
      </w:r>
    </w:p>
    <w:p w14:paraId="2FB45D05"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46EE41D8" w14:textId="77777777" w:rsidR="00C80470" w:rsidRPr="00024E20" w:rsidRDefault="00C80470" w:rsidP="00C80470">
      <w:pPr>
        <w:autoSpaceDE w:val="0"/>
        <w:autoSpaceDN w:val="0"/>
        <w:adjustRightInd w:val="0"/>
        <w:spacing w:after="0" w:line="480" w:lineRule="auto"/>
        <w:jc w:val="both"/>
        <w:rPr>
          <w:rFonts w:ascii="Times New Roman" w:hAnsi="Times New Roman" w:cs="Times New Roman"/>
          <w:i/>
          <w:iCs/>
          <w:color w:val="000000" w:themeColor="text1"/>
          <w:sz w:val="24"/>
          <w:szCs w:val="24"/>
        </w:rPr>
      </w:pPr>
      <w:r w:rsidRPr="00024E20">
        <w:rPr>
          <w:rFonts w:ascii="Times New Roman" w:hAnsi="Times New Roman" w:cs="Times New Roman"/>
          <w:i/>
          <w:iCs/>
          <w:color w:val="000000" w:themeColor="text1"/>
          <w:sz w:val="24"/>
          <w:szCs w:val="24"/>
        </w:rPr>
        <w:t>Blood Collection and Biochemical Analyses</w:t>
      </w:r>
    </w:p>
    <w:p w14:paraId="3D60D3BC" w14:textId="439CFA1D" w:rsidR="00C80470" w:rsidRPr="00024E20" w:rsidRDefault="00C80470" w:rsidP="00C80470">
      <w:pPr>
        <w:autoSpaceDE w:val="0"/>
        <w:autoSpaceDN w:val="0"/>
        <w:adjustRightInd w:val="0"/>
        <w:spacing w:after="0" w:line="48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lang w:val="en-US"/>
        </w:rPr>
        <w:t>A venous blood sample was collected either in the morning (~0900 to 1100 h) after breakfast (0600 to 0700 h), or early afternoon (~1300 to 1500 h) after lunch (1200 to 1300</w:t>
      </w:r>
      <w:r w:rsidR="007725A2" w:rsidRPr="00024E20">
        <w:rPr>
          <w:rFonts w:ascii="Times New Roman" w:hAnsi="Times New Roman" w:cs="Times New Roman"/>
          <w:color w:val="000000" w:themeColor="text1"/>
          <w:sz w:val="24"/>
          <w:szCs w:val="24"/>
          <w:lang w:val="en-US"/>
        </w:rPr>
        <w:t xml:space="preserve"> </w:t>
      </w:r>
      <w:r w:rsidRPr="00024E20">
        <w:rPr>
          <w:rFonts w:ascii="Times New Roman" w:hAnsi="Times New Roman" w:cs="Times New Roman"/>
          <w:color w:val="000000" w:themeColor="text1"/>
          <w:sz w:val="24"/>
          <w:szCs w:val="24"/>
          <w:lang w:val="en-US"/>
        </w:rPr>
        <w:t xml:space="preserve">h). Follow-up measurements </w:t>
      </w:r>
      <w:r w:rsidR="0002162F" w:rsidRPr="00024E20">
        <w:rPr>
          <w:rFonts w:ascii="Times New Roman" w:hAnsi="Times New Roman" w:cs="Times New Roman"/>
          <w:color w:val="000000" w:themeColor="text1"/>
          <w:sz w:val="24"/>
          <w:szCs w:val="24"/>
          <w:lang w:val="en-US"/>
        </w:rPr>
        <w:t xml:space="preserve">at week 13 </w:t>
      </w:r>
      <w:r w:rsidRPr="00024E20">
        <w:rPr>
          <w:rFonts w:ascii="Times New Roman" w:hAnsi="Times New Roman" w:cs="Times New Roman"/>
          <w:color w:val="000000" w:themeColor="text1"/>
          <w:sz w:val="24"/>
          <w:szCs w:val="24"/>
          <w:lang w:val="en-US"/>
        </w:rPr>
        <w:t>were taken at the same time of day. Venous blood was withdrawn from a vein in the antecubital fossa and collected in serum and EDTA BD Vacutainer® tubes</w:t>
      </w:r>
      <w:r w:rsidRPr="00024E20">
        <w:rPr>
          <w:color w:val="000000" w:themeColor="text1"/>
        </w:rPr>
        <w:t xml:space="preserve"> (</w:t>
      </w:r>
      <w:r w:rsidRPr="00024E20">
        <w:rPr>
          <w:rFonts w:ascii="Times New Roman" w:hAnsi="Times New Roman" w:cs="Times New Roman"/>
          <w:color w:val="000000" w:themeColor="text1"/>
          <w:sz w:val="24"/>
          <w:szCs w:val="24"/>
          <w:lang w:val="en-US"/>
        </w:rPr>
        <w:t xml:space="preserve">Becton Dickinson, New Jersey, USA). Serum samples were left to clot for 1 h at room temperature. </w:t>
      </w:r>
      <w:proofErr w:type="spellStart"/>
      <w:r w:rsidRPr="00024E20">
        <w:rPr>
          <w:rFonts w:ascii="Times New Roman" w:hAnsi="Times New Roman" w:cs="Times New Roman"/>
          <w:color w:val="000000" w:themeColor="text1"/>
          <w:sz w:val="24"/>
          <w:szCs w:val="24"/>
          <w:lang w:val="en-US"/>
        </w:rPr>
        <w:t>Haemoglobin</w:t>
      </w:r>
      <w:proofErr w:type="spellEnd"/>
      <w:r w:rsidRPr="00024E20">
        <w:rPr>
          <w:rFonts w:ascii="Times New Roman" w:hAnsi="Times New Roman" w:cs="Times New Roman"/>
          <w:color w:val="000000" w:themeColor="text1"/>
          <w:sz w:val="24"/>
          <w:szCs w:val="24"/>
          <w:lang w:val="en-US"/>
        </w:rPr>
        <w:t xml:space="preserve"> was measured in EDTA whole blood within 30 min of collection using the COULTER A</w:t>
      </w:r>
      <w:r w:rsidRPr="00024E20">
        <w:rPr>
          <w:rFonts w:ascii="Times New Roman" w:hAnsi="Times New Roman" w:cs="Times New Roman"/>
          <w:color w:val="000000" w:themeColor="text1"/>
          <w:sz w:val="24"/>
          <w:szCs w:val="24"/>
          <w:vertAlign w:val="superscript"/>
          <w:lang w:val="en-US"/>
        </w:rPr>
        <w:t>C</w:t>
      </w:r>
      <w:r w:rsidRPr="00024E20">
        <w:rPr>
          <w:rStyle w:val="mw-headline"/>
          <w:rFonts w:ascii="Times New Roman" w:hAnsi="Times New Roman" w:cs="Times New Roman"/>
          <w:color w:val="000000" w:themeColor="text1"/>
          <w:sz w:val="24"/>
          <w:szCs w:val="24"/>
        </w:rPr>
        <w:t>∙T diff 2 Analyzer</w:t>
      </w:r>
      <w:r w:rsidRPr="00024E20">
        <w:rPr>
          <w:rFonts w:ascii="Times New Roman" w:hAnsi="Times New Roman" w:cs="Times New Roman"/>
          <w:color w:val="000000" w:themeColor="text1"/>
          <w:sz w:val="24"/>
          <w:szCs w:val="24"/>
          <w:lang w:val="en-US"/>
        </w:rPr>
        <w:t xml:space="preserve"> (Beckman Coulter, California, USA). </w:t>
      </w:r>
      <w:r w:rsidRPr="00024E20">
        <w:rPr>
          <w:rFonts w:ascii="Times New Roman" w:hAnsi="Times New Roman" w:cs="Times New Roman"/>
          <w:color w:val="000000" w:themeColor="text1"/>
          <w:sz w:val="24"/>
          <w:szCs w:val="24"/>
        </w:rPr>
        <w:t xml:space="preserve">Blood samples were centrifuged at 1500 </w:t>
      </w:r>
      <w:r w:rsidRPr="00024E20">
        <w:rPr>
          <w:rFonts w:ascii="Times New Roman" w:hAnsi="Times New Roman" w:cs="Times New Roman"/>
          <w:i/>
          <w:iCs/>
          <w:color w:val="000000" w:themeColor="text1"/>
          <w:sz w:val="24"/>
          <w:szCs w:val="24"/>
        </w:rPr>
        <w:t>g</w:t>
      </w:r>
      <w:r w:rsidRPr="00024E20">
        <w:rPr>
          <w:rFonts w:ascii="Times New Roman" w:hAnsi="Times New Roman" w:cs="Times New Roman"/>
          <w:color w:val="000000" w:themeColor="text1"/>
          <w:sz w:val="24"/>
          <w:szCs w:val="24"/>
        </w:rPr>
        <w:t xml:space="preserve"> and 4°C for 10 min before serum and plasma were separated into universal tubes and stored at −80°C until analysis. Plasma procollagen type 1 N-terminal </w:t>
      </w:r>
      <w:proofErr w:type="spellStart"/>
      <w:r w:rsidRPr="00024E20">
        <w:rPr>
          <w:rFonts w:ascii="Times New Roman" w:hAnsi="Times New Roman" w:cs="Times New Roman"/>
          <w:color w:val="000000" w:themeColor="text1"/>
          <w:sz w:val="24"/>
          <w:szCs w:val="24"/>
        </w:rPr>
        <w:t>propeptide</w:t>
      </w:r>
      <w:proofErr w:type="spellEnd"/>
      <w:r w:rsidRPr="00024E20">
        <w:rPr>
          <w:rFonts w:ascii="Times New Roman" w:hAnsi="Times New Roman" w:cs="Times New Roman"/>
          <w:color w:val="000000" w:themeColor="text1"/>
          <w:sz w:val="24"/>
          <w:szCs w:val="24"/>
        </w:rPr>
        <w:t xml:space="preserve"> (PINP), c-telopeptide cross-links of type 1 collagen (βCTX), intact parathyroid hormone (PTH), and serum ferritin were analysed by electro-chemiluminescence </w:t>
      </w:r>
      <w:r w:rsidRPr="00024E20">
        <w:rPr>
          <w:rFonts w:ascii="Times New Roman" w:hAnsi="Times New Roman" w:cs="Times New Roman"/>
          <w:color w:val="000000" w:themeColor="text1"/>
          <w:sz w:val="24"/>
          <w:szCs w:val="24"/>
        </w:rPr>
        <w:lastRenderedPageBreak/>
        <w:t>immunoassays (ECLIA) on the COBAS c601 (Roche Diagnostics, Mannheim, Germany) platform. PINP inter-assay coefficient of variation (CV) was &lt; 3% between 20 and 600 µg·L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xml:space="preserve"> with a sensitivity of 8 µg·L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xml:space="preserve">. βCTX inter-assay CV was &lt; 3% between </w:t>
      </w:r>
      <w:r w:rsidR="00D64B86" w:rsidRPr="00024E20">
        <w:rPr>
          <w:rFonts w:ascii="Times New Roman" w:hAnsi="Times New Roman" w:cs="Times New Roman"/>
          <w:color w:val="000000" w:themeColor="text1"/>
          <w:sz w:val="24"/>
          <w:szCs w:val="24"/>
        </w:rPr>
        <w:t>0.0</w:t>
      </w:r>
      <w:r w:rsidRPr="00024E20">
        <w:rPr>
          <w:rFonts w:ascii="Times New Roman" w:hAnsi="Times New Roman" w:cs="Times New Roman"/>
          <w:color w:val="000000" w:themeColor="text1"/>
          <w:sz w:val="24"/>
          <w:szCs w:val="24"/>
        </w:rPr>
        <w:t xml:space="preserve">2 and </w:t>
      </w:r>
      <w:r w:rsidR="009878AA" w:rsidRPr="00024E20">
        <w:rPr>
          <w:rFonts w:ascii="Times New Roman" w:hAnsi="Times New Roman" w:cs="Times New Roman"/>
          <w:color w:val="000000" w:themeColor="text1"/>
          <w:sz w:val="24"/>
          <w:szCs w:val="24"/>
        </w:rPr>
        <w:t>1.50</w:t>
      </w:r>
      <w:r w:rsidRPr="00024E20">
        <w:rPr>
          <w:rFonts w:ascii="Times New Roman" w:hAnsi="Times New Roman" w:cs="Times New Roman"/>
          <w:color w:val="000000" w:themeColor="text1"/>
          <w:sz w:val="24"/>
          <w:szCs w:val="24"/>
        </w:rPr>
        <w:t xml:space="preserve"> µg·L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xml:space="preserve"> with a sensitivity of </w:t>
      </w:r>
      <w:r w:rsidR="00D64B86" w:rsidRPr="00024E20">
        <w:rPr>
          <w:rFonts w:ascii="Times New Roman" w:hAnsi="Times New Roman" w:cs="Times New Roman"/>
          <w:color w:val="000000" w:themeColor="text1"/>
          <w:sz w:val="24"/>
          <w:szCs w:val="24"/>
        </w:rPr>
        <w:t>0.0</w:t>
      </w:r>
      <w:r w:rsidRPr="00024E20">
        <w:rPr>
          <w:rFonts w:ascii="Times New Roman" w:hAnsi="Times New Roman" w:cs="Times New Roman"/>
          <w:color w:val="000000" w:themeColor="text1"/>
          <w:sz w:val="24"/>
          <w:szCs w:val="24"/>
        </w:rPr>
        <w:t xml:space="preserve">1 </w:t>
      </w:r>
      <w:r w:rsidR="00D64B86" w:rsidRPr="00024E20">
        <w:rPr>
          <w:rFonts w:ascii="Times New Roman" w:hAnsi="Times New Roman" w:cs="Times New Roman"/>
          <w:color w:val="000000" w:themeColor="text1"/>
          <w:sz w:val="24"/>
          <w:szCs w:val="24"/>
        </w:rPr>
        <w:t>µ</w:t>
      </w:r>
      <w:r w:rsidRPr="00024E20">
        <w:rPr>
          <w:rFonts w:ascii="Times New Roman" w:hAnsi="Times New Roman" w:cs="Times New Roman"/>
          <w:color w:val="000000" w:themeColor="text1"/>
          <w:sz w:val="24"/>
          <w:szCs w:val="24"/>
        </w:rPr>
        <w:t>g·L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PTH inter-assay CV was &lt; 3.8% between 1.2 and 5000.0 pg·mL</w:t>
      </w:r>
      <w:r w:rsidRPr="00024E20">
        <w:rPr>
          <w:rFonts w:ascii="Times New Roman" w:hAnsi="Times New Roman" w:cs="Times New Roman"/>
          <w:color w:val="000000" w:themeColor="text1"/>
          <w:sz w:val="24"/>
          <w:szCs w:val="24"/>
          <w:vertAlign w:val="superscript"/>
        </w:rPr>
        <w:noBreakHyphen/>
        <w:t>1</w:t>
      </w:r>
      <w:r w:rsidRPr="00024E20">
        <w:rPr>
          <w:rFonts w:ascii="Times New Roman" w:hAnsi="Times New Roman" w:cs="Times New Roman"/>
          <w:color w:val="000000" w:themeColor="text1"/>
          <w:sz w:val="24"/>
          <w:szCs w:val="24"/>
        </w:rPr>
        <w:t>. Ferritin inter-assay CV was &lt; 4.2% between 0.5 and 2000.0 µg·L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xml:space="preserve">. Serum samples were analysed for total 25(OH)D by liquid chromatography tandem mass spectrometry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{"citationID":"deXBl1SY","properties":{"formattedCitation":"(42)","plainCitation":"(42)","noteIndex":0},"citationItems":[{"id":7199,"uris":["http://zotero.org/users/6787375/items/LSCIM22Y"],"itemData":{"id":7199,"type":"article-journal","abstract":"24,25(OH)2D is the product of 25(OH)D catabolism by CYP24A1. The measurement of serum 24,25(OH)2D concentration may serve as an indicator of vitamin D catabolic status and the relative ratio with 25(OH)D can be used to identify patients with inactivating mutations in CYP24A1. We describe a LC-MS/MS method to determine: (1) the relationships between serum 24,25(OH)2D and 25(OH)D; (2) serum reference intervals in healthy individuals; (3) the diagnostic accuracy of 24,25(OH)2D measurement as an indicator for vitamin D status; 4) 24,25(OH)2D cut-off value for clinically significant change between inadequate and sufficient 25(OH)D status. Serum samples of healthy participants (n=1996) from Army recruits and patients (n=294) were analysed. The LC-MS/MS assay satisfied industry standards for method validation. We found a positive, concentration-dependent relationship between serum 24,25(OH)2D and 25(OH)2D concentrations. The 25(OH)D:24,25(OH)2D ratio was significantly higher (P&lt;.001) at 25(OH)D&lt;50 nmol/L. The reference interval for 25(OH)D:24,25(OH)2D ratio in healthy subjects was 7-23. Measurement of serum 24,25(OH)2D can be used as predictor of vitamin D status, a concentration of&gt;4.2 nmol/L was identified as a diagnostic cut-off for 25(OH)D replete status. One patient sample with an elevated 25(OH)D:24,25(OH)2D ratio of 32 and hypercalcaemia who on genetic testing confirmed to have a biallelic mutation of CYP24A1. Our study demonstrated the feasibility of a combined 24,25(OH)2D and 25(OH)D assessment profile. Our established cut-off value for 24,25(OH)2D and ratio reference ranges can be useful to clinicians in the investigation of patients with an impaired calcium/phosphate metabolism and may point towards the existence of CYP24A1 gene abnormalities.","container-title":"J Nutr Biochem","DOI":"10.1016/j.jnutbio.2017.04.005","ISSN":"1873-4847 (Electronic) 0955-2863 (Linking)","journalAbbreviation":"The Journal of nutritional biochemistry","page":"21-29","title":"Reference intervals for serum 24,25-dihydroxyvitamin D and the ratio with 25-hydroxyvitamin D established using a newly developed LC-MS/MS method","volume":"46","author":[{"family":"Tang","given":"J. C. Y."},{"family":"Nicholls","given":"H."},{"family":"Piec","given":"I."},{"family":"Washbourne","given":"C. J."},{"family":"Dutton","given":"J. J."},{"family":"Jackson","given":"S."},{"family":"Greeves","given":"J."},{"family":"Fraser","given":"W. D."}],"issued":{"date-parts":[["2017",8]]}}}],"schema":"https://github.com/citation-style-language/schema/raw/master/csl-citation.json"}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(42)</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 The 25(OH)D</w:t>
      </w:r>
      <w:r w:rsidRPr="00024E20">
        <w:rPr>
          <w:rFonts w:ascii="Times New Roman" w:hAnsi="Times New Roman" w:cs="Times New Roman"/>
          <w:color w:val="000000" w:themeColor="text1"/>
          <w:sz w:val="24"/>
          <w:szCs w:val="24"/>
          <w:vertAlign w:val="subscript"/>
        </w:rPr>
        <w:t>3</w:t>
      </w:r>
      <w:r w:rsidRPr="00024E20">
        <w:rPr>
          <w:rFonts w:ascii="Times New Roman" w:hAnsi="Times New Roman" w:cs="Times New Roman"/>
          <w:color w:val="000000" w:themeColor="text1"/>
          <w:sz w:val="24"/>
          <w:szCs w:val="24"/>
        </w:rPr>
        <w:t xml:space="preserve"> and 25(OH)D</w:t>
      </w:r>
      <w:r w:rsidRPr="00024E20">
        <w:rPr>
          <w:rFonts w:ascii="Times New Roman" w:hAnsi="Times New Roman" w:cs="Times New Roman"/>
          <w:color w:val="000000" w:themeColor="text1"/>
          <w:sz w:val="24"/>
          <w:szCs w:val="24"/>
          <w:vertAlign w:val="subscript"/>
        </w:rPr>
        <w:t>2</w:t>
      </w:r>
      <w:r w:rsidRPr="00024E20">
        <w:rPr>
          <w:rFonts w:ascii="Times New Roman" w:hAnsi="Times New Roman" w:cs="Times New Roman"/>
          <w:color w:val="000000" w:themeColor="text1"/>
          <w:sz w:val="24"/>
          <w:szCs w:val="24"/>
        </w:rPr>
        <w:t xml:space="preserve"> assays were calibrated using the National Institute of Science and Technology standard reference material SRM972a. Total 25(OH)D was calculated from the sum of 25(OH)D</w:t>
      </w:r>
      <w:r w:rsidRPr="00024E20">
        <w:rPr>
          <w:rFonts w:ascii="Times New Roman" w:hAnsi="Times New Roman" w:cs="Times New Roman"/>
          <w:color w:val="000000" w:themeColor="text1"/>
          <w:sz w:val="24"/>
          <w:szCs w:val="24"/>
          <w:vertAlign w:val="subscript"/>
        </w:rPr>
        <w:t>3</w:t>
      </w:r>
      <w:r w:rsidRPr="00024E20">
        <w:rPr>
          <w:rFonts w:ascii="Times New Roman" w:hAnsi="Times New Roman" w:cs="Times New Roman"/>
          <w:color w:val="000000" w:themeColor="text1"/>
          <w:sz w:val="24"/>
          <w:szCs w:val="24"/>
        </w:rPr>
        <w:t xml:space="preserve"> and 25(OH)D2. Total 25(OH)D inter-assay CV was &lt; 8.5% between 0.1 and 200.0 nmol</w:t>
      </w:r>
      <w:r w:rsidR="00DF3E0B" w:rsidRPr="00024E20">
        <w:rPr>
          <w:rFonts w:ascii="Times New Roman" w:hAnsi="Times New Roman" w:cs="Times New Roman"/>
          <w:color w:val="000000" w:themeColor="text1"/>
          <w:sz w:val="24"/>
          <w:szCs w:val="24"/>
        </w:rPr>
        <w:t>·</w:t>
      </w:r>
      <w:r w:rsidRPr="00024E20">
        <w:rPr>
          <w:rFonts w:ascii="Times New Roman" w:hAnsi="Times New Roman" w:cs="Times New Roman"/>
          <w:color w:val="000000" w:themeColor="text1"/>
          <w:sz w:val="24"/>
          <w:szCs w:val="24"/>
        </w:rPr>
        <w:t>L</w:t>
      </w:r>
      <w:r w:rsidRPr="00024E20">
        <w:rPr>
          <w:rFonts w:ascii="Times New Roman" w:hAnsi="Times New Roman" w:cs="Times New Roman"/>
          <w:color w:val="000000" w:themeColor="text1"/>
          <w:sz w:val="24"/>
          <w:szCs w:val="24"/>
          <w:vertAlign w:val="superscript"/>
        </w:rPr>
        <w:t>-1</w:t>
      </w:r>
      <w:r w:rsidRPr="00024E20">
        <w:rPr>
          <w:rFonts w:ascii="Times New Roman" w:hAnsi="Times New Roman" w:cs="Times New Roman"/>
          <w:color w:val="000000" w:themeColor="text1"/>
          <w:sz w:val="24"/>
          <w:szCs w:val="24"/>
        </w:rPr>
        <w:t>. All biochemical analyses (excluding haemoglobin) were undertaken</w:t>
      </w:r>
      <w:r w:rsidR="00AC5D53" w:rsidRPr="00024E20">
        <w:rPr>
          <w:rFonts w:ascii="Times New Roman" w:hAnsi="Times New Roman" w:cs="Times New Roman"/>
          <w:color w:val="000000" w:themeColor="text1"/>
          <w:sz w:val="24"/>
          <w:szCs w:val="24"/>
        </w:rPr>
        <w:t xml:space="preserve"> following </w:t>
      </w:r>
      <w:r w:rsidRPr="00024E20">
        <w:rPr>
          <w:rFonts w:ascii="Times New Roman" w:hAnsi="Times New Roman" w:cs="Times New Roman"/>
          <w:color w:val="000000" w:themeColor="text1"/>
          <w:sz w:val="24"/>
          <w:szCs w:val="24"/>
        </w:rPr>
        <w:t xml:space="preserve">Good Clinical Laboratory Practice and </w:t>
      </w:r>
      <w:r w:rsidR="00AC5D53" w:rsidRPr="00024E20">
        <w:rPr>
          <w:rFonts w:ascii="Times New Roman" w:hAnsi="Times New Roman" w:cs="Times New Roman"/>
          <w:color w:val="000000" w:themeColor="text1"/>
          <w:sz w:val="24"/>
          <w:szCs w:val="24"/>
        </w:rPr>
        <w:t xml:space="preserve">assays met the certification requirements of the </w:t>
      </w:r>
      <w:r w:rsidRPr="00024E20">
        <w:rPr>
          <w:rFonts w:ascii="Times New Roman" w:hAnsi="Times New Roman" w:cs="Times New Roman"/>
          <w:color w:val="000000" w:themeColor="text1"/>
          <w:sz w:val="24"/>
          <w:szCs w:val="24"/>
        </w:rPr>
        <w:t xml:space="preserve">Vitamin D </w:t>
      </w:r>
      <w:r w:rsidR="0049159F" w:rsidRPr="00024E20">
        <w:rPr>
          <w:rFonts w:ascii="Times New Roman" w:hAnsi="Times New Roman" w:cs="Times New Roman"/>
          <w:color w:val="000000" w:themeColor="text1"/>
          <w:sz w:val="24"/>
          <w:szCs w:val="24"/>
        </w:rPr>
        <w:t>External</w:t>
      </w:r>
      <w:r w:rsidRPr="00024E20">
        <w:rPr>
          <w:rFonts w:ascii="Times New Roman" w:hAnsi="Times New Roman" w:cs="Times New Roman"/>
          <w:color w:val="000000" w:themeColor="text1"/>
          <w:sz w:val="24"/>
          <w:szCs w:val="24"/>
        </w:rPr>
        <w:t xml:space="preserve"> Quality Assessment Scheme (DEQAS) certified Bioanalytical Facility</w:t>
      </w:r>
      <w:r w:rsidR="00AC5D53" w:rsidRPr="00024E20">
        <w:rPr>
          <w:rFonts w:ascii="Times New Roman" w:hAnsi="Times New Roman" w:cs="Times New Roman"/>
          <w:color w:val="000000" w:themeColor="text1"/>
          <w:sz w:val="24"/>
          <w:szCs w:val="24"/>
        </w:rPr>
        <w:t>,</w:t>
      </w:r>
      <w:r w:rsidRPr="00024E20">
        <w:rPr>
          <w:rFonts w:ascii="Times New Roman" w:hAnsi="Times New Roman" w:cs="Times New Roman"/>
          <w:color w:val="000000" w:themeColor="text1"/>
          <w:sz w:val="24"/>
          <w:szCs w:val="24"/>
        </w:rPr>
        <w:t xml:space="preserve"> University of East Anglia, Norwich, UK. </w:t>
      </w:r>
    </w:p>
    <w:p w14:paraId="2BEC3700" w14:textId="77777777" w:rsidR="00F71CDB" w:rsidRPr="00024E20" w:rsidRDefault="00F71CDB">
      <w:pPr>
        <w:spacing w:after="0" w:line="480" w:lineRule="auto"/>
        <w:jc w:val="both"/>
        <w:rPr>
          <w:rFonts w:ascii="Times New Roman" w:eastAsia="Times New Roman" w:hAnsi="Times New Roman" w:cs="Times New Roman"/>
          <w:b/>
          <w:color w:val="000000" w:themeColor="text1"/>
          <w:sz w:val="24"/>
          <w:szCs w:val="24"/>
        </w:rPr>
      </w:pPr>
    </w:p>
    <w:p w14:paraId="2006C88E" w14:textId="77777777"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bookmarkStart w:id="4" w:name="_heading=h.3znysh7" w:colFirst="0" w:colLast="0"/>
      <w:bookmarkEnd w:id="4"/>
      <w:r w:rsidRPr="00024E20">
        <w:rPr>
          <w:rFonts w:ascii="Times New Roman" w:eastAsia="Times New Roman" w:hAnsi="Times New Roman" w:cs="Times New Roman"/>
          <w:i/>
          <w:color w:val="000000" w:themeColor="text1"/>
          <w:sz w:val="24"/>
          <w:szCs w:val="24"/>
        </w:rPr>
        <w:t>Statistical Analyses</w:t>
      </w:r>
    </w:p>
    <w:p w14:paraId="3F48A2FD" w14:textId="5E2FC115" w:rsidR="00F71CDB" w:rsidRPr="00024E20" w:rsidRDefault="002049D3" w:rsidP="004F26B9">
      <w:pPr>
        <w:spacing w:after="0" w:line="480" w:lineRule="auto"/>
        <w:jc w:val="both"/>
        <w:rPr>
          <w:rFonts w:ascii="Times New Roman" w:eastAsia="Times New Roman" w:hAnsi="Times New Roman" w:cs="Times New Roman"/>
          <w:color w:val="000000" w:themeColor="text1"/>
          <w:sz w:val="24"/>
          <w:szCs w:val="24"/>
        </w:rPr>
      </w:pPr>
      <w:bookmarkStart w:id="5" w:name="_heading=h.2et92p0" w:colFirst="0" w:colLast="0"/>
      <w:bookmarkEnd w:id="5"/>
      <w:r w:rsidRPr="00024E20">
        <w:rPr>
          <w:rFonts w:ascii="Times New Roman" w:eastAsia="Times New Roman" w:hAnsi="Times New Roman" w:cs="Times New Roman"/>
          <w:color w:val="000000" w:themeColor="text1"/>
          <w:sz w:val="24"/>
          <w:szCs w:val="24"/>
        </w:rPr>
        <w:t xml:space="preserve">These data were secondary analyses </w:t>
      </w:r>
      <w:r w:rsidR="00C80470" w:rsidRPr="00024E20">
        <w:rPr>
          <w:rFonts w:ascii="Times New Roman" w:hAnsi="Times New Roman" w:cs="Times New Roman"/>
          <w:color w:val="000000" w:themeColor="text1"/>
          <w:sz w:val="24"/>
          <w:szCs w:val="24"/>
        </w:rPr>
        <w:fldChar w:fldCharType="begin"/>
      </w:r>
      <w:r w:rsidR="006E0E7F" w:rsidRPr="00024E20">
        <w:rPr>
          <w:rFonts w:ascii="Times New Roman" w:hAnsi="Times New Roman" w:cs="Times New Roman"/>
          <w:color w:val="000000" w:themeColor="text1"/>
          <w:sz w:val="24"/>
          <w:szCs w:val="24"/>
        </w:rPr>
        <w:instrText xml:space="preserve"> ADDIN ZOTERO_ITEM CSL_CITATION {"citationID":"uoKzqdUS","properties":{"formattedCitation":"(24, 26, 35, 36)","plainCitation":"(24, 26, 35, 36)","noteIndex":0},"citationItems":[{"id":2775,"uris":["http://zotero.org/users/6787375/items/WRMSS89E"],"itemData":{"id":2775,"type":"article-journal","abstract":"PURPOSE: To determine vitamin D metabolites and vitamin D receptor (VDR) single-nucleotide polymorphisms (SNPs) relationships with physical performance. METHODS: In 1205 men and 322 women (94.8% white Caucasian, 22.0 +/- 2.8 years) commencing military training, we measured: serum vitamin D metabolites (25-hydroxyvitamin D (25(OH)D) and 24,25-dihydroxyvitamin D (24,25(OH)2D) by high-performance liquid chromatography tandem mass spectrophotometry, and 1,25-dihydroxyvitamin D (1,25(OH)2D) by immunoassay); VDR SNPs (rs2228570, rs4516035, and rs7139166 by polymerase chain reaction genotyping); and endurance performance by 2.4 km run, muscle strength by maximal dynamic lift, and muscle power by maximal vertical jump. RESULTS: Serum 25(OH)D was negatively associated with 2.4 km run time and positively associated with muscle power (beta = -12.0 and 90.1), 1,25(OH)2D was positively associated with run time and negatively associated with strength and muscle power (beta = 5.6, -1.06, and -38.4), and 24,25(OH)2D was negatively associated with run time (beta = -8.9; P &lt; 0.01), after controlling for age, sex, smoking, alcohol, physical activity, time outdoors, season, and BMI. Vitamin D metabolites (25(OH)D, 1,25(OH)2D, and 24,25(OH)2D) together explained variances of 5.0% in run time, 0.7% in strength, and 0.9% in muscle power (DeltaF P &lt; 0.001). All performance measures were superior with low 1,25(OH)2D:24,25(OH)2D ratio (P &lt; 0.05). VDR SNPs were not associated with physical performance (DeltaF P &gt;/= 0.306). CONCLUSIONS: Vitamin D metabolites accounted for a small portion of variance in physical performance. Associations between vitamin D metabolites and run time were the most consistent. VDR SNPs explained no variance in performance. Greater conversion of 25(OH)D to 24,25(OH)2D, relative to 1,25(OH)2D (i.e., low 1,25(OH)2D:24,25(OH)2D ratio), was favourable for performance, indicating 24,25(OH)2D may have a role in optimising physical performance.","container-title":"Med Sci Sports Exerc","DOI":"10.1249/MSS.0000000000002987","ISSN":"1530-0315 (Electronic) 0195-9131 (Linking)","journalAbbreviation":"Medicine and science in sports and exercise","title":"Vitamin D Metabolites are Associated with Physical Performance in Young Healthy Adults","author":[{"family":"Carswell","given":"A. T."},{"family":"Jackson","given":"S."},{"family":"Swinton","given":"P."},{"family":"O'Leary","given":"T. J."},{"family":"Tang","given":"J. C. Y."},{"family":"Oliver","given":"S. J."},{"family":"Sale","given":"C."},{"family":"Izard","given":"R. M."},{"family":"Walsh","given":"N. P."},{"family":"Fraser","given":"W. D."},{"family":"Greeves","given":"J. P."}],"issued":{"date-parts":[["2022",6,29]]}}},{"id":8023,"uris":["http://zotero.org/users/6787375/items/9QTNDFNW"],"itemData":{"id":8023,"type":"article-journal","abstract":"Abstract\n            \n              Purpose\n              \n                To determine serum 25(OH)D and 1,25(OH)\n                2\n                D relationship with hepatitis B vaccination (study 1). Then, to investigate the effects on hepatitis B vaccination of achieving vitamin D sufficiency (serum 25(OH)D ≥ 50 nmol/L) by a unique comparison of simulated sunlight and oral vitamin D\n                3\n                supplementation in wintertime (study 2).\n              \n            \n            \n              Methods\n              \n                Study 1 involved 447 adults. In study 2, 3 days after the initial hepatitis B vaccination, 119 men received either placebo, simulated sunlight (1.3 × standard-erythema dose, 3 × /week for 4 weeks and then 1 × /week for 8 weeks) or oral vitamin D\n                3\n                (1000 IU/day for 4 weeks and 400 IU/day for 8 weeks). We measured hepatitis B vaccination efficacy as percentage of responders with anti-hepatitis B surface antigen immunoglobulin G ≥ 10 mIU/mL.\n              \n            \n            \n              Results\n              \n                In study 1, vaccine response was poorer in persons with low vitamin D status (25(OH)D ≤ 40 vs 41–71 nmol/L mean difference [95% confidence interval] − 15% [− 26, − 3%]; 1,25(OH)\n                2\n                D ≤ 120 vs ≥ 157 pmol/L − 12% [− 24%, − 1%]). Vaccine response was also poorer in winter than summer (− 18% [− 31%, − 3%]), when serum 25(OH)D and 1,25(OH)\n                2\n                D were at seasonal nadirs, and 81% of persons had serum 25(OH)D &lt; 50 nmol/L. In study 2, vitamin D supplementation strategies were similarly effective in achieving vitamin D sufficiency from the winter vitamin D nadir in almost all (~ 95%); however, the supplementation beginning 3 days after the initial vaccination did not effect the vaccine response (vitamin D vs placebo 4% [− 21%, 14%]).\n              \n            \n            \n              Conclusion\n              Low vitamin D status at initial vaccination was associated with poorer hepatitis B vaccine response (study 1); however, vitamin D supplementation commencing 3 days after vaccination (study 2) did not influence the vaccination response.\n            \n            \n              Clinical trial registry number\n              \n                Study 1 NCT02416895;\n                https://clinicaltrials.gov/ct2/show/study/NCT02416895\n                ; Study 2 NCT03132103;\n                https://clinicaltrials.gov/ct2/show/NCT03132103\n                .","container-title":"European Journal of Nutrition","DOI":"10.1007/s00394-020-02261-w","ISSN":"1436-6207, 1436-6215","issue":"1","journalAbbreviation":"Eur J Nutr","language":"en","page":"475-491","source":"DOI.org (Crossref)","title":"Vitamin D and the hepatitis B vaccine response: a prospective cohort study and a randomized, placebo-controlled oral vitamin D3 and simulated sunlight supplementation trial in healthy adults","title-short":"Vitamin D and the hepatitis B vaccine response","volume":"60","author":[{"family":"Kashi","given":"Daniel S."},{"family":"Oliver","given":"Samuel J."},{"family":"Wentz","given":"Laurel M."},{"family":"Roberts","given":"Ross"},{"family":"Carswell","given":"Alexander T."},{"family":"Tang","given":"Jonathan C. Y."},{"family":"Jackson","given":"Sarah"},{"family":"Izard","given":"Rachel M."},{"family":"Allan","given":"Donald"},{"family":"Rhodes","given":"Lesley E."},{"family":"Fraser","given":"William D."},{"family":"Greeves","given":"Julie P."},{"family":"Walsh","given":"Neil P."}],"issued":{"date-parts":[["2021",2]]}}},{"id":8025,"uris":["http://zotero.org/users/6787375/items/N89ELI3A"],"itemData":{"id":8025,"type":"article-journal","container-title":"Medicine &amp; Science in Sports &amp; Exercise","DOI":"10.1249/MSS.0000000000002604","ISSN":"1530-0315, 0195-9131","issue":"7","language":"en","page":"1505-1516","source":"DOI.org (Crossref)","title":"Influence of Vitamin D Supplementation by Simulated Sunlight or Oral D3 on Respiratory Infection during Military Training","volume":"53","author":[{"family":"Harrison","given":"Sophie E."},{"family":"Oliver","given":"Samuel J."},{"family":"Kashi","given":"Daniel S."},{"family":"Carswell","given":"Alexander T."},{"family":"Edwards","given":"Jason P."},{"family":"Wentz","given":"Laurel M."},{"family":"Roberts","given":"Ross"},{"family":"Tang","given":"Jonathan C. Y."},{"family":"Izard","given":"Rachel M."},{"family":"Jackson","given":"Sarah"},{"family":"Allan","given":"Donald"},{"family":"Rhodes","given":"Lesley E."},{"family":"Fraser","given":"William D."},{"family":"Greeves","given":"Julie P."},{"family":"Walsh","given":"Neil P."}],"issued":{"date-parts":[["2021",7]]}}},{"id":8077,"uris":["http://zotero.org/users/6787375/items/H3ESNK7Z"],"itemData":{"id":8077,"type":"article-journal","abstract":"Abstract\n            \n              This study investigated sex differences in iron status, and associations between iron status and endurance and musculoskeletal outcomes, in military training. 2,277 British Army trainees (581 women) participated. Iron markers and endurance performance (2.4 km run) were measured at the start (week 1) and end (week 13) of training. Whole-body areal body mineral density (aBMD) and markers of bone metabolism were measured at week 1. Injuries during training were recorded. Training decreased haemoglobin in men and women (mean change [95% CI], −0.1 [−0.2, −0.0] and −0.7 [−0.9, −0.6] g∙dL\n              -1\n              , both p &lt; 0.001), but more so in women (p &lt; 0.001). Ferritin decreased in men and women (−27 [−28, −23] and −5 [−8, −1] ug∙L, both p ≤ 0.001), but more so in men (p &lt; 0.001). sTfR increased in men and women (2.9 [2.3, 3.6] and 3.8 [2.7, 4.9] nmol∙L, both p &lt; 0.001), with no difference between sexes (p = 0.872). RDW increased in men (0.3 [0.2, 0.4]%, p &lt; 0.001), but not women (0.1 [−0.1, 0.2]%, p = 0.956). MCV decreased in men (−1.5 [−1.8, −1.1] fL, p &lt; 0.001), but not women (0.4 [−0.4, 1.3] fL, p = 0.087). Lower ferritin was associated with slower 2.4 km run time (p = 0.018), sustaining a lower limb overuse injury (p = 0.048), lower aBMD (p = 0.021), and higher βCTX and P1NP (both p &lt; 0.001) controlling for sex. Improving iron stores before training may protect haemoglobin in women and improve endurance and protect against injury.","container-title":"British Journal of Nutrition","DOI":"10.1017/S0007114523001812","ISSN":"0007-1145, 1475-2662","journalAbbreviation":"Br J Nutr","language":"en","page":"1-30","source":"DOI.org (Crossref)","title":"Sex differences in iron status during military training: a prospective cohort study of longitudinal changes and associations with endurance performance and musculoskeletal outcomes","title-short":"Sex differences in iron status during military training","author":[{"family":"O’Leary","given":"Thomas J"},{"family":"Jackson","given":"Sarah"},{"family":"Izard","given":"Rachel M"},{"family":"Walsh","given":"Neil P"},{"family":"Coombs","given":"Charlotte V"},{"family":"Carswell","given":"Alexander T"},{"family":"Oliver","given":"Samuel J"},{"family":"Tang","given":"Jonathan Cy"},{"family":"Fraser","given":"William D"},{"family":"Greeves","given":"Julie P"}],"issued":{"date-parts":[["2023",9,21]]}}}],"schema":"https://github.com/citation-style-language/schema/raw/master/csl-citation.json"} </w:instrText>
      </w:r>
      <w:r w:rsidR="00C80470" w:rsidRPr="00024E20">
        <w:rPr>
          <w:rFonts w:ascii="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(24, 26, 35, 36)</w:t>
      </w:r>
      <w:r w:rsidR="00C80470" w:rsidRPr="00024E20">
        <w:rPr>
          <w:rFonts w:ascii="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so no </w:t>
      </w:r>
      <w:r w:rsidRPr="00024E20">
        <w:rPr>
          <w:rFonts w:ascii="Times New Roman" w:eastAsia="Times New Roman" w:hAnsi="Times New Roman" w:cs="Times New Roman"/>
          <w:i/>
          <w:iCs/>
          <w:color w:val="000000" w:themeColor="text1"/>
          <w:sz w:val="24"/>
          <w:szCs w:val="24"/>
        </w:rPr>
        <w:t>a</w:t>
      </w:r>
      <w:r w:rsidR="006A78DB" w:rsidRPr="00024E20">
        <w:rPr>
          <w:rFonts w:ascii="Times New Roman" w:eastAsia="Times New Roman" w:hAnsi="Times New Roman" w:cs="Times New Roman"/>
          <w:i/>
          <w:iCs/>
          <w:color w:val="000000" w:themeColor="text1"/>
          <w:sz w:val="24"/>
          <w:szCs w:val="24"/>
        </w:rPr>
        <w:t xml:space="preserve"> </w:t>
      </w:r>
      <w:r w:rsidRPr="00024E20">
        <w:rPr>
          <w:rFonts w:ascii="Times New Roman" w:eastAsia="Times New Roman" w:hAnsi="Times New Roman" w:cs="Times New Roman"/>
          <w:i/>
          <w:iCs/>
          <w:color w:val="000000" w:themeColor="text1"/>
          <w:sz w:val="24"/>
          <w:szCs w:val="24"/>
        </w:rPr>
        <w:t xml:space="preserve">priori </w:t>
      </w:r>
      <w:r w:rsidRPr="00024E20">
        <w:rPr>
          <w:rFonts w:ascii="Times New Roman" w:eastAsia="Times New Roman" w:hAnsi="Times New Roman" w:cs="Times New Roman"/>
          <w:color w:val="000000" w:themeColor="text1"/>
          <w:sz w:val="24"/>
          <w:szCs w:val="24"/>
        </w:rPr>
        <w:t xml:space="preserve">sample size was calculated. The smallest hormonal contraceptive group was COCP users (n = 124). </w:t>
      </w:r>
      <w:r w:rsidR="00D5337D" w:rsidRPr="00024E20">
        <w:rPr>
          <w:rFonts w:ascii="Times New Roman" w:eastAsia="Times New Roman" w:hAnsi="Times New Roman" w:cs="Times New Roman"/>
          <w:color w:val="000000" w:themeColor="text1"/>
          <w:sz w:val="24"/>
          <w:szCs w:val="24"/>
        </w:rPr>
        <w:t>A</w:t>
      </w:r>
      <w:r w:rsidRPr="00024E20">
        <w:rPr>
          <w:rFonts w:ascii="Times New Roman" w:eastAsia="Times New Roman" w:hAnsi="Times New Roman" w:cs="Times New Roman"/>
          <w:color w:val="000000" w:themeColor="text1"/>
          <w:sz w:val="24"/>
          <w:szCs w:val="24"/>
        </w:rPr>
        <w:t xml:space="preserve"> </w:t>
      </w:r>
      <w:r w:rsidR="0049159F" w:rsidRPr="00024E20">
        <w:rPr>
          <w:rFonts w:ascii="Times New Roman" w:eastAsia="Times New Roman" w:hAnsi="Times New Roman" w:cs="Times New Roman"/>
          <w:color w:val="000000" w:themeColor="text1"/>
          <w:sz w:val="24"/>
          <w:szCs w:val="24"/>
        </w:rPr>
        <w:t>three-group</w:t>
      </w:r>
      <w:r w:rsidRPr="00024E20">
        <w:rPr>
          <w:rFonts w:ascii="Times New Roman" w:eastAsia="Times New Roman" w:hAnsi="Times New Roman" w:cs="Times New Roman"/>
          <w:color w:val="000000" w:themeColor="text1"/>
          <w:sz w:val="24"/>
          <w:szCs w:val="24"/>
        </w:rPr>
        <w:t xml:space="preserve"> sample size of 372</w:t>
      </w:r>
      <w:r w:rsidR="00D5337D" w:rsidRPr="00024E20">
        <w:rPr>
          <w:rFonts w:ascii="Times New Roman" w:eastAsia="Times New Roman" w:hAnsi="Times New Roman" w:cs="Times New Roman"/>
          <w:color w:val="000000" w:themeColor="text1"/>
          <w:sz w:val="24"/>
          <w:szCs w:val="24"/>
        </w:rPr>
        <w:t xml:space="preserve"> could detect </w:t>
      </w:r>
      <w:r w:rsidRPr="00024E20">
        <w:rPr>
          <w:rFonts w:ascii="Times New Roman" w:eastAsia="Times New Roman" w:hAnsi="Times New Roman" w:cs="Times New Roman"/>
          <w:color w:val="000000" w:themeColor="text1"/>
          <w:sz w:val="24"/>
          <w:szCs w:val="24"/>
        </w:rPr>
        <w:t>effect size</w:t>
      </w:r>
      <w:r w:rsidR="00D5337D" w:rsidRPr="00024E20">
        <w:rPr>
          <w:rFonts w:ascii="Times New Roman" w:eastAsia="Times New Roman" w:hAnsi="Times New Roman" w:cs="Times New Roman"/>
          <w:color w:val="000000" w:themeColor="text1"/>
          <w:sz w:val="24"/>
          <w:szCs w:val="24"/>
        </w:rPr>
        <w:t xml:space="preserve">s of </w:t>
      </w:r>
      <w:r w:rsidR="00DC793C" w:rsidRPr="00024E20">
        <w:rPr>
          <w:rFonts w:ascii="Times New Roman" w:hAnsi="Times New Roman" w:cs="Times New Roman"/>
          <w:i/>
          <w:iCs/>
          <w:color w:val="000000" w:themeColor="text1"/>
          <w:sz w:val="24"/>
          <w:szCs w:val="24"/>
        </w:rPr>
        <w:t>f</w:t>
      </w:r>
      <w:r w:rsidR="00DC793C" w:rsidRPr="00024E20">
        <w:rPr>
          <w:rFonts w:ascii="Times New Roman" w:hAnsi="Times New Roman" w:cs="Times New Roman"/>
          <w:color w:val="000000" w:themeColor="text1"/>
          <w:sz w:val="24"/>
          <w:szCs w:val="24"/>
          <w:vertAlign w:val="superscript"/>
        </w:rPr>
        <w:t>2</w:t>
      </w:r>
      <w:r w:rsidR="00DC793C" w:rsidRPr="00024E20">
        <w:rPr>
          <w:rFonts w:ascii="Times New Roman" w:hAnsi="Times New Roman" w:cs="Times New Roman"/>
          <w:color w:val="000000" w:themeColor="text1"/>
          <w:sz w:val="24"/>
          <w:szCs w:val="24"/>
          <w:vertAlign w:val="subscript"/>
        </w:rPr>
        <w:t xml:space="preserve"> </w:t>
      </w:r>
      <w:r w:rsidR="00D5337D" w:rsidRPr="00024E20">
        <w:rPr>
          <w:rFonts w:ascii="Times New Roman" w:hAnsi="Times New Roman" w:cs="Times New Roman"/>
          <w:color w:val="000000" w:themeColor="text1"/>
          <w:sz w:val="24"/>
          <w:szCs w:val="24"/>
        </w:rPr>
        <w:t>≥</w:t>
      </w:r>
      <w:r w:rsidR="00DC793C" w:rsidRPr="00024E20">
        <w:rPr>
          <w:rFonts w:ascii="Times New Roman" w:hAnsi="Times New Roman" w:cs="Times New Roman"/>
          <w:color w:val="000000" w:themeColor="text1"/>
          <w:sz w:val="24"/>
          <w:szCs w:val="24"/>
        </w:rPr>
        <w:t xml:space="preserve"> 0.0</w:t>
      </w:r>
      <w:r w:rsidR="006B264F" w:rsidRPr="00024E20">
        <w:rPr>
          <w:rFonts w:ascii="Times New Roman" w:hAnsi="Times New Roman" w:cs="Times New Roman"/>
          <w:color w:val="000000" w:themeColor="text1"/>
          <w:sz w:val="24"/>
          <w:szCs w:val="24"/>
        </w:rPr>
        <w:t>4</w:t>
      </w:r>
      <w:r w:rsidR="00DC793C" w:rsidRPr="00024E20">
        <w:rPr>
          <w:rFonts w:ascii="Times New Roman" w:hAnsi="Times New Roman" w:cs="Times New Roman"/>
          <w:color w:val="000000" w:themeColor="text1"/>
          <w:sz w:val="24"/>
          <w:szCs w:val="24"/>
        </w:rPr>
        <w:t xml:space="preserve"> (small effect) with an </w:t>
      </w:r>
      <w:r w:rsidR="00DC793C" w:rsidRPr="00024E20">
        <w:rPr>
          <w:rFonts w:ascii="Times New Roman" w:hAnsi="Times New Roman" w:cs="Times New Roman"/>
          <w:color w:val="000000" w:themeColor="text1"/>
          <w:sz w:val="24"/>
          <w:szCs w:val="24"/>
        </w:rPr>
        <w:sym w:font="Symbol" w:char="F061"/>
      </w:r>
      <w:r w:rsidR="00DC793C" w:rsidRPr="00024E20">
        <w:rPr>
          <w:rFonts w:ascii="Times New Roman" w:hAnsi="Times New Roman" w:cs="Times New Roman"/>
          <w:color w:val="000000" w:themeColor="text1"/>
          <w:sz w:val="24"/>
          <w:szCs w:val="24"/>
        </w:rPr>
        <w:t xml:space="preserve"> = 0.05 and a 1 </w:t>
      </w:r>
      <w:r w:rsidR="00DC793C" w:rsidRPr="00024E20">
        <w:rPr>
          <w:rFonts w:ascii="Times New Roman" w:hAnsi="Times New Roman" w:cs="Times New Roman"/>
          <w:color w:val="000000" w:themeColor="text1"/>
          <w:sz w:val="24"/>
          <w:szCs w:val="24"/>
        </w:rPr>
        <w:sym w:font="Symbol" w:char="F02D"/>
      </w:r>
      <w:r w:rsidR="00DC793C" w:rsidRPr="00024E20">
        <w:rPr>
          <w:rFonts w:ascii="Times New Roman" w:hAnsi="Times New Roman" w:cs="Times New Roman"/>
          <w:color w:val="000000" w:themeColor="text1"/>
          <w:sz w:val="24"/>
          <w:szCs w:val="24"/>
        </w:rPr>
        <w:t xml:space="preserve"> </w:t>
      </w:r>
      <w:r w:rsidR="00DC793C" w:rsidRPr="00024E20">
        <w:rPr>
          <w:rFonts w:ascii="Times New Roman" w:hAnsi="Times New Roman" w:cs="Times New Roman"/>
          <w:color w:val="000000" w:themeColor="text1"/>
          <w:sz w:val="24"/>
          <w:szCs w:val="24"/>
        </w:rPr>
        <w:sym w:font="Symbol" w:char="F062"/>
      </w:r>
      <w:r w:rsidR="00DC793C" w:rsidRPr="00024E20">
        <w:rPr>
          <w:rFonts w:ascii="Times New Roman" w:hAnsi="Times New Roman" w:cs="Times New Roman"/>
          <w:color w:val="000000" w:themeColor="text1"/>
          <w:sz w:val="24"/>
          <w:szCs w:val="24"/>
        </w:rPr>
        <w:t xml:space="preserve"> = 0.80 (</w:t>
      </w:r>
      <w:proofErr w:type="spellStart"/>
      <w:r w:rsidR="00DC793C" w:rsidRPr="00024E20">
        <w:rPr>
          <w:rFonts w:ascii="Times New Roman" w:hAnsi="Times New Roman" w:cs="Times New Roman"/>
          <w:i/>
          <w:iCs/>
          <w:color w:val="000000" w:themeColor="text1"/>
          <w:sz w:val="24"/>
          <w:szCs w:val="24"/>
        </w:rPr>
        <w:t>pwr</w:t>
      </w:r>
      <w:proofErr w:type="spellEnd"/>
      <w:r w:rsidR="00DC793C" w:rsidRPr="00024E20">
        <w:rPr>
          <w:rFonts w:ascii="Times New Roman" w:hAnsi="Times New Roman" w:cs="Times New Roman"/>
          <w:i/>
          <w:iCs/>
          <w:color w:val="000000" w:themeColor="text1"/>
          <w:sz w:val="24"/>
          <w:szCs w:val="24"/>
        </w:rPr>
        <w:t xml:space="preserve"> package</w:t>
      </w:r>
      <w:r w:rsidR="00DC793C" w:rsidRPr="00024E20">
        <w:rPr>
          <w:rFonts w:ascii="Times New Roman" w:hAnsi="Times New Roman" w:cs="Times New Roman"/>
          <w:color w:val="000000" w:themeColor="text1"/>
          <w:sz w:val="24"/>
          <w:szCs w:val="24"/>
        </w:rPr>
        <w:t xml:space="preserve"> </w:t>
      </w:r>
      <w:r w:rsidR="00DC793C" w:rsidRPr="00024E20">
        <w:rPr>
          <w:rFonts w:ascii="Times New Roman" w:hAnsi="Times New Roman" w:cs="Times New Roman"/>
          <w:i/>
          <w:iCs/>
          <w:color w:val="000000" w:themeColor="text1"/>
          <w:sz w:val="24"/>
          <w:szCs w:val="24"/>
        </w:rPr>
        <w:t>v</w:t>
      </w:r>
      <w:r w:rsidR="00DC793C" w:rsidRPr="00024E20">
        <w:rPr>
          <w:rFonts w:ascii="Times New Roman" w:hAnsi="Times New Roman" w:cs="Times New Roman"/>
          <w:color w:val="000000" w:themeColor="text1"/>
          <w:sz w:val="24"/>
          <w:szCs w:val="24"/>
        </w:rPr>
        <w:t xml:space="preserve">1.3-0). </w:t>
      </w:r>
      <w:r w:rsidRPr="00024E20">
        <w:rPr>
          <w:rFonts w:ascii="Times New Roman" w:eastAsia="Times New Roman" w:hAnsi="Times New Roman" w:cs="Times New Roman"/>
          <w:color w:val="000000" w:themeColor="text1"/>
          <w:sz w:val="24"/>
          <w:szCs w:val="24"/>
        </w:rPr>
        <w:t>All data were analysed using the R programming language (</w:t>
      </w:r>
      <w:r w:rsidRPr="00024E20">
        <w:rPr>
          <w:rFonts w:ascii="Times New Roman" w:eastAsia="Times New Roman" w:hAnsi="Times New Roman" w:cs="Times New Roman"/>
          <w:i/>
          <w:color w:val="000000" w:themeColor="text1"/>
          <w:sz w:val="24"/>
          <w:szCs w:val="24"/>
        </w:rPr>
        <w:t>v.</w:t>
      </w:r>
      <w:r w:rsidRPr="00024E20">
        <w:rPr>
          <w:rFonts w:ascii="Times New Roman" w:eastAsia="Times New Roman" w:hAnsi="Times New Roman" w:cs="Times New Roman"/>
          <w:color w:val="000000" w:themeColor="text1"/>
          <w:sz w:val="24"/>
          <w:szCs w:val="24"/>
        </w:rPr>
        <w:t xml:space="preserve">4.3.3). Distribution of the demographic and anthropometric data </w:t>
      </w:r>
      <w:r w:rsidR="006A78DB" w:rsidRPr="00024E20">
        <w:rPr>
          <w:rFonts w:ascii="Times New Roman" w:eastAsia="Times New Roman" w:hAnsi="Times New Roman" w:cs="Times New Roman"/>
          <w:color w:val="000000" w:themeColor="text1"/>
          <w:sz w:val="24"/>
          <w:szCs w:val="24"/>
        </w:rPr>
        <w:t xml:space="preserve">were </w:t>
      </w:r>
      <w:r w:rsidRPr="00024E20">
        <w:rPr>
          <w:rFonts w:ascii="Times New Roman" w:eastAsia="Times New Roman" w:hAnsi="Times New Roman" w:cs="Times New Roman"/>
          <w:color w:val="000000" w:themeColor="text1"/>
          <w:sz w:val="24"/>
          <w:szCs w:val="24"/>
        </w:rPr>
        <w:t xml:space="preserve">checked using frequency distribution histograms. Participant demographics and anthropometrics at week 1 were compared between groups using a one-way ANOVA. Linear mixed effect models with restricted maximum likelihood estimation were used to compare changes in physical performance (2.4 km run time, </w:t>
      </w:r>
      <w:r w:rsidR="006D6DE5" w:rsidRPr="00024E20">
        <w:rPr>
          <w:rFonts w:ascii="Times New Roman" w:eastAsia="Times New Roman" w:hAnsi="Times New Roman" w:cs="Times New Roman"/>
          <w:color w:val="000000" w:themeColor="text1"/>
          <w:sz w:val="24"/>
          <w:szCs w:val="24"/>
        </w:rPr>
        <w:t xml:space="preserve">maximal lift strength, and </w:t>
      </w:r>
      <w:r w:rsidRPr="00024E20">
        <w:rPr>
          <w:rFonts w:ascii="Times New Roman" w:eastAsia="Times New Roman" w:hAnsi="Times New Roman" w:cs="Times New Roman"/>
          <w:color w:val="000000" w:themeColor="text1"/>
          <w:sz w:val="24"/>
          <w:szCs w:val="24"/>
        </w:rPr>
        <w:t xml:space="preserve">peak power output), body composition (fat mass, lean mass, and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t>
      </w:r>
      <w:r w:rsidR="006D6DE5" w:rsidRPr="00024E20">
        <w:rPr>
          <w:rFonts w:ascii="Times New Roman" w:eastAsia="Times New Roman" w:hAnsi="Times New Roman" w:cs="Times New Roman"/>
          <w:color w:val="000000" w:themeColor="text1"/>
          <w:sz w:val="24"/>
          <w:szCs w:val="24"/>
        </w:rPr>
        <w:t xml:space="preserve">and </w:t>
      </w:r>
      <w:r w:rsidRPr="00024E20">
        <w:rPr>
          <w:rFonts w:ascii="Times New Roman" w:eastAsia="Times New Roman" w:hAnsi="Times New Roman" w:cs="Times New Roman"/>
          <w:color w:val="000000" w:themeColor="text1"/>
          <w:sz w:val="24"/>
          <w:szCs w:val="24"/>
        </w:rPr>
        <w:t>markers of iron</w:t>
      </w:r>
      <w:r w:rsidR="006D6DE5" w:rsidRPr="00024E20">
        <w:rPr>
          <w:rFonts w:ascii="Times New Roman" w:eastAsia="Times New Roman" w:hAnsi="Times New Roman" w:cs="Times New Roman"/>
          <w:color w:val="000000" w:themeColor="text1"/>
          <w:sz w:val="24"/>
          <w:szCs w:val="24"/>
        </w:rPr>
        <w:t xml:space="preserve"> status</w:t>
      </w:r>
      <w:r w:rsidRPr="00024E20">
        <w:rPr>
          <w:rFonts w:ascii="Times New Roman" w:eastAsia="Times New Roman" w:hAnsi="Times New Roman" w:cs="Times New Roman"/>
          <w:color w:val="000000" w:themeColor="text1"/>
          <w:sz w:val="24"/>
          <w:szCs w:val="24"/>
        </w:rPr>
        <w:t xml:space="preserve"> (haemoglobin</w:t>
      </w:r>
      <w:r w:rsidR="006D6DE5" w:rsidRPr="00024E20">
        <w:rPr>
          <w:rFonts w:ascii="Times New Roman" w:eastAsia="Times New Roman" w:hAnsi="Times New Roman" w:cs="Times New Roman"/>
          <w:color w:val="000000" w:themeColor="text1"/>
          <w:sz w:val="24"/>
          <w:szCs w:val="24"/>
        </w:rPr>
        <w:t xml:space="preserve"> and</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lastRenderedPageBreak/>
        <w:t>ferritin)</w:t>
      </w:r>
      <w:r w:rsidR="006D6DE5" w:rsidRPr="00024E20">
        <w:rPr>
          <w:rFonts w:ascii="Times New Roman" w:eastAsia="Times New Roman" w:hAnsi="Times New Roman" w:cs="Times New Roman"/>
          <w:color w:val="000000" w:themeColor="text1"/>
          <w:sz w:val="24"/>
          <w:szCs w:val="24"/>
        </w:rPr>
        <w:t>, vitamin D status (total 25(OH)D)</w:t>
      </w:r>
      <w:r w:rsidRPr="00024E20">
        <w:rPr>
          <w:rFonts w:ascii="Times New Roman" w:eastAsia="Times New Roman" w:hAnsi="Times New Roman" w:cs="Times New Roman"/>
          <w:color w:val="000000" w:themeColor="text1"/>
          <w:sz w:val="24"/>
          <w:szCs w:val="24"/>
        </w:rPr>
        <w:t>, and bone metabolism (</w:t>
      </w:r>
      <w:r w:rsidRPr="00024E20">
        <w:rPr>
          <w:rFonts w:ascii="Times New Roman" w:eastAsia="Symbol" w:hAnsi="Times New Roman" w:cs="Times New Roman"/>
          <w:color w:val="000000" w:themeColor="text1"/>
          <w:sz w:val="24"/>
          <w:szCs w:val="24"/>
        </w:rPr>
        <w:t>β</w:t>
      </w:r>
      <w:r w:rsidRPr="00024E20">
        <w:rPr>
          <w:rFonts w:ascii="Times New Roman" w:eastAsia="Times New Roman" w:hAnsi="Times New Roman" w:cs="Times New Roman"/>
          <w:color w:val="000000" w:themeColor="text1"/>
          <w:sz w:val="24"/>
          <w:szCs w:val="24"/>
        </w:rPr>
        <w:t>CTX, PINP,</w:t>
      </w:r>
      <w:r w:rsidR="006D6DE5" w:rsidRPr="00024E20">
        <w:rPr>
          <w:rFonts w:ascii="Times New Roman" w:eastAsia="Times New Roman" w:hAnsi="Times New Roman" w:cs="Times New Roman"/>
          <w:color w:val="000000" w:themeColor="text1"/>
          <w:sz w:val="24"/>
          <w:szCs w:val="24"/>
        </w:rPr>
        <w:t xml:space="preserve"> and</w:t>
      </w:r>
      <w:r w:rsidRPr="00024E20">
        <w:rPr>
          <w:rFonts w:ascii="Times New Roman" w:eastAsia="Times New Roman" w:hAnsi="Times New Roman" w:cs="Times New Roman"/>
          <w:color w:val="000000" w:themeColor="text1"/>
          <w:sz w:val="24"/>
          <w:szCs w:val="24"/>
        </w:rPr>
        <w:t xml:space="preserve"> PTH) between different groups (</w:t>
      </w:r>
      <w:r w:rsidRPr="00024E20">
        <w:rPr>
          <w:rFonts w:ascii="Times New Roman" w:eastAsia="Times New Roman" w:hAnsi="Times New Roman" w:cs="Times New Roman"/>
          <w:i/>
          <w:color w:val="000000" w:themeColor="text1"/>
          <w:sz w:val="24"/>
          <w:szCs w:val="24"/>
        </w:rPr>
        <w:t>lme4 package v</w:t>
      </w:r>
      <w:r w:rsidRPr="00024E20">
        <w:rPr>
          <w:rFonts w:ascii="Times New Roman" w:eastAsia="Times New Roman" w:hAnsi="Times New Roman" w:cs="Times New Roman"/>
          <w:color w:val="000000" w:themeColor="text1"/>
          <w:sz w:val="24"/>
          <w:szCs w:val="24"/>
        </w:rPr>
        <w:t xml:space="preserve">.1.1-35.3). Hormonal contraceptive use (non-users </w:t>
      </w:r>
      <w:r w:rsidRPr="00024E20">
        <w:rPr>
          <w:rFonts w:ascii="Times New Roman" w:eastAsia="Times New Roman" w:hAnsi="Times New Roman" w:cs="Times New Roman"/>
          <w:i/>
          <w:color w:val="000000" w:themeColor="text1"/>
          <w:sz w:val="24"/>
          <w:szCs w:val="24"/>
        </w:rPr>
        <w:t>vs</w:t>
      </w:r>
      <w:r w:rsidRPr="00024E20">
        <w:rPr>
          <w:rFonts w:ascii="Times New Roman" w:eastAsia="Times New Roman" w:hAnsi="Times New Roman" w:cs="Times New Roman"/>
          <w:color w:val="000000" w:themeColor="text1"/>
          <w:sz w:val="24"/>
          <w:szCs w:val="24"/>
        </w:rPr>
        <w:t xml:space="preserve"> COCP </w:t>
      </w:r>
      <w:r w:rsidRPr="00024E20">
        <w:rPr>
          <w:rFonts w:ascii="Times New Roman" w:eastAsia="Times New Roman" w:hAnsi="Times New Roman" w:cs="Times New Roman"/>
          <w:i/>
          <w:color w:val="000000" w:themeColor="text1"/>
          <w:sz w:val="24"/>
          <w:szCs w:val="24"/>
        </w:rPr>
        <w:t xml:space="preserve">vs </w:t>
      </w:r>
      <w:r w:rsidRPr="00024E20">
        <w:rPr>
          <w:rFonts w:ascii="Times New Roman" w:eastAsia="Times New Roman" w:hAnsi="Times New Roman" w:cs="Times New Roman"/>
          <w:color w:val="000000" w:themeColor="text1"/>
          <w:sz w:val="24"/>
          <w:szCs w:val="24"/>
        </w:rPr>
        <w:t>PO</w:t>
      </w:r>
      <w:r w:rsidR="00773C74" w:rsidRPr="00024E20">
        <w:rPr>
          <w:rFonts w:ascii="Times New Roman" w:eastAsia="Times New Roman" w:hAnsi="Times New Roman" w:cs="Times New Roman"/>
          <w:color w:val="000000" w:themeColor="text1"/>
          <w:sz w:val="24"/>
          <w:szCs w:val="24"/>
        </w:rPr>
        <w:t>C</w:t>
      </w:r>
      <w:r w:rsidRPr="00024E20">
        <w:rPr>
          <w:rFonts w:ascii="Times New Roman" w:eastAsia="Times New Roman" w:hAnsi="Times New Roman" w:cs="Times New Roman"/>
          <w:color w:val="000000" w:themeColor="text1"/>
          <w:sz w:val="24"/>
          <w:szCs w:val="24"/>
        </w:rPr>
        <w:t xml:space="preserve">), time (week 1 </w:t>
      </w:r>
      <w:r w:rsidRPr="00024E20">
        <w:rPr>
          <w:rFonts w:ascii="Times New Roman" w:eastAsia="Times New Roman" w:hAnsi="Times New Roman" w:cs="Times New Roman"/>
          <w:i/>
          <w:color w:val="000000" w:themeColor="text1"/>
          <w:sz w:val="24"/>
          <w:szCs w:val="24"/>
        </w:rPr>
        <w:t>vs</w:t>
      </w:r>
      <w:r w:rsidRPr="00024E20">
        <w:rPr>
          <w:rFonts w:ascii="Times New Roman" w:eastAsia="Times New Roman" w:hAnsi="Times New Roman" w:cs="Times New Roman"/>
          <w:color w:val="000000" w:themeColor="text1"/>
          <w:sz w:val="24"/>
          <w:szCs w:val="24"/>
        </w:rPr>
        <w:t xml:space="preserve"> week 13), and their interaction were included as fixed effects to examine differences between hormonal contraceptive groups. Each model controlled for age, height, and body mass by including these outcomes as fixed effects. Random intercepts were assigned to each participant to account for within-participant correlation for repeated measures. </w:t>
      </w:r>
      <w:r w:rsidR="006B264F" w:rsidRPr="00024E20">
        <w:rPr>
          <w:rFonts w:ascii="Times New Roman" w:eastAsia="Times New Roman" w:hAnsi="Times New Roman" w:cs="Times New Roman"/>
          <w:color w:val="000000" w:themeColor="text1"/>
          <w:sz w:val="24"/>
          <w:szCs w:val="24"/>
        </w:rPr>
        <w:t xml:space="preserve">Participants were also nested within different training </w:t>
      </w:r>
      <w:r w:rsidR="0049159F" w:rsidRPr="00024E20">
        <w:rPr>
          <w:rFonts w:ascii="Times New Roman" w:eastAsia="Times New Roman" w:hAnsi="Times New Roman" w:cs="Times New Roman"/>
          <w:color w:val="000000" w:themeColor="text1"/>
          <w:sz w:val="24"/>
          <w:szCs w:val="24"/>
        </w:rPr>
        <w:t>platoons,</w:t>
      </w:r>
      <w:r w:rsidR="006B264F" w:rsidRPr="00024E20">
        <w:rPr>
          <w:rFonts w:ascii="Times New Roman" w:eastAsia="Times New Roman" w:hAnsi="Times New Roman" w:cs="Times New Roman"/>
          <w:color w:val="000000" w:themeColor="text1"/>
          <w:sz w:val="24"/>
          <w:szCs w:val="24"/>
        </w:rPr>
        <w:t xml:space="preserve"> but a random effect was not assigned to platoon due to the low number</w:t>
      </w:r>
      <w:r w:rsidR="00A80B75" w:rsidRPr="00024E20">
        <w:rPr>
          <w:rFonts w:ascii="Times New Roman" w:eastAsia="Times New Roman" w:hAnsi="Times New Roman" w:cs="Times New Roman"/>
          <w:color w:val="000000" w:themeColor="text1"/>
          <w:sz w:val="24"/>
          <w:szCs w:val="24"/>
        </w:rPr>
        <w:t xml:space="preserve"> </w:t>
      </w:r>
      <w:r w:rsidR="00E7354E" w:rsidRPr="00024E20">
        <w:rPr>
          <w:rFonts w:ascii="Times New Roman" w:eastAsia="Times New Roman" w:hAnsi="Times New Roman" w:cs="Times New Roman"/>
          <w:color w:val="000000" w:themeColor="text1"/>
          <w:sz w:val="24"/>
          <w:szCs w:val="24"/>
        </w:rPr>
        <w:t xml:space="preserve">of different platoons </w:t>
      </w:r>
      <w:r w:rsidR="006B264F" w:rsidRPr="00024E20">
        <w:rPr>
          <w:rFonts w:ascii="Times New Roman" w:eastAsia="Times New Roman" w:hAnsi="Times New Roman" w:cs="Times New Roman"/>
          <w:color w:val="000000" w:themeColor="text1"/>
          <w:sz w:val="24"/>
          <w:szCs w:val="24"/>
        </w:rPr>
        <w:t>(</w:t>
      </w:r>
      <w:r w:rsidR="00B8331F" w:rsidRPr="00024E20">
        <w:rPr>
          <w:rFonts w:ascii="Times New Roman" w:eastAsia="Times New Roman" w:hAnsi="Times New Roman" w:cs="Times New Roman"/>
          <w:color w:val="000000" w:themeColor="text1"/>
          <w:sz w:val="24"/>
          <w:szCs w:val="24"/>
        </w:rPr>
        <w:t>n = 18</w:t>
      </w:r>
      <w:r w:rsidR="006B264F"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Significance of the fixed effects from each model were determined with </w:t>
      </w:r>
      <w:proofErr w:type="spellStart"/>
      <w:r w:rsidRPr="00024E20">
        <w:rPr>
          <w:rFonts w:ascii="Times New Roman" w:eastAsia="Times New Roman" w:hAnsi="Times New Roman" w:cs="Times New Roman"/>
          <w:color w:val="000000" w:themeColor="text1"/>
          <w:sz w:val="24"/>
          <w:szCs w:val="24"/>
        </w:rPr>
        <w:t>Sattherwaite</w:t>
      </w:r>
      <w:proofErr w:type="spellEnd"/>
      <w:r w:rsidRPr="00024E20">
        <w:rPr>
          <w:rFonts w:ascii="Times New Roman" w:eastAsia="Times New Roman" w:hAnsi="Times New Roman" w:cs="Times New Roman"/>
          <w:color w:val="000000" w:themeColor="text1"/>
          <w:sz w:val="24"/>
          <w:szCs w:val="24"/>
        </w:rPr>
        <w:t xml:space="preserve"> degrees of freedom (</w:t>
      </w:r>
      <w:proofErr w:type="spellStart"/>
      <w:r w:rsidRPr="00024E20">
        <w:rPr>
          <w:rFonts w:ascii="Times New Roman" w:eastAsia="Times New Roman" w:hAnsi="Times New Roman" w:cs="Times New Roman"/>
          <w:i/>
          <w:color w:val="000000" w:themeColor="text1"/>
          <w:sz w:val="24"/>
          <w:szCs w:val="24"/>
        </w:rPr>
        <w:t>lmerTest</w:t>
      </w:r>
      <w:proofErr w:type="spellEnd"/>
      <w:r w:rsidRPr="00024E20">
        <w:rPr>
          <w:rFonts w:ascii="Times New Roman" w:eastAsia="Times New Roman" w:hAnsi="Times New Roman" w:cs="Times New Roman"/>
          <w:i/>
          <w:color w:val="000000" w:themeColor="text1"/>
          <w:sz w:val="24"/>
          <w:szCs w:val="24"/>
        </w:rPr>
        <w:t xml:space="preserve"> package v</w:t>
      </w:r>
      <w:r w:rsidRPr="00024E20">
        <w:rPr>
          <w:rFonts w:ascii="Times New Roman" w:eastAsia="Times New Roman" w:hAnsi="Times New Roman" w:cs="Times New Roman"/>
          <w:color w:val="000000" w:themeColor="text1"/>
          <w:sz w:val="24"/>
          <w:szCs w:val="24"/>
        </w:rPr>
        <w:t xml:space="preserve">.3.1-3). Variance and normality of the residuals for each model were checked visually by plotting the residuals against the fitted values and from Q-Q plots. Data were log transformed for models where the residuals seriously violated these assumptions. In the event of a significant interaction, pairwise comparisons with Holm-Bonferroni corrections and </w:t>
      </w:r>
      <w:proofErr w:type="spellStart"/>
      <w:r w:rsidRPr="00024E20">
        <w:rPr>
          <w:rFonts w:ascii="Times New Roman" w:eastAsia="Times New Roman" w:hAnsi="Times New Roman" w:cs="Times New Roman"/>
          <w:color w:val="000000" w:themeColor="text1"/>
          <w:sz w:val="24"/>
          <w:szCs w:val="24"/>
        </w:rPr>
        <w:t>Kerward</w:t>
      </w:r>
      <w:proofErr w:type="spellEnd"/>
      <w:r w:rsidRPr="00024E20">
        <w:rPr>
          <w:rFonts w:ascii="Times New Roman" w:eastAsia="Times New Roman" w:hAnsi="Times New Roman" w:cs="Times New Roman"/>
          <w:color w:val="000000" w:themeColor="text1"/>
          <w:sz w:val="24"/>
          <w:szCs w:val="24"/>
        </w:rPr>
        <w:t>-Roger degrees of freedom were used on the linear mixed effects model to identify differences between time points within each hormonal contraceptive group and differences between hormonal contraceptive groups within each time point (</w:t>
      </w:r>
      <w:proofErr w:type="spellStart"/>
      <w:r w:rsidRPr="00024E20">
        <w:rPr>
          <w:rFonts w:ascii="Times New Roman" w:eastAsia="Times New Roman" w:hAnsi="Times New Roman" w:cs="Times New Roman"/>
          <w:i/>
          <w:color w:val="000000" w:themeColor="text1"/>
          <w:sz w:val="24"/>
          <w:szCs w:val="24"/>
        </w:rPr>
        <w:t>emmeans</w:t>
      </w:r>
      <w:proofErr w:type="spellEnd"/>
      <w:r w:rsidRPr="00024E20">
        <w:rPr>
          <w:rFonts w:ascii="Times New Roman" w:eastAsia="Times New Roman" w:hAnsi="Times New Roman" w:cs="Times New Roman"/>
          <w:i/>
          <w:color w:val="000000" w:themeColor="text1"/>
          <w:sz w:val="24"/>
          <w:szCs w:val="24"/>
        </w:rPr>
        <w:t xml:space="preserve"> package v</w:t>
      </w:r>
      <w:r w:rsidRPr="00024E20">
        <w:rPr>
          <w:rFonts w:ascii="Times New Roman" w:eastAsia="Times New Roman" w:hAnsi="Times New Roman" w:cs="Times New Roman"/>
          <w:color w:val="000000" w:themeColor="text1"/>
          <w:sz w:val="24"/>
          <w:szCs w:val="24"/>
        </w:rPr>
        <w:t>.1.10.1). Pooled data were used for main effects when there was no significant interaction with Holm-Bonferroni corrections. Effect sizes are presented as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2</w:t>
      </w:r>
      <w:r w:rsidRPr="00024E20">
        <w:rPr>
          <w:rFonts w:ascii="Times New Roman" w:eastAsia="Times New Roman" w:hAnsi="Times New Roman" w:cs="Times New Roman"/>
          <w:color w:val="000000" w:themeColor="text1"/>
          <w:sz w:val="24"/>
          <w:szCs w:val="24"/>
        </w:rPr>
        <w:t xml:space="preserve"> for main and interaction effects, Hedges’ g for between-group comparisons, and paired Hedges’ g</w:t>
      </w:r>
      <w:r w:rsidR="00E7354E"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for within-group paired comparisons (</w:t>
      </w:r>
      <w:proofErr w:type="spellStart"/>
      <w:r w:rsidRPr="00024E20">
        <w:rPr>
          <w:rFonts w:ascii="Times New Roman" w:eastAsia="Times New Roman" w:hAnsi="Times New Roman" w:cs="Times New Roman"/>
          <w:i/>
          <w:color w:val="000000" w:themeColor="text1"/>
          <w:sz w:val="24"/>
          <w:szCs w:val="24"/>
        </w:rPr>
        <w:t>effectsize</w:t>
      </w:r>
      <w:proofErr w:type="spellEnd"/>
      <w:r w:rsidRPr="00024E20">
        <w:rPr>
          <w:rFonts w:ascii="Times New Roman" w:eastAsia="Times New Roman" w:hAnsi="Times New Roman" w:cs="Times New Roman"/>
          <w:i/>
          <w:color w:val="000000" w:themeColor="text1"/>
          <w:sz w:val="24"/>
          <w:szCs w:val="24"/>
        </w:rPr>
        <w:t xml:space="preserve"> package v</w:t>
      </w:r>
      <w:r w:rsidRPr="00024E20">
        <w:rPr>
          <w:rFonts w:ascii="Times New Roman" w:eastAsia="Times New Roman" w:hAnsi="Times New Roman" w:cs="Times New Roman"/>
          <w:color w:val="000000" w:themeColor="text1"/>
          <w:sz w:val="24"/>
          <w:szCs w:val="24"/>
        </w:rPr>
        <w:t>.0.8.7). Binary logistic regression was performed to assess the association between injury (lower</w:t>
      </w:r>
      <w:r w:rsidR="0009133F" w:rsidRPr="00024E20">
        <w:rPr>
          <w:rFonts w:ascii="Times New Roman" w:eastAsia="Times New Roman" w:hAnsi="Times New Roman" w:cs="Times New Roman"/>
          <w:color w:val="000000" w:themeColor="text1"/>
          <w:sz w:val="24"/>
          <w:szCs w:val="24"/>
        </w:rPr>
        <w:t xml:space="preserve"> body</w:t>
      </w:r>
      <w:r w:rsidRPr="00024E20">
        <w:rPr>
          <w:rFonts w:ascii="Times New Roman" w:eastAsia="Times New Roman" w:hAnsi="Times New Roman" w:cs="Times New Roman"/>
          <w:color w:val="000000" w:themeColor="text1"/>
          <w:sz w:val="24"/>
          <w:szCs w:val="24"/>
        </w:rPr>
        <w:t xml:space="preserve"> overuse</w:t>
      </w:r>
      <w:r w:rsidR="007F618B" w:rsidRPr="00024E20">
        <w:rPr>
          <w:rFonts w:ascii="Times New Roman" w:eastAsia="Times New Roman" w:hAnsi="Times New Roman" w:cs="Times New Roman"/>
          <w:color w:val="000000" w:themeColor="text1"/>
          <w:sz w:val="24"/>
          <w:szCs w:val="24"/>
        </w:rPr>
        <w:t xml:space="preserve"> musculoskeletal</w:t>
      </w:r>
      <w:r w:rsidRPr="00024E20">
        <w:rPr>
          <w:rFonts w:ascii="Times New Roman" w:eastAsia="Times New Roman" w:hAnsi="Times New Roman" w:cs="Times New Roman"/>
          <w:color w:val="000000" w:themeColor="text1"/>
          <w:sz w:val="24"/>
          <w:szCs w:val="24"/>
        </w:rPr>
        <w:t xml:space="preserve"> injury or </w:t>
      </w:r>
      <w:r w:rsidR="007F618B" w:rsidRPr="00024E20">
        <w:rPr>
          <w:rFonts w:ascii="Times New Roman" w:eastAsia="Times New Roman" w:hAnsi="Times New Roman" w:cs="Times New Roman"/>
          <w:color w:val="000000" w:themeColor="text1"/>
          <w:sz w:val="24"/>
          <w:szCs w:val="24"/>
        </w:rPr>
        <w:t>bone stress injury</w:t>
      </w:r>
      <w:r w:rsidRPr="00024E20">
        <w:rPr>
          <w:rFonts w:ascii="Times New Roman" w:eastAsia="Times New Roman" w:hAnsi="Times New Roman" w:cs="Times New Roman"/>
          <w:color w:val="000000" w:themeColor="text1"/>
          <w:sz w:val="24"/>
          <w:szCs w:val="24"/>
        </w:rPr>
        <w:t xml:space="preserve">) and hormonal contraceptive use controlling for height, body mass, </w:t>
      </w:r>
      <w:r w:rsidR="00F46177" w:rsidRPr="00024E20">
        <w:rPr>
          <w:rFonts w:ascii="Times New Roman" w:eastAsia="Times New Roman" w:hAnsi="Times New Roman" w:cs="Times New Roman"/>
          <w:color w:val="000000" w:themeColor="text1"/>
          <w:sz w:val="24"/>
          <w:szCs w:val="24"/>
        </w:rPr>
        <w:t xml:space="preserve">age, </w:t>
      </w:r>
      <w:r w:rsidRPr="00024E20">
        <w:rPr>
          <w:rFonts w:ascii="Times New Roman" w:eastAsia="Times New Roman" w:hAnsi="Times New Roman" w:cs="Times New Roman"/>
          <w:color w:val="000000" w:themeColor="text1"/>
          <w:sz w:val="24"/>
          <w:szCs w:val="24"/>
        </w:rPr>
        <w:t xml:space="preserve">2.4 km run time, smoking, and </w:t>
      </w:r>
      <w:r w:rsidR="006A78DB" w:rsidRPr="00024E20">
        <w:rPr>
          <w:rFonts w:ascii="Times New Roman" w:eastAsia="Times New Roman" w:hAnsi="Times New Roman" w:cs="Times New Roman"/>
          <w:color w:val="000000" w:themeColor="text1"/>
          <w:sz w:val="24"/>
          <w:szCs w:val="24"/>
        </w:rPr>
        <w:t>bone stress injury</w:t>
      </w:r>
      <w:r w:rsidRPr="00024E20">
        <w:rPr>
          <w:rFonts w:ascii="Times New Roman" w:eastAsia="Times New Roman" w:hAnsi="Times New Roman" w:cs="Times New Roman"/>
          <w:color w:val="000000" w:themeColor="text1"/>
          <w:sz w:val="24"/>
          <w:szCs w:val="24"/>
        </w:rPr>
        <w:t xml:space="preserve"> history </w:t>
      </w:r>
      <w:r w:rsidR="00C80470"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{"citationID":"BwhwAkz7","properties":{"formattedCitation":"(26)","plainCitation":"(26)","noteIndex":0},"citationItems":[{"id":8077,"uris":["http://zotero.org/users/6787375/items/H3ESNK7Z"],"itemData":{"id":8077,"type":"article-journal","abstract":"Abstract\n            \n              This study investigated sex differences in iron status, and associations between iron status and endurance and musculoskeletal outcomes, in military training. 2,277 British Army trainees (581 women) participated. Iron markers and endurance performance (2.4 km run) were measured at the start (week 1) and end (week 13) of training. Whole-body areal body mineral density (aBMD) and markers of bone metabolism were measured at week 1. Injuries during training were recorded. Training decreased haemoglobin in men and women (mean change [95% CI], −0.1 [−0.2, −0.0] and −0.7 [−0.9, −0.6] g∙dL\n              -1\n              , both p &lt; 0.001), but more so in women (p &lt; 0.001). Ferritin decreased in men and women (−27 [−28, −23] and −5 [−8, −1] ug∙L, both p ≤ 0.001), but more so in men (p &lt; 0.001). sTfR increased in men and women (2.9 [2.3, 3.6] and 3.8 [2.7, 4.9] nmol∙L, both p &lt; 0.001), with no difference between sexes (p = 0.872). RDW increased in men (0.3 [0.2, 0.4]%, p &lt; 0.001), but not women (0.1 [−0.1, 0.2]%, p = 0.956). MCV decreased in men (−1.5 [−1.8, −1.1] fL, p &lt; 0.001), but not women (0.4 [−0.4, 1.3] fL, p = 0.087). Lower ferritin was associated with slower 2.4 km run time (p = 0.018), sustaining a lower limb overuse injury (p = 0.048), lower aBMD (p = 0.021), and higher βCTX and P1NP (both p &lt; 0.001) controlling for sex. Improving iron stores before training may protect haemoglobin in women and improve endurance and protect against injury.","container-title":"British Journal of Nutrition","DOI":"10.1017/S0007114523001812","ISSN":"0007-1145, 1475-2662","journalAbbreviation":"Br J Nutr","language":"en","page":"1-30","source":"DOI.org (Crossref)","title":"Sex differences in iron status during military training: a prospective cohort study of longitudinal changes and associations with endurance performance and musculoskeletal outcomes","title-short":"Sex differences in iron status during military training","author":[{"family":"O’Leary","given":"Thomas J"},{"family":"Jackson","given":"Sarah"},{"family":"Izard","given":"Rachel M"},{"family":"Walsh","given":"Neil P"},{"family":"Coombs","given":"Charlotte V"},{"family":"Carswell","given":"Alexander T"},{"family":"Oliver","given":"Samuel J"},{"family":"Tang","given":"Jonathan Cy"},{"family":"Fraser","given":"William D"},{"family":"Greeves","given":"Julie P"}],"issued":{"date-parts":[["2023",9,21]]}}}],"schema":"https://github.com/citation-style-language/schema/raw/master/csl-citation.json"} </w:instrText>
      </w:r>
      <w:r w:rsidR="00C80470"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(26)</w:t>
      </w:r>
      <w:r w:rsidR="00C80470"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The </w:t>
      </w:r>
      <w:r w:rsidR="006A78DB" w:rsidRPr="00024E20">
        <w:rPr>
          <w:rFonts w:ascii="Times New Roman" w:eastAsia="Times New Roman" w:hAnsi="Times New Roman" w:cs="Times New Roman"/>
          <w:color w:val="000000" w:themeColor="text1"/>
          <w:sz w:val="24"/>
          <w:szCs w:val="24"/>
        </w:rPr>
        <w:t xml:space="preserve">bone stress injury </w:t>
      </w:r>
      <w:r w:rsidRPr="00024E20">
        <w:rPr>
          <w:rFonts w:ascii="Times New Roman" w:eastAsia="Times New Roman" w:hAnsi="Times New Roman" w:cs="Times New Roman"/>
          <w:color w:val="000000" w:themeColor="text1"/>
          <w:sz w:val="24"/>
          <w:szCs w:val="24"/>
        </w:rPr>
        <w:t>model produced implausibly large estimates and standard errors</w:t>
      </w:r>
      <w:r w:rsidR="005F045B"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likely due to </w:t>
      </w:r>
      <w:r w:rsidR="005F045B" w:rsidRPr="00024E20">
        <w:rPr>
          <w:rFonts w:ascii="Times New Roman" w:eastAsia="Times New Roman" w:hAnsi="Times New Roman" w:cs="Times New Roman"/>
          <w:color w:val="000000" w:themeColor="text1"/>
          <w:sz w:val="24"/>
          <w:szCs w:val="24"/>
        </w:rPr>
        <w:t xml:space="preserve">the low incidence </w:t>
      </w:r>
      <w:r w:rsidRPr="00024E20">
        <w:rPr>
          <w:rFonts w:ascii="Times New Roman" w:eastAsia="Times New Roman" w:hAnsi="Times New Roman" w:cs="Times New Roman"/>
          <w:color w:val="000000" w:themeColor="text1"/>
          <w:sz w:val="24"/>
          <w:szCs w:val="24"/>
        </w:rPr>
        <w:t xml:space="preserve">of </w:t>
      </w:r>
      <w:r w:rsidR="006A78DB" w:rsidRPr="00024E20">
        <w:rPr>
          <w:rFonts w:ascii="Times New Roman" w:eastAsia="Times New Roman" w:hAnsi="Times New Roman" w:cs="Times New Roman"/>
          <w:color w:val="000000" w:themeColor="text1"/>
          <w:sz w:val="24"/>
          <w:szCs w:val="24"/>
        </w:rPr>
        <w:t>bone stress injur</w:t>
      </w:r>
      <w:r w:rsidR="005F045B" w:rsidRPr="00024E20">
        <w:rPr>
          <w:rFonts w:ascii="Times New Roman" w:eastAsia="Times New Roman" w:hAnsi="Times New Roman" w:cs="Times New Roman"/>
          <w:color w:val="000000" w:themeColor="text1"/>
          <w:sz w:val="24"/>
          <w:szCs w:val="24"/>
        </w:rPr>
        <w:t>ies</w:t>
      </w:r>
      <w:r w:rsidR="006A78DB"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leading to sparse data bias</w:t>
      </w:r>
      <w:r w:rsidR="005F045B" w:rsidRPr="00024E20">
        <w:rPr>
          <w:rFonts w:ascii="Times New Roman" w:eastAsia="Times New Roman" w:hAnsi="Times New Roman" w:cs="Times New Roman"/>
          <w:color w:val="000000" w:themeColor="text1"/>
          <w:sz w:val="24"/>
          <w:szCs w:val="24"/>
        </w:rPr>
        <w:t xml:space="preserve">; therefore </w:t>
      </w:r>
      <w:r w:rsidRPr="00024E20">
        <w:rPr>
          <w:rFonts w:ascii="Times New Roman" w:eastAsia="Times New Roman" w:hAnsi="Times New Roman" w:cs="Times New Roman"/>
          <w:color w:val="000000" w:themeColor="text1"/>
          <w:sz w:val="24"/>
          <w:szCs w:val="24"/>
        </w:rPr>
        <w:t>a bias reduction method was used (</w:t>
      </w:r>
      <w:proofErr w:type="spellStart"/>
      <w:r w:rsidRPr="00024E20">
        <w:rPr>
          <w:rFonts w:ascii="Times New Roman" w:eastAsia="Times New Roman" w:hAnsi="Times New Roman" w:cs="Times New Roman"/>
          <w:i/>
          <w:color w:val="000000" w:themeColor="text1"/>
          <w:sz w:val="24"/>
          <w:szCs w:val="24"/>
        </w:rPr>
        <w:t>brglm</w:t>
      </w:r>
      <w:proofErr w:type="spellEnd"/>
      <w:r w:rsidRPr="00024E20">
        <w:rPr>
          <w:rFonts w:ascii="Times New Roman" w:eastAsia="Times New Roman" w:hAnsi="Times New Roman" w:cs="Times New Roman"/>
          <w:i/>
          <w:color w:val="000000" w:themeColor="text1"/>
          <w:sz w:val="24"/>
          <w:szCs w:val="24"/>
        </w:rPr>
        <w:t xml:space="preserve"> package</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i/>
          <w:color w:val="000000" w:themeColor="text1"/>
          <w:sz w:val="24"/>
          <w:szCs w:val="24"/>
        </w:rPr>
        <w:lastRenderedPageBreak/>
        <w:t>v.</w:t>
      </w:r>
      <w:r w:rsidRPr="00024E20">
        <w:rPr>
          <w:rFonts w:ascii="Times New Roman" w:eastAsia="Times New Roman" w:hAnsi="Times New Roman" w:cs="Times New Roman"/>
          <w:color w:val="000000" w:themeColor="text1"/>
          <w:sz w:val="24"/>
          <w:szCs w:val="24"/>
        </w:rPr>
        <w:t xml:space="preserve">0.7.2) </w:t>
      </w:r>
      <w:r w:rsidR="00142CF3"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0yBia9nw","properties":{"formattedCitation":"(43\\uc0\\u8211{}45)","plainCitation":"(43–45)","noteIndex":0},"citationItems":[{"id":8140,"uris":["http://zotero.org/users/6787375/items/RVMMC73R"],"itemData":{"id":8140,"type":"article-journal","container-title":"BMJ","DOI":"10.1136/bmj.i1981","ISSN":"1756-1833","journalAbbreviation":"BMJ","language":"en","page":"i1981","source":"DOI.org (Crossref)","title":"Sparse data bias: a problem hiding in plain sight","title-short":"Sparse data bias","author":[{"family":"Greenland","given":"Sander"},{"family":"Mansournia","given":"Mohammad Ali"},{"family":"Altman","given":"Douglas G"}],"issued":{"date-parts":[["2016",4,27]]}}},{"id":8142,"uris":["http://zotero.org/users/6787375/items/2ZVAV55U"],"itemData":{"id":8142,"type":"article-journal","container-title":"American Journal of Epidemiology","DOI":"10.1093/aje/kwx299","ISSN":"0002-9262, 1476-6256","issue":"4","language":"en","license":"https://academic.oup.com/journals/pages/about_us/legal/notices","page":"864-870","source":"DOI.org (Crossref)","title":"Separation in Logistic Regression: Causes, Consequences, and Control","title-short":"Separation in Logistic Regression","volume":"187","author":[{"family":"Mansournia","given":"Mohammad Ali"},{"family":"Geroldinger","given":"Angelika"},{"family":"Greenland","given":"Sander"},{"family":"Heinze","given":"Georg"}],"issued":{"date-parts":[["2018",4,1]]}}},{"id":8143,"uris":["http://zotero.org/users/6787375/items/X44WST29"],"itemData":{"id":8143,"type":"article-journal","container-title":"Biometrika","DOI":"10.1093/biomet/80.1.27","ISSN":"0006-3444, 1464-3510","issue":"1","journalAbbreviation":"Biometrika","language":"en","page":"27-38","source":"DOI.org (Crossref)","title":"Bias reduction of maximum likelihood estimates","volume":"80","author":[{"family":"Firth","given":"David"}],"issued":{"date-parts":[["1993"]]}}}],"schema":"https://github.com/citation-style-language/schema/raw/master/csl-citation.json"} </w:instrText>
      </w:r>
      <w:r w:rsidR="00142CF3"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(43–45)</w:t>
      </w:r>
      <w:r w:rsidR="00142CF3" w:rsidRPr="00024E20">
        <w:rPr>
          <w:rFonts w:ascii="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Figures were drawn in the </w:t>
      </w:r>
      <w:r w:rsidRPr="00024E20">
        <w:rPr>
          <w:rFonts w:ascii="Times New Roman" w:eastAsia="Times New Roman" w:hAnsi="Times New Roman" w:cs="Times New Roman"/>
          <w:i/>
          <w:color w:val="000000" w:themeColor="text1"/>
          <w:sz w:val="24"/>
          <w:szCs w:val="24"/>
        </w:rPr>
        <w:t>ggplot2 package</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i/>
          <w:color w:val="000000" w:themeColor="text1"/>
          <w:sz w:val="24"/>
          <w:szCs w:val="24"/>
        </w:rPr>
        <w:t>v.</w:t>
      </w:r>
      <w:r w:rsidR="004F26B9" w:rsidRPr="00024E20">
        <w:rPr>
          <w:rFonts w:ascii="Times New Roman" w:eastAsia="Times New Roman" w:hAnsi="Times New Roman" w:cs="Times New Roman"/>
          <w:iCs/>
          <w:color w:val="000000" w:themeColor="text1"/>
          <w:sz w:val="24"/>
          <w:szCs w:val="24"/>
        </w:rPr>
        <w:t>3.5.0). Significance was accepted as p &lt; 0.05</w:t>
      </w:r>
      <w:r w:rsidR="004F26B9" w:rsidRPr="00024E20">
        <w:rPr>
          <w:rFonts w:ascii="Times New Roman" w:eastAsia="Gungsuh" w:hAnsi="Times New Roman" w:cs="Times New Roman"/>
          <w:color w:val="000000" w:themeColor="text1"/>
          <w:sz w:val="24"/>
          <w:szCs w:val="24"/>
        </w:rPr>
        <w:t>.</w:t>
      </w:r>
    </w:p>
    <w:p w14:paraId="6C30FAFD" w14:textId="77777777" w:rsidR="00BB1887" w:rsidRPr="00024E20" w:rsidRDefault="00BB1887">
      <w:pPr>
        <w:spacing w:after="0" w:line="480" w:lineRule="auto"/>
        <w:jc w:val="both"/>
        <w:rPr>
          <w:rFonts w:ascii="Times New Roman" w:eastAsia="Times New Roman" w:hAnsi="Times New Roman" w:cs="Times New Roman"/>
          <w:b/>
          <w:color w:val="000000" w:themeColor="text1"/>
          <w:sz w:val="24"/>
          <w:szCs w:val="24"/>
        </w:rPr>
      </w:pPr>
    </w:p>
    <w:p w14:paraId="30E8FA8C" w14:textId="77777777"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Results</w:t>
      </w:r>
    </w:p>
    <w:p w14:paraId="74E09AB5" w14:textId="77777777"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Participants</w:t>
      </w:r>
    </w:p>
    <w:p w14:paraId="6F064245" w14:textId="3A18DE41" w:rsidR="00594061"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A total of 475 </w:t>
      </w:r>
      <w:r w:rsidR="0005318E" w:rsidRPr="00024E20">
        <w:rPr>
          <w:rFonts w:ascii="Times New Roman" w:eastAsia="Times New Roman" w:hAnsi="Times New Roman" w:cs="Times New Roman"/>
          <w:color w:val="000000" w:themeColor="text1"/>
          <w:sz w:val="24"/>
          <w:szCs w:val="24"/>
        </w:rPr>
        <w:t>female recruits</w:t>
      </w:r>
      <w:r w:rsidRPr="00024E20">
        <w:rPr>
          <w:rFonts w:ascii="Times New Roman" w:eastAsia="Times New Roman" w:hAnsi="Times New Roman" w:cs="Times New Roman"/>
          <w:color w:val="000000" w:themeColor="text1"/>
          <w:sz w:val="24"/>
          <w:szCs w:val="24"/>
        </w:rPr>
        <w:t xml:space="preserve"> volunteered; 25 were excluded </w:t>
      </w:r>
      <w:r w:rsidR="00CB1BC1" w:rsidRPr="00024E20">
        <w:rPr>
          <w:rFonts w:ascii="Times New Roman" w:eastAsia="Times New Roman" w:hAnsi="Times New Roman" w:cs="Times New Roman"/>
          <w:color w:val="000000" w:themeColor="text1"/>
          <w:sz w:val="24"/>
          <w:szCs w:val="24"/>
        </w:rPr>
        <w:t>due to</w:t>
      </w:r>
      <w:r w:rsidRPr="00024E20">
        <w:rPr>
          <w:rFonts w:ascii="Times New Roman" w:eastAsia="Times New Roman" w:hAnsi="Times New Roman" w:cs="Times New Roman"/>
          <w:color w:val="000000" w:themeColor="text1"/>
          <w:sz w:val="24"/>
          <w:szCs w:val="24"/>
        </w:rPr>
        <w:t xml:space="preserve"> missing hormonal contraceptive data</w:t>
      </w:r>
      <w:r w:rsidR="000C0C9A" w:rsidRPr="00024E20">
        <w:rPr>
          <w:rFonts w:ascii="Times New Roman" w:eastAsia="Times New Roman" w:hAnsi="Times New Roman" w:cs="Times New Roman"/>
          <w:color w:val="000000" w:themeColor="text1"/>
          <w:sz w:val="24"/>
          <w:szCs w:val="24"/>
        </w:rPr>
        <w:t xml:space="preserve"> or</w:t>
      </w:r>
      <w:r w:rsidR="00C663FB"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using multiple hormonal contraceptives resulting in 450 </w:t>
      </w:r>
      <w:r w:rsidR="0005318E" w:rsidRPr="00024E20">
        <w:rPr>
          <w:rFonts w:ascii="Times New Roman" w:eastAsia="Times New Roman" w:hAnsi="Times New Roman" w:cs="Times New Roman"/>
          <w:color w:val="000000" w:themeColor="text1"/>
          <w:sz w:val="24"/>
          <w:szCs w:val="24"/>
        </w:rPr>
        <w:t xml:space="preserve">recruits </w:t>
      </w:r>
      <w:r w:rsidRPr="00024E20">
        <w:rPr>
          <w:rFonts w:ascii="Times New Roman" w:eastAsia="Times New Roman" w:hAnsi="Times New Roman" w:cs="Times New Roman"/>
          <w:color w:val="000000" w:themeColor="text1"/>
          <w:sz w:val="24"/>
          <w:szCs w:val="24"/>
        </w:rPr>
        <w:t xml:space="preserve">included in this study (Table 1). Most </w:t>
      </w:r>
      <w:r w:rsidR="00A06ABF" w:rsidRPr="00024E20">
        <w:rPr>
          <w:rFonts w:ascii="Times New Roman" w:eastAsia="Times New Roman" w:hAnsi="Times New Roman" w:cs="Times New Roman"/>
          <w:color w:val="000000" w:themeColor="text1"/>
          <w:sz w:val="24"/>
          <w:szCs w:val="24"/>
        </w:rPr>
        <w:t>participants</w:t>
      </w:r>
      <w:r w:rsidRPr="00024E20">
        <w:rPr>
          <w:rFonts w:ascii="Times New Roman" w:eastAsia="Times New Roman" w:hAnsi="Times New Roman" w:cs="Times New Roman"/>
          <w:color w:val="000000" w:themeColor="text1"/>
          <w:sz w:val="24"/>
          <w:szCs w:val="24"/>
        </w:rPr>
        <w:t xml:space="preserve"> </w:t>
      </w:r>
      <w:r w:rsidR="00C80470" w:rsidRPr="00024E20">
        <w:rPr>
          <w:rFonts w:ascii="Times New Roman" w:eastAsia="Times New Roman" w:hAnsi="Times New Roman" w:cs="Times New Roman"/>
          <w:color w:val="000000" w:themeColor="text1"/>
          <w:sz w:val="24"/>
          <w:szCs w:val="24"/>
        </w:rPr>
        <w:t>were non-users</w:t>
      </w:r>
      <w:r w:rsidRPr="00024E20">
        <w:rPr>
          <w:rFonts w:ascii="Times New Roman" w:eastAsia="Times New Roman" w:hAnsi="Times New Roman" w:cs="Times New Roman"/>
          <w:color w:val="000000" w:themeColor="text1"/>
          <w:sz w:val="24"/>
          <w:szCs w:val="24"/>
        </w:rPr>
        <w:t xml:space="preserve"> (40%) with 28% using the COCP and 32% using a POC (</w:t>
      </w:r>
      <w:r w:rsidR="00D553E2" w:rsidRPr="00024E20">
        <w:rPr>
          <w:rFonts w:ascii="Times New Roman" w:eastAsia="Times New Roman" w:hAnsi="Times New Roman" w:cs="Times New Roman"/>
          <w:color w:val="000000" w:themeColor="text1"/>
          <w:sz w:val="24"/>
          <w:szCs w:val="24"/>
        </w:rPr>
        <w:t>progestin-only</w:t>
      </w:r>
      <w:r w:rsidRPr="00024E20">
        <w:rPr>
          <w:rFonts w:ascii="Times New Roman" w:eastAsia="Times New Roman" w:hAnsi="Times New Roman" w:cs="Times New Roman"/>
          <w:color w:val="000000" w:themeColor="text1"/>
          <w:sz w:val="24"/>
          <w:szCs w:val="24"/>
        </w:rPr>
        <w:t xml:space="preserve"> pill, n = 27 [19%]; DMPA, n = 32 [22%]; implant, n = 85 [59%])</w:t>
      </w:r>
      <w:r w:rsidR="006B264F" w:rsidRPr="00024E20">
        <w:rPr>
          <w:rFonts w:ascii="Times New Roman" w:eastAsia="Times New Roman" w:hAnsi="Times New Roman" w:cs="Times New Roman"/>
          <w:color w:val="000000" w:themeColor="text1"/>
          <w:sz w:val="24"/>
          <w:szCs w:val="24"/>
        </w:rPr>
        <w:t xml:space="preserve">. </w:t>
      </w:r>
      <w:r w:rsidR="00B8331F" w:rsidRPr="00024E20">
        <w:rPr>
          <w:rFonts w:ascii="Times New Roman" w:eastAsia="Times New Roman" w:hAnsi="Times New Roman" w:cs="Times New Roman"/>
          <w:color w:val="000000" w:themeColor="text1"/>
          <w:sz w:val="24"/>
          <w:szCs w:val="24"/>
        </w:rPr>
        <w:t xml:space="preserve">Most non-users reported having a </w:t>
      </w:r>
      <w:r w:rsidR="0049159F" w:rsidRPr="00024E20">
        <w:rPr>
          <w:rFonts w:ascii="Times New Roman" w:eastAsia="Times New Roman" w:hAnsi="Times New Roman" w:cs="Times New Roman"/>
          <w:color w:val="000000" w:themeColor="text1"/>
          <w:sz w:val="24"/>
          <w:szCs w:val="24"/>
        </w:rPr>
        <w:t>monthly</w:t>
      </w:r>
      <w:r w:rsidR="00B8331F" w:rsidRPr="00024E20">
        <w:rPr>
          <w:rFonts w:ascii="Times New Roman" w:eastAsia="Times New Roman" w:hAnsi="Times New Roman" w:cs="Times New Roman"/>
          <w:color w:val="000000" w:themeColor="text1"/>
          <w:sz w:val="24"/>
          <w:szCs w:val="24"/>
        </w:rPr>
        <w:t xml:space="preserve"> menstrual cycle </w:t>
      </w:r>
      <w:r w:rsidR="00E7354E" w:rsidRPr="00024E20">
        <w:rPr>
          <w:rFonts w:ascii="Times New Roman" w:eastAsia="Times New Roman" w:hAnsi="Times New Roman" w:cs="Times New Roman"/>
          <w:color w:val="000000" w:themeColor="text1"/>
          <w:sz w:val="24"/>
          <w:szCs w:val="24"/>
        </w:rPr>
        <w:t xml:space="preserve">on entry </w:t>
      </w:r>
      <w:r w:rsidR="00B8331F" w:rsidRPr="00024E20">
        <w:rPr>
          <w:rFonts w:ascii="Times New Roman" w:eastAsia="Times New Roman" w:hAnsi="Times New Roman" w:cs="Times New Roman"/>
          <w:color w:val="000000" w:themeColor="text1"/>
          <w:sz w:val="24"/>
          <w:szCs w:val="24"/>
        </w:rPr>
        <w:t xml:space="preserve">(89%) with 11% reporting having a menstrual cycle every 2 months or less frequently. </w:t>
      </w:r>
      <w:r w:rsidR="00594061" w:rsidRPr="00024E20">
        <w:rPr>
          <w:rFonts w:ascii="Times New Roman" w:eastAsia="Times New Roman" w:hAnsi="Times New Roman" w:cs="Times New Roman"/>
          <w:color w:val="000000" w:themeColor="text1"/>
          <w:sz w:val="24"/>
          <w:szCs w:val="24"/>
        </w:rPr>
        <w:t xml:space="preserve">A total of </w:t>
      </w:r>
      <w:r w:rsidRPr="00024E20">
        <w:rPr>
          <w:rFonts w:ascii="Times New Roman" w:eastAsia="Times New Roman" w:hAnsi="Times New Roman" w:cs="Times New Roman"/>
          <w:color w:val="000000" w:themeColor="text1"/>
          <w:sz w:val="24"/>
          <w:szCs w:val="24"/>
        </w:rPr>
        <w:t>2</w:t>
      </w:r>
      <w:r w:rsidR="00C93F27" w:rsidRPr="00024E20">
        <w:rPr>
          <w:rFonts w:ascii="Times New Roman" w:eastAsia="Times New Roman" w:hAnsi="Times New Roman" w:cs="Times New Roman"/>
          <w:color w:val="000000" w:themeColor="text1"/>
          <w:sz w:val="24"/>
          <w:szCs w:val="24"/>
        </w:rPr>
        <w:t>6</w:t>
      </w:r>
      <w:r w:rsidRPr="00024E20">
        <w:rPr>
          <w:rFonts w:ascii="Times New Roman" w:eastAsia="Times New Roman" w:hAnsi="Times New Roman" w:cs="Times New Roman"/>
          <w:color w:val="000000" w:themeColor="text1"/>
          <w:sz w:val="24"/>
          <w:szCs w:val="24"/>
        </w:rPr>
        <w:t xml:space="preserve">0 </w:t>
      </w:r>
      <w:r w:rsidR="00A06ABF" w:rsidRPr="00024E20">
        <w:rPr>
          <w:rFonts w:ascii="Times New Roman" w:eastAsia="Times New Roman" w:hAnsi="Times New Roman" w:cs="Times New Roman"/>
          <w:color w:val="000000" w:themeColor="text1"/>
          <w:sz w:val="24"/>
          <w:szCs w:val="24"/>
        </w:rPr>
        <w:t xml:space="preserve">participants </w:t>
      </w:r>
      <w:r w:rsidR="00C93F27" w:rsidRPr="00024E20">
        <w:rPr>
          <w:rFonts w:ascii="Times New Roman" w:eastAsia="Times New Roman" w:hAnsi="Times New Roman" w:cs="Times New Roman"/>
          <w:color w:val="000000" w:themeColor="text1"/>
          <w:sz w:val="24"/>
          <w:szCs w:val="24"/>
        </w:rPr>
        <w:t xml:space="preserve">(non-users, n = 110 [42%]; COCP users, n = 73 [28%]; POC users, n = 77 [30%]) </w:t>
      </w:r>
      <w:r w:rsidRPr="00024E20">
        <w:rPr>
          <w:rFonts w:ascii="Times New Roman" w:eastAsia="Times New Roman" w:hAnsi="Times New Roman" w:cs="Times New Roman"/>
          <w:color w:val="000000" w:themeColor="text1"/>
          <w:sz w:val="24"/>
          <w:szCs w:val="24"/>
        </w:rPr>
        <w:t>completed week 13 testing (Figure 1)</w:t>
      </w:r>
      <w:r w:rsidR="00CE716F" w:rsidRPr="00024E20">
        <w:rPr>
          <w:rFonts w:ascii="Times New Roman" w:eastAsia="Times New Roman" w:hAnsi="Times New Roman" w:cs="Times New Roman"/>
          <w:color w:val="000000" w:themeColor="text1"/>
          <w:sz w:val="24"/>
          <w:szCs w:val="24"/>
        </w:rPr>
        <w:t>. Loss to follow-up was due to voluntary discharge from military service, involuntary discharge from military service (poor course performance or for medical reasons), voluntary withdrawal from the study, and being unavailable at time of follow-up</w:t>
      </w:r>
      <w:r w:rsidRPr="00024E20">
        <w:rPr>
          <w:rFonts w:ascii="Times New Roman" w:eastAsia="Times New Roman" w:hAnsi="Times New Roman" w:cs="Times New Roman"/>
          <w:color w:val="000000" w:themeColor="text1"/>
          <w:sz w:val="24"/>
          <w:szCs w:val="24"/>
        </w:rPr>
        <w:t xml:space="preserve">. </w:t>
      </w:r>
      <w:r w:rsidR="00A06ABF" w:rsidRPr="00024E20">
        <w:rPr>
          <w:rFonts w:ascii="Times New Roman" w:eastAsia="Times New Roman" w:hAnsi="Times New Roman" w:cs="Times New Roman"/>
          <w:color w:val="000000" w:themeColor="text1"/>
          <w:sz w:val="24"/>
          <w:szCs w:val="24"/>
        </w:rPr>
        <w:t>The</w:t>
      </w:r>
      <w:r w:rsidRPr="00024E20">
        <w:rPr>
          <w:rFonts w:ascii="Times New Roman" w:eastAsia="Times New Roman" w:hAnsi="Times New Roman" w:cs="Times New Roman"/>
          <w:color w:val="000000" w:themeColor="text1"/>
          <w:sz w:val="24"/>
          <w:szCs w:val="24"/>
        </w:rPr>
        <w:t xml:space="preserve"> POC</w:t>
      </w:r>
      <w:r w:rsidR="00A06ABF" w:rsidRPr="00024E20">
        <w:rPr>
          <w:rFonts w:ascii="Times New Roman" w:eastAsia="Times New Roman" w:hAnsi="Times New Roman" w:cs="Times New Roman"/>
          <w:color w:val="000000" w:themeColor="text1"/>
          <w:sz w:val="24"/>
          <w:szCs w:val="24"/>
        </w:rPr>
        <w:t xml:space="preserve"> users</w:t>
      </w:r>
      <w:r w:rsidRPr="00024E20">
        <w:rPr>
          <w:rFonts w:ascii="Times New Roman" w:eastAsia="Times New Roman" w:hAnsi="Times New Roman" w:cs="Times New Roman"/>
          <w:color w:val="000000" w:themeColor="text1"/>
          <w:sz w:val="24"/>
          <w:szCs w:val="24"/>
        </w:rPr>
        <w:t xml:space="preserve"> were younger and had a lower </w:t>
      </w:r>
      <w:r w:rsidR="00594061" w:rsidRPr="00024E20">
        <w:rPr>
          <w:rFonts w:ascii="Times New Roman" w:eastAsia="Times New Roman" w:hAnsi="Times New Roman" w:cs="Times New Roman"/>
          <w:color w:val="000000" w:themeColor="text1"/>
          <w:sz w:val="24"/>
          <w:szCs w:val="24"/>
        </w:rPr>
        <w:t xml:space="preserve">body mass and </w:t>
      </w:r>
      <w:r w:rsidRPr="00024E20">
        <w:rPr>
          <w:rFonts w:ascii="Times New Roman" w:eastAsia="Times New Roman" w:hAnsi="Times New Roman" w:cs="Times New Roman"/>
          <w:color w:val="000000" w:themeColor="text1"/>
          <w:sz w:val="24"/>
          <w:szCs w:val="24"/>
        </w:rPr>
        <w:t>BMI than non-users and COCP users (all p &lt; 0.033)</w:t>
      </w:r>
      <w:r w:rsidR="00B205EE" w:rsidRPr="00024E20">
        <w:rPr>
          <w:rFonts w:ascii="Times New Roman" w:eastAsia="Times New Roman" w:hAnsi="Times New Roman" w:cs="Times New Roman"/>
          <w:color w:val="000000" w:themeColor="text1"/>
          <w:sz w:val="24"/>
          <w:szCs w:val="24"/>
        </w:rPr>
        <w:t xml:space="preserve"> (Table 1)</w:t>
      </w:r>
      <w:r w:rsidRPr="00024E20">
        <w:rPr>
          <w:rFonts w:ascii="Times New Roman" w:eastAsia="Times New Roman" w:hAnsi="Times New Roman" w:cs="Times New Roman"/>
          <w:color w:val="000000" w:themeColor="text1"/>
          <w:sz w:val="24"/>
          <w:szCs w:val="24"/>
        </w:rPr>
        <w:t xml:space="preserve">. </w:t>
      </w:r>
    </w:p>
    <w:p w14:paraId="443AB562" w14:textId="77777777" w:rsidR="00F71CDB" w:rsidRPr="00024E20" w:rsidRDefault="00F71CDB">
      <w:pPr>
        <w:spacing w:after="0" w:line="480" w:lineRule="auto"/>
        <w:jc w:val="both"/>
        <w:rPr>
          <w:rFonts w:ascii="Times New Roman" w:eastAsia="Times New Roman" w:hAnsi="Times New Roman" w:cs="Times New Roman"/>
          <w:color w:val="000000" w:themeColor="text1"/>
          <w:sz w:val="24"/>
          <w:szCs w:val="24"/>
        </w:rPr>
      </w:pPr>
    </w:p>
    <w:p w14:paraId="1B4D4606" w14:textId="4AB546C6" w:rsidR="00F71CDB" w:rsidRPr="00024E20" w:rsidRDefault="000F27D0">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 xml:space="preserve">Hormonal Contraceptives and </w:t>
      </w:r>
      <w:r w:rsidR="002049D3" w:rsidRPr="00024E20">
        <w:rPr>
          <w:rFonts w:ascii="Times New Roman" w:eastAsia="Times New Roman" w:hAnsi="Times New Roman" w:cs="Times New Roman"/>
          <w:i/>
          <w:color w:val="000000" w:themeColor="text1"/>
          <w:sz w:val="24"/>
          <w:szCs w:val="24"/>
        </w:rPr>
        <w:t>Physical Performance</w:t>
      </w:r>
    </w:p>
    <w:p w14:paraId="7E840A59" w14:textId="14126629" w:rsidR="00F71CDB" w:rsidRPr="00024E20" w:rsidRDefault="00B3128D">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Mean and individual p</w:t>
      </w:r>
      <w:r w:rsidR="002049D3" w:rsidRPr="00024E20">
        <w:rPr>
          <w:rFonts w:ascii="Times New Roman" w:eastAsia="Times New Roman" w:hAnsi="Times New Roman" w:cs="Times New Roman"/>
          <w:color w:val="000000" w:themeColor="text1"/>
          <w:sz w:val="24"/>
          <w:szCs w:val="24"/>
        </w:rPr>
        <w:t>hysical performance data are shown in Figure 2 with mean absolute changes shown in Table 2. Training decreased 2.4 km run time (</w:t>
      </w:r>
      <w:r w:rsidR="00575460" w:rsidRPr="00024E20">
        <w:rPr>
          <w:rFonts w:ascii="Times New Roman" w:eastAsia="Times New Roman" w:hAnsi="Times New Roman" w:cs="Times New Roman"/>
          <w:color w:val="000000" w:themeColor="text1"/>
          <w:sz w:val="24"/>
          <w:szCs w:val="24"/>
        </w:rPr>
        <w:t>–</w:t>
      </w:r>
      <w:r w:rsidR="00E53227" w:rsidRPr="00024E20">
        <w:rPr>
          <w:rFonts w:ascii="Times New Roman" w:eastAsia="Times New Roman" w:hAnsi="Times New Roman" w:cs="Times New Roman"/>
          <w:color w:val="000000" w:themeColor="text1"/>
          <w:sz w:val="24"/>
          <w:szCs w:val="24"/>
        </w:rPr>
        <w:t xml:space="preserve">3.7%,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0.421) but there was no difference between hormonal contraceptive groups (main effect of group, p = 0.291,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0.008; group × time interaction, p = 0.451,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0.011). Training increased maximal lift strength (</w:t>
      </w:r>
      <w:r w:rsidR="00E51064" w:rsidRPr="00024E20">
        <w:rPr>
          <w:rFonts w:ascii="Times New Roman" w:eastAsia="Times New Roman" w:hAnsi="Times New Roman" w:cs="Times New Roman"/>
          <w:color w:val="000000" w:themeColor="text1"/>
          <w:sz w:val="24"/>
          <w:szCs w:val="24"/>
        </w:rPr>
        <w:t xml:space="preserve">4.5%, </w:t>
      </w:r>
      <w:r w:rsidR="002049D3" w:rsidRPr="00024E20">
        <w:rPr>
          <w:rFonts w:ascii="Times New Roman" w:eastAsia="Times New Roman" w:hAnsi="Times New Roman" w:cs="Times New Roman"/>
          <w:color w:val="000000" w:themeColor="text1"/>
          <w:sz w:val="24"/>
          <w:szCs w:val="24"/>
        </w:rPr>
        <w:t>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0.077) but the training response was not different between hormonal contraceptive groups (group × time interaction, p = 0.685, </w:t>
      </w:r>
      <w:r w:rsidR="002049D3" w:rsidRPr="00024E20">
        <w:rPr>
          <w:rFonts w:ascii="Times New Roman" w:eastAsia="Times New Roman" w:hAnsi="Times New Roman" w:cs="Times New Roman"/>
          <w:color w:val="000000" w:themeColor="text1"/>
          <w:sz w:val="24"/>
          <w:szCs w:val="24"/>
        </w:rPr>
        <w:lastRenderedPageBreak/>
        <w:t>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0.005). There was a main effect of group for lift strength (p = 0.036,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0.020)</w:t>
      </w:r>
      <w:r w:rsidR="00B134AA" w:rsidRPr="00024E20">
        <w:rPr>
          <w:rFonts w:ascii="Times New Roman" w:eastAsia="Times New Roman" w:hAnsi="Times New Roman" w:cs="Times New Roman"/>
          <w:color w:val="000000" w:themeColor="text1"/>
          <w:sz w:val="24"/>
          <w:szCs w:val="24"/>
        </w:rPr>
        <w:t>, where</w:t>
      </w:r>
      <w:r w:rsidR="002049D3" w:rsidRPr="00024E20">
        <w:rPr>
          <w:rFonts w:ascii="Times New Roman" w:eastAsia="Times New Roman" w:hAnsi="Times New Roman" w:cs="Times New Roman"/>
          <w:color w:val="000000" w:themeColor="text1"/>
          <w:sz w:val="24"/>
          <w:szCs w:val="24"/>
        </w:rPr>
        <w:t xml:space="preserve"> </w:t>
      </w:r>
      <w:r w:rsidR="00B134AA" w:rsidRPr="00024E20">
        <w:rPr>
          <w:rFonts w:ascii="Times New Roman" w:eastAsia="Times New Roman" w:hAnsi="Times New Roman" w:cs="Times New Roman"/>
          <w:color w:val="000000" w:themeColor="text1"/>
          <w:sz w:val="24"/>
          <w:szCs w:val="24"/>
        </w:rPr>
        <w:t>m</w:t>
      </w:r>
      <w:r w:rsidR="002049D3" w:rsidRPr="00024E20">
        <w:rPr>
          <w:rFonts w:ascii="Times New Roman" w:eastAsia="Times New Roman" w:hAnsi="Times New Roman" w:cs="Times New Roman"/>
          <w:color w:val="000000" w:themeColor="text1"/>
          <w:sz w:val="24"/>
          <w:szCs w:val="24"/>
        </w:rPr>
        <w:t xml:space="preserve">aximal lift strength was lower in COCP users than non-users </w:t>
      </w:r>
      <w:r w:rsidR="00C93F27" w:rsidRPr="00024E20">
        <w:rPr>
          <w:rFonts w:ascii="Times New Roman" w:eastAsia="Times New Roman" w:hAnsi="Times New Roman" w:cs="Times New Roman"/>
          <w:color w:val="000000" w:themeColor="text1"/>
          <w:sz w:val="24"/>
          <w:szCs w:val="24"/>
        </w:rPr>
        <w:t xml:space="preserve">irrespective of week </w:t>
      </w:r>
      <w:r w:rsidR="002049D3" w:rsidRPr="00024E20">
        <w:rPr>
          <w:rFonts w:ascii="Times New Roman" w:eastAsia="Times New Roman" w:hAnsi="Times New Roman" w:cs="Times New Roman"/>
          <w:color w:val="000000" w:themeColor="text1"/>
          <w:sz w:val="24"/>
          <w:szCs w:val="24"/>
        </w:rPr>
        <w:t>(p = 0.044, g = 0.36). Training increased peak power</w:t>
      </w:r>
      <w:r w:rsidR="008A73CC" w:rsidRPr="00024E20">
        <w:rPr>
          <w:rFonts w:ascii="Times New Roman" w:eastAsia="Times New Roman" w:hAnsi="Times New Roman" w:cs="Times New Roman"/>
          <w:color w:val="000000" w:themeColor="text1"/>
          <w:sz w:val="24"/>
          <w:szCs w:val="24"/>
        </w:rPr>
        <w:t xml:space="preserve"> output</w:t>
      </w:r>
      <w:r w:rsidR="002049D3" w:rsidRPr="00024E20">
        <w:rPr>
          <w:rFonts w:ascii="Times New Roman" w:eastAsia="Times New Roman" w:hAnsi="Times New Roman" w:cs="Times New Roman"/>
          <w:color w:val="000000" w:themeColor="text1"/>
          <w:sz w:val="24"/>
          <w:szCs w:val="24"/>
        </w:rPr>
        <w:t xml:space="preserve"> (</w:t>
      </w:r>
      <w:r w:rsidR="005F3458" w:rsidRPr="00024E20">
        <w:rPr>
          <w:rFonts w:ascii="Times New Roman" w:eastAsia="Times New Roman" w:hAnsi="Times New Roman" w:cs="Times New Roman"/>
          <w:color w:val="000000" w:themeColor="text1"/>
          <w:sz w:val="24"/>
          <w:szCs w:val="24"/>
        </w:rPr>
        <w:t xml:space="preserve">1.5%, </w:t>
      </w:r>
      <w:r w:rsidR="002049D3" w:rsidRPr="00024E20">
        <w:rPr>
          <w:rFonts w:ascii="Times New Roman" w:eastAsia="Times New Roman" w:hAnsi="Times New Roman" w:cs="Times New Roman"/>
          <w:color w:val="000000" w:themeColor="text1"/>
          <w:sz w:val="24"/>
          <w:szCs w:val="24"/>
        </w:rPr>
        <w:t>main effect of time, p = 0.015,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0.026) but there was no difference between hormonal contraceptive groups (main effect of group, p = 0.845,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0.001; group × time interaction, p = 0.228,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0.013).</w:t>
      </w:r>
    </w:p>
    <w:p w14:paraId="00D17024" w14:textId="4ABA13FC" w:rsidR="00F71CDB" w:rsidRPr="00024E20" w:rsidRDefault="00F71CDB" w:rsidP="009609C7">
      <w:pPr>
        <w:spacing w:after="0" w:line="480" w:lineRule="auto"/>
        <w:jc w:val="center"/>
        <w:rPr>
          <w:rFonts w:ascii="Times New Roman" w:eastAsia="Times New Roman" w:hAnsi="Times New Roman" w:cs="Times New Roman"/>
          <w:color w:val="000000" w:themeColor="text1"/>
          <w:sz w:val="24"/>
          <w:szCs w:val="24"/>
        </w:rPr>
      </w:pPr>
    </w:p>
    <w:p w14:paraId="7DC7D42A" w14:textId="7C776037" w:rsidR="00F71CDB" w:rsidRPr="00024E20" w:rsidRDefault="000F27D0">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 xml:space="preserve">Hormonal Contraceptives, </w:t>
      </w:r>
      <w:r w:rsidR="002049D3" w:rsidRPr="00024E20">
        <w:rPr>
          <w:rFonts w:ascii="Times New Roman" w:eastAsia="Times New Roman" w:hAnsi="Times New Roman" w:cs="Times New Roman"/>
          <w:i/>
          <w:color w:val="000000" w:themeColor="text1"/>
          <w:sz w:val="24"/>
          <w:szCs w:val="24"/>
        </w:rPr>
        <w:t>Body Composition</w:t>
      </w:r>
      <w:r w:rsidRPr="00024E20">
        <w:rPr>
          <w:rFonts w:ascii="Times New Roman" w:eastAsia="Times New Roman" w:hAnsi="Times New Roman" w:cs="Times New Roman"/>
          <w:i/>
          <w:color w:val="000000" w:themeColor="text1"/>
          <w:sz w:val="24"/>
          <w:szCs w:val="24"/>
        </w:rPr>
        <w:t>, and Areal Bone Mineral Density</w:t>
      </w:r>
    </w:p>
    <w:p w14:paraId="76234D36" w14:textId="59D53CAE" w:rsidR="00F71CDB" w:rsidRPr="00024E20" w:rsidRDefault="00B3128D">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Mean and individual b</w:t>
      </w:r>
      <w:r w:rsidR="002049D3" w:rsidRPr="00024E20">
        <w:rPr>
          <w:rFonts w:ascii="Times New Roman" w:eastAsia="Times New Roman" w:hAnsi="Times New Roman" w:cs="Times New Roman"/>
          <w:color w:val="000000" w:themeColor="text1"/>
          <w:sz w:val="24"/>
          <w:szCs w:val="24"/>
        </w:rPr>
        <w:t xml:space="preserve">ody composition data are shown in Figure 3 with mean absolute changes shown in Table </w:t>
      </w:r>
      <w:r w:rsidR="00BA0470" w:rsidRPr="00024E20">
        <w:rPr>
          <w:rFonts w:ascii="Times New Roman" w:eastAsia="Times New Roman" w:hAnsi="Times New Roman" w:cs="Times New Roman"/>
          <w:color w:val="000000" w:themeColor="text1"/>
          <w:sz w:val="24"/>
          <w:szCs w:val="24"/>
        </w:rPr>
        <w:t>2</w:t>
      </w:r>
      <w:r w:rsidR="002049D3" w:rsidRPr="00024E20">
        <w:rPr>
          <w:rFonts w:ascii="Times New Roman" w:eastAsia="Times New Roman" w:hAnsi="Times New Roman" w:cs="Times New Roman"/>
          <w:color w:val="000000" w:themeColor="text1"/>
          <w:sz w:val="24"/>
          <w:szCs w:val="24"/>
        </w:rPr>
        <w:t>. Training decreased fat mass (</w:t>
      </w:r>
      <w:r w:rsidR="00986F90" w:rsidRPr="00024E20">
        <w:rPr>
          <w:rFonts w:ascii="Times New Roman" w:eastAsia="Times New Roman" w:hAnsi="Times New Roman" w:cs="Times New Roman"/>
          <w:color w:val="000000" w:themeColor="text1"/>
          <w:sz w:val="24"/>
          <w:szCs w:val="24"/>
        </w:rPr>
        <w:t xml:space="preserve">–9.6%,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0.584) but there was no difference between hormonal contraceptive groups (main effect of group, p = 0.181,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0.009; group × time interaction, p = 0.847,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0.002). Training increased lean mass (</w:t>
      </w:r>
      <w:r w:rsidR="00986F90" w:rsidRPr="00024E20">
        <w:rPr>
          <w:rFonts w:ascii="Times New Roman" w:eastAsia="Times New Roman" w:hAnsi="Times New Roman" w:cs="Times New Roman"/>
          <w:color w:val="000000" w:themeColor="text1"/>
          <w:sz w:val="24"/>
          <w:szCs w:val="24"/>
        </w:rPr>
        <w:t xml:space="preserve">5.4%,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0.701) but there was no difference between hormonal contraceptive groups (main effect of group, p = 0.173,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0.009; group × time interaction, p = 0.801,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0.002). Training increased whole-body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t>
      </w:r>
      <w:r w:rsidR="00986F90" w:rsidRPr="00024E20">
        <w:rPr>
          <w:rFonts w:ascii="Times New Roman" w:eastAsia="Times New Roman" w:hAnsi="Times New Roman" w:cs="Times New Roman"/>
          <w:color w:val="000000" w:themeColor="text1"/>
          <w:sz w:val="24"/>
          <w:szCs w:val="24"/>
        </w:rPr>
        <w:t xml:space="preserve">0.9%,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0.224) but the training response was not different between hormonal contraceptive groups (group × time interaction, p = 0.648,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0.004). There was a main effect of group for whole-body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(p = 0.027,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0.019). Whole-body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was lower in POC users than </w:t>
      </w:r>
      <w:r w:rsidR="00B16BB0" w:rsidRPr="00024E20">
        <w:rPr>
          <w:rFonts w:ascii="Times New Roman" w:eastAsia="Times New Roman" w:hAnsi="Times New Roman" w:cs="Times New Roman"/>
          <w:color w:val="000000" w:themeColor="text1"/>
          <w:sz w:val="24"/>
          <w:szCs w:val="24"/>
        </w:rPr>
        <w:t xml:space="preserve">COCP </w:t>
      </w:r>
      <w:r w:rsidR="002049D3" w:rsidRPr="00024E20">
        <w:rPr>
          <w:rFonts w:ascii="Times New Roman" w:eastAsia="Times New Roman" w:hAnsi="Times New Roman" w:cs="Times New Roman"/>
          <w:color w:val="000000" w:themeColor="text1"/>
          <w:sz w:val="24"/>
          <w:szCs w:val="24"/>
        </w:rPr>
        <w:t>users (p = 0.041, g = 0.54) but not different between POC users and non-users (p = 0.053</w:t>
      </w:r>
      <w:r w:rsidR="00FE2BBC" w:rsidRPr="00024E20">
        <w:rPr>
          <w:rFonts w:ascii="Times New Roman" w:eastAsia="Times New Roman" w:hAnsi="Times New Roman" w:cs="Times New Roman"/>
          <w:color w:val="000000" w:themeColor="text1"/>
          <w:sz w:val="24"/>
          <w:szCs w:val="24"/>
        </w:rPr>
        <w:t>, g = 0.37</w:t>
      </w:r>
      <w:r w:rsidR="002049D3" w:rsidRPr="00024E20">
        <w:rPr>
          <w:rFonts w:ascii="Times New Roman" w:eastAsia="Times New Roman" w:hAnsi="Times New Roman" w:cs="Times New Roman"/>
          <w:color w:val="000000" w:themeColor="text1"/>
          <w:sz w:val="24"/>
          <w:szCs w:val="24"/>
        </w:rPr>
        <w:t>)</w:t>
      </w:r>
      <w:r w:rsidR="00C93F27" w:rsidRPr="00024E20">
        <w:rPr>
          <w:rFonts w:ascii="Times New Roman" w:eastAsia="Times New Roman" w:hAnsi="Times New Roman" w:cs="Times New Roman"/>
          <w:color w:val="000000" w:themeColor="text1"/>
          <w:sz w:val="24"/>
          <w:szCs w:val="24"/>
        </w:rPr>
        <w:t xml:space="preserve"> irrespective of week</w:t>
      </w:r>
      <w:r w:rsidR="002049D3" w:rsidRPr="00024E20">
        <w:rPr>
          <w:rFonts w:ascii="Times New Roman" w:eastAsia="Times New Roman" w:hAnsi="Times New Roman" w:cs="Times New Roman"/>
          <w:color w:val="000000" w:themeColor="text1"/>
          <w:sz w:val="24"/>
          <w:szCs w:val="24"/>
        </w:rPr>
        <w:t xml:space="preserve">. Training had no effect on trunk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(main effect of time, p = 0.963,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0.004, group × time interaction, p = 0.959,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&lt; 0.001) but there was a main effect of group (p = 0.010,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0.024)</w:t>
      </w:r>
      <w:r w:rsidR="003665E8" w:rsidRPr="00024E20">
        <w:rPr>
          <w:rFonts w:ascii="Times New Roman" w:eastAsia="Times New Roman" w:hAnsi="Times New Roman" w:cs="Times New Roman"/>
          <w:color w:val="000000" w:themeColor="text1"/>
          <w:sz w:val="24"/>
          <w:szCs w:val="24"/>
        </w:rPr>
        <w:t>, where</w:t>
      </w:r>
      <w:r w:rsidR="00E3349D" w:rsidRPr="00024E20">
        <w:rPr>
          <w:rFonts w:ascii="Times New Roman" w:eastAsia="Times New Roman" w:hAnsi="Times New Roman" w:cs="Times New Roman"/>
          <w:color w:val="000000" w:themeColor="text1"/>
          <w:sz w:val="24"/>
          <w:szCs w:val="24"/>
        </w:rPr>
        <w:t xml:space="preserve"> </w:t>
      </w:r>
      <w:r w:rsidR="003665E8" w:rsidRPr="00024E20">
        <w:rPr>
          <w:rFonts w:ascii="Times New Roman" w:eastAsia="Times New Roman" w:hAnsi="Times New Roman" w:cs="Times New Roman"/>
          <w:color w:val="000000" w:themeColor="text1"/>
          <w:sz w:val="24"/>
          <w:szCs w:val="24"/>
        </w:rPr>
        <w:t>t</w:t>
      </w:r>
      <w:r w:rsidR="002049D3" w:rsidRPr="00024E20">
        <w:rPr>
          <w:rFonts w:ascii="Times New Roman" w:eastAsia="Times New Roman" w:hAnsi="Times New Roman" w:cs="Times New Roman"/>
          <w:color w:val="000000" w:themeColor="text1"/>
          <w:sz w:val="24"/>
          <w:szCs w:val="24"/>
        </w:rPr>
        <w:t xml:space="preserve">runk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was lower in POC users than non-users (p = 0.041, g = 0.36) and COCP users (p = 0.012, g = 0.58)</w:t>
      </w:r>
      <w:r w:rsidR="00C93F27" w:rsidRPr="00024E20">
        <w:rPr>
          <w:rFonts w:ascii="Times New Roman" w:eastAsia="Times New Roman" w:hAnsi="Times New Roman" w:cs="Times New Roman"/>
          <w:color w:val="000000" w:themeColor="text1"/>
          <w:sz w:val="24"/>
          <w:szCs w:val="24"/>
        </w:rPr>
        <w:t xml:space="preserve"> irrespective of week</w:t>
      </w:r>
      <w:r w:rsidR="002049D3" w:rsidRPr="00024E20">
        <w:rPr>
          <w:rFonts w:ascii="Times New Roman" w:eastAsia="Times New Roman" w:hAnsi="Times New Roman" w:cs="Times New Roman"/>
          <w:color w:val="000000" w:themeColor="text1"/>
          <w:sz w:val="24"/>
          <w:szCs w:val="24"/>
        </w:rPr>
        <w:t xml:space="preserve">. Training increased arm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t>
      </w:r>
      <w:r w:rsidR="00967574" w:rsidRPr="00024E20">
        <w:rPr>
          <w:rFonts w:ascii="Times New Roman" w:eastAsia="Times New Roman" w:hAnsi="Times New Roman" w:cs="Times New Roman"/>
          <w:color w:val="000000" w:themeColor="text1"/>
          <w:sz w:val="24"/>
          <w:szCs w:val="24"/>
        </w:rPr>
        <w:t xml:space="preserve">1.8%,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0.070) but there was no difference between hormonal contraceptive groups (main effect of group, p = 0.065,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0.013; group × time interaction, p = 0.766,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0.002). </w:t>
      </w:r>
      <w:r w:rsidR="002049D3" w:rsidRPr="00024E20">
        <w:rPr>
          <w:rFonts w:ascii="Times New Roman" w:eastAsia="Times New Roman" w:hAnsi="Times New Roman" w:cs="Times New Roman"/>
          <w:color w:val="000000" w:themeColor="text1"/>
          <w:sz w:val="24"/>
          <w:szCs w:val="24"/>
        </w:rPr>
        <w:lastRenderedPageBreak/>
        <w:t xml:space="preserve">Training increased legs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t>
      </w:r>
      <w:r w:rsidR="00967574" w:rsidRPr="00024E20">
        <w:rPr>
          <w:rFonts w:ascii="Times New Roman" w:eastAsia="Times New Roman" w:hAnsi="Times New Roman" w:cs="Times New Roman"/>
          <w:color w:val="000000" w:themeColor="text1"/>
          <w:sz w:val="24"/>
          <w:szCs w:val="24"/>
        </w:rPr>
        <w:t xml:space="preserve">1.4%, </w:t>
      </w:r>
      <w:r w:rsidR="002049D3" w:rsidRPr="00024E20">
        <w:rPr>
          <w:rFonts w:ascii="Times New Roman" w:eastAsia="Times New Roman" w:hAnsi="Times New Roman" w:cs="Times New Roman"/>
          <w:color w:val="000000" w:themeColor="text1"/>
          <w:sz w:val="24"/>
          <w:szCs w:val="24"/>
        </w:rPr>
        <w:t>main effect of time, p &lt; 0.001,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0.369) but the training response was not different between hormonal contraceptive groups (group × time interaction, p = 0.334,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xml:space="preserve">= 0.012). There was a main effect of group for legs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(p = 0.017, η</w:t>
      </w:r>
      <w:r w:rsidR="002049D3" w:rsidRPr="00024E20">
        <w:rPr>
          <w:rFonts w:ascii="Times New Roman" w:eastAsia="Times New Roman" w:hAnsi="Times New Roman" w:cs="Times New Roman"/>
          <w:color w:val="000000" w:themeColor="text1"/>
          <w:sz w:val="24"/>
          <w:szCs w:val="24"/>
          <w:vertAlign w:val="subscript"/>
        </w:rPr>
        <w:t>p</w:t>
      </w:r>
      <w:r w:rsidR="002049D3" w:rsidRPr="00024E20">
        <w:rPr>
          <w:rFonts w:ascii="Times New Roman" w:eastAsia="Times New Roman" w:hAnsi="Times New Roman" w:cs="Times New Roman"/>
          <w:color w:val="000000" w:themeColor="text1"/>
          <w:sz w:val="24"/>
          <w:szCs w:val="24"/>
          <w:vertAlign w:val="superscript"/>
        </w:rPr>
        <w:t xml:space="preserve">2 </w:t>
      </w:r>
      <w:r w:rsidR="002049D3" w:rsidRPr="00024E20">
        <w:rPr>
          <w:rFonts w:ascii="Times New Roman" w:eastAsia="Times New Roman" w:hAnsi="Times New Roman" w:cs="Times New Roman"/>
          <w:color w:val="000000" w:themeColor="text1"/>
          <w:sz w:val="24"/>
          <w:szCs w:val="24"/>
        </w:rPr>
        <w:t>= 0.022)</w:t>
      </w:r>
      <w:r w:rsidR="00036137" w:rsidRPr="00024E20">
        <w:rPr>
          <w:rFonts w:ascii="Times New Roman" w:eastAsia="Times New Roman" w:hAnsi="Times New Roman" w:cs="Times New Roman"/>
          <w:color w:val="000000" w:themeColor="text1"/>
          <w:sz w:val="24"/>
          <w:szCs w:val="24"/>
        </w:rPr>
        <w:t>, where</w:t>
      </w:r>
      <w:r w:rsidR="002049D3" w:rsidRPr="00024E20">
        <w:rPr>
          <w:rFonts w:ascii="Times New Roman" w:eastAsia="Times New Roman" w:hAnsi="Times New Roman" w:cs="Times New Roman"/>
          <w:color w:val="000000" w:themeColor="text1"/>
          <w:sz w:val="24"/>
          <w:szCs w:val="24"/>
        </w:rPr>
        <w:t xml:space="preserve"> </w:t>
      </w:r>
      <w:r w:rsidR="00036137" w:rsidRPr="00024E20">
        <w:rPr>
          <w:rFonts w:ascii="Times New Roman" w:eastAsia="Times New Roman" w:hAnsi="Times New Roman" w:cs="Times New Roman"/>
          <w:color w:val="000000" w:themeColor="text1"/>
          <w:sz w:val="24"/>
          <w:szCs w:val="24"/>
        </w:rPr>
        <w:t>l</w:t>
      </w:r>
      <w:r w:rsidR="002049D3" w:rsidRPr="00024E20">
        <w:rPr>
          <w:rFonts w:ascii="Times New Roman" w:eastAsia="Times New Roman" w:hAnsi="Times New Roman" w:cs="Times New Roman"/>
          <w:color w:val="000000" w:themeColor="text1"/>
          <w:sz w:val="24"/>
          <w:szCs w:val="24"/>
        </w:rPr>
        <w:t xml:space="preserve">egs </w:t>
      </w:r>
      <w:proofErr w:type="spellStart"/>
      <w:r w:rsidR="002049D3" w:rsidRPr="00024E20">
        <w:rPr>
          <w:rFonts w:ascii="Times New Roman" w:eastAsia="Times New Roman" w:hAnsi="Times New Roman" w:cs="Times New Roman"/>
          <w:color w:val="000000" w:themeColor="text1"/>
          <w:sz w:val="24"/>
          <w:szCs w:val="24"/>
        </w:rPr>
        <w:t>aBMD</w:t>
      </w:r>
      <w:proofErr w:type="spellEnd"/>
      <w:r w:rsidR="002049D3" w:rsidRPr="00024E20">
        <w:rPr>
          <w:rFonts w:ascii="Times New Roman" w:eastAsia="Times New Roman" w:hAnsi="Times New Roman" w:cs="Times New Roman"/>
          <w:color w:val="000000" w:themeColor="text1"/>
          <w:sz w:val="24"/>
          <w:szCs w:val="24"/>
        </w:rPr>
        <w:t xml:space="preserve"> was lower in POC users than non-users</w:t>
      </w:r>
      <w:r w:rsidR="00C93F27" w:rsidRPr="00024E20">
        <w:rPr>
          <w:rFonts w:ascii="Times New Roman" w:eastAsia="Times New Roman" w:hAnsi="Times New Roman" w:cs="Times New Roman"/>
          <w:color w:val="000000" w:themeColor="text1"/>
          <w:sz w:val="24"/>
          <w:szCs w:val="24"/>
        </w:rPr>
        <w:t xml:space="preserve"> irrespective of week</w:t>
      </w:r>
      <w:r w:rsidR="002049D3" w:rsidRPr="00024E20">
        <w:rPr>
          <w:rFonts w:ascii="Times New Roman" w:eastAsia="Times New Roman" w:hAnsi="Times New Roman" w:cs="Times New Roman"/>
          <w:color w:val="000000" w:themeColor="text1"/>
          <w:sz w:val="24"/>
          <w:szCs w:val="24"/>
        </w:rPr>
        <w:t xml:space="preserve"> (p = 0.015, g = 0.39).</w:t>
      </w:r>
    </w:p>
    <w:p w14:paraId="67C9DA9D" w14:textId="6AC32196" w:rsidR="009609C7" w:rsidRPr="00024E20" w:rsidRDefault="009609C7" w:rsidP="00BA0470">
      <w:pPr>
        <w:spacing w:after="0" w:line="480" w:lineRule="auto"/>
        <w:jc w:val="both"/>
        <w:rPr>
          <w:rFonts w:ascii="Times New Roman" w:eastAsia="Times New Roman" w:hAnsi="Times New Roman" w:cs="Times New Roman"/>
          <w:b/>
          <w:color w:val="000000" w:themeColor="text1"/>
          <w:sz w:val="24"/>
          <w:szCs w:val="24"/>
        </w:rPr>
      </w:pPr>
    </w:p>
    <w:p w14:paraId="2D50B20E" w14:textId="394D5BDC" w:rsidR="00BA0470" w:rsidRPr="00024E20" w:rsidRDefault="000F27D0" w:rsidP="00BA0470">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 xml:space="preserve">Hormonal Contraceptives, </w:t>
      </w:r>
      <w:r w:rsidR="00BA0470" w:rsidRPr="00024E20">
        <w:rPr>
          <w:rFonts w:ascii="Times New Roman" w:eastAsia="Times New Roman" w:hAnsi="Times New Roman" w:cs="Times New Roman"/>
          <w:i/>
          <w:color w:val="000000" w:themeColor="text1"/>
          <w:sz w:val="24"/>
          <w:szCs w:val="24"/>
        </w:rPr>
        <w:t>Musculoskeletal Injur</w:t>
      </w:r>
      <w:r w:rsidR="00AC6B69" w:rsidRPr="00024E20">
        <w:rPr>
          <w:rFonts w:ascii="Times New Roman" w:eastAsia="Times New Roman" w:hAnsi="Times New Roman" w:cs="Times New Roman"/>
          <w:i/>
          <w:color w:val="000000" w:themeColor="text1"/>
          <w:sz w:val="24"/>
          <w:szCs w:val="24"/>
        </w:rPr>
        <w:t>ies</w:t>
      </w:r>
      <w:r w:rsidRPr="00024E20">
        <w:rPr>
          <w:rFonts w:ascii="Times New Roman" w:eastAsia="Times New Roman" w:hAnsi="Times New Roman" w:cs="Times New Roman"/>
          <w:i/>
          <w:color w:val="000000" w:themeColor="text1"/>
          <w:sz w:val="24"/>
          <w:szCs w:val="24"/>
        </w:rPr>
        <w:t>, and Bone Stress Injur</w:t>
      </w:r>
      <w:r w:rsidR="00AC6B69" w:rsidRPr="00024E20">
        <w:rPr>
          <w:rFonts w:ascii="Times New Roman" w:eastAsia="Times New Roman" w:hAnsi="Times New Roman" w:cs="Times New Roman"/>
          <w:i/>
          <w:color w:val="000000" w:themeColor="text1"/>
          <w:sz w:val="24"/>
          <w:szCs w:val="24"/>
        </w:rPr>
        <w:t>ies</w:t>
      </w:r>
    </w:p>
    <w:p w14:paraId="0BCB937D" w14:textId="6A0CD2BD" w:rsidR="00BA0470" w:rsidRPr="00024E20" w:rsidRDefault="00BA0470" w:rsidP="00BA0470">
      <w:pPr>
        <w:spacing w:after="0" w:line="480" w:lineRule="auto"/>
        <w:jc w:val="both"/>
        <w:rPr>
          <w:rFonts w:ascii="Times New Roman" w:eastAsia="Times New Roman" w:hAnsi="Times New Roman" w:cs="Times New Roman"/>
          <w:color w:val="000000" w:themeColor="text1"/>
          <w:sz w:val="24"/>
          <w:szCs w:val="24"/>
        </w:rPr>
      </w:pPr>
      <w:bookmarkStart w:id="6" w:name="_heading=h.tyjcwt" w:colFirst="0" w:colLast="0"/>
      <w:bookmarkEnd w:id="6"/>
      <w:r w:rsidRPr="00024E20">
        <w:rPr>
          <w:rFonts w:ascii="Times New Roman" w:eastAsia="Times New Roman" w:hAnsi="Times New Roman" w:cs="Times New Roman"/>
          <w:color w:val="000000" w:themeColor="text1"/>
          <w:sz w:val="24"/>
          <w:szCs w:val="24"/>
        </w:rPr>
        <w:t>Associations between hormonal contraceptive use and injury incidence controlling for height, body mass,</w:t>
      </w:r>
      <w:r w:rsidR="00F46177" w:rsidRPr="00024E20">
        <w:rPr>
          <w:rFonts w:ascii="Times New Roman" w:eastAsia="Times New Roman" w:hAnsi="Times New Roman" w:cs="Times New Roman"/>
          <w:color w:val="000000" w:themeColor="text1"/>
          <w:sz w:val="24"/>
          <w:szCs w:val="24"/>
        </w:rPr>
        <w:t xml:space="preserve"> age,</w:t>
      </w:r>
      <w:r w:rsidRPr="00024E20">
        <w:rPr>
          <w:rFonts w:ascii="Times New Roman" w:eastAsia="Times New Roman" w:hAnsi="Times New Roman" w:cs="Times New Roman"/>
          <w:color w:val="000000" w:themeColor="text1"/>
          <w:sz w:val="24"/>
          <w:szCs w:val="24"/>
        </w:rPr>
        <w:t xml:space="preserve"> 2.4 km run time, smoking status, and previous bone stress injury are shown in Table 3. Data with POCs broken down by</w:t>
      </w:r>
      <w:r w:rsidR="000F27D0" w:rsidRPr="00024E20">
        <w:rPr>
          <w:rFonts w:ascii="Times New Roman" w:eastAsia="Times New Roman" w:hAnsi="Times New Roman" w:cs="Times New Roman"/>
          <w:color w:val="000000" w:themeColor="text1"/>
          <w:sz w:val="24"/>
          <w:szCs w:val="24"/>
        </w:rPr>
        <w:t xml:space="preserve"> type</w:t>
      </w:r>
      <w:r w:rsidRPr="00024E20">
        <w:rPr>
          <w:rFonts w:ascii="Times New Roman" w:eastAsia="Times New Roman" w:hAnsi="Times New Roman" w:cs="Times New Roman"/>
          <w:color w:val="000000" w:themeColor="text1"/>
          <w:sz w:val="24"/>
          <w:szCs w:val="24"/>
        </w:rPr>
        <w:t xml:space="preserve"> are shown in Supplementary Table 1. </w:t>
      </w:r>
      <w:r w:rsidR="008A0914" w:rsidRPr="00024E20">
        <w:rPr>
          <w:rFonts w:ascii="Times New Roman" w:eastAsia="Times New Roman" w:hAnsi="Times New Roman" w:cs="Times New Roman"/>
          <w:color w:val="000000" w:themeColor="text1"/>
          <w:sz w:val="24"/>
          <w:szCs w:val="24"/>
        </w:rPr>
        <w:t xml:space="preserve">The incidence of at least one lower body overuse musculoskeletal injury was 33.7% and for lower body bone stress injury was 3.5% across the entire study sample. </w:t>
      </w:r>
      <w:r w:rsidRPr="00024E20">
        <w:rPr>
          <w:rFonts w:ascii="Times New Roman" w:eastAsia="Times New Roman" w:hAnsi="Times New Roman" w:cs="Times New Roman"/>
          <w:color w:val="000000" w:themeColor="text1"/>
          <w:sz w:val="24"/>
          <w:szCs w:val="24"/>
        </w:rPr>
        <w:t xml:space="preserve">There was no evidence of associations between hormonal contraceptive use and developing a lower </w:t>
      </w:r>
      <w:r w:rsidR="0009133F" w:rsidRPr="00024E20">
        <w:rPr>
          <w:rFonts w:ascii="Times New Roman" w:eastAsia="Times New Roman" w:hAnsi="Times New Roman" w:cs="Times New Roman"/>
          <w:color w:val="000000" w:themeColor="text1"/>
          <w:sz w:val="24"/>
          <w:szCs w:val="24"/>
        </w:rPr>
        <w:t>body</w:t>
      </w:r>
      <w:r w:rsidRPr="00024E20">
        <w:rPr>
          <w:rFonts w:ascii="Times New Roman" w:eastAsia="Times New Roman" w:hAnsi="Times New Roman" w:cs="Times New Roman"/>
          <w:color w:val="000000" w:themeColor="text1"/>
          <w:sz w:val="24"/>
          <w:szCs w:val="24"/>
        </w:rPr>
        <w:t xml:space="preserve"> musculoskeletal injury or </w:t>
      </w:r>
      <w:r w:rsidR="0009133F" w:rsidRPr="00024E20">
        <w:rPr>
          <w:rFonts w:ascii="Times New Roman" w:eastAsia="Times New Roman" w:hAnsi="Times New Roman" w:cs="Times New Roman"/>
          <w:color w:val="000000" w:themeColor="text1"/>
          <w:sz w:val="24"/>
          <w:szCs w:val="24"/>
        </w:rPr>
        <w:t>bo</w:t>
      </w:r>
      <w:r w:rsidR="007F618B" w:rsidRPr="00024E20">
        <w:rPr>
          <w:rFonts w:ascii="Times New Roman" w:eastAsia="Times New Roman" w:hAnsi="Times New Roman" w:cs="Times New Roman"/>
          <w:color w:val="000000" w:themeColor="text1"/>
          <w:sz w:val="24"/>
          <w:szCs w:val="24"/>
        </w:rPr>
        <w:t>ne</w:t>
      </w:r>
      <w:r w:rsidRPr="00024E20">
        <w:rPr>
          <w:rFonts w:ascii="Times New Roman" w:eastAsia="Times New Roman" w:hAnsi="Times New Roman" w:cs="Times New Roman"/>
          <w:color w:val="000000" w:themeColor="text1"/>
          <w:sz w:val="24"/>
          <w:szCs w:val="24"/>
        </w:rPr>
        <w:t xml:space="preserve"> stress </w:t>
      </w:r>
      <w:r w:rsidR="007F618B" w:rsidRPr="00024E20">
        <w:rPr>
          <w:rFonts w:ascii="Times New Roman" w:eastAsia="Times New Roman" w:hAnsi="Times New Roman" w:cs="Times New Roman"/>
          <w:color w:val="000000" w:themeColor="text1"/>
          <w:sz w:val="24"/>
          <w:szCs w:val="24"/>
        </w:rPr>
        <w:t>injury</w:t>
      </w:r>
      <w:r w:rsidRPr="00024E20">
        <w:rPr>
          <w:rFonts w:ascii="Times New Roman" w:eastAsia="Times New Roman" w:hAnsi="Times New Roman" w:cs="Times New Roman"/>
          <w:color w:val="000000" w:themeColor="text1"/>
          <w:sz w:val="24"/>
          <w:szCs w:val="24"/>
        </w:rPr>
        <w:t xml:space="preserve">. A slower run time and being a smoker were associated with greater risk of lower </w:t>
      </w:r>
      <w:r w:rsidR="0009133F" w:rsidRPr="00024E20">
        <w:rPr>
          <w:rFonts w:ascii="Times New Roman" w:eastAsia="Times New Roman" w:hAnsi="Times New Roman" w:cs="Times New Roman"/>
          <w:color w:val="000000" w:themeColor="text1"/>
          <w:sz w:val="24"/>
          <w:szCs w:val="24"/>
        </w:rPr>
        <w:t>body</w:t>
      </w:r>
      <w:r w:rsidRPr="00024E20">
        <w:rPr>
          <w:rFonts w:ascii="Times New Roman" w:eastAsia="Times New Roman" w:hAnsi="Times New Roman" w:cs="Times New Roman"/>
          <w:color w:val="000000" w:themeColor="text1"/>
          <w:sz w:val="24"/>
          <w:szCs w:val="24"/>
        </w:rPr>
        <w:t xml:space="preserve"> overuse musculoskeletal injury. </w:t>
      </w:r>
    </w:p>
    <w:p w14:paraId="36F52F82" w14:textId="77777777" w:rsidR="008A73CC" w:rsidRPr="00024E20" w:rsidRDefault="008A73CC" w:rsidP="00430357">
      <w:pPr>
        <w:spacing w:after="0" w:line="480" w:lineRule="auto"/>
        <w:jc w:val="both"/>
        <w:rPr>
          <w:rFonts w:ascii="Times New Roman" w:eastAsia="Times New Roman" w:hAnsi="Times New Roman" w:cs="Times New Roman"/>
          <w:i/>
          <w:color w:val="000000" w:themeColor="text1"/>
          <w:sz w:val="24"/>
          <w:szCs w:val="24"/>
        </w:rPr>
      </w:pPr>
    </w:p>
    <w:p w14:paraId="4F091A3C" w14:textId="2C759C2D" w:rsidR="00430357" w:rsidRPr="00024E20" w:rsidRDefault="000F27D0" w:rsidP="00430357">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 xml:space="preserve">Hormonal Contraceptives and </w:t>
      </w:r>
      <w:r w:rsidR="00430357" w:rsidRPr="00024E20">
        <w:rPr>
          <w:rFonts w:ascii="Times New Roman" w:eastAsia="Times New Roman" w:hAnsi="Times New Roman" w:cs="Times New Roman"/>
          <w:i/>
          <w:color w:val="000000" w:themeColor="text1"/>
          <w:sz w:val="24"/>
          <w:szCs w:val="24"/>
        </w:rPr>
        <w:t>Iron Status, Vitamin D Status, and Bone Metabolism</w:t>
      </w:r>
    </w:p>
    <w:p w14:paraId="50872B25" w14:textId="0B628B48" w:rsidR="00BA0470" w:rsidRPr="00024E20" w:rsidRDefault="00430357" w:rsidP="00430357">
      <w:pPr>
        <w:spacing w:after="0" w:line="480" w:lineRule="auto"/>
        <w:jc w:val="both"/>
        <w:rPr>
          <w:rStyle w:val="mw-headline"/>
          <w:rFonts w:ascii="Times New Roman" w:hAnsi="Times New Roman" w:cs="Times New Roman"/>
          <w:color w:val="000000" w:themeColor="text1"/>
          <w:sz w:val="24"/>
          <w:szCs w:val="24"/>
        </w:rPr>
      </w:pPr>
      <w:bookmarkStart w:id="7" w:name="_heading=h.3dy6vkm" w:colFirst="0" w:colLast="0"/>
      <w:bookmarkEnd w:id="7"/>
      <w:r w:rsidRPr="00024E20">
        <w:rPr>
          <w:rFonts w:ascii="Times New Roman" w:eastAsia="Times New Roman" w:hAnsi="Times New Roman" w:cs="Times New Roman"/>
          <w:color w:val="000000" w:themeColor="text1"/>
          <w:sz w:val="24"/>
          <w:szCs w:val="24"/>
        </w:rPr>
        <w:t xml:space="preserve">Biochemical markers of iron status, vitamin D status, and bone metabolism are presented in Figure 4 with mean absolute changes presented in Table </w:t>
      </w:r>
      <w:r w:rsidR="00BA0470" w:rsidRPr="00024E20">
        <w:rPr>
          <w:rFonts w:ascii="Times New Roman" w:eastAsia="Times New Roman" w:hAnsi="Times New Roman" w:cs="Times New Roman"/>
          <w:color w:val="000000" w:themeColor="text1"/>
          <w:sz w:val="24"/>
          <w:szCs w:val="24"/>
        </w:rPr>
        <w:t>2</w:t>
      </w:r>
      <w:r w:rsidRPr="00024E20">
        <w:rPr>
          <w:rFonts w:ascii="Times New Roman" w:eastAsia="Times New Roman" w:hAnsi="Times New Roman" w:cs="Times New Roman"/>
          <w:color w:val="000000" w:themeColor="text1"/>
          <w:sz w:val="24"/>
          <w:szCs w:val="24"/>
        </w:rPr>
        <w:t>. There was no effect of training (main effect of time, p = 0.968,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&lt; 0.001) or hormonal contraceptive use (main effect of group, p = 0.523,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0.003; group × time interaction, p = 0.408,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0.006) on ferritin. Training decreased haemoglobin (main effect of time, p &lt; 0.001,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0.458) but there was no difference between hormonal contraceptive groups (main effect of group, p = 0.627,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0.003; group × time interaction, p = 0.368,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0.012). Training decreased total 25(OH)D (main effect of time, p &lt; 0.001,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xml:space="preserve">= 0.060) but the training response was not different between </w:t>
      </w:r>
      <w:r w:rsidRPr="00024E20">
        <w:rPr>
          <w:rFonts w:ascii="Times New Roman" w:eastAsia="Times New Roman" w:hAnsi="Times New Roman" w:cs="Times New Roman"/>
          <w:color w:val="000000" w:themeColor="text1"/>
          <w:sz w:val="24"/>
          <w:szCs w:val="24"/>
        </w:rPr>
        <w:lastRenderedPageBreak/>
        <w:t>hormonal contraceptive groups (group × time interaction, p = 0.576,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0.003). There was a main effect of group for total 25(OH)D (p &lt; 0.001,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0.039). Total 25(OH)D was higher in COCP users than non-users (p &lt; 0.001, g = 0.45) and POC users (p &lt; 0.001, g = 0.49). Training increased PTH (main effect of time, p = 0.004,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0.026) but the training response was not different between hormonal contraceptive groups (group × time interaction, p = 0.770,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0.002). There was a main effect of group for PTH (p = 0.005,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0.023). PTH was lower in COCP users than non-users (p = 0.005, g = 0.38). Training increased βCTX (main effect of time, p &lt; 0.001,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0.077) but the training response was not different between hormonal contraceptive groups (group × time interaction, p = 0.442,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0.005). There was a main effect of group for βCTX (p &lt; 0.001, η</w:t>
      </w:r>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sdt>
        <w:sdtPr>
          <w:rPr>
            <w:rFonts w:ascii="Times New Roman" w:hAnsi="Times New Roman" w:cs="Times New Roman"/>
            <w:color w:val="000000" w:themeColor="text1"/>
          </w:rPr>
          <w:tag w:val="goog_rdk_14"/>
          <w:id w:val="-597865237"/>
        </w:sdtPr>
        <w:sdtContent>
          <w:r w:rsidRPr="00024E20">
            <w:rPr>
              <w:rFonts w:ascii="Times New Roman" w:eastAsia="Cardo" w:hAnsi="Times New Roman" w:cs="Times New Roman"/>
              <w:color w:val="000000" w:themeColor="text1"/>
              <w:sz w:val="24"/>
              <w:szCs w:val="24"/>
            </w:rPr>
            <w:t>= 0.084). βCTX was lower in COCP users than non-users and POC users (both p &lt; 0.001, g ≥ 0.43). βCTX was higher in POC users than non-users (p = 0.012, g = 0.36). There was a group × time interaction for PINP (p = 0.004, η</w:t>
          </w:r>
        </w:sdtContent>
      </w:sdt>
      <w:r w:rsidRPr="00024E20">
        <w:rPr>
          <w:rFonts w:ascii="Times New Roman" w:eastAsia="Times New Roman" w:hAnsi="Times New Roman" w:cs="Times New Roman"/>
          <w:color w:val="000000" w:themeColor="text1"/>
          <w:sz w:val="24"/>
          <w:szCs w:val="24"/>
          <w:vertAlign w:val="subscript"/>
        </w:rPr>
        <w:t>p</w:t>
      </w:r>
      <w:r w:rsidRPr="00024E20">
        <w:rPr>
          <w:rFonts w:ascii="Times New Roman" w:eastAsia="Times New Roman" w:hAnsi="Times New Roman" w:cs="Times New Roman"/>
          <w:color w:val="000000" w:themeColor="text1"/>
          <w:sz w:val="24"/>
          <w:szCs w:val="24"/>
          <w:vertAlign w:val="superscript"/>
        </w:rPr>
        <w:t xml:space="preserve">2 </w:t>
      </w:r>
      <w:r w:rsidRPr="00024E20">
        <w:rPr>
          <w:rFonts w:ascii="Times New Roman" w:eastAsia="Times New Roman" w:hAnsi="Times New Roman" w:cs="Times New Roman"/>
          <w:color w:val="000000" w:themeColor="text1"/>
          <w:sz w:val="24"/>
          <w:szCs w:val="24"/>
        </w:rPr>
        <w:t>= 0.035). PINP increased from week 1 to week 13 in all hormonal contraceptive groups</w:t>
      </w:r>
      <w:r w:rsidR="006423A0" w:rsidRPr="00024E20">
        <w:rPr>
          <w:rFonts w:ascii="Times New Roman" w:eastAsia="Times New Roman" w:hAnsi="Times New Roman" w:cs="Times New Roman"/>
          <w:color w:val="000000" w:themeColor="text1"/>
          <w:sz w:val="24"/>
          <w:szCs w:val="24"/>
        </w:rPr>
        <w:t xml:space="preserve"> with the increase larger in POC </w:t>
      </w:r>
      <w:r w:rsidR="006423A0" w:rsidRPr="00024E20">
        <w:rPr>
          <w:rFonts w:ascii="Times New Roman" w:eastAsia="Times New Roman" w:hAnsi="Times New Roman" w:cs="Times New Roman"/>
          <w:i/>
          <w:iCs/>
          <w:color w:val="000000" w:themeColor="text1"/>
          <w:sz w:val="24"/>
          <w:szCs w:val="24"/>
        </w:rPr>
        <w:t>vs</w:t>
      </w:r>
      <w:r w:rsidR="006423A0" w:rsidRPr="00024E20">
        <w:rPr>
          <w:rFonts w:ascii="Times New Roman" w:eastAsia="Times New Roman" w:hAnsi="Times New Roman" w:cs="Times New Roman"/>
          <w:color w:val="000000" w:themeColor="text1"/>
          <w:sz w:val="24"/>
          <w:szCs w:val="24"/>
        </w:rPr>
        <w:t xml:space="preserve"> COCP </w:t>
      </w:r>
      <w:r w:rsidR="006423A0" w:rsidRPr="00024E20">
        <w:rPr>
          <w:rFonts w:ascii="Times New Roman" w:eastAsia="Times New Roman" w:hAnsi="Times New Roman" w:cs="Times New Roman"/>
          <w:i/>
          <w:iCs/>
          <w:color w:val="000000" w:themeColor="text1"/>
          <w:sz w:val="24"/>
          <w:szCs w:val="24"/>
        </w:rPr>
        <w:t>vs</w:t>
      </w:r>
      <w:r w:rsidR="006423A0" w:rsidRPr="00024E20">
        <w:rPr>
          <w:rFonts w:ascii="Times New Roman" w:eastAsia="Times New Roman" w:hAnsi="Times New Roman" w:cs="Times New Roman"/>
          <w:color w:val="000000" w:themeColor="text1"/>
          <w:sz w:val="24"/>
          <w:szCs w:val="24"/>
        </w:rPr>
        <w:t xml:space="preserve"> non-users</w:t>
      </w:r>
      <w:r w:rsidRPr="00024E20">
        <w:rPr>
          <w:rFonts w:ascii="Times New Roman" w:eastAsia="Times New Roman" w:hAnsi="Times New Roman" w:cs="Times New Roman"/>
          <w:color w:val="000000" w:themeColor="text1"/>
          <w:sz w:val="24"/>
          <w:szCs w:val="24"/>
        </w:rPr>
        <w:t xml:space="preserve"> (all p </w:t>
      </w:r>
      <w:r w:rsidRPr="00024E20">
        <w:rPr>
          <w:rFonts w:ascii="Times New Roman" w:eastAsia="Symbol" w:hAnsi="Times New Roman" w:cs="Times New Roman"/>
          <w:color w:val="000000" w:themeColor="text1"/>
          <w:sz w:val="24"/>
          <w:szCs w:val="24"/>
        </w:rPr>
        <w:t>≤</w:t>
      </w:r>
      <w:r w:rsidRPr="00024E20">
        <w:rPr>
          <w:rFonts w:ascii="Times New Roman" w:eastAsia="Gungsuh" w:hAnsi="Times New Roman" w:cs="Times New Roman"/>
          <w:color w:val="000000" w:themeColor="text1"/>
          <w:sz w:val="24"/>
          <w:szCs w:val="24"/>
        </w:rPr>
        <w:t xml:space="preserve"> 0.005, g ≥ 0.30). </w:t>
      </w:r>
      <w:r w:rsidR="001630B8" w:rsidRPr="00024E20">
        <w:rPr>
          <w:rStyle w:val="mw-headline"/>
          <w:rFonts w:ascii="Times New Roman" w:hAnsi="Times New Roman" w:cs="Times New Roman"/>
          <w:color w:val="000000" w:themeColor="text1"/>
          <w:sz w:val="24"/>
          <w:szCs w:val="24"/>
        </w:rPr>
        <w:t>At week 1 and week 13, PINP was lower in COCP than non-users and POC users, and higher in POC users than non-users (all p ≤ 0.017, g ≥ 0.27).</w:t>
      </w:r>
    </w:p>
    <w:p w14:paraId="3BD2505B" w14:textId="3F92E0EB" w:rsidR="00430357" w:rsidRPr="00024E20" w:rsidRDefault="00430357" w:rsidP="009609C7">
      <w:pPr>
        <w:spacing w:after="0" w:line="480" w:lineRule="auto"/>
        <w:rPr>
          <w:rFonts w:ascii="Times New Roman" w:eastAsia="Times New Roman" w:hAnsi="Times New Roman" w:cs="Times New Roman"/>
          <w:color w:val="000000" w:themeColor="text1"/>
          <w:sz w:val="24"/>
          <w:szCs w:val="24"/>
        </w:rPr>
      </w:pPr>
    </w:p>
    <w:p w14:paraId="5123EC1E" w14:textId="021B9918"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Discussion</w:t>
      </w:r>
    </w:p>
    <w:p w14:paraId="6A260AD8" w14:textId="0BA8CE2F" w:rsidR="00F71CDB" w:rsidRPr="00024E20" w:rsidRDefault="002049D3">
      <w:pPr>
        <w:spacing w:after="0" w:line="480" w:lineRule="auto"/>
        <w:jc w:val="both"/>
        <w:rPr>
          <w:rFonts w:ascii="Times New Roman" w:eastAsia="Times New Roman" w:hAnsi="Times New Roman" w:cs="Times New Roman"/>
          <w:color w:val="000000" w:themeColor="text1"/>
          <w:sz w:val="24"/>
          <w:szCs w:val="24"/>
        </w:rPr>
      </w:pPr>
      <w:bookmarkStart w:id="8" w:name="_heading=h.1t3h5sf" w:colFirst="0" w:colLast="0"/>
      <w:bookmarkEnd w:id="8"/>
      <w:r w:rsidRPr="00024E20">
        <w:rPr>
          <w:rFonts w:ascii="Times New Roman" w:eastAsia="Times New Roman" w:hAnsi="Times New Roman" w:cs="Times New Roman"/>
          <w:color w:val="000000" w:themeColor="text1"/>
          <w:sz w:val="24"/>
          <w:szCs w:val="24"/>
        </w:rPr>
        <w:t>Military training improved physical performance and body composition</w:t>
      </w:r>
      <w:r w:rsidR="001630B8"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but hormonal contraceptive use was not associated with adaptations in </w:t>
      </w:r>
      <w:r w:rsidR="00275DF9" w:rsidRPr="00024E20">
        <w:rPr>
          <w:rFonts w:ascii="Times New Roman" w:eastAsia="Times New Roman" w:hAnsi="Times New Roman" w:cs="Times New Roman"/>
          <w:color w:val="000000" w:themeColor="text1"/>
          <w:sz w:val="24"/>
          <w:szCs w:val="24"/>
        </w:rPr>
        <w:t xml:space="preserve">aerobic </w:t>
      </w:r>
      <w:r w:rsidRPr="00024E20">
        <w:rPr>
          <w:rFonts w:ascii="Times New Roman" w:eastAsia="Times New Roman" w:hAnsi="Times New Roman" w:cs="Times New Roman"/>
          <w:color w:val="000000" w:themeColor="text1"/>
          <w:sz w:val="24"/>
          <w:szCs w:val="24"/>
        </w:rPr>
        <w:t>endurance,</w:t>
      </w:r>
      <w:r w:rsidR="00275DF9" w:rsidRPr="00024E20">
        <w:rPr>
          <w:rFonts w:ascii="Times New Roman" w:eastAsia="Times New Roman" w:hAnsi="Times New Roman" w:cs="Times New Roman"/>
          <w:color w:val="000000" w:themeColor="text1"/>
          <w:sz w:val="24"/>
          <w:szCs w:val="24"/>
        </w:rPr>
        <w:t xml:space="preserve"> muscle</w:t>
      </w:r>
      <w:r w:rsidRPr="00024E20">
        <w:rPr>
          <w:rFonts w:ascii="Times New Roman" w:eastAsia="Times New Roman" w:hAnsi="Times New Roman" w:cs="Times New Roman"/>
          <w:color w:val="000000" w:themeColor="text1"/>
          <w:sz w:val="24"/>
          <w:szCs w:val="24"/>
        </w:rPr>
        <w:t xml:space="preserve"> strength</w:t>
      </w:r>
      <w:r w:rsidR="00275DF9" w:rsidRPr="00024E20">
        <w:rPr>
          <w:rFonts w:ascii="Times New Roman" w:eastAsia="Times New Roman" w:hAnsi="Times New Roman" w:cs="Times New Roman"/>
          <w:color w:val="000000" w:themeColor="text1"/>
          <w:sz w:val="24"/>
          <w:szCs w:val="24"/>
        </w:rPr>
        <w:t xml:space="preserve"> or</w:t>
      </w:r>
      <w:r w:rsidRPr="00024E20">
        <w:rPr>
          <w:rFonts w:ascii="Times New Roman" w:eastAsia="Times New Roman" w:hAnsi="Times New Roman" w:cs="Times New Roman"/>
          <w:color w:val="000000" w:themeColor="text1"/>
          <w:sz w:val="24"/>
          <w:szCs w:val="24"/>
        </w:rPr>
        <w:t xml:space="preserve"> power, </w:t>
      </w:r>
      <w:r w:rsidR="004F26B9" w:rsidRPr="00024E20">
        <w:rPr>
          <w:rFonts w:ascii="Times New Roman" w:eastAsia="Times New Roman" w:hAnsi="Times New Roman" w:cs="Times New Roman"/>
          <w:color w:val="000000" w:themeColor="text1"/>
          <w:sz w:val="24"/>
          <w:szCs w:val="24"/>
        </w:rPr>
        <w:t xml:space="preserve">lean mass, </w:t>
      </w:r>
      <w:r w:rsidRPr="00024E20">
        <w:rPr>
          <w:rFonts w:ascii="Times New Roman" w:eastAsia="Times New Roman" w:hAnsi="Times New Roman" w:cs="Times New Roman"/>
          <w:color w:val="000000" w:themeColor="text1"/>
          <w:sz w:val="24"/>
          <w:szCs w:val="24"/>
        </w:rPr>
        <w:t xml:space="preserve">fat mass, or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t>
      </w:r>
      <w:r w:rsidR="00275DF9" w:rsidRPr="00024E20">
        <w:rPr>
          <w:rFonts w:ascii="Times New Roman" w:eastAsia="Times New Roman" w:hAnsi="Times New Roman" w:cs="Times New Roman"/>
          <w:color w:val="000000" w:themeColor="text1"/>
          <w:sz w:val="24"/>
          <w:szCs w:val="24"/>
        </w:rPr>
        <w:t xml:space="preserve">The use of POCs </w:t>
      </w:r>
      <w:r w:rsidRPr="00024E20">
        <w:rPr>
          <w:rFonts w:ascii="Times New Roman" w:eastAsia="Times New Roman" w:hAnsi="Times New Roman" w:cs="Times New Roman"/>
          <w:color w:val="000000" w:themeColor="text1"/>
          <w:sz w:val="24"/>
          <w:szCs w:val="24"/>
        </w:rPr>
        <w:t xml:space="preserve">was associated with lower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and higher</w:t>
      </w:r>
      <w:r w:rsidR="00275DF9" w:rsidRPr="00024E20">
        <w:rPr>
          <w:rFonts w:ascii="Times New Roman" w:eastAsia="Times New Roman" w:hAnsi="Times New Roman" w:cs="Times New Roman"/>
          <w:color w:val="000000" w:themeColor="text1"/>
          <w:sz w:val="24"/>
          <w:szCs w:val="24"/>
        </w:rPr>
        <w:t xml:space="preserve"> circulating markers of</w:t>
      </w:r>
      <w:r w:rsidRPr="00024E20">
        <w:rPr>
          <w:rFonts w:ascii="Times New Roman" w:eastAsia="Times New Roman" w:hAnsi="Times New Roman" w:cs="Times New Roman"/>
          <w:color w:val="000000" w:themeColor="text1"/>
          <w:sz w:val="24"/>
          <w:szCs w:val="24"/>
        </w:rPr>
        <w:t xml:space="preserve"> bone resorption and formation</w:t>
      </w:r>
      <w:r w:rsidR="006A6599" w:rsidRPr="00024E20">
        <w:rPr>
          <w:rFonts w:ascii="Times New Roman" w:eastAsia="Times New Roman" w:hAnsi="Times New Roman" w:cs="Times New Roman"/>
          <w:color w:val="000000" w:themeColor="text1"/>
          <w:sz w:val="24"/>
          <w:szCs w:val="24"/>
        </w:rPr>
        <w:t xml:space="preserve"> than non-users and / or COCP users</w:t>
      </w:r>
      <w:r w:rsidR="000966CA" w:rsidRPr="00024E20">
        <w:rPr>
          <w:rFonts w:ascii="Times New Roman" w:eastAsia="Times New Roman" w:hAnsi="Times New Roman" w:cs="Times New Roman"/>
          <w:color w:val="000000" w:themeColor="text1"/>
          <w:sz w:val="24"/>
          <w:szCs w:val="24"/>
        </w:rPr>
        <w:t xml:space="preserve"> (at both time-points)</w:t>
      </w:r>
      <w:r w:rsidR="00B05037" w:rsidRPr="00024E20">
        <w:rPr>
          <w:rFonts w:ascii="Times New Roman" w:eastAsia="Times New Roman" w:hAnsi="Times New Roman" w:cs="Times New Roman"/>
          <w:color w:val="000000" w:themeColor="text1"/>
          <w:sz w:val="24"/>
          <w:szCs w:val="24"/>
        </w:rPr>
        <w:t xml:space="preserve">. The use of </w:t>
      </w:r>
      <w:r w:rsidR="00142CF3" w:rsidRPr="00024E20">
        <w:rPr>
          <w:rFonts w:ascii="Times New Roman" w:eastAsia="Times New Roman" w:hAnsi="Times New Roman" w:cs="Times New Roman"/>
          <w:color w:val="000000" w:themeColor="text1"/>
          <w:sz w:val="24"/>
          <w:szCs w:val="24"/>
        </w:rPr>
        <w:t>COCP</w:t>
      </w:r>
      <w:r w:rsidR="00B05037" w:rsidRPr="00024E20">
        <w:rPr>
          <w:rFonts w:ascii="Times New Roman" w:eastAsia="Times New Roman" w:hAnsi="Times New Roman" w:cs="Times New Roman"/>
          <w:color w:val="000000" w:themeColor="text1"/>
          <w:sz w:val="24"/>
          <w:szCs w:val="24"/>
        </w:rPr>
        <w:t>s</w:t>
      </w:r>
      <w:r w:rsidR="00142CF3" w:rsidRPr="00024E20">
        <w:rPr>
          <w:rFonts w:ascii="Times New Roman" w:eastAsia="Times New Roman" w:hAnsi="Times New Roman" w:cs="Times New Roman"/>
          <w:color w:val="000000" w:themeColor="text1"/>
          <w:sz w:val="24"/>
          <w:szCs w:val="24"/>
        </w:rPr>
        <w:t xml:space="preserve"> was associated with</w:t>
      </w:r>
      <w:r w:rsidR="001630B8" w:rsidRPr="00024E20">
        <w:rPr>
          <w:rFonts w:ascii="Times New Roman" w:eastAsia="Times New Roman" w:hAnsi="Times New Roman" w:cs="Times New Roman"/>
          <w:color w:val="000000" w:themeColor="text1"/>
          <w:sz w:val="24"/>
          <w:szCs w:val="24"/>
        </w:rPr>
        <w:t xml:space="preserve"> lower circulating markers of bone resorption and formation and</w:t>
      </w:r>
      <w:r w:rsidR="00142CF3" w:rsidRPr="00024E20">
        <w:rPr>
          <w:rFonts w:ascii="Times New Roman" w:eastAsia="Times New Roman" w:hAnsi="Times New Roman" w:cs="Times New Roman"/>
          <w:color w:val="000000" w:themeColor="text1"/>
          <w:sz w:val="24"/>
          <w:szCs w:val="24"/>
        </w:rPr>
        <w:t xml:space="preserve"> higher total 25(OH)D</w:t>
      </w:r>
      <w:r w:rsidR="006A6599" w:rsidRPr="00024E20">
        <w:rPr>
          <w:rFonts w:ascii="Times New Roman" w:eastAsia="Times New Roman" w:hAnsi="Times New Roman" w:cs="Times New Roman"/>
          <w:color w:val="000000" w:themeColor="text1"/>
          <w:sz w:val="24"/>
          <w:szCs w:val="24"/>
        </w:rPr>
        <w:t xml:space="preserve"> than non-users and POC users</w:t>
      </w:r>
      <w:r w:rsidR="000966CA" w:rsidRPr="00024E20">
        <w:rPr>
          <w:rFonts w:ascii="Times New Roman" w:eastAsia="Times New Roman" w:hAnsi="Times New Roman" w:cs="Times New Roman"/>
          <w:color w:val="000000" w:themeColor="text1"/>
          <w:sz w:val="24"/>
          <w:szCs w:val="24"/>
        </w:rPr>
        <w:t xml:space="preserve"> (at both time-points)</w:t>
      </w:r>
      <w:r w:rsidR="00B05037" w:rsidRPr="00024E20">
        <w:rPr>
          <w:rFonts w:ascii="Times New Roman" w:eastAsia="Times New Roman" w:hAnsi="Times New Roman" w:cs="Times New Roman"/>
          <w:color w:val="000000" w:themeColor="text1"/>
          <w:sz w:val="24"/>
          <w:szCs w:val="24"/>
        </w:rPr>
        <w:t>.</w:t>
      </w:r>
      <w:r w:rsidR="006A6599" w:rsidRPr="00024E20">
        <w:rPr>
          <w:rFonts w:ascii="Times New Roman" w:eastAsia="Times New Roman" w:hAnsi="Times New Roman" w:cs="Times New Roman"/>
          <w:color w:val="000000" w:themeColor="text1"/>
          <w:sz w:val="24"/>
          <w:szCs w:val="24"/>
        </w:rPr>
        <w:t xml:space="preserve"> </w:t>
      </w:r>
      <w:r w:rsidR="00B05037" w:rsidRPr="00024E20">
        <w:rPr>
          <w:rFonts w:ascii="Times New Roman" w:eastAsia="Times New Roman" w:hAnsi="Times New Roman" w:cs="Times New Roman"/>
          <w:color w:val="000000" w:themeColor="text1"/>
          <w:sz w:val="24"/>
          <w:szCs w:val="24"/>
        </w:rPr>
        <w:t>T</w:t>
      </w:r>
      <w:r w:rsidRPr="00024E20">
        <w:rPr>
          <w:rFonts w:ascii="Times New Roman" w:eastAsia="Times New Roman" w:hAnsi="Times New Roman" w:cs="Times New Roman"/>
          <w:color w:val="000000" w:themeColor="text1"/>
          <w:sz w:val="24"/>
          <w:szCs w:val="24"/>
        </w:rPr>
        <w:t xml:space="preserve">hese </w:t>
      </w:r>
      <w:r w:rsidR="001630B8" w:rsidRPr="00024E20">
        <w:rPr>
          <w:rFonts w:ascii="Times New Roman" w:eastAsia="Times New Roman" w:hAnsi="Times New Roman" w:cs="Times New Roman"/>
          <w:color w:val="000000" w:themeColor="text1"/>
          <w:sz w:val="24"/>
          <w:szCs w:val="24"/>
        </w:rPr>
        <w:t xml:space="preserve">differences between hormonal contraceptive </w:t>
      </w:r>
      <w:r w:rsidR="0049159F" w:rsidRPr="00024E20">
        <w:rPr>
          <w:rFonts w:ascii="Times New Roman" w:eastAsia="Times New Roman" w:hAnsi="Times New Roman" w:cs="Times New Roman"/>
          <w:color w:val="000000" w:themeColor="text1"/>
          <w:sz w:val="24"/>
          <w:szCs w:val="24"/>
        </w:rPr>
        <w:t>groups</w:t>
      </w:r>
      <w:r w:rsidRPr="00024E20">
        <w:rPr>
          <w:rFonts w:ascii="Times New Roman" w:eastAsia="Times New Roman" w:hAnsi="Times New Roman" w:cs="Times New Roman"/>
          <w:color w:val="000000" w:themeColor="text1"/>
          <w:sz w:val="24"/>
          <w:szCs w:val="24"/>
        </w:rPr>
        <w:t xml:space="preserve"> did not </w:t>
      </w:r>
      <w:r w:rsidR="00704C88" w:rsidRPr="00024E20">
        <w:rPr>
          <w:rFonts w:ascii="Times New Roman" w:eastAsia="Times New Roman" w:hAnsi="Times New Roman" w:cs="Times New Roman"/>
          <w:color w:val="000000" w:themeColor="text1"/>
          <w:sz w:val="24"/>
          <w:szCs w:val="24"/>
        </w:rPr>
        <w:t>influence</w:t>
      </w:r>
      <w:r w:rsidRPr="00024E20">
        <w:rPr>
          <w:rFonts w:ascii="Times New Roman" w:eastAsia="Times New Roman" w:hAnsi="Times New Roman" w:cs="Times New Roman"/>
          <w:color w:val="000000" w:themeColor="text1"/>
          <w:sz w:val="24"/>
          <w:szCs w:val="24"/>
        </w:rPr>
        <w:t xml:space="preserve"> </w:t>
      </w:r>
      <w:r w:rsidR="00E75E80" w:rsidRPr="00024E20">
        <w:rPr>
          <w:rFonts w:ascii="Times New Roman" w:eastAsia="Times New Roman" w:hAnsi="Times New Roman" w:cs="Times New Roman"/>
          <w:color w:val="000000" w:themeColor="text1"/>
          <w:sz w:val="24"/>
          <w:szCs w:val="24"/>
        </w:rPr>
        <w:lastRenderedPageBreak/>
        <w:t xml:space="preserve">lower body </w:t>
      </w:r>
      <w:r w:rsidR="00704C88" w:rsidRPr="00024E20">
        <w:rPr>
          <w:rFonts w:ascii="Times New Roman" w:eastAsia="Times New Roman" w:hAnsi="Times New Roman" w:cs="Times New Roman"/>
          <w:color w:val="000000" w:themeColor="text1"/>
          <w:sz w:val="24"/>
          <w:szCs w:val="24"/>
        </w:rPr>
        <w:t>over</w:t>
      </w:r>
      <w:r w:rsidR="00E75E80" w:rsidRPr="00024E20">
        <w:rPr>
          <w:rFonts w:ascii="Times New Roman" w:eastAsia="Times New Roman" w:hAnsi="Times New Roman" w:cs="Times New Roman"/>
          <w:color w:val="000000" w:themeColor="text1"/>
          <w:sz w:val="24"/>
          <w:szCs w:val="24"/>
        </w:rPr>
        <w:t>use</w:t>
      </w:r>
      <w:r w:rsidR="00704C88"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musculoskeletal</w:t>
      </w:r>
      <w:r w:rsidR="00275DF9"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or </w:t>
      </w:r>
      <w:r w:rsidR="00704C88" w:rsidRPr="00024E20">
        <w:rPr>
          <w:rFonts w:ascii="Times New Roman" w:eastAsia="Times New Roman" w:hAnsi="Times New Roman" w:cs="Times New Roman"/>
          <w:color w:val="000000" w:themeColor="text1"/>
          <w:sz w:val="24"/>
          <w:szCs w:val="24"/>
        </w:rPr>
        <w:t>bone stress injury</w:t>
      </w:r>
      <w:r w:rsidR="00275DF9"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risk. </w:t>
      </w:r>
      <w:r w:rsidR="00E132C5" w:rsidRPr="00024E20">
        <w:rPr>
          <w:rFonts w:ascii="Times New Roman" w:eastAsia="Times New Roman" w:hAnsi="Times New Roman" w:cs="Times New Roman"/>
          <w:color w:val="000000" w:themeColor="text1"/>
          <w:sz w:val="24"/>
          <w:szCs w:val="24"/>
        </w:rPr>
        <w:t>T</w:t>
      </w:r>
      <w:r w:rsidR="00142CF3" w:rsidRPr="00024E20">
        <w:rPr>
          <w:rFonts w:ascii="Times New Roman" w:eastAsia="Times New Roman" w:hAnsi="Times New Roman" w:cs="Times New Roman"/>
          <w:color w:val="000000" w:themeColor="text1"/>
          <w:sz w:val="24"/>
          <w:szCs w:val="24"/>
        </w:rPr>
        <w:t>he data from th</w:t>
      </w:r>
      <w:r w:rsidR="00E132C5" w:rsidRPr="00024E20">
        <w:rPr>
          <w:rFonts w:ascii="Times New Roman" w:eastAsia="Times New Roman" w:hAnsi="Times New Roman" w:cs="Times New Roman"/>
          <w:color w:val="000000" w:themeColor="text1"/>
          <w:sz w:val="24"/>
          <w:szCs w:val="24"/>
        </w:rPr>
        <w:t>is</w:t>
      </w:r>
      <w:r w:rsidR="00142CF3" w:rsidRPr="00024E20">
        <w:rPr>
          <w:rFonts w:ascii="Times New Roman" w:eastAsia="Times New Roman" w:hAnsi="Times New Roman" w:cs="Times New Roman"/>
          <w:color w:val="000000" w:themeColor="text1"/>
          <w:sz w:val="24"/>
          <w:szCs w:val="24"/>
        </w:rPr>
        <w:t xml:space="preserve"> study</w:t>
      </w:r>
      <w:r w:rsidR="00275DF9" w:rsidRPr="00024E20">
        <w:rPr>
          <w:rFonts w:ascii="Times New Roman" w:eastAsia="Times New Roman" w:hAnsi="Times New Roman" w:cs="Times New Roman"/>
          <w:color w:val="000000" w:themeColor="text1"/>
          <w:sz w:val="24"/>
          <w:szCs w:val="24"/>
        </w:rPr>
        <w:t xml:space="preserve"> </w:t>
      </w:r>
      <w:r w:rsidR="004A1234" w:rsidRPr="00024E20">
        <w:rPr>
          <w:rFonts w:ascii="Times New Roman" w:eastAsia="Times New Roman" w:hAnsi="Times New Roman" w:cs="Times New Roman"/>
          <w:color w:val="000000" w:themeColor="text1"/>
          <w:sz w:val="24"/>
          <w:szCs w:val="24"/>
        </w:rPr>
        <w:t xml:space="preserve">do not support </w:t>
      </w:r>
      <w:r w:rsidR="006A6599" w:rsidRPr="00024E20">
        <w:rPr>
          <w:rFonts w:ascii="Times New Roman" w:eastAsia="Times New Roman" w:hAnsi="Times New Roman" w:cs="Times New Roman"/>
          <w:color w:val="000000" w:themeColor="text1"/>
          <w:sz w:val="24"/>
          <w:szCs w:val="24"/>
        </w:rPr>
        <w:t xml:space="preserve">making </w:t>
      </w:r>
      <w:r w:rsidR="00142CF3" w:rsidRPr="00024E20">
        <w:rPr>
          <w:rFonts w:ascii="Times New Roman" w:eastAsia="Times New Roman" w:hAnsi="Times New Roman" w:cs="Times New Roman"/>
          <w:color w:val="000000" w:themeColor="text1"/>
          <w:sz w:val="24"/>
          <w:szCs w:val="24"/>
        </w:rPr>
        <w:t xml:space="preserve">hormonal contraceptive choices based on </w:t>
      </w:r>
      <w:r w:rsidR="006A6599" w:rsidRPr="00024E20">
        <w:rPr>
          <w:rFonts w:ascii="Times New Roman" w:eastAsia="Times New Roman" w:hAnsi="Times New Roman" w:cs="Times New Roman"/>
          <w:color w:val="000000" w:themeColor="text1"/>
          <w:sz w:val="24"/>
          <w:szCs w:val="24"/>
        </w:rPr>
        <w:t xml:space="preserve">adaptations to training or injury risk </w:t>
      </w:r>
      <w:r w:rsidR="00E132C5" w:rsidRPr="00024E20">
        <w:rPr>
          <w:rFonts w:ascii="Times New Roman" w:eastAsia="Times New Roman" w:hAnsi="Times New Roman" w:cs="Times New Roman"/>
          <w:color w:val="000000" w:themeColor="text1"/>
          <w:sz w:val="24"/>
          <w:szCs w:val="24"/>
        </w:rPr>
        <w:t>in</w:t>
      </w:r>
      <w:r w:rsidR="00AC5D53" w:rsidRPr="00024E20">
        <w:rPr>
          <w:rFonts w:ascii="Times New Roman" w:eastAsia="Times New Roman" w:hAnsi="Times New Roman" w:cs="Times New Roman"/>
          <w:color w:val="000000" w:themeColor="text1"/>
          <w:sz w:val="24"/>
          <w:szCs w:val="24"/>
        </w:rPr>
        <w:t xml:space="preserve"> basic</w:t>
      </w:r>
      <w:r w:rsidR="00E132C5" w:rsidRPr="00024E20">
        <w:rPr>
          <w:rFonts w:ascii="Times New Roman" w:eastAsia="Times New Roman" w:hAnsi="Times New Roman" w:cs="Times New Roman"/>
          <w:color w:val="000000" w:themeColor="text1"/>
          <w:sz w:val="24"/>
          <w:szCs w:val="24"/>
        </w:rPr>
        <w:t xml:space="preserve"> </w:t>
      </w:r>
      <w:r w:rsidR="0049159F" w:rsidRPr="00024E20">
        <w:rPr>
          <w:rFonts w:ascii="Times New Roman" w:eastAsia="Times New Roman" w:hAnsi="Times New Roman" w:cs="Times New Roman"/>
          <w:color w:val="000000" w:themeColor="text1"/>
          <w:sz w:val="24"/>
          <w:szCs w:val="24"/>
        </w:rPr>
        <w:t>military</w:t>
      </w:r>
      <w:r w:rsidR="00E132C5" w:rsidRPr="00024E20">
        <w:rPr>
          <w:rFonts w:ascii="Times New Roman" w:eastAsia="Times New Roman" w:hAnsi="Times New Roman" w:cs="Times New Roman"/>
          <w:color w:val="000000" w:themeColor="text1"/>
          <w:sz w:val="24"/>
          <w:szCs w:val="24"/>
        </w:rPr>
        <w:t xml:space="preserve"> training</w:t>
      </w:r>
      <w:r w:rsidR="00AC5D53" w:rsidRPr="00024E20">
        <w:rPr>
          <w:rFonts w:ascii="Times New Roman" w:eastAsia="Times New Roman" w:hAnsi="Times New Roman" w:cs="Times New Roman"/>
          <w:color w:val="000000" w:themeColor="text1"/>
          <w:sz w:val="24"/>
          <w:szCs w:val="24"/>
        </w:rPr>
        <w:t>, but there may be longer term implications for skeletal health</w:t>
      </w:r>
      <w:r w:rsidR="00142CF3"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The</w:t>
      </w:r>
      <w:r w:rsidR="00142CF3"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large sample </w:t>
      </w:r>
      <w:r w:rsidR="00142CF3" w:rsidRPr="00024E20">
        <w:rPr>
          <w:rFonts w:ascii="Times New Roman" w:eastAsia="Times New Roman" w:hAnsi="Times New Roman" w:cs="Times New Roman"/>
          <w:color w:val="000000" w:themeColor="text1"/>
          <w:sz w:val="24"/>
          <w:szCs w:val="24"/>
        </w:rPr>
        <w:t xml:space="preserve">of </w:t>
      </w:r>
      <w:r w:rsidR="0005318E" w:rsidRPr="00024E20">
        <w:rPr>
          <w:rFonts w:ascii="Times New Roman" w:eastAsia="Times New Roman" w:hAnsi="Times New Roman" w:cs="Times New Roman"/>
          <w:color w:val="000000" w:themeColor="text1"/>
          <w:sz w:val="24"/>
          <w:szCs w:val="24"/>
        </w:rPr>
        <w:t xml:space="preserve">female recruits </w:t>
      </w:r>
      <w:r w:rsidR="00142CF3" w:rsidRPr="00024E20">
        <w:rPr>
          <w:rFonts w:ascii="Times New Roman" w:eastAsia="Times New Roman" w:hAnsi="Times New Roman" w:cs="Times New Roman"/>
          <w:color w:val="000000" w:themeColor="text1"/>
          <w:sz w:val="24"/>
          <w:szCs w:val="24"/>
        </w:rPr>
        <w:t xml:space="preserve">completing the same training </w:t>
      </w:r>
      <w:r w:rsidRPr="00024E20">
        <w:rPr>
          <w:rFonts w:ascii="Times New Roman" w:eastAsia="Times New Roman" w:hAnsi="Times New Roman" w:cs="Times New Roman"/>
          <w:color w:val="000000" w:themeColor="text1"/>
          <w:sz w:val="24"/>
          <w:szCs w:val="24"/>
        </w:rPr>
        <w:t>provides novel insight into the effects of hormonal contraceptives on physical performance</w:t>
      </w:r>
      <w:r w:rsidR="004A1234" w:rsidRPr="00024E20">
        <w:rPr>
          <w:rFonts w:ascii="Times New Roman" w:eastAsia="Times New Roman" w:hAnsi="Times New Roman" w:cs="Times New Roman"/>
          <w:color w:val="000000" w:themeColor="text1"/>
          <w:sz w:val="24"/>
          <w:szCs w:val="24"/>
        </w:rPr>
        <w:t>, body composition,</w:t>
      </w:r>
      <w:r w:rsidRPr="00024E20">
        <w:rPr>
          <w:rFonts w:ascii="Times New Roman" w:eastAsia="Times New Roman" w:hAnsi="Times New Roman" w:cs="Times New Roman"/>
          <w:color w:val="000000" w:themeColor="text1"/>
          <w:sz w:val="24"/>
          <w:szCs w:val="24"/>
        </w:rPr>
        <w:t xml:space="preserve"> </w:t>
      </w:r>
      <w:r w:rsidR="00E75E80" w:rsidRPr="00024E20">
        <w:rPr>
          <w:rFonts w:ascii="Times New Roman" w:eastAsia="Times New Roman" w:hAnsi="Times New Roman" w:cs="Times New Roman"/>
          <w:color w:val="000000" w:themeColor="text1"/>
          <w:sz w:val="24"/>
          <w:szCs w:val="24"/>
        </w:rPr>
        <w:t xml:space="preserve">injury risk, </w:t>
      </w:r>
      <w:r w:rsidRPr="00024E20">
        <w:rPr>
          <w:rFonts w:ascii="Times New Roman" w:eastAsia="Times New Roman" w:hAnsi="Times New Roman" w:cs="Times New Roman"/>
          <w:color w:val="000000" w:themeColor="text1"/>
          <w:sz w:val="24"/>
          <w:szCs w:val="24"/>
        </w:rPr>
        <w:t xml:space="preserve">and musculoskeletal </w:t>
      </w:r>
      <w:r w:rsidR="004A1234" w:rsidRPr="00024E20">
        <w:rPr>
          <w:rFonts w:ascii="Times New Roman" w:eastAsia="Times New Roman" w:hAnsi="Times New Roman" w:cs="Times New Roman"/>
          <w:color w:val="000000" w:themeColor="text1"/>
          <w:sz w:val="24"/>
          <w:szCs w:val="24"/>
        </w:rPr>
        <w:t>adaptations to exercise</w:t>
      </w:r>
      <w:r w:rsidRPr="00024E20">
        <w:rPr>
          <w:rFonts w:ascii="Times New Roman" w:eastAsia="Times New Roman" w:hAnsi="Times New Roman" w:cs="Times New Roman"/>
          <w:color w:val="000000" w:themeColor="text1"/>
          <w:sz w:val="24"/>
          <w:szCs w:val="24"/>
        </w:rPr>
        <w:t xml:space="preserve"> in young </w:t>
      </w:r>
      <w:r w:rsidR="00142CF3" w:rsidRPr="00024E20">
        <w:rPr>
          <w:rFonts w:ascii="Times New Roman" w:eastAsia="Times New Roman" w:hAnsi="Times New Roman" w:cs="Times New Roman"/>
          <w:color w:val="000000" w:themeColor="text1"/>
          <w:sz w:val="24"/>
          <w:szCs w:val="24"/>
        </w:rPr>
        <w:t xml:space="preserve">physically active </w:t>
      </w:r>
      <w:r w:rsidR="00210775" w:rsidRPr="00024E20">
        <w:rPr>
          <w:rFonts w:ascii="Times New Roman" w:eastAsia="Times New Roman" w:hAnsi="Times New Roman" w:cs="Times New Roman"/>
          <w:color w:val="000000" w:themeColor="text1"/>
          <w:sz w:val="24"/>
          <w:szCs w:val="24"/>
        </w:rPr>
        <w:t>women</w:t>
      </w:r>
      <w:r w:rsidRPr="00024E20">
        <w:rPr>
          <w:rFonts w:ascii="Times New Roman" w:eastAsia="Times New Roman" w:hAnsi="Times New Roman" w:cs="Times New Roman"/>
          <w:color w:val="000000" w:themeColor="text1"/>
          <w:sz w:val="24"/>
          <w:szCs w:val="24"/>
        </w:rPr>
        <w:t>.</w:t>
      </w:r>
    </w:p>
    <w:p w14:paraId="507AF967" w14:textId="77777777" w:rsidR="00F71CDB" w:rsidRPr="00024E20" w:rsidRDefault="00F71CDB">
      <w:pPr>
        <w:spacing w:after="0" w:line="480" w:lineRule="auto"/>
        <w:jc w:val="both"/>
        <w:rPr>
          <w:rFonts w:ascii="Times New Roman" w:eastAsia="Times New Roman" w:hAnsi="Times New Roman" w:cs="Times New Roman"/>
          <w:b/>
          <w:color w:val="000000" w:themeColor="text1"/>
          <w:sz w:val="24"/>
          <w:szCs w:val="24"/>
        </w:rPr>
      </w:pPr>
    </w:p>
    <w:p w14:paraId="18BEC4B4" w14:textId="6BBCCAEB"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Endurance</w:t>
      </w:r>
      <w:r w:rsidR="00C26E53" w:rsidRPr="00024E20">
        <w:rPr>
          <w:rFonts w:ascii="Times New Roman" w:eastAsia="Times New Roman" w:hAnsi="Times New Roman" w:cs="Times New Roman"/>
          <w:i/>
          <w:color w:val="000000" w:themeColor="text1"/>
          <w:sz w:val="24"/>
          <w:szCs w:val="24"/>
        </w:rPr>
        <w:t xml:space="preserve"> Performance</w:t>
      </w:r>
    </w:p>
    <w:p w14:paraId="3EE10A0F" w14:textId="08DAD320" w:rsidR="00F71CDB"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Training decreased 2.4 km run time</w:t>
      </w:r>
      <w:r w:rsidR="005F3458" w:rsidRPr="00024E20">
        <w:rPr>
          <w:rFonts w:ascii="Times New Roman" w:eastAsia="Times New Roman" w:hAnsi="Times New Roman" w:cs="Times New Roman"/>
          <w:color w:val="000000" w:themeColor="text1"/>
          <w:sz w:val="24"/>
          <w:szCs w:val="24"/>
        </w:rPr>
        <w:t xml:space="preserve"> (–3.7%)</w:t>
      </w:r>
      <w:r w:rsidR="00691D64" w:rsidRPr="00024E20">
        <w:rPr>
          <w:rFonts w:ascii="Times New Roman" w:eastAsia="Times New Roman" w:hAnsi="Times New Roman" w:cs="Times New Roman"/>
          <w:color w:val="000000" w:themeColor="text1"/>
          <w:sz w:val="24"/>
          <w:szCs w:val="24"/>
        </w:rPr>
        <w:t xml:space="preserve"> (improved aerobic fitness)</w:t>
      </w:r>
      <w:r w:rsidRPr="00024E20">
        <w:rPr>
          <w:rFonts w:ascii="Times New Roman" w:eastAsia="Times New Roman" w:hAnsi="Times New Roman" w:cs="Times New Roman"/>
          <w:color w:val="000000" w:themeColor="text1"/>
          <w:sz w:val="24"/>
          <w:szCs w:val="24"/>
        </w:rPr>
        <w:t xml:space="preserve"> but there was no difference between</w:t>
      </w:r>
      <w:r w:rsidR="00142CF3" w:rsidRPr="00024E20">
        <w:rPr>
          <w:rFonts w:ascii="Times New Roman" w:eastAsia="Times New Roman" w:hAnsi="Times New Roman" w:cs="Times New Roman"/>
          <w:color w:val="000000" w:themeColor="text1"/>
          <w:sz w:val="24"/>
          <w:szCs w:val="24"/>
        </w:rPr>
        <w:t xml:space="preserve"> </w:t>
      </w:r>
      <w:r w:rsidR="00B77984" w:rsidRPr="00024E20">
        <w:rPr>
          <w:rFonts w:ascii="Times New Roman" w:eastAsia="Times New Roman" w:hAnsi="Times New Roman" w:cs="Times New Roman"/>
          <w:color w:val="000000" w:themeColor="text1"/>
          <w:sz w:val="24"/>
          <w:szCs w:val="24"/>
        </w:rPr>
        <w:t xml:space="preserve">hormonal contraceptive </w:t>
      </w:r>
      <w:r w:rsidRPr="00024E20">
        <w:rPr>
          <w:rFonts w:ascii="Times New Roman" w:eastAsia="Times New Roman" w:hAnsi="Times New Roman" w:cs="Times New Roman"/>
          <w:color w:val="000000" w:themeColor="text1"/>
          <w:sz w:val="24"/>
          <w:szCs w:val="24"/>
        </w:rPr>
        <w:t xml:space="preserve">groups. </w:t>
      </w:r>
      <w:r w:rsidR="00A61A0F" w:rsidRPr="00024E20">
        <w:rPr>
          <w:rFonts w:ascii="Times New Roman" w:hAnsi="Times New Roman" w:cs="Times New Roman"/>
          <w:color w:val="000000" w:themeColor="text1"/>
          <w:sz w:val="24"/>
          <w:szCs w:val="24"/>
        </w:rPr>
        <w:t xml:space="preserve">The 2.4 km run is used as a field test of aerobic fitness on entry and in-service in the British Army and is related to </w:t>
      </w:r>
      <w:r w:rsidR="00A61A0F" w:rsidRPr="00024E20">
        <w:rPr>
          <w:rFonts w:ascii="Times New Roman" w:eastAsia="Arial" w:hAnsi="Times New Roman" w:cs="Times New Roman"/>
          <w:color w:val="000000" w:themeColor="text1"/>
          <w:sz w:val="24"/>
          <w:szCs w:val="24"/>
        </w:rPr>
        <w:t>V̇O</w:t>
      </w:r>
      <w:r w:rsidR="00A61A0F" w:rsidRPr="00024E20">
        <w:rPr>
          <w:rFonts w:ascii="Times New Roman" w:eastAsia="Arial" w:hAnsi="Times New Roman" w:cs="Times New Roman"/>
          <w:color w:val="000000" w:themeColor="text1"/>
          <w:sz w:val="24"/>
          <w:szCs w:val="24"/>
          <w:vertAlign w:val="subscript"/>
        </w:rPr>
        <w:t>2max</w:t>
      </w:r>
      <w:r w:rsidR="00A61A0F" w:rsidRPr="00024E20">
        <w:rPr>
          <w:rFonts w:ascii="Times New Roman" w:hAnsi="Times New Roman" w:cs="Times New Roman"/>
          <w:color w:val="000000" w:themeColor="text1"/>
          <w:sz w:val="24"/>
          <w:szCs w:val="24"/>
        </w:rPr>
        <w:t xml:space="preserve"> </w:t>
      </w:r>
      <w:r w:rsidR="00A61A0F"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{"citationID":"0u62woQp","properties":{"formattedCitation":"(39)","plainCitation":"(39)","noteIndex":0},"citationItems":[{"id":8002,"uris":["http://zotero.org/users/6787375/items/VXRRKPBU"],"itemData":{"id":8002,"type":"article-journal","abstract":"Since the 2.4 km run time test is routinely used in military training programmes as an indicator of aerobic capacity and its possible improvement, an attempt was made to: (i) establish a regression equation of VO2max v. 2.4 km run time in a group of 20 young military volunteers; and (ii) determine whether this equation could be used to predict VO2max reliably from the 2.4 km time obtained from another group. Before and after training, VO2max was measured in all subjects using a treadmill test, and 2.4 km run time was determined in the field. Linear regression equations using the 2.4 km run time as the independent variable accounted for 76-92% of the variance in VO2max, while the standard error of the estimate varied from 2.24-2.91 ml/kg/min. In the second test group, the directly measured VO2max was 59.89 +/- 0.99 ml/kg/min, while the mean value estimated from the regression equation of the first group was 59.61 +/- 1.16 ml/kg/min (P less than 0.001). It was concluded that, in the population studied, the 2.4 km run time in the field reliably predicts VO2max measured during treadmill exercise in the laboratory.","container-title":"South African Medical Journal = Suid-Afrikaanse Tydskrif Vir Geneeskunde","ISSN":"0256-9574","issue":"6","journalAbbreviation":"S Afr Med J","language":"eng","note":"PMID: 2396155","page":"327-329","source":"PubMed","title":"Assessment of the 2.4 km run as a predictor of aerobic capacity","volume":"78","author":[{"family":"Burger","given":"S. C."},{"family":"Bertram","given":"S. R."},{"family":"Stewart","given":"R. I."}],"issued":{"date-parts":[["1990",9,15]]}}}],"schema":"https://github.com/citation-style-language/schema/raw/master/csl-citation.json"} </w:instrText>
      </w:r>
      <w:r w:rsidR="00A61A0F"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rPr>
        <w:t>(39)</w:t>
      </w:r>
      <w:r w:rsidR="00A61A0F" w:rsidRPr="00024E20">
        <w:rPr>
          <w:rFonts w:ascii="Times New Roman" w:hAnsi="Times New Roman" w:cs="Times New Roman"/>
          <w:color w:val="000000" w:themeColor="text1"/>
          <w:sz w:val="24"/>
          <w:szCs w:val="24"/>
        </w:rPr>
        <w:fldChar w:fldCharType="end"/>
      </w:r>
      <w:r w:rsidRPr="00024E20">
        <w:rPr>
          <w:rFonts w:ascii="Times New Roman" w:eastAsia="Roboto"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w:t>
      </w:r>
      <w:r w:rsidR="00C26E53" w:rsidRPr="00024E20">
        <w:rPr>
          <w:rFonts w:ascii="Times New Roman" w:eastAsia="Times New Roman" w:hAnsi="Times New Roman" w:cs="Times New Roman"/>
          <w:color w:val="000000" w:themeColor="text1"/>
          <w:sz w:val="24"/>
          <w:szCs w:val="24"/>
        </w:rPr>
        <w:t xml:space="preserve">Several studies have explored the effect of COCP use on </w:t>
      </w:r>
      <w:r w:rsidR="00C26E53" w:rsidRPr="00024E20">
        <w:rPr>
          <w:rFonts w:ascii="Times New Roman" w:eastAsia="Arial" w:hAnsi="Times New Roman" w:cs="Times New Roman"/>
          <w:color w:val="000000" w:themeColor="text1"/>
          <w:sz w:val="24"/>
          <w:szCs w:val="24"/>
        </w:rPr>
        <w:t>V̇O</w:t>
      </w:r>
      <w:r w:rsidR="00C26E53" w:rsidRPr="00024E20">
        <w:rPr>
          <w:rFonts w:ascii="Times New Roman" w:eastAsia="Arial" w:hAnsi="Times New Roman" w:cs="Times New Roman"/>
          <w:color w:val="000000" w:themeColor="text1"/>
          <w:sz w:val="24"/>
          <w:szCs w:val="24"/>
          <w:vertAlign w:val="subscript"/>
        </w:rPr>
        <w:t>2max</w:t>
      </w:r>
      <w:r w:rsidR="00C26E53" w:rsidRPr="00024E20">
        <w:rPr>
          <w:rFonts w:ascii="Times New Roman" w:eastAsia="Times New Roman" w:hAnsi="Times New Roman" w:cs="Times New Roman"/>
          <w:color w:val="000000" w:themeColor="text1"/>
          <w:sz w:val="24"/>
          <w:szCs w:val="24"/>
        </w:rPr>
        <w:t>, but</w:t>
      </w:r>
      <w:r w:rsidR="00A61A0F" w:rsidRPr="00024E20">
        <w:rPr>
          <w:rFonts w:ascii="Times New Roman" w:eastAsia="Times New Roman" w:hAnsi="Times New Roman" w:cs="Times New Roman"/>
          <w:color w:val="000000" w:themeColor="text1"/>
          <w:sz w:val="24"/>
          <w:szCs w:val="24"/>
        </w:rPr>
        <w:t xml:space="preserve"> to our knowledge</w:t>
      </w:r>
      <w:r w:rsidR="00BD53C4" w:rsidRPr="00024E20">
        <w:rPr>
          <w:rFonts w:ascii="Times New Roman" w:eastAsia="Times New Roman" w:hAnsi="Times New Roman" w:cs="Times New Roman"/>
          <w:color w:val="000000" w:themeColor="text1"/>
          <w:sz w:val="24"/>
          <w:szCs w:val="24"/>
        </w:rPr>
        <w:t>,</w:t>
      </w:r>
      <w:r w:rsidR="00C26E53" w:rsidRPr="00024E20">
        <w:rPr>
          <w:rFonts w:ascii="Times New Roman" w:eastAsia="Times New Roman" w:hAnsi="Times New Roman" w:cs="Times New Roman"/>
          <w:color w:val="000000" w:themeColor="text1"/>
          <w:sz w:val="24"/>
          <w:szCs w:val="24"/>
        </w:rPr>
        <w:t xml:space="preserve"> no study has explored </w:t>
      </w:r>
      <w:r w:rsidR="003A6A7D" w:rsidRPr="00024E20">
        <w:rPr>
          <w:rFonts w:ascii="Times New Roman" w:eastAsia="Times New Roman" w:hAnsi="Times New Roman" w:cs="Times New Roman"/>
          <w:color w:val="000000" w:themeColor="text1"/>
          <w:sz w:val="24"/>
          <w:szCs w:val="24"/>
        </w:rPr>
        <w:t xml:space="preserve">associations with </w:t>
      </w:r>
      <w:r w:rsidR="00C26E53" w:rsidRPr="00024E20">
        <w:rPr>
          <w:rFonts w:ascii="Times New Roman" w:eastAsia="Times New Roman" w:hAnsi="Times New Roman" w:cs="Times New Roman"/>
          <w:color w:val="000000" w:themeColor="text1"/>
          <w:sz w:val="24"/>
          <w:szCs w:val="24"/>
        </w:rPr>
        <w:t xml:space="preserve">POC use. </w:t>
      </w:r>
      <w:r w:rsidR="00197407" w:rsidRPr="00024E20">
        <w:rPr>
          <w:rFonts w:ascii="Times New Roman" w:eastAsia="Times New Roman" w:hAnsi="Times New Roman" w:cs="Times New Roman"/>
          <w:color w:val="000000" w:themeColor="text1"/>
          <w:sz w:val="24"/>
          <w:szCs w:val="24"/>
        </w:rPr>
        <w:t>Several s</w:t>
      </w:r>
      <w:r w:rsidRPr="00024E20">
        <w:rPr>
          <w:rFonts w:ascii="Times New Roman" w:eastAsia="Times New Roman" w:hAnsi="Times New Roman" w:cs="Times New Roman"/>
          <w:color w:val="000000" w:themeColor="text1"/>
          <w:sz w:val="24"/>
          <w:szCs w:val="24"/>
        </w:rPr>
        <w:t xml:space="preserve">mall </w:t>
      </w:r>
      <w:r w:rsidR="004A1234" w:rsidRPr="00024E20">
        <w:rPr>
          <w:rFonts w:ascii="Times New Roman" w:eastAsia="Times New Roman" w:hAnsi="Times New Roman" w:cs="Times New Roman"/>
          <w:color w:val="000000" w:themeColor="text1"/>
          <w:sz w:val="24"/>
          <w:szCs w:val="24"/>
        </w:rPr>
        <w:t xml:space="preserve">longitudinal </w:t>
      </w:r>
      <w:r w:rsidRPr="00024E20">
        <w:rPr>
          <w:rFonts w:ascii="Times New Roman" w:eastAsia="Times New Roman" w:hAnsi="Times New Roman" w:cs="Times New Roman"/>
          <w:color w:val="000000" w:themeColor="text1"/>
          <w:sz w:val="24"/>
          <w:szCs w:val="24"/>
        </w:rPr>
        <w:t xml:space="preserve">studies </w:t>
      </w:r>
      <w:r w:rsidR="00197407" w:rsidRPr="00024E20">
        <w:rPr>
          <w:rFonts w:ascii="Times New Roman" w:eastAsia="Times New Roman" w:hAnsi="Times New Roman" w:cs="Times New Roman"/>
          <w:color w:val="000000" w:themeColor="text1"/>
          <w:sz w:val="24"/>
          <w:szCs w:val="24"/>
        </w:rPr>
        <w:t>report</w:t>
      </w:r>
      <w:r w:rsidRPr="00024E20">
        <w:rPr>
          <w:rFonts w:ascii="Times New Roman" w:eastAsia="Times New Roman" w:hAnsi="Times New Roman" w:cs="Times New Roman"/>
          <w:color w:val="000000" w:themeColor="text1"/>
          <w:sz w:val="24"/>
          <w:szCs w:val="24"/>
        </w:rPr>
        <w:t xml:space="preserve"> that COCP </w:t>
      </w:r>
      <w:r w:rsidR="004A1234" w:rsidRPr="00024E20">
        <w:rPr>
          <w:rFonts w:ascii="Times New Roman" w:eastAsia="Times New Roman" w:hAnsi="Times New Roman" w:cs="Times New Roman"/>
          <w:color w:val="000000" w:themeColor="text1"/>
          <w:sz w:val="24"/>
          <w:szCs w:val="24"/>
        </w:rPr>
        <w:t xml:space="preserve">use </w:t>
      </w:r>
      <w:r w:rsidR="005B1E3D" w:rsidRPr="00024E20">
        <w:rPr>
          <w:rFonts w:ascii="Times New Roman" w:eastAsia="Times New Roman" w:hAnsi="Times New Roman" w:cs="Times New Roman"/>
          <w:color w:val="000000" w:themeColor="text1"/>
          <w:sz w:val="24"/>
          <w:szCs w:val="24"/>
        </w:rPr>
        <w:t xml:space="preserve">for 1 to 6 months </w:t>
      </w:r>
      <w:r w:rsidRPr="00024E20">
        <w:rPr>
          <w:rFonts w:ascii="Times New Roman" w:eastAsia="Times New Roman" w:hAnsi="Times New Roman" w:cs="Times New Roman"/>
          <w:color w:val="000000" w:themeColor="text1"/>
          <w:sz w:val="24"/>
          <w:szCs w:val="24"/>
        </w:rPr>
        <w:t>reduce</w:t>
      </w:r>
      <w:r w:rsidR="005B1E3D" w:rsidRPr="00024E20">
        <w:rPr>
          <w:rFonts w:ascii="Times New Roman" w:eastAsia="Times New Roman" w:hAnsi="Times New Roman" w:cs="Times New Roman"/>
          <w:color w:val="000000" w:themeColor="text1"/>
          <w:sz w:val="24"/>
          <w:szCs w:val="24"/>
        </w:rPr>
        <w:t>d</w:t>
      </w:r>
      <w:r w:rsidRPr="00024E20">
        <w:rPr>
          <w:rFonts w:ascii="Times New Roman" w:eastAsia="Times New Roman" w:hAnsi="Times New Roman" w:cs="Times New Roman"/>
          <w:color w:val="000000" w:themeColor="text1"/>
          <w:sz w:val="24"/>
          <w:szCs w:val="24"/>
        </w:rPr>
        <w:t xml:space="preserve"> absolute and relative </w:t>
      </w:r>
      <w:r w:rsidR="00C26E53" w:rsidRPr="00024E20">
        <w:rPr>
          <w:rFonts w:ascii="Times New Roman" w:eastAsia="Arial" w:hAnsi="Times New Roman" w:cs="Times New Roman"/>
          <w:color w:val="000000" w:themeColor="text1"/>
          <w:sz w:val="24"/>
          <w:szCs w:val="24"/>
        </w:rPr>
        <w:t>V̇O</w:t>
      </w:r>
      <w:r w:rsidR="00C26E53" w:rsidRPr="00024E20">
        <w:rPr>
          <w:rFonts w:ascii="Times New Roman" w:eastAsia="Arial" w:hAnsi="Times New Roman" w:cs="Times New Roman"/>
          <w:color w:val="000000" w:themeColor="text1"/>
          <w:sz w:val="24"/>
          <w:szCs w:val="24"/>
          <w:vertAlign w:val="subscript"/>
        </w:rPr>
        <w:t>2max</w:t>
      </w:r>
      <w:r w:rsidRPr="00024E20">
        <w:rPr>
          <w:rFonts w:ascii="Times New Roman" w:eastAsia="Times New Roman" w:hAnsi="Times New Roman" w:cs="Times New Roman"/>
          <w:color w:val="000000" w:themeColor="text1"/>
          <w:sz w:val="24"/>
          <w:szCs w:val="24"/>
        </w:rPr>
        <w:t xml:space="preserve"> </w:t>
      </w:r>
      <w:r w:rsidR="00A61A0F"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{"citationID":"tQWZNvMI","properties":{"formattedCitation":"(19\\uc0\\u8211{}21)","plainCitation":"(19–21)","noteIndex":0},"citationItems":[{"id":8146,"uris":["http://zotero.org/users/6787375/items/4URCAX7G"],"itemData":{"id":8146,"type":"article-journal","abstract":"A study was undertaken to determine whether low-dose oral contraceptive usage would negate the beneficial effect of exercise on cardiorespiratory fitness, lipid and lipoprotein levels, and coagulation. Twelve exercising women were randomly allocated to groups of either oral contraceptive users or non-oral contraceptive users. When compared with results in the control group, maximal oxygen uptake (ml/kg1 X min1) decreased significantly in the oral contraceptive users during the 6-month period of observation. This was associated with an 8% decrease in both the oxygen uptake (2.34 to 2.17 L/min) and the oxygen pulse (12.1 +/- 3.2 to 11.2 +/- 2.2 ml/beat). The serum cholesterol, triglycerides, high-density lipoprotein/cholesterol, and high-density lipoprotein subfractions 2a and 2b levels were not altered. A significant increase in plasminogen activity was found in the oral contraceptive users: values increased from a coherent time average of 3.8 +/- 0.5 U/ml at baseline to 5.7 +/- 0.7 U/ml at 6 months; values returned to baseline levels 1 month after stopping the oral contraceptives (coherent time average of 3.9 +/- 0.6 U/ml; p less than 0.0001). No other significant changes were noted in the coagulation and anticoagulation factors studied. Low-dose oral contraceptive usage is associated with a decrease in functional aerobic capacity, but it does not impinge on the hemostatic mechanism or lipid-lipoprotein metabolism.","container-title":"American Journal of Obstetrics and Gynecology","DOI":"10.1016/0002-9378(87)90059-7","ISSN":"0002-9378","issue":"3","journalAbbreviation":"Am J Obstet Gynecol","language":"eng","note":"PMID: 3826206","page":"591-598","source":"PubMed","title":"The effect of low-dose oral contraceptives on cardiorespiratory function, coagulation, and lipids in exercising young women: a preliminary report","title-short":"The effect of low-dose oral contraceptives on cardiorespiratory function, coagulation, and lipids in exercising young women","volume":"156","author":[{"family":"Notelovitz","given":"M."},{"family":"Zauner","given":"C."},{"family":"McKenzie","given":"L."},{"family":"Suggs","given":"Y."},{"family":"Fields","given":"C."},{"family":"Kitchens","given":"C."}],"issued":{"date-parts":[["1987",3]]}}},{"id":8148,"uris":["http://zotero.org/users/6787375/items/QLPGP2C4"],"itemData":{"id":8148,"type":"article-journal","abstract":"We examined the effects of menstrual cycle phase and oral contraceptive (OC) use on peak oxygen consumption (VO(2 peak)). Six moderately active, eumenorrheic women (25.5 +/- 1.5 yr) were studied before and after 4 mo of OC. Subjects were tested during the follicular and luteal phases before OC and the inactive and high-dose phases after OC. Before OC, there were no significant differences between the follicular and luteal phases in any of the variables studied. There were also no differences between the inactive and high-dose phases. Dietary composition, exercise patterns, and peak heart rate, minute ventilation, and respiratory exchange ratio did not change with OC use. However, OC use significantly (P &lt;/= 0.05) increased body weight (59.6 +/- 2.3 to 61.2 +/- 2.6 kg) and fat mass (13.3 +/- 1.3 to 14.5 +/- 1.3 kg) and decreased VO(2 peak) (-11%, 2.53 +/- 0.21 to 2.25 +/- 0.18 l/min). In conclusion, 1) endogenous ovarian steroids have little effect on VO(2 peak), but 2) the exogenous ovarian steroids in OC decrease peak exercise capacity in moderately physically active young women.","container-title":"Journal of Applied Physiology (Bethesda, Md.: 1985)","DOI":"10.1152/japplphysiol.00622.2002","ISSN":"8750-7587","issue":"5","journalAbbreviation":"J Appl Physiol (1985)","language":"eng","note":"PMID: 12381756","page":"1698-1702","source":"PubMed","title":"Effects of oral contraceptives on peak exercise capacity","volume":"93","author":[{"family":"Casazza","given":"Gretchen A."},{"family":"Suh","given":"Sang-Hoon"},{"family":"Miller","given":"Benjamin F."},{"family":"Navazio","given":"Franco M."},{"family":"Brooks","given":"George A."}],"issued":{"date-parts":[["2002",11]]}}},{"id":8150,"uris":["http://zotero.org/users/6787375/items/S7S2IC97"],"itemData":{"id":8150,"type":"article-journal","abstract":"BACKGROUND: Oral contraceptives are commonly used by women athletes. However, their effect on athletic performance is unclear.\nOBJECTIVES: To examine the effects of a moderate dose, triphasic oral contraceptive on measures of athletic performance in highly trained women athletes.\nMETHODS: This is a double blind, placebo controlled trial in 14 women with ovulatory menstrual cycles and maximal aerobic capacity (VO(2)MAX) &gt;/==\" BORDER=\"0\"&gt;50 ml/kg/min. Four measures of athletic performance were tested: VO(2)MAX, anaerobic capacity (anaerobic speed test), aerobic endurance (time to fatigue at 90% of VO(2)MAX), and isokinetic strength (Cybex II dynamometer). Height, weight, and six skinfold measurements were also recorded. All these observational tests were completed during both the follicular and mid-luteal phases of an ovulatory menstrual cycle. Cycle phases were confirmed by assaying plasma oestradiol and progesterone. Participants were subsequently randomly assigned to either a tricyclic oral contraceptive or placebo and retested in identical fashion (oral contraceptive phase).\nRESULTS: Absolute and relative changes in VO(2)MAX from follicular to oral contraceptive phase decreased in the oral contraceptive group by 4.7%, whereas the placebo group showed a slight increase (+1.5%) over the same time period. Two of the women taking oral contraceptive had decreases of 4 and 9 ml/kg/min. In contrast, most women in the placebo group improved or maintained VO(2)MAX. There was also a significant increase in the sum of skinfolds in women taking oral contraceptive compared with those taking placebo (p&lt;0.01). There were no significant changes in other physiological variables (maximum ventilation, heart rate, respiratory exchange ratio, packed cell volume) or measures of performance (anaerobic speed test, aerobic endurance, isokinetic strength) as a function of oral contraceptive treatment.\nCONCLUSIONS: The decrease in VO(2)MAX that occurs when oral contraceptive is taken may influence elite sporting performance in some women. Further studies are required to determine the mechanisms of this change.","container-title":"British Journal of Sports Medicine","DOI":"10.1136/bjsm.37.4.315","ISSN":"0306-3674","issue":"4","journalAbbreviation":"Br J Sports Med","language":"eng","note":"PMID: 12893716\nPMCID: PMC1724664","page":"315-320","source":"PubMed","title":"Decreased maximal aerobic capacity with use of a triphasic oral contraceptive in highly active women: a randomised controlled trial","title-short":"Decreased maximal aerobic capacity with use of a triphasic oral contraceptive in highly active women","volume":"37","author":[{"family":"Lebrun","given":"C. M."},{"family":"Petit","given":"M. A."},{"family":"McKenzie","given":"D. C."},{"family":"Taunton","given":"J. E."},{"family":"Prior","given":"J. C."}],"issued":{"date-parts":[["2003",8]]}}}],"schema":"https://github.com/citation-style-language/schema/raw/master/csl-citation.json"} </w:instrText>
      </w:r>
      <w:r w:rsidR="00A61A0F"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hAnsi="Times New Roman" w:cs="Times New Roman"/>
          <w:color w:val="000000" w:themeColor="text1"/>
          <w:sz w:val="24"/>
        </w:rPr>
        <w:t>(19–21)</w:t>
      </w:r>
      <w:r w:rsidR="00A61A0F" w:rsidRPr="00024E20">
        <w:rPr>
          <w:rFonts w:ascii="Times New Roman" w:eastAsia="Times New Roman" w:hAnsi="Times New Roman" w:cs="Times New Roman"/>
          <w:color w:val="000000" w:themeColor="text1"/>
          <w:sz w:val="24"/>
          <w:szCs w:val="24"/>
        </w:rPr>
        <w:fldChar w:fldCharType="end"/>
      </w:r>
      <w:r w:rsidR="00261D8B" w:rsidRPr="00024E20">
        <w:rPr>
          <w:rFonts w:ascii="Times New Roman" w:eastAsia="Times New Roman" w:hAnsi="Times New Roman" w:cs="Times New Roman"/>
          <w:color w:val="000000" w:themeColor="text1"/>
          <w:sz w:val="24"/>
          <w:szCs w:val="24"/>
        </w:rPr>
        <w:t>,</w:t>
      </w:r>
      <w:r w:rsidR="00FD3CFB" w:rsidRPr="00024E20">
        <w:rPr>
          <w:rFonts w:ascii="Times New Roman" w:eastAsia="Times New Roman" w:hAnsi="Times New Roman" w:cs="Times New Roman"/>
          <w:color w:val="000000" w:themeColor="text1"/>
          <w:sz w:val="24"/>
          <w:szCs w:val="24"/>
        </w:rPr>
        <w:t xml:space="preserve"> although several </w:t>
      </w:r>
      <w:r w:rsidR="00525EEE" w:rsidRPr="00024E20">
        <w:rPr>
          <w:rFonts w:ascii="Times New Roman" w:eastAsia="Times New Roman" w:hAnsi="Times New Roman" w:cs="Times New Roman"/>
          <w:color w:val="000000" w:themeColor="text1"/>
          <w:sz w:val="24"/>
          <w:szCs w:val="24"/>
        </w:rPr>
        <w:t xml:space="preserve">other </w:t>
      </w:r>
      <w:r w:rsidR="00FD3CFB" w:rsidRPr="00024E20">
        <w:rPr>
          <w:rFonts w:ascii="Times New Roman" w:eastAsia="Times New Roman" w:hAnsi="Times New Roman" w:cs="Times New Roman"/>
          <w:color w:val="000000" w:themeColor="text1"/>
          <w:sz w:val="24"/>
          <w:szCs w:val="24"/>
        </w:rPr>
        <w:t xml:space="preserve">studies have found that COCP </w:t>
      </w:r>
      <w:r w:rsidR="007D0BC7" w:rsidRPr="00024E20">
        <w:rPr>
          <w:rFonts w:ascii="Times New Roman" w:eastAsia="Times New Roman" w:hAnsi="Times New Roman" w:cs="Times New Roman"/>
          <w:color w:val="000000" w:themeColor="text1"/>
          <w:sz w:val="24"/>
          <w:szCs w:val="24"/>
        </w:rPr>
        <w:t>did not affect</w:t>
      </w:r>
      <w:r w:rsidR="00FD3CFB" w:rsidRPr="00024E20">
        <w:rPr>
          <w:rFonts w:ascii="Times New Roman" w:eastAsia="Times New Roman" w:hAnsi="Times New Roman" w:cs="Times New Roman"/>
          <w:color w:val="000000" w:themeColor="text1"/>
          <w:sz w:val="24"/>
          <w:szCs w:val="24"/>
        </w:rPr>
        <w:t xml:space="preserve"> </w:t>
      </w:r>
      <w:r w:rsidR="00FD3CFB" w:rsidRPr="00024E20">
        <w:rPr>
          <w:rFonts w:ascii="Times New Roman" w:eastAsia="Arial" w:hAnsi="Times New Roman" w:cs="Times New Roman"/>
          <w:color w:val="000000" w:themeColor="text1"/>
          <w:sz w:val="24"/>
          <w:szCs w:val="24"/>
        </w:rPr>
        <w:t>V̇O</w:t>
      </w:r>
      <w:r w:rsidR="00FD3CFB" w:rsidRPr="00024E20">
        <w:rPr>
          <w:rFonts w:ascii="Times New Roman" w:eastAsia="Arial" w:hAnsi="Times New Roman" w:cs="Times New Roman"/>
          <w:color w:val="000000" w:themeColor="text1"/>
          <w:sz w:val="24"/>
          <w:szCs w:val="24"/>
          <w:vertAlign w:val="subscript"/>
        </w:rPr>
        <w:t>2max</w:t>
      </w:r>
      <w:r w:rsidR="00FD3CFB" w:rsidRPr="00024E20">
        <w:rPr>
          <w:rFonts w:ascii="Times New Roman" w:eastAsia="Times New Roman" w:hAnsi="Times New Roman" w:cs="Times New Roman"/>
          <w:color w:val="000000" w:themeColor="text1"/>
          <w:sz w:val="24"/>
          <w:szCs w:val="24"/>
        </w:rPr>
        <w:t xml:space="preserve"> </w:t>
      </w:r>
      <w:r w:rsidR="00FD3CFB"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{"citationID":"AQgq2eGz","properties":{"formattedCitation":"(46, 47)","plainCitation":"(46, 47)","noteIndex":0},"citationItems":[{"id":8155,"uris":["http://zotero.org/users/6787375/items/AYYMCVAJ"],"itemData":{"id":8155,"type":"article-journal","abstract":"OBJECTIVE: to examine the effect of cycle phase or a low dose oral contraceptive on exercise performance in young women.\nMETHODS: As controls, 15 men were tested twice by a maximal treadmill test (Vo2 max) and by an endurance run 14 d apart to determine performance variability from causes other than hormonal fluctuations. Ten women ages 18-30 were then tested for Vo2 max and endurance in the same way in both the follicular and the luteal phase (random order, ovulation assessed by sonography). They were then randomly assigned to placebo (n = 3) or oral contraceptive (1 mg norethindrone and 35 micrograms ethinyl oestradiol) (n = 7) for 21 days. Tests were repeated during the first and third weeks of treatment. Vo2 max and endurance tests were compared in the men and control cycle of the women by using independent t tests on percent change. The data for both cycles in the women were analysed by repeated measures ANOVA.\nRESULTS: There was no difference in per cent change in total test time, Vo2 max, or breathing frequency between the men and women in either test. Data obtained during the Vo2 max test revealed no difference between the follicular and luteal phases of the menstrual cycle for total test time [11.8 (SD 2.3) v 12.6 (2.3) min], Vo2 [41.6 (12.1) v 39.7 (11.4) ml.kg-1.min-1], or breathing frequency [26.8 (3.5) v 27.3 (9.9) breaths.min-1] respectively, or during the first and third weeks of treatment [total test time 12.0 (2.5) v 12.8 (2.4) min; Vo2 37.3 (7.4) v 41.0 (12.4) ml.kg-1.min-1; breathing frequency 27.8 (4.2) v 27.7 (3.4) breaths.min-1, respectively]. Data obtained during the endurance test revealed no difference between the follicular and luteal phase of the menstrual cycle for total test time [20.5 (15.7) v 16.2 (8.5) min], Vo2 [37.5 (9.4) v 32.9 (8.1) ml.kg-1.min-1], or breathing frequency [32.0 (6.0) v 33.2 (5.1) breaths.min-1, respectively], or during the first and third weeks of treatment [total test time 32.3 (34.9) v 30.6 (30.1) min; Vo2 33.9 (10.1) v 35.2 (8.6) ml.kg-1.min-1; breathing frequency 34.0 (5.9) v 34.8 (5.3) breaths.min-1, respectively].\nCONCLUSIONS: Neither cycle phase nor a low dose oral contraceptive containing 1 mg norethindrone adversely affects performance during a maximal treadmill test or endurance run.","container-title":"British Journal of Sports Medicine","DOI":"10.1136/bjsm.30.1.36","ISSN":"0306-3674","issue":"1","journalAbbreviation":"Br J Sports Med","language":"eng","note":"PMID: 8665116\nPMCID: PMC1332263","page":"36-40","source":"PubMed","title":"Effect of low dose oral contraceptives on exercise performance","volume":"30","author":[{"family":"Bryner","given":"R. W."},{"family":"Toffle","given":"R. C."},{"family":"Ullrich","given":"I. H."},{"family":"Yeater","given":"R. A."}],"issued":{"date-parts":[["1996",3]]}}},{"id":8158,"uris":["http://zotero.org/users/6787375/items/QZLTG6AH"],"itemData":{"id":8158,"type":"article-journal","abstract":"BACKGROUND: The purpose of this study was to evaluate the effect of long-term use of oral contraceptives (OC) containing 0.20 mg of ethinylestradiol (EE) combined with 0.15 mg of gestodene (GEST) on the peak aerobic capacity and at the anaerobic threshold (AT) level in active and sedentary young women.\nSTUDY DESIGN: Eighty-eight women (23+/-2.1 years old) were divided into four groups - active-OC (G1), active-NOC (G2), sedentary-OC (G3) and sedentary-NOC (G4) - and were submitted to a continuous ergospirometric incremental test on a cycloergometer with 20 to 25 W min(-1) increments. Data were analyzed by two-way ANOVA with Tukey post hoc test. Level of significance was set at 5%.\nRESULTS: The OC use effect for the variables relative and absolute oxygen uptake VO(2) mL kg-(1) min(-1); VO(2), L min(-1), respectively), carbon dioxide output (VCO(2), L min(-1)), ventilation (VE, L min(-1)), heart rate (HR, bpm), respiratory exchange ratio (RER) and power output (W) data, as well as the interaction between OC use and exercise effect on the peak of test and at the AT level did not differ significantly between the active groups (G1 and G2) and the sedentary groups (G3 and G4). As to the exercise effect, for all variables studied, it was noted that the active groups presented higher values for the variables VO(2), VCO(2), VE and power output (p&lt;.05) than the sedentary groups. The RER and HR were similar (p&gt;.05) at the peak and at the AT level between G1 vs. G3 and G2 vs. G4.\nCONCLUSIONS: Long-term use of OC containing EE 0.20 mg plus GEST 0.15 mg does not affect aerobic capacity at the peak and at the AT level of exercise tests.","container-title":"Contraception","DOI":"10.1016/j.contraception.2009.11.005","ISSN":"1879-0518","issue":"4","journalAbbreviation":"Contraception","language":"eng","note":"PMID: 20227547","page":"309-315","source":"PubMed","title":"Effect of low-dose combined oral contraceptive on aerobic capacity and anaerobic threshold level in active and sedentary young women","volume":"81","author":[{"family":"Rebelo","given":"Ana Cristina S."},{"family":"Zuttin","given":"Roberta S."},{"family":"Verlengia","given":"Rozangela"},{"family":"Cesar","given":"Marcelo de C."},{"family":"Sá","given":"Marcos Felipe Silva","non-dropping-particle":"de"},{"family":"Silva","given":"Ester","non-dropping-particle":"da"}],"issued":{"date-parts":[["2010",4]]}}}],"schema":"https://github.com/citation-style-language/schema/raw/master/csl-citation.json"} </w:instrText>
      </w:r>
      <w:r w:rsidR="00FD3CFB"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(46, 47)</w:t>
      </w:r>
      <w:r w:rsidR="00FD3CFB" w:rsidRPr="00024E20">
        <w:rPr>
          <w:rFonts w:ascii="Times New Roman" w:eastAsia="Times New Roman" w:hAnsi="Times New Roman" w:cs="Times New Roman"/>
          <w:color w:val="000000" w:themeColor="text1"/>
          <w:sz w:val="24"/>
          <w:szCs w:val="24"/>
        </w:rPr>
        <w:fldChar w:fldCharType="end"/>
      </w:r>
      <w:r w:rsidR="00FD3CFB" w:rsidRPr="00024E20">
        <w:rPr>
          <w:rFonts w:ascii="Times New Roman" w:eastAsia="Times New Roman" w:hAnsi="Times New Roman" w:cs="Times New Roman"/>
          <w:color w:val="000000" w:themeColor="text1"/>
          <w:sz w:val="24"/>
          <w:szCs w:val="24"/>
        </w:rPr>
        <w:t xml:space="preserve">. </w:t>
      </w:r>
      <w:r w:rsidR="00445B63" w:rsidRPr="00024E20">
        <w:rPr>
          <w:rFonts w:ascii="Times New Roman" w:eastAsia="Times New Roman" w:hAnsi="Times New Roman" w:cs="Times New Roman"/>
          <w:color w:val="000000" w:themeColor="text1"/>
          <w:sz w:val="24"/>
          <w:szCs w:val="24"/>
        </w:rPr>
        <w:t xml:space="preserve">Differences in findings between studies could be due to small samples, differences in COCP preparation and length of use, </w:t>
      </w:r>
      <w:r w:rsidR="00275DF9" w:rsidRPr="00024E20">
        <w:rPr>
          <w:rFonts w:ascii="Times New Roman" w:eastAsia="Times New Roman" w:hAnsi="Times New Roman" w:cs="Times New Roman"/>
          <w:color w:val="000000" w:themeColor="text1"/>
          <w:sz w:val="24"/>
          <w:szCs w:val="24"/>
        </w:rPr>
        <w:t xml:space="preserve">and </w:t>
      </w:r>
      <w:r w:rsidR="00445B63" w:rsidRPr="00024E20">
        <w:rPr>
          <w:rFonts w:ascii="Times New Roman" w:eastAsia="Times New Roman" w:hAnsi="Times New Roman" w:cs="Times New Roman"/>
          <w:color w:val="000000" w:themeColor="text1"/>
          <w:sz w:val="24"/>
          <w:szCs w:val="24"/>
        </w:rPr>
        <w:t xml:space="preserve">differences in </w:t>
      </w:r>
      <w:r w:rsidR="007D0BC7" w:rsidRPr="00024E20">
        <w:rPr>
          <w:rFonts w:ascii="Times New Roman" w:eastAsia="Times New Roman" w:hAnsi="Times New Roman" w:cs="Times New Roman"/>
          <w:color w:val="000000" w:themeColor="text1"/>
          <w:sz w:val="24"/>
          <w:szCs w:val="24"/>
        </w:rPr>
        <w:t xml:space="preserve">the </w:t>
      </w:r>
      <w:r w:rsidR="00445B63" w:rsidRPr="00024E20">
        <w:rPr>
          <w:rFonts w:ascii="Times New Roman" w:eastAsia="Times New Roman" w:hAnsi="Times New Roman" w:cs="Times New Roman"/>
          <w:color w:val="000000" w:themeColor="text1"/>
          <w:sz w:val="24"/>
          <w:szCs w:val="24"/>
        </w:rPr>
        <w:t xml:space="preserve">training status of participants. </w:t>
      </w:r>
      <w:r w:rsidR="00744FF7" w:rsidRPr="00024E20">
        <w:rPr>
          <w:rFonts w:ascii="Times New Roman" w:eastAsia="Times New Roman" w:hAnsi="Times New Roman" w:cs="Times New Roman"/>
          <w:color w:val="000000" w:themeColor="text1"/>
          <w:sz w:val="24"/>
          <w:szCs w:val="24"/>
        </w:rPr>
        <w:t>One randomised controlled trial showed that a decrease in</w:t>
      </w:r>
      <w:r w:rsidR="00744FF7" w:rsidRPr="00024E20">
        <w:rPr>
          <w:rFonts w:ascii="Times New Roman" w:eastAsia="Arial" w:hAnsi="Times New Roman" w:cs="Times New Roman"/>
          <w:color w:val="000000" w:themeColor="text1"/>
          <w:sz w:val="24"/>
          <w:szCs w:val="24"/>
        </w:rPr>
        <w:t xml:space="preserve"> V̇O</w:t>
      </w:r>
      <w:r w:rsidR="00744FF7" w:rsidRPr="00024E20">
        <w:rPr>
          <w:rFonts w:ascii="Times New Roman" w:eastAsia="Arial" w:hAnsi="Times New Roman" w:cs="Times New Roman"/>
          <w:color w:val="000000" w:themeColor="text1"/>
          <w:sz w:val="24"/>
          <w:szCs w:val="24"/>
          <w:vertAlign w:val="subscript"/>
        </w:rPr>
        <w:t>2max</w:t>
      </w:r>
      <w:r w:rsidR="00744FF7" w:rsidRPr="00024E20">
        <w:rPr>
          <w:rFonts w:ascii="Times New Roman" w:eastAsia="Arial" w:hAnsi="Times New Roman" w:cs="Times New Roman"/>
          <w:color w:val="000000" w:themeColor="text1"/>
          <w:sz w:val="24"/>
          <w:szCs w:val="24"/>
        </w:rPr>
        <w:t xml:space="preserve"> with COCP use did not translate to</w:t>
      </w:r>
      <w:r w:rsidR="00197118" w:rsidRPr="00024E20">
        <w:rPr>
          <w:rFonts w:ascii="Times New Roman" w:eastAsia="Arial" w:hAnsi="Times New Roman" w:cs="Times New Roman"/>
          <w:color w:val="000000" w:themeColor="text1"/>
          <w:sz w:val="24"/>
          <w:szCs w:val="24"/>
        </w:rPr>
        <w:t xml:space="preserve"> a decrease in</w:t>
      </w:r>
      <w:r w:rsidR="00744FF7" w:rsidRPr="00024E20">
        <w:rPr>
          <w:rFonts w:ascii="Times New Roman" w:eastAsia="Arial" w:hAnsi="Times New Roman" w:cs="Times New Roman"/>
          <w:color w:val="000000" w:themeColor="text1"/>
          <w:sz w:val="24"/>
          <w:szCs w:val="24"/>
        </w:rPr>
        <w:t xml:space="preserve"> </w:t>
      </w:r>
      <w:r w:rsidR="00744FF7" w:rsidRPr="00024E20">
        <w:rPr>
          <w:rFonts w:ascii="Times New Roman" w:eastAsia="Times New Roman" w:hAnsi="Times New Roman" w:cs="Times New Roman"/>
          <w:color w:val="000000" w:themeColor="text1"/>
          <w:sz w:val="24"/>
          <w:szCs w:val="24"/>
        </w:rPr>
        <w:t xml:space="preserve">endurance performance </w:t>
      </w:r>
      <w:r w:rsidR="00744FF7"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{"citationID":"9WxVUHyn","properties":{"formattedCitation":"(21)","plainCitation":"(21)","noteIndex":0},"citationItems":[{"id":8150,"uris":["http://zotero.org/users/6787375/items/S7S2IC97"],"itemData":{"id":8150,"type":"article-journal","abstract":"BACKGROUND: Oral contraceptives are commonly used by women athletes. However, their effect on athletic performance is unclear.\nOBJECTIVES: To examine the effects of a moderate dose, triphasic oral contraceptive on measures of athletic performance in highly trained women athletes.\nMETHODS: This is a double blind, placebo controlled trial in 14 women with ovulatory menstrual cycles and maximal aerobic capacity (VO(2)MAX) &gt;/==\" BORDER=\"0\"&gt;50 ml/kg/min. Four measures of athletic performance were tested: VO(2)MAX, anaerobic capacity (anaerobic speed test), aerobic endurance (time to fatigue at 90% of VO(2)MAX), and isokinetic strength (Cybex II dynamometer). Height, weight, and six skinfold measurements were also recorded. All these observational tests were completed during both the follicular and mid-luteal phases of an ovulatory menstrual cycle. Cycle phases were confirmed by assaying plasma oestradiol and progesterone. Participants were subsequently randomly assigned to either a tricyclic oral contraceptive or placebo and retested in identical fashion (oral contraceptive phase).\nRESULTS: Absolute and relative changes in VO(2)MAX from follicular to oral contraceptive phase decreased in the oral contraceptive group by 4.7%, whereas the placebo group showed a slight increase (+1.5%) over the same time period. Two of the women taking oral contraceptive had decreases of 4 and 9 ml/kg/min. In contrast, most women in the placebo group improved or maintained VO(2)MAX. There was also a significant increase in the sum of skinfolds in women taking oral contraceptive compared with those taking placebo (p&lt;0.01). There were no significant changes in other physiological variables (maximum ventilation, heart rate, respiratory exchange ratio, packed cell volume) or measures of performance (anaerobic speed test, aerobic endurance, isokinetic strength) as a function of oral contraceptive treatment.\nCONCLUSIONS: The decrease in VO(2)MAX that occurs when oral contraceptive is taken may influence elite sporting performance in some women. Further studies are required to determine the mechanisms of this change.","container-title":"British Journal of Sports Medicine","DOI":"10.1136/bjsm.37.4.315","ISSN":"0306-3674","issue":"4","journalAbbreviation":"Br J Sports Med","language":"eng","note":"PMID: 12893716\nPMCID: PMC1724664","page":"315-320","source":"PubMed","title":"Decreased maximal aerobic capacity with use of a triphasic oral contraceptive in highly active women: a randomised controlled trial","title-short":"Decreased maximal aerobic capacity with use of a triphasic oral contraceptive in highly active women","volume":"37","author":[{"family":"Lebrun","given":"C. M."},{"family":"Petit","given":"M. A."},{"family":"McKenzie","given":"D. C."},{"family":"Taunton","given":"J. E."},{"family":"Prior","given":"J. C."}],"issued":{"date-parts":[["2003",8]]}}}],"schema":"https://github.com/citation-style-language/schema/raw/master/csl-citation.json"} </w:instrText>
      </w:r>
      <w:r w:rsidR="00744FF7"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(21)</w:t>
      </w:r>
      <w:r w:rsidR="00744FF7" w:rsidRPr="00024E20">
        <w:rPr>
          <w:rFonts w:ascii="Times New Roman" w:eastAsia="Times New Roman" w:hAnsi="Times New Roman" w:cs="Times New Roman"/>
          <w:color w:val="000000" w:themeColor="text1"/>
          <w:sz w:val="24"/>
          <w:szCs w:val="24"/>
        </w:rPr>
        <w:fldChar w:fldCharType="end"/>
      </w:r>
      <w:r w:rsidR="00744FF7" w:rsidRPr="00024E20">
        <w:rPr>
          <w:rFonts w:ascii="Times New Roman" w:eastAsia="Times New Roman" w:hAnsi="Times New Roman" w:cs="Times New Roman"/>
          <w:color w:val="000000" w:themeColor="text1"/>
          <w:sz w:val="24"/>
          <w:szCs w:val="24"/>
        </w:rPr>
        <w:t xml:space="preserve">, consistent with cross-sectional </w:t>
      </w:r>
      <w:r w:rsidR="00F7731C" w:rsidRPr="00024E20">
        <w:rPr>
          <w:rFonts w:ascii="Times New Roman" w:eastAsia="Times New Roman" w:hAnsi="Times New Roman" w:cs="Times New Roman"/>
          <w:color w:val="000000" w:themeColor="text1"/>
          <w:sz w:val="24"/>
          <w:szCs w:val="24"/>
        </w:rPr>
        <w:t xml:space="preserve">data </w:t>
      </w:r>
      <w:r w:rsidR="00744FF7"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{"citationID":"eAehLz3X","properties":{"formattedCitation":"(48)","plainCitation":"(48)","noteIndex":0},"citationItems":[{"id":8153,"uris":["http://zotero.org/users/6787375/items/T84H6SIB"],"itemData":{"id":8153,"type":"article-journal","abstract":"We examined the effect of long-term oral contraceptive (OC) use on endurance performance in recreationally active women. Eight women using OC (OC group) and 8 women who were nonusers (CON group) performed a test to determine the peak oxygen uptake for cycling (V[Combining Dot Above]O2peak) and to estimate the anaerobic threshold (AT). Subjects also completed a continuous submaximal cycling test across 3 work stages (two 6-minute work stages below AT, and 1 above AT performed to exhaustion). Pulmonary gas exchange, heart rate (HR), blood pressure (BP), blood lactate concentration ([La]), and ratings of perceived exertion were measured throughout, and cycling economy was calculated. Physical characteristics were comparable between the groups (p &gt; 0.05). Peak oxygen uptake (CON group: 2.59 ± 0.50 L·min; OC group: 2.13 ± 0.20 L·min) and oxygen uptake at the AT (CON group: 1.47 ± 0.27 L·min; OC group: 1.18 ± 0.15 L·min) were significantly different (p &lt; 0.05) between the groups. Expired minute ventilation, HR, BP, [La], and cycling economy for all constant-load work stages were not significantly different (p &gt; 0.05) between the groups. Furthermore, time to exhaustion for severe-intensity cycling was similar (p &gt; 0.05) between the CON and OC groups. The results of the present study suggest that long-term OC use negatively affects peak V[Combining Dot Above]O2 and V[Combining Dot Above]O2 at the AT but does not alter endurance exercise performance.","container-title":"Journal of Strength and Conditioning Research","DOI":"10.1519/JSC.0b013e3182736935","ISSN":"1533-4287","issue":"7","journalAbbreviation":"J Strength Cond Res","language":"eng","note":"PMID: 22996028","page":"1891-1896","source":"PubMed","title":"Effect of long-term oral contraceptive use on determinants of endurance performance","volume":"27","author":[{"family":"Joyce","given":"Sarah"},{"family":"Sabapathy","given":"Surendran"},{"family":"Bulmer","given":"Andrew"},{"family":"Minahan","given":"Clare"}],"issued":{"date-parts":[["2013",7]]}}}],"schema":"https://github.com/citation-style-language/schema/raw/master/csl-citation.json"} </w:instrText>
      </w:r>
      <w:r w:rsidR="00744FF7"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(48)</w:t>
      </w:r>
      <w:r w:rsidR="00744FF7" w:rsidRPr="00024E20">
        <w:rPr>
          <w:rFonts w:ascii="Times New Roman" w:eastAsia="Times New Roman" w:hAnsi="Times New Roman" w:cs="Times New Roman"/>
          <w:color w:val="000000" w:themeColor="text1"/>
          <w:sz w:val="24"/>
          <w:szCs w:val="24"/>
        </w:rPr>
        <w:fldChar w:fldCharType="end"/>
      </w:r>
      <w:r w:rsidR="00AC5D53" w:rsidRPr="00024E20">
        <w:rPr>
          <w:rFonts w:ascii="Times New Roman" w:eastAsia="Times New Roman" w:hAnsi="Times New Roman" w:cs="Times New Roman"/>
          <w:color w:val="000000" w:themeColor="text1"/>
          <w:sz w:val="24"/>
          <w:szCs w:val="24"/>
        </w:rPr>
        <w:t>.</w:t>
      </w:r>
      <w:r w:rsidR="00744FF7" w:rsidRPr="00024E20">
        <w:rPr>
          <w:rFonts w:ascii="Times New Roman" w:eastAsia="Times New Roman" w:hAnsi="Times New Roman" w:cs="Times New Roman"/>
          <w:color w:val="000000" w:themeColor="text1"/>
          <w:sz w:val="24"/>
          <w:szCs w:val="24"/>
        </w:rPr>
        <w:t xml:space="preserve"> </w:t>
      </w:r>
      <w:r w:rsidR="00525EEE" w:rsidRPr="00024E20">
        <w:rPr>
          <w:rFonts w:ascii="Times New Roman" w:eastAsia="Times New Roman" w:hAnsi="Times New Roman" w:cs="Times New Roman"/>
          <w:color w:val="000000" w:themeColor="text1"/>
          <w:sz w:val="24"/>
          <w:szCs w:val="24"/>
        </w:rPr>
        <w:t xml:space="preserve">A systematic review </w:t>
      </w:r>
      <w:r w:rsidR="00F7731C" w:rsidRPr="00024E20">
        <w:rPr>
          <w:rFonts w:ascii="Times New Roman" w:eastAsia="Times New Roman" w:hAnsi="Times New Roman" w:cs="Times New Roman"/>
          <w:color w:val="000000" w:themeColor="text1"/>
          <w:sz w:val="24"/>
          <w:szCs w:val="24"/>
        </w:rPr>
        <w:t xml:space="preserve">reported </w:t>
      </w:r>
      <w:r w:rsidR="00525EEE" w:rsidRPr="00024E20">
        <w:rPr>
          <w:rFonts w:ascii="Times New Roman" w:eastAsia="Times New Roman" w:hAnsi="Times New Roman" w:cs="Times New Roman"/>
          <w:color w:val="000000" w:themeColor="text1"/>
          <w:sz w:val="24"/>
          <w:szCs w:val="24"/>
        </w:rPr>
        <w:t xml:space="preserve">that COCP </w:t>
      </w:r>
      <w:r w:rsidR="00BD28AF" w:rsidRPr="00024E20">
        <w:rPr>
          <w:rFonts w:ascii="Times New Roman" w:eastAsia="Times New Roman" w:hAnsi="Times New Roman" w:cs="Times New Roman"/>
          <w:color w:val="000000" w:themeColor="text1"/>
          <w:sz w:val="24"/>
          <w:szCs w:val="24"/>
        </w:rPr>
        <w:t>use</w:t>
      </w:r>
      <w:r w:rsidR="00B77984" w:rsidRPr="00024E20">
        <w:rPr>
          <w:rFonts w:ascii="Times New Roman" w:eastAsia="Times New Roman" w:hAnsi="Times New Roman" w:cs="Times New Roman"/>
          <w:color w:val="000000" w:themeColor="text1"/>
          <w:sz w:val="24"/>
          <w:szCs w:val="24"/>
        </w:rPr>
        <w:t xml:space="preserve">rs had </w:t>
      </w:r>
      <w:r w:rsidR="00BD28AF" w:rsidRPr="00024E20">
        <w:rPr>
          <w:rFonts w:ascii="Times New Roman" w:eastAsia="Times New Roman" w:hAnsi="Times New Roman" w:cs="Times New Roman"/>
          <w:color w:val="000000" w:themeColor="text1"/>
          <w:sz w:val="24"/>
          <w:szCs w:val="24"/>
        </w:rPr>
        <w:t xml:space="preserve">poorer </w:t>
      </w:r>
      <w:r w:rsidR="00445B63" w:rsidRPr="00024E20">
        <w:rPr>
          <w:rFonts w:ascii="Times New Roman" w:eastAsia="Times New Roman" w:hAnsi="Times New Roman" w:cs="Times New Roman"/>
          <w:color w:val="000000" w:themeColor="text1"/>
          <w:sz w:val="24"/>
          <w:szCs w:val="24"/>
        </w:rPr>
        <w:t>endurance</w:t>
      </w:r>
      <w:r w:rsidR="00525EEE" w:rsidRPr="00024E20">
        <w:rPr>
          <w:rFonts w:ascii="Times New Roman" w:eastAsia="Times New Roman" w:hAnsi="Times New Roman" w:cs="Times New Roman"/>
          <w:color w:val="000000" w:themeColor="text1"/>
          <w:sz w:val="24"/>
          <w:szCs w:val="24"/>
        </w:rPr>
        <w:t xml:space="preserve"> exercise performance</w:t>
      </w:r>
      <w:r w:rsidR="00BD28AF" w:rsidRPr="00024E20">
        <w:rPr>
          <w:rFonts w:ascii="Times New Roman" w:eastAsia="Times New Roman" w:hAnsi="Times New Roman" w:cs="Times New Roman"/>
          <w:color w:val="000000" w:themeColor="text1"/>
          <w:sz w:val="24"/>
          <w:szCs w:val="24"/>
        </w:rPr>
        <w:t xml:space="preserve"> than non-users</w:t>
      </w:r>
      <w:r w:rsidR="00525EEE" w:rsidRPr="00024E20">
        <w:rPr>
          <w:rFonts w:ascii="Times New Roman" w:eastAsia="Times New Roman" w:hAnsi="Times New Roman" w:cs="Times New Roman"/>
          <w:color w:val="000000" w:themeColor="text1"/>
          <w:sz w:val="24"/>
          <w:szCs w:val="24"/>
        </w:rPr>
        <w:t xml:space="preserve"> </w:t>
      </w:r>
      <w:r w:rsidR="00525EEE" w:rsidRPr="00024E20">
        <w:rPr>
          <w:rFonts w:ascii="Times New Roman" w:eastAsia="Times New Roman" w:hAnsi="Times New Roman" w:cs="Times New Roman"/>
          <w:color w:val="000000" w:themeColor="text1"/>
          <w:sz w:val="24"/>
          <w:szCs w:val="24"/>
        </w:rPr>
        <w:fldChar w:fldCharType="begin"/>
      </w:r>
      <w:r w:rsidR="006928F3" w:rsidRPr="00024E20">
        <w:rPr>
          <w:rFonts w:ascii="Times New Roman" w:eastAsia="Times New Roman" w:hAnsi="Times New Roman" w:cs="Times New Roman"/>
          <w:color w:val="000000" w:themeColor="text1"/>
          <w:sz w:val="24"/>
          <w:szCs w:val="24"/>
        </w:rPr>
        <w:instrText xml:space="preserve"> ADDIN ZOTERO_ITEM CSL_CITATION {"citationID":"H8eWlXqX","properties":{"formattedCitation":"(3)","plainCitation":"(3)","noteIndex":0},"citationItems":[{"id":1672,"uris":["http://zotero.org/groups/2537978/items/PX3HCGVC"],"itemData":{"id":1672,"type":"article-journal","abstract":"Oral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A."},{"family":"Dolan","given":"Eimear"}],"issued":{"date-parts":[["2020",10,1]]}}}],"schema":"https://github.com/citation-style-language/schema/raw/master/csl-citation.json"} </w:instrText>
      </w:r>
      <w:r w:rsidR="00525EEE"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w:t>
      </w:r>
      <w:r w:rsidR="00525EEE" w:rsidRPr="00024E20">
        <w:rPr>
          <w:rFonts w:ascii="Times New Roman" w:eastAsia="Times New Roman" w:hAnsi="Times New Roman" w:cs="Times New Roman"/>
          <w:color w:val="000000" w:themeColor="text1"/>
          <w:sz w:val="24"/>
          <w:szCs w:val="24"/>
        </w:rPr>
        <w:fldChar w:fldCharType="end"/>
      </w:r>
      <w:r w:rsidR="00525EEE" w:rsidRPr="00024E20">
        <w:rPr>
          <w:rFonts w:ascii="Times New Roman" w:eastAsia="Times New Roman" w:hAnsi="Times New Roman" w:cs="Times New Roman"/>
          <w:color w:val="000000" w:themeColor="text1"/>
          <w:sz w:val="24"/>
          <w:szCs w:val="24"/>
        </w:rPr>
        <w:t xml:space="preserve">, although the </w:t>
      </w:r>
      <w:r w:rsidR="00F7731C" w:rsidRPr="00024E20">
        <w:rPr>
          <w:rFonts w:ascii="Times New Roman" w:eastAsia="Times New Roman" w:hAnsi="Times New Roman" w:cs="Times New Roman"/>
          <w:color w:val="000000" w:themeColor="text1"/>
          <w:sz w:val="24"/>
          <w:szCs w:val="24"/>
        </w:rPr>
        <w:t>sample size</w:t>
      </w:r>
      <w:r w:rsidR="00A03E83" w:rsidRPr="00024E20">
        <w:rPr>
          <w:rFonts w:ascii="Times New Roman" w:eastAsia="Times New Roman" w:hAnsi="Times New Roman" w:cs="Times New Roman"/>
          <w:color w:val="000000" w:themeColor="text1"/>
          <w:sz w:val="24"/>
          <w:szCs w:val="24"/>
        </w:rPr>
        <w:t xml:space="preserve"> (n = 5 to 25)</w:t>
      </w:r>
      <w:r w:rsidR="00F7731C" w:rsidRPr="00024E20">
        <w:rPr>
          <w:rFonts w:ascii="Times New Roman" w:eastAsia="Times New Roman" w:hAnsi="Times New Roman" w:cs="Times New Roman"/>
          <w:color w:val="000000" w:themeColor="text1"/>
          <w:sz w:val="24"/>
          <w:szCs w:val="24"/>
        </w:rPr>
        <w:t xml:space="preserve"> </w:t>
      </w:r>
      <w:r w:rsidR="00A03E83" w:rsidRPr="00024E20">
        <w:rPr>
          <w:rFonts w:ascii="Times New Roman" w:eastAsia="Times New Roman" w:hAnsi="Times New Roman" w:cs="Times New Roman"/>
          <w:color w:val="000000" w:themeColor="text1"/>
          <w:sz w:val="24"/>
          <w:szCs w:val="24"/>
        </w:rPr>
        <w:t xml:space="preserve">and effect size </w:t>
      </w:r>
      <w:r w:rsidR="00F7731C" w:rsidRPr="00024E20">
        <w:rPr>
          <w:rFonts w:ascii="Times New Roman" w:eastAsia="Times New Roman" w:hAnsi="Times New Roman" w:cs="Times New Roman"/>
          <w:color w:val="000000" w:themeColor="text1"/>
          <w:sz w:val="24"/>
          <w:szCs w:val="24"/>
        </w:rPr>
        <w:t>in</w:t>
      </w:r>
      <w:r w:rsidR="00A03E83" w:rsidRPr="00024E20">
        <w:rPr>
          <w:rFonts w:ascii="Times New Roman" w:eastAsia="Times New Roman" w:hAnsi="Times New Roman" w:cs="Times New Roman"/>
          <w:color w:val="000000" w:themeColor="text1"/>
          <w:sz w:val="24"/>
          <w:szCs w:val="24"/>
        </w:rPr>
        <w:t xml:space="preserve"> the included</w:t>
      </w:r>
      <w:r w:rsidR="00F7731C" w:rsidRPr="00024E20">
        <w:rPr>
          <w:rFonts w:ascii="Times New Roman" w:eastAsia="Times New Roman" w:hAnsi="Times New Roman" w:cs="Times New Roman"/>
          <w:color w:val="000000" w:themeColor="text1"/>
          <w:sz w:val="24"/>
          <w:szCs w:val="24"/>
        </w:rPr>
        <w:t xml:space="preserve"> </w:t>
      </w:r>
      <w:r w:rsidR="00525EEE" w:rsidRPr="00024E20">
        <w:rPr>
          <w:rFonts w:ascii="Times New Roman" w:eastAsia="Times New Roman" w:hAnsi="Times New Roman" w:cs="Times New Roman"/>
          <w:color w:val="000000" w:themeColor="text1"/>
          <w:sz w:val="24"/>
          <w:szCs w:val="24"/>
        </w:rPr>
        <w:t xml:space="preserve">studies were </w:t>
      </w:r>
      <w:r w:rsidR="00842413" w:rsidRPr="00024E20">
        <w:rPr>
          <w:rFonts w:ascii="Times New Roman" w:eastAsia="Times New Roman" w:hAnsi="Times New Roman" w:cs="Times New Roman"/>
          <w:color w:val="000000" w:themeColor="text1"/>
          <w:sz w:val="24"/>
          <w:szCs w:val="24"/>
        </w:rPr>
        <w:t>small,</w:t>
      </w:r>
      <w:r w:rsidR="00525EEE" w:rsidRPr="00024E20">
        <w:rPr>
          <w:rFonts w:ascii="Times New Roman" w:eastAsia="Times New Roman" w:hAnsi="Times New Roman" w:cs="Times New Roman"/>
          <w:color w:val="000000" w:themeColor="text1"/>
          <w:sz w:val="24"/>
          <w:szCs w:val="24"/>
        </w:rPr>
        <w:t xml:space="preserve"> and </w:t>
      </w:r>
      <w:r w:rsidR="00A03E83" w:rsidRPr="00024E20">
        <w:rPr>
          <w:rFonts w:ascii="Times New Roman" w:eastAsia="Times New Roman" w:hAnsi="Times New Roman" w:cs="Times New Roman"/>
          <w:color w:val="000000" w:themeColor="text1"/>
          <w:sz w:val="24"/>
          <w:szCs w:val="24"/>
        </w:rPr>
        <w:t xml:space="preserve">most </w:t>
      </w:r>
      <w:r w:rsidR="0079023D" w:rsidRPr="00024E20">
        <w:rPr>
          <w:rFonts w:ascii="Times New Roman" w:eastAsia="Times New Roman" w:hAnsi="Times New Roman" w:cs="Times New Roman"/>
          <w:color w:val="000000" w:themeColor="text1"/>
          <w:sz w:val="24"/>
          <w:szCs w:val="24"/>
        </w:rPr>
        <w:t>studies</w:t>
      </w:r>
      <w:r w:rsidR="00A03E83" w:rsidRPr="00024E20">
        <w:rPr>
          <w:rFonts w:ascii="Times New Roman" w:eastAsia="Times New Roman" w:hAnsi="Times New Roman" w:cs="Times New Roman"/>
          <w:color w:val="000000" w:themeColor="text1"/>
          <w:sz w:val="24"/>
          <w:szCs w:val="24"/>
        </w:rPr>
        <w:t xml:space="preserve"> were </w:t>
      </w:r>
      <w:r w:rsidR="00525EEE" w:rsidRPr="00024E20">
        <w:rPr>
          <w:rFonts w:ascii="Times New Roman" w:eastAsia="Times New Roman" w:hAnsi="Times New Roman" w:cs="Times New Roman"/>
          <w:color w:val="000000" w:themeColor="text1"/>
          <w:sz w:val="24"/>
          <w:szCs w:val="24"/>
        </w:rPr>
        <w:t xml:space="preserve">acute cross-sectional </w:t>
      </w:r>
      <w:r w:rsidR="00A82A43" w:rsidRPr="00024E20">
        <w:rPr>
          <w:rFonts w:ascii="Times New Roman" w:eastAsia="Times New Roman" w:hAnsi="Times New Roman" w:cs="Times New Roman"/>
          <w:color w:val="000000" w:themeColor="text1"/>
          <w:sz w:val="24"/>
          <w:szCs w:val="24"/>
        </w:rPr>
        <w:t xml:space="preserve">comparisons </w:t>
      </w:r>
      <w:r w:rsidR="00525EEE" w:rsidRPr="00024E20">
        <w:rPr>
          <w:rFonts w:ascii="Times New Roman" w:eastAsia="Times New Roman" w:hAnsi="Times New Roman" w:cs="Times New Roman"/>
          <w:color w:val="000000" w:themeColor="text1"/>
          <w:sz w:val="24"/>
          <w:szCs w:val="24"/>
        </w:rPr>
        <w:t xml:space="preserve">of different groups of hormonal contraceptive users. </w:t>
      </w:r>
      <w:r w:rsidR="00497EDA" w:rsidRPr="00024E20">
        <w:rPr>
          <w:rFonts w:ascii="Times New Roman" w:eastAsia="Times New Roman" w:hAnsi="Times New Roman" w:cs="Times New Roman"/>
          <w:color w:val="000000" w:themeColor="text1"/>
          <w:sz w:val="24"/>
          <w:szCs w:val="24"/>
        </w:rPr>
        <w:t xml:space="preserve">Our findings are based on </w:t>
      </w:r>
      <w:r w:rsidR="00525EEE" w:rsidRPr="00024E20">
        <w:rPr>
          <w:rFonts w:ascii="Times New Roman" w:eastAsia="Times New Roman" w:hAnsi="Times New Roman" w:cs="Times New Roman"/>
          <w:color w:val="000000" w:themeColor="text1"/>
          <w:sz w:val="24"/>
          <w:szCs w:val="24"/>
        </w:rPr>
        <w:t xml:space="preserve">a large sample size </w:t>
      </w:r>
      <w:r w:rsidR="008C020A" w:rsidRPr="00024E20">
        <w:rPr>
          <w:rFonts w:ascii="Times New Roman" w:eastAsia="Times New Roman" w:hAnsi="Times New Roman" w:cs="Times New Roman"/>
          <w:color w:val="000000" w:themeColor="text1"/>
          <w:sz w:val="24"/>
          <w:szCs w:val="24"/>
        </w:rPr>
        <w:t xml:space="preserve">of </w:t>
      </w:r>
      <w:r w:rsidR="0005318E" w:rsidRPr="00024E20">
        <w:rPr>
          <w:rFonts w:ascii="Times New Roman" w:eastAsia="Times New Roman" w:hAnsi="Times New Roman" w:cs="Times New Roman"/>
          <w:color w:val="000000" w:themeColor="text1"/>
          <w:sz w:val="24"/>
          <w:szCs w:val="24"/>
        </w:rPr>
        <w:t>female recruits</w:t>
      </w:r>
      <w:r w:rsidR="008C020A" w:rsidRPr="00024E20">
        <w:rPr>
          <w:rFonts w:ascii="Times New Roman" w:eastAsia="Times New Roman" w:hAnsi="Times New Roman" w:cs="Times New Roman"/>
          <w:color w:val="000000" w:themeColor="text1"/>
          <w:sz w:val="24"/>
          <w:szCs w:val="24"/>
        </w:rPr>
        <w:t xml:space="preserve"> </w:t>
      </w:r>
      <w:r w:rsidR="00525EEE" w:rsidRPr="00024E20">
        <w:rPr>
          <w:rFonts w:ascii="Times New Roman" w:eastAsia="Times New Roman" w:hAnsi="Times New Roman" w:cs="Times New Roman"/>
          <w:color w:val="000000" w:themeColor="text1"/>
          <w:sz w:val="24"/>
          <w:szCs w:val="24"/>
        </w:rPr>
        <w:t xml:space="preserve">completing </w:t>
      </w:r>
      <w:r w:rsidR="00744FF7" w:rsidRPr="00024E20">
        <w:rPr>
          <w:rFonts w:ascii="Times New Roman" w:eastAsia="Times New Roman" w:hAnsi="Times New Roman" w:cs="Times New Roman"/>
          <w:color w:val="000000" w:themeColor="text1"/>
          <w:sz w:val="24"/>
          <w:szCs w:val="24"/>
        </w:rPr>
        <w:t>three</w:t>
      </w:r>
      <w:r w:rsidR="00525EEE" w:rsidRPr="00024E20">
        <w:rPr>
          <w:rFonts w:ascii="Times New Roman" w:eastAsia="Times New Roman" w:hAnsi="Times New Roman" w:cs="Times New Roman"/>
          <w:color w:val="000000" w:themeColor="text1"/>
          <w:sz w:val="24"/>
          <w:szCs w:val="24"/>
        </w:rPr>
        <w:t xml:space="preserve"> months of identical </w:t>
      </w:r>
      <w:r w:rsidR="00362192" w:rsidRPr="00024E20">
        <w:rPr>
          <w:rFonts w:ascii="Times New Roman" w:eastAsia="Times New Roman" w:hAnsi="Times New Roman" w:cs="Times New Roman"/>
          <w:color w:val="000000" w:themeColor="text1"/>
          <w:sz w:val="24"/>
          <w:szCs w:val="24"/>
        </w:rPr>
        <w:t xml:space="preserve">and unfamiliar </w:t>
      </w:r>
      <w:r w:rsidR="00525EEE" w:rsidRPr="00024E20">
        <w:rPr>
          <w:rFonts w:ascii="Times New Roman" w:eastAsia="Times New Roman" w:hAnsi="Times New Roman" w:cs="Times New Roman"/>
          <w:color w:val="000000" w:themeColor="text1"/>
          <w:sz w:val="24"/>
          <w:szCs w:val="24"/>
        </w:rPr>
        <w:t>training</w:t>
      </w:r>
      <w:r w:rsidR="000D3002" w:rsidRPr="00024E20">
        <w:rPr>
          <w:rFonts w:ascii="Times New Roman" w:eastAsia="Times New Roman" w:hAnsi="Times New Roman" w:cs="Times New Roman"/>
          <w:color w:val="000000" w:themeColor="text1"/>
          <w:sz w:val="24"/>
          <w:szCs w:val="24"/>
        </w:rPr>
        <w:t>,</w:t>
      </w:r>
      <w:r w:rsidR="00445B63" w:rsidRPr="00024E20">
        <w:rPr>
          <w:rFonts w:ascii="Times New Roman" w:eastAsia="Times New Roman" w:hAnsi="Times New Roman" w:cs="Times New Roman"/>
          <w:color w:val="000000" w:themeColor="text1"/>
          <w:sz w:val="24"/>
          <w:szCs w:val="24"/>
        </w:rPr>
        <w:t xml:space="preserve"> </w:t>
      </w:r>
      <w:r w:rsidR="000D3002" w:rsidRPr="00024E20">
        <w:rPr>
          <w:rFonts w:ascii="Times New Roman" w:eastAsia="Times New Roman" w:hAnsi="Times New Roman" w:cs="Times New Roman"/>
          <w:color w:val="000000" w:themeColor="text1"/>
          <w:sz w:val="24"/>
          <w:szCs w:val="24"/>
        </w:rPr>
        <w:t>and included</w:t>
      </w:r>
      <w:r w:rsidR="00525EEE" w:rsidRPr="00024E20">
        <w:rPr>
          <w:rFonts w:ascii="Times New Roman" w:eastAsia="Times New Roman" w:hAnsi="Times New Roman" w:cs="Times New Roman"/>
          <w:color w:val="000000" w:themeColor="text1"/>
          <w:sz w:val="24"/>
          <w:szCs w:val="24"/>
        </w:rPr>
        <w:t xml:space="preserve"> a POC group</w:t>
      </w:r>
      <w:r w:rsidR="000D3002" w:rsidRPr="00024E20">
        <w:rPr>
          <w:rFonts w:ascii="Times New Roman" w:eastAsia="Times New Roman" w:hAnsi="Times New Roman" w:cs="Times New Roman"/>
          <w:color w:val="000000" w:themeColor="text1"/>
          <w:sz w:val="24"/>
          <w:szCs w:val="24"/>
        </w:rPr>
        <w:t xml:space="preserve">, providing evidence that </w:t>
      </w:r>
      <w:r w:rsidR="00E75EF2" w:rsidRPr="00024E20">
        <w:rPr>
          <w:rFonts w:ascii="Times New Roman" w:eastAsia="Times New Roman" w:hAnsi="Times New Roman" w:cs="Times New Roman"/>
          <w:color w:val="000000" w:themeColor="text1"/>
          <w:sz w:val="24"/>
          <w:szCs w:val="24"/>
        </w:rPr>
        <w:t>different types of</w:t>
      </w:r>
      <w:r w:rsidR="000D3002" w:rsidRPr="00024E20">
        <w:rPr>
          <w:rFonts w:ascii="Times New Roman" w:eastAsia="Times New Roman" w:hAnsi="Times New Roman" w:cs="Times New Roman"/>
          <w:color w:val="000000" w:themeColor="text1"/>
          <w:sz w:val="24"/>
          <w:szCs w:val="24"/>
        </w:rPr>
        <w:t xml:space="preserve"> hormonal contraceptive</w:t>
      </w:r>
      <w:r w:rsidR="00E75EF2" w:rsidRPr="00024E20">
        <w:rPr>
          <w:rFonts w:ascii="Times New Roman" w:eastAsia="Times New Roman" w:hAnsi="Times New Roman" w:cs="Times New Roman"/>
          <w:color w:val="000000" w:themeColor="text1"/>
          <w:sz w:val="24"/>
          <w:szCs w:val="24"/>
        </w:rPr>
        <w:t>s</w:t>
      </w:r>
      <w:r w:rsidR="001A4169" w:rsidRPr="00024E20">
        <w:rPr>
          <w:rFonts w:ascii="Times New Roman" w:eastAsia="Times New Roman" w:hAnsi="Times New Roman" w:cs="Times New Roman"/>
          <w:color w:val="000000" w:themeColor="text1"/>
          <w:sz w:val="24"/>
          <w:szCs w:val="24"/>
        </w:rPr>
        <w:t xml:space="preserve"> </w:t>
      </w:r>
      <w:r w:rsidR="003A6A7D" w:rsidRPr="00024E20">
        <w:rPr>
          <w:rFonts w:ascii="Times New Roman" w:eastAsia="Times New Roman" w:hAnsi="Times New Roman" w:cs="Times New Roman"/>
          <w:color w:val="000000" w:themeColor="text1"/>
          <w:sz w:val="24"/>
          <w:szCs w:val="24"/>
        </w:rPr>
        <w:t>are not associated with</w:t>
      </w:r>
      <w:r w:rsidR="000D3002" w:rsidRPr="00024E20">
        <w:rPr>
          <w:rFonts w:ascii="Times New Roman" w:eastAsia="Times New Roman" w:hAnsi="Times New Roman" w:cs="Times New Roman"/>
          <w:color w:val="000000" w:themeColor="text1"/>
          <w:sz w:val="24"/>
          <w:szCs w:val="24"/>
        </w:rPr>
        <w:t xml:space="preserve"> training adaptation</w:t>
      </w:r>
      <w:r w:rsidR="001A4169" w:rsidRPr="00024E20">
        <w:rPr>
          <w:rFonts w:ascii="Times New Roman" w:eastAsia="Times New Roman" w:hAnsi="Times New Roman" w:cs="Times New Roman"/>
          <w:color w:val="000000" w:themeColor="text1"/>
          <w:sz w:val="24"/>
          <w:szCs w:val="24"/>
        </w:rPr>
        <w:t>s</w:t>
      </w:r>
      <w:r w:rsidR="00E132C5" w:rsidRPr="00024E20">
        <w:rPr>
          <w:rFonts w:ascii="Times New Roman" w:eastAsia="Times New Roman" w:hAnsi="Times New Roman" w:cs="Times New Roman"/>
          <w:color w:val="000000" w:themeColor="text1"/>
          <w:sz w:val="24"/>
          <w:szCs w:val="24"/>
        </w:rPr>
        <w:t xml:space="preserve">. </w:t>
      </w:r>
      <w:r w:rsidR="00AA60F6" w:rsidRPr="00024E20">
        <w:rPr>
          <w:rFonts w:ascii="Times New Roman" w:eastAsia="Times New Roman" w:hAnsi="Times New Roman" w:cs="Times New Roman"/>
          <w:color w:val="000000" w:themeColor="text1"/>
          <w:sz w:val="24"/>
          <w:szCs w:val="24"/>
        </w:rPr>
        <w:t xml:space="preserve">The COCP users had the </w:t>
      </w:r>
      <w:r w:rsidR="00AA60F6" w:rsidRPr="00024E20">
        <w:rPr>
          <w:rFonts w:ascii="Times New Roman" w:eastAsia="Times New Roman" w:hAnsi="Times New Roman" w:cs="Times New Roman"/>
          <w:color w:val="000000" w:themeColor="text1"/>
          <w:sz w:val="24"/>
          <w:szCs w:val="24"/>
        </w:rPr>
        <w:lastRenderedPageBreak/>
        <w:t>heaviest body mass — consistent with the effects of the COCP</w:t>
      </w:r>
      <w:r w:rsidR="00861E07" w:rsidRPr="00024E20">
        <w:rPr>
          <w:rFonts w:ascii="Times New Roman" w:eastAsia="Times New Roman" w:hAnsi="Times New Roman" w:cs="Times New Roman"/>
          <w:color w:val="000000" w:themeColor="text1"/>
          <w:sz w:val="24"/>
          <w:szCs w:val="24"/>
        </w:rPr>
        <w:t xml:space="preserve"> on increasing body mass</w:t>
      </w:r>
      <w:r w:rsidR="00525EEE" w:rsidRPr="00024E20">
        <w:rPr>
          <w:rFonts w:ascii="Times New Roman" w:eastAsia="Times New Roman" w:hAnsi="Times New Roman" w:cs="Times New Roman"/>
          <w:color w:val="000000" w:themeColor="text1"/>
          <w:sz w:val="24"/>
          <w:szCs w:val="24"/>
        </w:rPr>
        <w:t xml:space="preserve"> </w:t>
      </w:r>
      <w:r w:rsidR="00525EEE"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{"citationID":"Z6YZCkpQ","properties":{"formattedCitation":"(21)","plainCitation":"(21)","noteIndex":0},"citationItems":[{"id":8150,"uris":["http://zotero.org/users/6787375/items/S7S2IC97"],"itemData":{"id":8150,"type":"article-journal","abstract":"BACKGROUND: Oral contraceptives are commonly used by women athletes. However, their effect on athletic performance is unclear.\nOBJECTIVES: To examine the effects of a moderate dose, triphasic oral contraceptive on measures of athletic performance in highly trained women athletes.\nMETHODS: This is a double blind, placebo controlled trial in 14 women with ovulatory menstrual cycles and maximal aerobic capacity (VO(2)MAX) &gt;/==\" BORDER=\"0\"&gt;50 ml/kg/min. Four measures of athletic performance were tested: VO(2)MAX, anaerobic capacity (anaerobic speed test), aerobic endurance (time to fatigue at 90% of VO(2)MAX), and isokinetic strength (Cybex II dynamometer). Height, weight, and six skinfold measurements were also recorded. All these observational tests were completed during both the follicular and mid-luteal phases of an ovulatory menstrual cycle. Cycle phases were confirmed by assaying plasma oestradiol and progesterone. Participants were subsequently randomly assigned to either a tricyclic oral contraceptive or placebo and retested in identical fashion (oral contraceptive phase).\nRESULTS: Absolute and relative changes in VO(2)MAX from follicular to oral contraceptive phase decreased in the oral contraceptive group by 4.7%, whereas the placebo group showed a slight increase (+1.5%) over the same time period. Two of the women taking oral contraceptive had decreases of 4 and 9 ml/kg/min. In contrast, most women in the placebo group improved or maintained VO(2)MAX. There was also a significant increase in the sum of skinfolds in women taking oral contraceptive compared with those taking placebo (p&lt;0.01). There were no significant changes in other physiological variables (maximum ventilation, heart rate, respiratory exchange ratio, packed cell volume) or measures of performance (anaerobic speed test, aerobic endurance, isokinetic strength) as a function of oral contraceptive treatment.\nCONCLUSIONS: The decrease in VO(2)MAX that occurs when oral contraceptive is taken may influence elite sporting performance in some women. Further studies are required to determine the mechanisms of this change.","container-title":"British Journal of Sports Medicine","DOI":"10.1136/bjsm.37.4.315","ISSN":"0306-3674","issue":"4","journalAbbreviation":"Br J Sports Med","language":"eng","note":"PMID: 12893716\nPMCID: PMC1724664","page":"315-320","source":"PubMed","title":"Decreased maximal aerobic capacity with use of a triphasic oral contraceptive in highly active women: a randomised controlled trial","title-short":"Decreased maximal aerobic capacity with use of a triphasic oral contraceptive in highly active women","volume":"37","author":[{"family":"Lebrun","given":"C. M."},{"family":"Petit","given":"M. A."},{"family":"McKenzie","given":"D. C."},{"family":"Taunton","given":"J. E."},{"family":"Prior","given":"J. C."}],"issued":{"date-parts":[["2003",8]]}}}],"schema":"https://github.com/citation-style-language/schema/raw/master/csl-citation.json"} </w:instrText>
      </w:r>
      <w:r w:rsidR="00525EEE"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(21)</w:t>
      </w:r>
      <w:r w:rsidR="00525EEE" w:rsidRPr="00024E20">
        <w:rPr>
          <w:rFonts w:ascii="Times New Roman" w:eastAsia="Times New Roman" w:hAnsi="Times New Roman" w:cs="Times New Roman"/>
          <w:color w:val="000000" w:themeColor="text1"/>
          <w:sz w:val="24"/>
          <w:szCs w:val="24"/>
        </w:rPr>
        <w:fldChar w:fldCharType="end"/>
      </w:r>
      <w:r w:rsidR="00AA60F6" w:rsidRPr="00024E20">
        <w:rPr>
          <w:rFonts w:ascii="Times New Roman" w:eastAsia="Times New Roman" w:hAnsi="Times New Roman" w:cs="Times New Roman"/>
          <w:color w:val="000000" w:themeColor="text1"/>
          <w:sz w:val="24"/>
          <w:szCs w:val="24"/>
        </w:rPr>
        <w:t xml:space="preserve"> — but this higher body mass did not</w:t>
      </w:r>
      <w:r w:rsidR="00321170" w:rsidRPr="00024E20">
        <w:rPr>
          <w:rFonts w:ascii="Times New Roman" w:eastAsia="Times New Roman" w:hAnsi="Times New Roman" w:cs="Times New Roman"/>
          <w:color w:val="000000" w:themeColor="text1"/>
          <w:sz w:val="24"/>
          <w:szCs w:val="24"/>
        </w:rPr>
        <w:t xml:space="preserve"> result in differences in </w:t>
      </w:r>
      <w:r w:rsidR="00AA60F6" w:rsidRPr="00024E20">
        <w:rPr>
          <w:rFonts w:ascii="Times New Roman" w:eastAsia="Times New Roman" w:hAnsi="Times New Roman" w:cs="Times New Roman"/>
          <w:color w:val="000000" w:themeColor="text1"/>
          <w:sz w:val="24"/>
          <w:szCs w:val="24"/>
        </w:rPr>
        <w:t>endurance performance</w:t>
      </w:r>
      <w:r w:rsidR="00321170" w:rsidRPr="00024E20">
        <w:rPr>
          <w:rFonts w:ascii="Times New Roman" w:eastAsia="Times New Roman" w:hAnsi="Times New Roman" w:cs="Times New Roman"/>
          <w:color w:val="000000" w:themeColor="text1"/>
          <w:sz w:val="24"/>
          <w:szCs w:val="24"/>
        </w:rPr>
        <w:t xml:space="preserve"> between groups</w:t>
      </w:r>
      <w:r w:rsidR="00AA60F6" w:rsidRPr="00024E20">
        <w:rPr>
          <w:rFonts w:ascii="Times New Roman" w:eastAsia="Times New Roman" w:hAnsi="Times New Roman" w:cs="Times New Roman"/>
          <w:color w:val="000000" w:themeColor="text1"/>
          <w:sz w:val="24"/>
          <w:szCs w:val="24"/>
        </w:rPr>
        <w:t xml:space="preserve">. </w:t>
      </w:r>
      <w:r w:rsidR="00416ED2" w:rsidRPr="00024E20">
        <w:rPr>
          <w:rFonts w:ascii="Times New Roman" w:eastAsia="Times New Roman" w:hAnsi="Times New Roman" w:cs="Times New Roman"/>
          <w:color w:val="000000" w:themeColor="text1"/>
          <w:sz w:val="24"/>
          <w:szCs w:val="24"/>
        </w:rPr>
        <w:t>Training decreased fat mass</w:t>
      </w:r>
      <w:r w:rsidR="00986F90" w:rsidRPr="00024E20">
        <w:rPr>
          <w:rFonts w:ascii="Times New Roman" w:eastAsia="Times New Roman" w:hAnsi="Times New Roman" w:cs="Times New Roman"/>
          <w:color w:val="000000" w:themeColor="text1"/>
          <w:sz w:val="24"/>
          <w:szCs w:val="24"/>
        </w:rPr>
        <w:t xml:space="preserve"> (–9.6%)</w:t>
      </w:r>
      <w:r w:rsidR="003A739F" w:rsidRPr="00024E20">
        <w:rPr>
          <w:rFonts w:ascii="Times New Roman" w:eastAsia="Times New Roman" w:hAnsi="Times New Roman" w:cs="Times New Roman"/>
          <w:color w:val="000000" w:themeColor="text1"/>
          <w:sz w:val="24"/>
          <w:szCs w:val="24"/>
        </w:rPr>
        <w:t>,</w:t>
      </w:r>
      <w:r w:rsidR="00416ED2" w:rsidRPr="00024E20">
        <w:rPr>
          <w:rFonts w:ascii="Times New Roman" w:eastAsia="Times New Roman" w:hAnsi="Times New Roman" w:cs="Times New Roman"/>
          <w:color w:val="000000" w:themeColor="text1"/>
          <w:sz w:val="24"/>
          <w:szCs w:val="24"/>
        </w:rPr>
        <w:t xml:space="preserve"> but there was no difference</w:t>
      </w:r>
      <w:r w:rsidR="00321170" w:rsidRPr="00024E20">
        <w:rPr>
          <w:rFonts w:ascii="Times New Roman" w:eastAsia="Times New Roman" w:hAnsi="Times New Roman" w:cs="Times New Roman"/>
          <w:color w:val="000000" w:themeColor="text1"/>
          <w:sz w:val="24"/>
          <w:szCs w:val="24"/>
        </w:rPr>
        <w:t xml:space="preserve"> in fat mass loss</w:t>
      </w:r>
      <w:r w:rsidR="00416ED2" w:rsidRPr="00024E20">
        <w:rPr>
          <w:rFonts w:ascii="Times New Roman" w:eastAsia="Times New Roman" w:hAnsi="Times New Roman" w:cs="Times New Roman"/>
          <w:color w:val="000000" w:themeColor="text1"/>
          <w:sz w:val="24"/>
          <w:szCs w:val="24"/>
        </w:rPr>
        <w:t xml:space="preserve"> between hormonal contraceptive groups. A study of  </w:t>
      </w:r>
      <w:r w:rsidR="0049159F" w:rsidRPr="00024E20">
        <w:rPr>
          <w:rFonts w:ascii="Times New Roman" w:eastAsia="Times New Roman" w:hAnsi="Times New Roman" w:cs="Times New Roman"/>
          <w:color w:val="000000" w:themeColor="text1"/>
          <w:sz w:val="24"/>
          <w:szCs w:val="24"/>
        </w:rPr>
        <w:t>oligomenorrheic</w:t>
      </w:r>
      <w:r w:rsidR="00416ED2" w:rsidRPr="00024E20">
        <w:rPr>
          <w:rFonts w:ascii="Times New Roman" w:eastAsia="Times New Roman" w:hAnsi="Times New Roman" w:cs="Times New Roman"/>
          <w:color w:val="000000" w:themeColor="text1"/>
          <w:sz w:val="24"/>
          <w:szCs w:val="24"/>
        </w:rPr>
        <w:t xml:space="preserve"> / </w:t>
      </w:r>
      <w:r w:rsidR="0049159F" w:rsidRPr="00024E20">
        <w:rPr>
          <w:rFonts w:ascii="Times New Roman" w:eastAsia="Times New Roman" w:hAnsi="Times New Roman" w:cs="Times New Roman"/>
          <w:color w:val="000000" w:themeColor="text1"/>
          <w:sz w:val="24"/>
          <w:szCs w:val="24"/>
        </w:rPr>
        <w:t>amenorrhoeic</w:t>
      </w:r>
      <w:r w:rsidR="00416ED2" w:rsidRPr="00024E20">
        <w:rPr>
          <w:rFonts w:ascii="Times New Roman" w:eastAsia="Times New Roman" w:hAnsi="Times New Roman" w:cs="Times New Roman"/>
          <w:color w:val="000000" w:themeColor="text1"/>
          <w:sz w:val="24"/>
          <w:szCs w:val="24"/>
        </w:rPr>
        <w:t xml:space="preserve"> endurance athletes </w:t>
      </w:r>
      <w:r w:rsidR="001D4C3A" w:rsidRPr="00024E20">
        <w:rPr>
          <w:rFonts w:ascii="Times New Roman" w:eastAsia="Times New Roman" w:hAnsi="Times New Roman" w:cs="Times New Roman"/>
          <w:color w:val="000000" w:themeColor="text1"/>
          <w:sz w:val="24"/>
          <w:szCs w:val="24"/>
        </w:rPr>
        <w:t xml:space="preserve">showed </w:t>
      </w:r>
      <w:r w:rsidR="00416ED2" w:rsidRPr="00024E20">
        <w:rPr>
          <w:rFonts w:ascii="Times New Roman" w:eastAsia="Times New Roman" w:hAnsi="Times New Roman" w:cs="Times New Roman"/>
          <w:color w:val="000000" w:themeColor="text1"/>
          <w:sz w:val="24"/>
          <w:szCs w:val="24"/>
        </w:rPr>
        <w:t xml:space="preserve">that </w:t>
      </w:r>
      <w:r w:rsidR="00E93373" w:rsidRPr="00024E20">
        <w:rPr>
          <w:rFonts w:ascii="Times New Roman" w:eastAsia="Times New Roman" w:hAnsi="Times New Roman" w:cs="Times New Roman"/>
          <w:color w:val="000000" w:themeColor="text1"/>
          <w:sz w:val="24"/>
          <w:szCs w:val="24"/>
        </w:rPr>
        <w:t>the first 10 months of</w:t>
      </w:r>
      <w:r w:rsidR="00416ED2" w:rsidRPr="00024E20">
        <w:rPr>
          <w:rFonts w:ascii="Times New Roman" w:eastAsia="Times New Roman" w:hAnsi="Times New Roman" w:cs="Times New Roman"/>
          <w:color w:val="000000" w:themeColor="text1"/>
          <w:sz w:val="24"/>
          <w:szCs w:val="24"/>
        </w:rPr>
        <w:t xml:space="preserve"> COCP</w:t>
      </w:r>
      <w:r w:rsidR="00E93373" w:rsidRPr="00024E20">
        <w:rPr>
          <w:rFonts w:ascii="Times New Roman" w:eastAsia="Times New Roman" w:hAnsi="Times New Roman" w:cs="Times New Roman"/>
          <w:color w:val="000000" w:themeColor="text1"/>
          <w:sz w:val="24"/>
          <w:szCs w:val="24"/>
        </w:rPr>
        <w:t xml:space="preserve"> use</w:t>
      </w:r>
      <w:r w:rsidR="00416ED2" w:rsidRPr="00024E20">
        <w:rPr>
          <w:rFonts w:ascii="Times New Roman" w:eastAsia="Times New Roman" w:hAnsi="Times New Roman" w:cs="Times New Roman"/>
          <w:color w:val="000000" w:themeColor="text1"/>
          <w:sz w:val="24"/>
          <w:szCs w:val="24"/>
        </w:rPr>
        <w:t xml:space="preserve"> increased fat mass</w:t>
      </w:r>
      <w:r w:rsidR="00C67D4B" w:rsidRPr="00024E20">
        <w:rPr>
          <w:rFonts w:ascii="Times New Roman" w:eastAsia="Times New Roman" w:hAnsi="Times New Roman" w:cs="Times New Roman"/>
          <w:color w:val="000000" w:themeColor="text1"/>
          <w:sz w:val="24"/>
          <w:szCs w:val="24"/>
        </w:rPr>
        <w:t xml:space="preserve"> (~18% relative increase in body fat %)</w:t>
      </w:r>
      <w:r w:rsidR="00416ED2" w:rsidRPr="00024E20">
        <w:rPr>
          <w:rFonts w:ascii="Times New Roman" w:eastAsia="Times New Roman" w:hAnsi="Times New Roman" w:cs="Times New Roman"/>
          <w:color w:val="000000" w:themeColor="text1"/>
          <w:sz w:val="24"/>
          <w:szCs w:val="24"/>
        </w:rPr>
        <w:t xml:space="preserve">, </w:t>
      </w:r>
      <w:r w:rsidR="001D4C3A" w:rsidRPr="00024E20">
        <w:rPr>
          <w:rFonts w:ascii="Times New Roman" w:eastAsia="Times New Roman" w:hAnsi="Times New Roman" w:cs="Times New Roman"/>
          <w:color w:val="000000" w:themeColor="text1"/>
          <w:sz w:val="24"/>
          <w:szCs w:val="24"/>
        </w:rPr>
        <w:t>and decreased</w:t>
      </w:r>
      <w:r w:rsidR="00416ED2" w:rsidRPr="00024E20">
        <w:rPr>
          <w:rFonts w:ascii="Times New Roman" w:eastAsia="Times New Roman" w:hAnsi="Times New Roman" w:cs="Times New Roman"/>
          <w:color w:val="000000" w:themeColor="text1"/>
          <w:sz w:val="24"/>
          <w:szCs w:val="24"/>
        </w:rPr>
        <w:t xml:space="preserve"> multi-stage fitness test performance</w:t>
      </w:r>
      <w:r w:rsidR="001D4C3A" w:rsidRPr="00024E20">
        <w:rPr>
          <w:rFonts w:ascii="Times New Roman" w:eastAsia="Times New Roman" w:hAnsi="Times New Roman" w:cs="Times New Roman"/>
          <w:color w:val="000000" w:themeColor="text1"/>
          <w:sz w:val="24"/>
          <w:szCs w:val="24"/>
        </w:rPr>
        <w:t xml:space="preserve"> by</w:t>
      </w:r>
      <w:r w:rsidR="00416ED2" w:rsidRPr="00024E20">
        <w:rPr>
          <w:rFonts w:ascii="Times New Roman" w:eastAsia="Times New Roman" w:hAnsi="Times New Roman" w:cs="Times New Roman"/>
          <w:color w:val="000000" w:themeColor="text1"/>
          <w:sz w:val="24"/>
          <w:szCs w:val="24"/>
        </w:rPr>
        <w:t xml:space="preserve"> </w:t>
      </w:r>
      <w:r w:rsidR="001D4C3A" w:rsidRPr="00024E20">
        <w:rPr>
          <w:rFonts w:ascii="Times New Roman" w:eastAsia="Times New Roman" w:hAnsi="Times New Roman" w:cs="Times New Roman"/>
          <w:color w:val="000000" w:themeColor="text1"/>
          <w:sz w:val="24"/>
          <w:szCs w:val="24"/>
        </w:rPr>
        <w:t>6</w:t>
      </w:r>
      <w:r w:rsidR="00E93373" w:rsidRPr="00024E20">
        <w:rPr>
          <w:rFonts w:ascii="Times New Roman" w:eastAsia="Times New Roman" w:hAnsi="Times New Roman" w:cs="Times New Roman"/>
          <w:color w:val="000000" w:themeColor="text1"/>
          <w:sz w:val="24"/>
          <w:szCs w:val="24"/>
        </w:rPr>
        <w:t>%</w:t>
      </w:r>
      <w:r w:rsidR="001D4C3A" w:rsidRPr="00024E20">
        <w:rPr>
          <w:rFonts w:ascii="Times New Roman" w:eastAsia="Times New Roman" w:hAnsi="Times New Roman" w:cs="Times New Roman"/>
          <w:color w:val="000000" w:themeColor="text1"/>
          <w:sz w:val="24"/>
          <w:szCs w:val="24"/>
        </w:rPr>
        <w:t xml:space="preserve"> </w:t>
      </w:r>
      <w:r w:rsidR="00416ED2"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{"citationID":"4SfT8iV1","properties":{"formattedCitation":"(49)","plainCitation":"(49)","noteIndex":0},"citationItems":[{"id":8183,"uris":["http://zotero.org/users/6787375/items/SEZ3MKFU"],"itemData":{"id":8183,"type":"article-journal","container-title":"The Journal of Clinical Endocrinology &amp; Metabolism","DOI":"10.1210/jc.2003-031334","ISSN":"0021-972X, 1945-7197","issue":"9","journalAbbreviation":"The Journal of Clinical Endocrinology &amp; Metabolism","language":"en","page":"4364-4370","source":"DOI.org (Crossref)","title":"Effects of Oral Contraceptives on Body Composition and Physical Performance in Female Athletes","volume":"89","author":[{"family":"Rickenlund","given":"Anette"},{"family":"Carlström","given":"Kjell"},{"family":"Ekblom","given":"Björn"},{"family":"Brismar","given":"Torkel B."},{"family":"Von Schoultz","given":"Bo"},{"family":"Hirschberg","given":"Angelica Lindén"}],"issued":{"date-parts":[["2004",9]]}}}],"schema":"https://github.com/citation-style-language/schema/raw/master/csl-citation.json"} </w:instrText>
      </w:r>
      <w:r w:rsidR="00416ED2"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(49)</w:t>
      </w:r>
      <w:r w:rsidR="00416ED2" w:rsidRPr="00024E20">
        <w:rPr>
          <w:rFonts w:ascii="Times New Roman" w:eastAsia="Times New Roman" w:hAnsi="Times New Roman" w:cs="Times New Roman"/>
          <w:color w:val="000000" w:themeColor="text1"/>
          <w:sz w:val="24"/>
          <w:szCs w:val="24"/>
        </w:rPr>
        <w:fldChar w:fldCharType="end"/>
      </w:r>
      <w:r w:rsidR="00416ED2" w:rsidRPr="00024E20">
        <w:rPr>
          <w:rFonts w:ascii="Times New Roman" w:eastAsia="Times New Roman" w:hAnsi="Times New Roman" w:cs="Times New Roman"/>
          <w:color w:val="000000" w:themeColor="text1"/>
          <w:sz w:val="24"/>
          <w:szCs w:val="24"/>
        </w:rPr>
        <w:t xml:space="preserve">, but increases in body mass and fat mass with COCP use is not supported by all studies </w:t>
      </w:r>
      <w:r w:rsidR="00416ED2"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{"citationID":"8NdxrlbX","properties":{"formattedCitation":"(9, 50)","plainCitation":"(9, 50)","noteIndex":0},"citationItems":[{"id":8176,"uris":["http://zotero.org/users/6787375/items/KGJGEMUF"],"itemData":{"id":8176,"type":"article-journal","abstract":"Abstract Hormonal contraceptives are used by approximately half of female athletes and may affect athletic performance as a result of their action on the endogenous hormonal milieu. In athletes, hormonal contraceptive use appears to have little effect on body composition, however further studies are needed assessing progestin-only contraceptives as they may have a negative effect in the general population. The type of progestin contained within the contraceptive may influence the anabolic response of muscle to loading although this relationship is complex as it may be due to either direct or indirect effects of exogenous hormones on protein synthesis and satellite cell proliferation. The altered hormonal milieu in hormonal contraceptive users has predominately been shown to have no effect on muscle strength and whilst maximal oxygen uptake is sometimes reduced, this does not translate into measures of performance. The majority of previous research has used cross-sectional designs and/or grouped together different types and brands of hormonal contraceptives and little research has been conducted on progestin-only contraceptives in athletes. Future research should use prospective, randomised-controlled designs to assess the effects of all types of hormonal contraceptives on athletic performance in females.\n          , \n            Resumo Os métodos contraceptivos hormonais são usados por aproximadamente metade das atletas do sexo feminino e podem afetar o desempenho atlético como resultado de sua ação hormonal sistêmica. Nas atletas, o uso de anticoncepcionais parece ter pouco efeito sobre a composição corporal, porém novos estudos são necessários para avaliar os efeitos dos contraceptivos derivados apenas de progestina, pois podem ter um efeito negativo na população em geral. O tipo de progestina contido dentro do contraceptivo pode influenciar a resposta anabólica do músculo, embora esta relação seja complexa em virtude dos efeitos diretos ou indiretos de hormônios exógenos na síntese da proteína e na proliferação das células satélites. A resposta sistêmica hormonal alterada em usuárias de contraceptivos parece não influenciar a força muscular e, embora o consumo máximo de oxigênio às vezes seja reduzida, isso não afeta as medidas de desempenho. A maioria das pesquisas utilizou desenhos transversais e/ou agrupou diferentes tipos e marcas de anticoncepcionais hormonais e poucos estudos têm sido realizada sobre anticoncepcionais com progestina em atletas. Futuros estudos devem usar desenhos experimentais prospectivos, randomizados e controlados para avaliar os efeitos de todos os tipos de contraceptivos hormonais no desempenho atlético em mulheres.","container-title":"Revista Brasileira de Educação Física e Esporte","DOI":"10.1590/1807-55092016000401087","ISSN":"1807-5509","issue":"4","journalAbbreviation":"Rev. bras. educ. fís. esporte","page":"1087-1096","source":"DOI.org (Crossref)","title":"A perspective on current research investigating the effects of hormonal contraceptives on determinants of female athlete performance","volume":"30","author":[{"family":"Martin","given":"Daniel"},{"family":"Elliott-Sale","given":"Kirsty"},{"literal":"Nottingham Trent University, United Kingdom"}],"issued":{"date-parts":[["2016",12]]}}},{"id":8185,"uris":["http://zotero.org/users/6787375/items/D65U8SHY"],"itemData":{"id":8185,"type":"article-journal","container-title":"Medicine &amp; Science in Sports &amp; Exercise","DOI":"10.1249/MSS.0b013e31816a0df6","ISSN":"0195-9131","issue":"7","language":"en","page":"1205-1212","source":"DOI.org (Crossref)","title":"Effect of Oral Contraceptives on Weight and Body Composition in Young Female Runners","volume":"40","author":[{"family":"Procter-Gray","given":"Elizabeth"},{"family":"Cobb","given":"Kristin L."},{"family":"Crawford","given":"Sybil L."},{"family":"Bachrach","given":"Laura K."},{"family":"Chirra","given":"Annapoorna"},{"family":"Sowers","given":"Maryfran"},{"family":"Greendale","given":"Gail A."},{"family":"Nieves","given":"Jeri W."},{"family":"Kent","given":"Kyla"},{"family":"Kelsey","given":"Jennifer L."}],"issued":{"date-parts":[["2008",7]]}}}],"schema":"https://github.com/citation-style-language/schema/raw/master/csl-citation.json"} </w:instrText>
      </w:r>
      <w:r w:rsidR="00416ED2"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(9, 50)</w:t>
      </w:r>
      <w:r w:rsidR="00416ED2" w:rsidRPr="00024E20">
        <w:rPr>
          <w:rFonts w:ascii="Times New Roman" w:eastAsia="Times New Roman" w:hAnsi="Times New Roman" w:cs="Times New Roman"/>
          <w:color w:val="000000" w:themeColor="text1"/>
          <w:sz w:val="24"/>
          <w:szCs w:val="24"/>
        </w:rPr>
        <w:fldChar w:fldCharType="end"/>
      </w:r>
      <w:r w:rsidR="00861E07" w:rsidRPr="00024E20">
        <w:rPr>
          <w:rFonts w:ascii="Times New Roman" w:eastAsia="Times New Roman" w:hAnsi="Times New Roman" w:cs="Times New Roman"/>
          <w:color w:val="000000" w:themeColor="text1"/>
          <w:sz w:val="24"/>
          <w:szCs w:val="24"/>
        </w:rPr>
        <w:t xml:space="preserve"> and are more consistently reported with </w:t>
      </w:r>
      <w:r w:rsidR="00416ED2" w:rsidRPr="00024E20">
        <w:rPr>
          <w:rFonts w:ascii="Times New Roman" w:eastAsia="Times New Roman" w:hAnsi="Times New Roman" w:cs="Times New Roman"/>
          <w:color w:val="000000" w:themeColor="text1"/>
          <w:sz w:val="24"/>
          <w:szCs w:val="24"/>
        </w:rPr>
        <w:t xml:space="preserve">POC use </w:t>
      </w:r>
      <w:r w:rsidR="00416ED2"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{"citationID":"Wi7moewA","properties":{"formattedCitation":"(9)","plainCitation":"(9)","noteIndex":0},"citationItems":[{"id":8176,"uris":["http://zotero.org/users/6787375/items/KGJGEMUF"],"itemData":{"id":8176,"type":"article-journal","abstract":"Abstract Hormonal contraceptives are used by approximately half of female athletes and may affect athletic performance as a result of their action on the endogenous hormonal milieu. In athletes, hormonal contraceptive use appears to have little effect on body composition, however further studies are needed assessing progestin-only contraceptives as they may have a negative effect in the general population. The type of progestin contained within the contraceptive may influence the anabolic response of muscle to loading although this relationship is complex as it may be due to either direct or indirect effects of exogenous hormones on protein synthesis and satellite cell proliferation. The altered hormonal milieu in hormonal contraceptive users has predominately been shown to have no effect on muscle strength and whilst maximal oxygen uptake is sometimes reduced, this does not translate into measures of performance. The majority of previous research has used cross-sectional designs and/or grouped together different types and brands of hormonal contraceptives and little research has been conducted on progestin-only contraceptives in athletes. Future research should use prospective, randomised-controlled designs to assess the effects of all types of hormonal contraceptives on athletic performance in females.\n          , \n            Resumo Os métodos contraceptivos hormonais são usados por aproximadamente metade das atletas do sexo feminino e podem afetar o desempenho atlético como resultado de sua ação hormonal sistêmica. Nas atletas, o uso de anticoncepcionais parece ter pouco efeito sobre a composição corporal, porém novos estudos são necessários para avaliar os efeitos dos contraceptivos derivados apenas de progestina, pois podem ter um efeito negativo na população em geral. O tipo de progestina contido dentro do contraceptivo pode influenciar a resposta anabólica do músculo, embora esta relação seja complexa em virtude dos efeitos diretos ou indiretos de hormônios exógenos na síntese da proteína e na proliferação das células satélites. A resposta sistêmica hormonal alterada em usuárias de contraceptivos parece não influenciar a força muscular e, embora o consumo máximo de oxigênio às vezes seja reduzida, isso não afeta as medidas de desempenho. A maioria das pesquisas utilizou desenhos transversais e/ou agrupou diferentes tipos e marcas de anticoncepcionais hormonais e poucos estudos têm sido realizada sobre anticoncepcionais com progestina em atletas. Futuros estudos devem usar desenhos experimentais prospectivos, randomizados e controlados para avaliar os efeitos de todos os tipos de contraceptivos hormonais no desempenho atlético em mulheres.","container-title":"Revista Brasileira de Educação Física e Esporte","DOI":"10.1590/1807-55092016000401087","ISSN":"1807-5509","issue":"4","journalAbbreviation":"Rev. bras. educ. fís. esporte","page":"1087-1096","source":"DOI.org (Crossref)","title":"A perspective on current research investigating the effects of hormonal contraceptives on determinants of female athlete performance","volume":"30","author":[{"family":"Martin","given":"Daniel"},{"family":"Elliott-Sale","given":"Kirsty"},{"literal":"Nottingham Trent University, United Kingdom"}],"issued":{"date-parts":[["2016",12]]}}}],"schema":"https://github.com/citation-style-language/schema/raw/master/csl-citation.json"} </w:instrText>
      </w:r>
      <w:r w:rsidR="00416ED2"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(9)</w:t>
      </w:r>
      <w:r w:rsidR="00416ED2" w:rsidRPr="00024E20">
        <w:rPr>
          <w:rFonts w:ascii="Times New Roman" w:eastAsia="Times New Roman" w:hAnsi="Times New Roman" w:cs="Times New Roman"/>
          <w:color w:val="000000" w:themeColor="text1"/>
          <w:sz w:val="24"/>
          <w:szCs w:val="24"/>
        </w:rPr>
        <w:fldChar w:fldCharType="end"/>
      </w:r>
      <w:r w:rsidR="00416ED2" w:rsidRPr="00024E20">
        <w:rPr>
          <w:rFonts w:ascii="Times New Roman" w:eastAsia="Times New Roman" w:hAnsi="Times New Roman" w:cs="Times New Roman"/>
          <w:color w:val="000000" w:themeColor="text1"/>
          <w:sz w:val="24"/>
          <w:szCs w:val="24"/>
        </w:rPr>
        <w:t xml:space="preserve">. </w:t>
      </w:r>
      <w:r w:rsidR="00C86C9C" w:rsidRPr="00024E20">
        <w:rPr>
          <w:rFonts w:ascii="Times New Roman" w:eastAsia="Times New Roman" w:hAnsi="Times New Roman" w:cs="Times New Roman"/>
          <w:color w:val="000000" w:themeColor="text1"/>
          <w:sz w:val="24"/>
          <w:szCs w:val="24"/>
        </w:rPr>
        <w:t xml:space="preserve">Hormonal contraceptives are often used by Servicewomen (unpublished) and athletes </w:t>
      </w:r>
      <w:r w:rsidR="00C86C9C" w:rsidRPr="00024E20">
        <w:rPr>
          <w:rFonts w:ascii="Times New Roman" w:eastAsia="Times New Roman" w:hAnsi="Times New Roman" w:cs="Times New Roman"/>
          <w:color w:val="000000" w:themeColor="text1"/>
          <w:sz w:val="24"/>
          <w:szCs w:val="24"/>
        </w:rPr>
        <w:fldChar w:fldCharType="begin"/>
      </w:r>
      <w:r w:rsidR="00C86C9C" w:rsidRPr="00024E20">
        <w:rPr>
          <w:rFonts w:ascii="Times New Roman" w:eastAsia="Times New Roman" w:hAnsi="Times New Roman" w:cs="Times New Roman"/>
          <w:color w:val="000000" w:themeColor="text1"/>
          <w:sz w:val="24"/>
          <w:szCs w:val="24"/>
        </w:rPr>
        <w:instrText xml:space="preserve"> ADDIN ZOTERO_ITEM CSL_CITATION {"citationID":"Bz8pquIV","properties":{"formattedCitation":"(1)","plainCitation":"(1)","noteIndex":0},"citationItems":[{"id":5363,"uris":["http://zotero.org/users/6787375/items/MESRMK3Y"],"itemData":{"id":5363,"type":"article-journal","abstract":"PURPOSE: To identify the period prevalence of hormonal contraceptive (HC) use and characterize the perceived side effects associated with the menstrual cycle and HC use. METHODS: A total of 430 elite female athletes completed a questionnaire to assess the period prevalence of HC use, the reasons for initiation and discontinuation of HCs, and the side effects experienced by HC and non-HC users. Descriptive statistics, between-groups comparisons, and associations between categorical variables were calculated. RESULTS: Of athletes studied, 49.5% were currently using HCs and 69.8% had used HCs at some point. Combined oral contraceptives were most commonly used (68.1%), with 30.0% using progestin-only contraceptives (implant = 13.1%, injection = 3.7%, and intrauterine system = 2.8%). Perceived negative side effects were more common with progestin-only HC use (39.1%) compared with combined-HC use (17.8%; P = .001) and were most prevalent in implant users (53.6%; P = .004). HC users reported perceived positive side effects relating to their ability to predict and/or manipulate the timing, frequency, and amount of menstrual bleeding. Non-HC users had a menstrual cycle length of 29 (5) d and 77.4% reported negative side effects during their menstrual cycle, primarily during days 1-2 of menstruation (81.6%). CONCLUSIONS: Approximately half of elite athletes used HCs, and progestin-only contraceptive users reported greater incidences of negative side effects, especially with the implant. Because of the high interindividual variability in reported side effects, athletes and practitioners should maintain an open dialogue to pursue the best interests of the athlete.","container-title":"Int J Sports Physiol Perform","DOI":"10.1123/ijspp.2017-0330","ISSN":"1555-0273 (Electronic) 1555-0265 (Linking)","issue":"7","journalAbbreviation":"International journal of sports physiology and performance","page":"926-932","title":"Period Prevalence and Perceived Side Effects of Hormonal Contraceptive Use and the Menstrual Cycle in Elite Athletes","volume":"13","author":[{"family":"Martin","given":"D."},{"family":"Sale","given":"C."},{"family":"Cooper","given":"S. B."},{"family":"Elliott-Sale","given":"K. J."}],"issued":{"date-parts":[["2018",8,1]]}}}],"schema":"https://github.com/citation-style-language/schema/raw/master/csl-citation.json"} </w:instrText>
      </w:r>
      <w:r w:rsidR="00C86C9C"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(1)</w:t>
      </w:r>
      <w:r w:rsidR="00C86C9C" w:rsidRPr="00024E20">
        <w:rPr>
          <w:rFonts w:ascii="Times New Roman" w:eastAsia="Times New Roman" w:hAnsi="Times New Roman" w:cs="Times New Roman"/>
          <w:color w:val="000000" w:themeColor="text1"/>
          <w:sz w:val="24"/>
          <w:szCs w:val="24"/>
        </w:rPr>
        <w:fldChar w:fldCharType="end"/>
      </w:r>
      <w:r w:rsidR="00C86C9C" w:rsidRPr="00024E20">
        <w:rPr>
          <w:rFonts w:ascii="Times New Roman" w:eastAsia="Times New Roman" w:hAnsi="Times New Roman" w:cs="Times New Roman"/>
          <w:color w:val="000000" w:themeColor="text1"/>
          <w:sz w:val="24"/>
          <w:szCs w:val="24"/>
        </w:rPr>
        <w:t xml:space="preserve"> to control heavy menstrual bleeding, which is a cause of iron deficiency </w:t>
      </w:r>
      <w:r w:rsidR="00C86C9C"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{"citationID":"4d5ScFv9","properties":{"formattedCitation":"(51, 52)","plainCitation":"(51, 52)","noteIndex":0},"citationItems":[{"id":8165,"uris":["http://zotero.org/users/6787375/items/ZW7URW3I"],"itemData":{"id":8165,"type":"article-journal","container-title":"Journal of Science and Medicine in Sport","DOI":"10.1016/j.jsams.2024.04.012","ISSN":"14402440","journalAbbreviation":"Journal of Science and Medicine in Sport","language":"en","page":"S1440244024001427","source":"DOI.org (Crossref)","title":"The relationship between menorrhagia, iron deficiency, and anaemia in recreationally active females: An exploratory population based screening study","title-short":"The relationship between menorrhagia, iron deficiency, and anaemia in recreationally active females","author":[{"family":"Dugan","given":"Cory"},{"family":"Peeling","given":"Peter"},{"family":"Davies","given":"Amelia"},{"family":"MacLean","given":"Beth"},{"family":"Simpson","given":"Aaron"},{"family":"Lim","given":"Jayne"},{"family":"Richards","given":"Toby"}],"issued":{"date-parts":[["2024",5]]}}},{"id":8166,"uris":["http://zotero.org/users/6787375/items/4C4GAFA9"],"itemData":{"id":8166,"type":"article-journal","container-title":"BMJ (Clinical research ed.)","DOI":"10.1136/bmj.39003.602338.94","ISSN":"1756-1833","issue":"7587","journalAbbreviation":"BMJ","language":"eng","note":"PMID: 17272570\nPMCID: PMC1790786","page":"259","source":"PubMed","title":"Newly diagnosed iron deficiency anaemia in a premenopausal woman","volume":"334","author":[{"family":"Todd","given":"Tony"},{"family":"Caroe","given":"Tim"}],"issued":{"date-parts":[["2007",2,3]]}}}],"schema":"https://github.com/citation-style-language/schema/raw/master/csl-citation.json"} </w:instrText>
      </w:r>
      <w:r w:rsidR="00C86C9C"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(51, 52)</w:t>
      </w:r>
      <w:r w:rsidR="00C86C9C" w:rsidRPr="00024E20">
        <w:rPr>
          <w:rFonts w:ascii="Times New Roman" w:eastAsia="Times New Roman" w:hAnsi="Times New Roman" w:cs="Times New Roman"/>
          <w:color w:val="000000" w:themeColor="text1"/>
          <w:sz w:val="24"/>
          <w:szCs w:val="24"/>
        </w:rPr>
        <w:fldChar w:fldCharType="end"/>
      </w:r>
      <w:r w:rsidR="00C86C9C" w:rsidRPr="00024E20">
        <w:rPr>
          <w:rFonts w:ascii="Times New Roman" w:eastAsia="Times New Roman" w:hAnsi="Times New Roman" w:cs="Times New Roman"/>
          <w:color w:val="000000" w:themeColor="text1"/>
          <w:sz w:val="24"/>
          <w:szCs w:val="24"/>
        </w:rPr>
        <w:t xml:space="preserve">; better iron stores (ferritin) are associated with better 2.4 km run performance in male and female British Army recruits </w:t>
      </w:r>
      <w:r w:rsidR="00C86C9C"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{"citationID":"K6jUhxpg","properties":{"formattedCitation":"(26)","plainCitation":"(26)","noteIndex":0},"citationItems":[{"id":8077,"uris":["http://zotero.org/users/6787375/items/H3ESNK7Z"],"itemData":{"id":8077,"type":"article-journal","abstract":"Abstract\n            \n              This study investigated sex differences in iron status, and associations between iron status and endurance and musculoskeletal outcomes, in military training. 2,277 British Army trainees (581 women) participated. Iron markers and endurance performance (2.4 km run) were measured at the start (week 1) and end (week 13) of training. Whole-body areal body mineral density (aBMD) and markers of bone metabolism were measured at week 1. Injuries during training were recorded. Training decreased haemoglobin in men and women (mean change [95% CI], −0.1 [−0.2, −0.0] and −0.7 [−0.9, −0.6] g∙dL\n              -1\n              , both p &lt; 0.001), but more so in women (p &lt; 0.001). Ferritin decreased in men and women (−27 [−28, −23] and −5 [−8, −1] ug∙L, both p ≤ 0.001), but more so in men (p &lt; 0.001). sTfR increased in men and women (2.9 [2.3, 3.6] and 3.8 [2.7, 4.9] nmol∙L, both p &lt; 0.001), with no difference between sexes (p = 0.872). RDW increased in men (0.3 [0.2, 0.4]%, p &lt; 0.001), but not women (0.1 [−0.1, 0.2]%, p = 0.956). MCV decreased in men (−1.5 [−1.8, −1.1] fL, p &lt; 0.001), but not women (0.4 [−0.4, 1.3] fL, p = 0.087). Lower ferritin was associated with slower 2.4 km run time (p = 0.018), sustaining a lower limb overuse injury (p = 0.048), lower aBMD (p = 0.021), and higher βCTX and P1NP (both p &lt; 0.001) controlling for sex. Improving iron stores before training may protect haemoglobin in women and improve endurance and protect against injury.","container-title":"British Journal of Nutrition","DOI":"10.1017/S0007114523001812","ISSN":"0007-1145, 1475-2662","journalAbbreviation":"Br J Nutr","language":"en","page":"1-30","source":"DOI.org (Crossref)","title":"Sex differences in iron status during military training: a prospective cohort study of longitudinal changes and associations with endurance performance and musculoskeletal outcomes","title-short":"Sex differences in iron status during military training","author":[{"family":"O’Leary","given":"Thomas J"},{"family":"Jackson","given":"Sarah"},{"family":"Izard","given":"Rachel M"},{"family":"Walsh","given":"Neil P"},{"family":"Coombs","given":"Charlotte V"},{"family":"Carswell","given":"Alexander T"},{"family":"Oliver","given":"Samuel J"},{"family":"Tang","given":"Jonathan Cy"},{"family":"Fraser","given":"William D"},{"family":"Greeves","given":"Julie P"}],"issued":{"date-parts":[["2023",9,21]]}}}],"schema":"https://github.com/citation-style-language/schema/raw/master/csl-citation.json"} </w:instrText>
      </w:r>
      <w:r w:rsidR="00C86C9C" w:rsidRPr="00024E20">
        <w:rPr>
          <w:rFonts w:ascii="Times New Roman" w:eastAsia="Times New Roman" w:hAnsi="Times New Roman" w:cs="Times New Roman"/>
          <w:color w:val="000000" w:themeColor="text1"/>
          <w:sz w:val="24"/>
          <w:szCs w:val="24"/>
        </w:rPr>
        <w:fldChar w:fldCharType="separate"/>
      </w:r>
      <w:r w:rsidR="006E0E7F" w:rsidRPr="00024E20">
        <w:rPr>
          <w:rFonts w:ascii="Times New Roman" w:eastAsia="Times New Roman" w:hAnsi="Times New Roman" w:cs="Times New Roman"/>
          <w:noProof/>
          <w:color w:val="000000" w:themeColor="text1"/>
          <w:sz w:val="24"/>
          <w:szCs w:val="24"/>
        </w:rPr>
        <w:t>(26)</w:t>
      </w:r>
      <w:r w:rsidR="00C86C9C" w:rsidRPr="00024E20">
        <w:rPr>
          <w:rFonts w:ascii="Times New Roman" w:eastAsia="Times New Roman" w:hAnsi="Times New Roman" w:cs="Times New Roman"/>
          <w:color w:val="000000" w:themeColor="text1"/>
          <w:sz w:val="24"/>
          <w:szCs w:val="24"/>
        </w:rPr>
        <w:fldChar w:fldCharType="end"/>
      </w:r>
      <w:r w:rsidR="00C86C9C" w:rsidRPr="00024E20">
        <w:rPr>
          <w:rFonts w:ascii="Times New Roman" w:eastAsia="Times New Roman" w:hAnsi="Times New Roman" w:cs="Times New Roman"/>
          <w:color w:val="000000" w:themeColor="text1"/>
          <w:sz w:val="24"/>
          <w:szCs w:val="24"/>
        </w:rPr>
        <w:t>, however, hormonal contraceptive use was not associated with iron status (ferritin or haemoglobin)</w:t>
      </w:r>
      <w:r w:rsidR="009D74B0" w:rsidRPr="00024E20">
        <w:rPr>
          <w:rFonts w:ascii="Times New Roman" w:eastAsia="Times New Roman" w:hAnsi="Times New Roman" w:cs="Times New Roman"/>
          <w:color w:val="000000" w:themeColor="text1"/>
          <w:sz w:val="24"/>
          <w:szCs w:val="24"/>
        </w:rPr>
        <w:t xml:space="preserve"> at any time</w:t>
      </w:r>
      <w:r w:rsidR="00C86C9C" w:rsidRPr="00024E20">
        <w:rPr>
          <w:rFonts w:ascii="Times New Roman" w:eastAsia="Times New Roman" w:hAnsi="Times New Roman" w:cs="Times New Roman"/>
          <w:color w:val="000000" w:themeColor="text1"/>
          <w:sz w:val="24"/>
          <w:szCs w:val="24"/>
        </w:rPr>
        <w:t xml:space="preserve">. </w:t>
      </w:r>
    </w:p>
    <w:p w14:paraId="4707DEFB" w14:textId="77777777" w:rsidR="005725C1" w:rsidRPr="00024E20" w:rsidRDefault="005725C1">
      <w:pPr>
        <w:spacing w:after="0" w:line="480" w:lineRule="auto"/>
        <w:jc w:val="both"/>
        <w:rPr>
          <w:rFonts w:ascii="Times New Roman" w:eastAsia="Times New Roman" w:hAnsi="Times New Roman" w:cs="Times New Roman"/>
          <w:i/>
          <w:color w:val="000000" w:themeColor="text1"/>
          <w:sz w:val="24"/>
          <w:szCs w:val="24"/>
        </w:rPr>
      </w:pPr>
    </w:p>
    <w:p w14:paraId="28903E35" w14:textId="3C1C7954" w:rsidR="00F71CDB" w:rsidRPr="00024E20" w:rsidRDefault="00E75E80">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 xml:space="preserve">Muscle </w:t>
      </w:r>
      <w:r w:rsidR="002049D3" w:rsidRPr="00024E20">
        <w:rPr>
          <w:rFonts w:ascii="Times New Roman" w:eastAsia="Times New Roman" w:hAnsi="Times New Roman" w:cs="Times New Roman"/>
          <w:i/>
          <w:color w:val="000000" w:themeColor="text1"/>
          <w:sz w:val="24"/>
          <w:szCs w:val="24"/>
        </w:rPr>
        <w:t>Strength and Power</w:t>
      </w:r>
    </w:p>
    <w:p w14:paraId="65BA7F64" w14:textId="226C6745" w:rsidR="00F71CDB"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Training increased lift strength</w:t>
      </w:r>
      <w:r w:rsidR="005F3458" w:rsidRPr="00024E20">
        <w:rPr>
          <w:rFonts w:ascii="Times New Roman" w:eastAsia="Times New Roman" w:hAnsi="Times New Roman" w:cs="Times New Roman"/>
          <w:color w:val="000000" w:themeColor="text1"/>
          <w:sz w:val="24"/>
          <w:szCs w:val="24"/>
        </w:rPr>
        <w:t xml:space="preserve"> (4.5%)</w:t>
      </w:r>
      <w:r w:rsidR="00641273" w:rsidRPr="00024E20">
        <w:rPr>
          <w:rFonts w:ascii="Times New Roman" w:eastAsia="Times New Roman" w:hAnsi="Times New Roman" w:cs="Times New Roman"/>
          <w:color w:val="000000" w:themeColor="text1"/>
          <w:sz w:val="24"/>
          <w:szCs w:val="24"/>
        </w:rPr>
        <w:t>,</w:t>
      </w:r>
      <w:r w:rsidR="00C26E53" w:rsidRPr="00024E20">
        <w:rPr>
          <w:rFonts w:ascii="Times New Roman" w:eastAsia="Times New Roman" w:hAnsi="Times New Roman" w:cs="Times New Roman"/>
          <w:color w:val="000000" w:themeColor="text1"/>
          <w:sz w:val="24"/>
          <w:szCs w:val="24"/>
        </w:rPr>
        <w:t xml:space="preserve"> leg power</w:t>
      </w:r>
      <w:r w:rsidR="005F3458" w:rsidRPr="00024E20">
        <w:rPr>
          <w:rFonts w:ascii="Times New Roman" w:eastAsia="Times New Roman" w:hAnsi="Times New Roman" w:cs="Times New Roman"/>
          <w:color w:val="000000" w:themeColor="text1"/>
          <w:sz w:val="24"/>
          <w:szCs w:val="24"/>
        </w:rPr>
        <w:t xml:space="preserve"> (1.5%)</w:t>
      </w:r>
      <w:r w:rsidR="008C020A" w:rsidRPr="00024E20">
        <w:rPr>
          <w:rFonts w:ascii="Times New Roman" w:eastAsia="Times New Roman" w:hAnsi="Times New Roman" w:cs="Times New Roman"/>
          <w:color w:val="000000" w:themeColor="text1"/>
          <w:sz w:val="24"/>
          <w:szCs w:val="24"/>
        </w:rPr>
        <w:t>, and lean mass</w:t>
      </w:r>
      <w:r w:rsidR="005F3458" w:rsidRPr="00024E20">
        <w:rPr>
          <w:rFonts w:ascii="Times New Roman" w:eastAsia="Times New Roman" w:hAnsi="Times New Roman" w:cs="Times New Roman"/>
          <w:color w:val="000000" w:themeColor="text1"/>
          <w:sz w:val="24"/>
          <w:szCs w:val="24"/>
        </w:rPr>
        <w:t xml:space="preserve"> (</w:t>
      </w:r>
      <w:r w:rsidR="008360D0" w:rsidRPr="00024E20">
        <w:rPr>
          <w:rFonts w:ascii="Times New Roman" w:eastAsia="Times New Roman" w:hAnsi="Times New Roman" w:cs="Times New Roman"/>
          <w:color w:val="000000" w:themeColor="text1"/>
          <w:sz w:val="24"/>
          <w:szCs w:val="24"/>
        </w:rPr>
        <w:t>5.4</w:t>
      </w:r>
      <w:r w:rsidR="005F3458" w:rsidRPr="00024E20">
        <w:rPr>
          <w:rFonts w:ascii="Times New Roman" w:eastAsia="Times New Roman" w:hAnsi="Times New Roman" w:cs="Times New Roman"/>
          <w:color w:val="000000" w:themeColor="text1"/>
          <w:sz w:val="24"/>
          <w:szCs w:val="24"/>
        </w:rPr>
        <w:t>%)</w:t>
      </w:r>
      <w:r w:rsidR="008C020A" w:rsidRPr="00024E20">
        <w:rPr>
          <w:rFonts w:ascii="Times New Roman" w:eastAsia="Times New Roman" w:hAnsi="Times New Roman" w:cs="Times New Roman"/>
          <w:color w:val="000000" w:themeColor="text1"/>
          <w:sz w:val="24"/>
          <w:szCs w:val="24"/>
        </w:rPr>
        <w:t>,</w:t>
      </w:r>
      <w:r w:rsidR="00C26E53"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but the training response was not different between hormonal contraceptive groups. </w:t>
      </w:r>
      <w:r w:rsidR="00C3436B" w:rsidRPr="00024E20">
        <w:rPr>
          <w:rFonts w:ascii="Times New Roman" w:eastAsia="Times New Roman" w:hAnsi="Times New Roman" w:cs="Times New Roman"/>
          <w:color w:val="000000" w:themeColor="text1"/>
          <w:sz w:val="24"/>
          <w:szCs w:val="24"/>
        </w:rPr>
        <w:t>L</w:t>
      </w:r>
      <w:r w:rsidRPr="00024E20">
        <w:rPr>
          <w:rFonts w:ascii="Times New Roman" w:eastAsia="Times New Roman" w:hAnsi="Times New Roman" w:cs="Times New Roman"/>
          <w:color w:val="000000" w:themeColor="text1"/>
          <w:sz w:val="24"/>
          <w:szCs w:val="24"/>
        </w:rPr>
        <w:t>ift strength was lower in COCP users than non-users</w:t>
      </w:r>
      <w:r w:rsidR="00445B63" w:rsidRPr="00024E20">
        <w:rPr>
          <w:rFonts w:ascii="Times New Roman" w:eastAsia="Times New Roman" w:hAnsi="Times New Roman" w:cs="Times New Roman"/>
          <w:color w:val="000000" w:themeColor="text1"/>
          <w:sz w:val="24"/>
          <w:szCs w:val="24"/>
        </w:rPr>
        <w:t xml:space="preserve"> </w:t>
      </w:r>
      <w:r w:rsidR="000966CA" w:rsidRPr="00024E20">
        <w:rPr>
          <w:rFonts w:ascii="Times New Roman" w:eastAsia="Times New Roman" w:hAnsi="Times New Roman" w:cs="Times New Roman"/>
          <w:color w:val="000000" w:themeColor="text1"/>
          <w:sz w:val="24"/>
          <w:szCs w:val="24"/>
        </w:rPr>
        <w:t xml:space="preserve">at both time-points </w:t>
      </w:r>
      <w:r w:rsidR="00641273" w:rsidRPr="00024E20">
        <w:rPr>
          <w:rFonts w:ascii="Times New Roman" w:eastAsia="Times New Roman" w:hAnsi="Times New Roman" w:cs="Times New Roman"/>
          <w:color w:val="000000" w:themeColor="text1"/>
          <w:sz w:val="24"/>
          <w:szCs w:val="24"/>
        </w:rPr>
        <w:t xml:space="preserve">suggesting </w:t>
      </w:r>
      <w:r w:rsidR="00727A8D" w:rsidRPr="00024E20">
        <w:rPr>
          <w:rFonts w:ascii="Times New Roman" w:eastAsia="Times New Roman" w:hAnsi="Times New Roman" w:cs="Times New Roman"/>
          <w:color w:val="000000" w:themeColor="text1"/>
          <w:sz w:val="24"/>
          <w:szCs w:val="24"/>
        </w:rPr>
        <w:t xml:space="preserve">that </w:t>
      </w:r>
      <w:r w:rsidR="00AA60F6" w:rsidRPr="00024E20">
        <w:rPr>
          <w:rFonts w:ascii="Times New Roman" w:eastAsia="Times New Roman" w:hAnsi="Times New Roman" w:cs="Times New Roman"/>
          <w:color w:val="000000" w:themeColor="text1"/>
          <w:sz w:val="24"/>
          <w:szCs w:val="24"/>
        </w:rPr>
        <w:t>COCP use may impair muscle strength</w:t>
      </w:r>
      <w:r w:rsidR="00DA2C6B" w:rsidRPr="00024E20">
        <w:rPr>
          <w:rFonts w:ascii="Times New Roman" w:eastAsia="Times New Roman" w:hAnsi="Times New Roman" w:cs="Times New Roman"/>
          <w:color w:val="000000" w:themeColor="text1"/>
          <w:sz w:val="24"/>
          <w:szCs w:val="24"/>
        </w:rPr>
        <w:t>,</w:t>
      </w:r>
      <w:r w:rsidR="00AA60F6" w:rsidRPr="00024E20">
        <w:rPr>
          <w:rFonts w:ascii="Times New Roman" w:eastAsia="Times New Roman" w:hAnsi="Times New Roman" w:cs="Times New Roman"/>
          <w:color w:val="000000" w:themeColor="text1"/>
          <w:sz w:val="24"/>
          <w:szCs w:val="24"/>
        </w:rPr>
        <w:t xml:space="preserve"> but not </w:t>
      </w:r>
      <w:r w:rsidR="00641273" w:rsidRPr="00024E20">
        <w:rPr>
          <w:rFonts w:ascii="Times New Roman" w:eastAsia="Times New Roman" w:hAnsi="Times New Roman" w:cs="Times New Roman"/>
          <w:color w:val="000000" w:themeColor="text1"/>
          <w:sz w:val="24"/>
          <w:szCs w:val="24"/>
        </w:rPr>
        <w:t>strength</w:t>
      </w:r>
      <w:r w:rsidR="00AA60F6" w:rsidRPr="00024E20">
        <w:rPr>
          <w:rFonts w:ascii="Times New Roman" w:eastAsia="Times New Roman" w:hAnsi="Times New Roman" w:cs="Times New Roman"/>
          <w:color w:val="000000" w:themeColor="text1"/>
          <w:sz w:val="24"/>
          <w:szCs w:val="24"/>
        </w:rPr>
        <w:t xml:space="preserve"> adapta</w:t>
      </w:r>
      <w:r w:rsidR="00641273" w:rsidRPr="00024E20">
        <w:rPr>
          <w:rFonts w:ascii="Times New Roman" w:eastAsia="Times New Roman" w:hAnsi="Times New Roman" w:cs="Times New Roman"/>
          <w:color w:val="000000" w:themeColor="text1"/>
          <w:sz w:val="24"/>
          <w:szCs w:val="24"/>
        </w:rPr>
        <w:t>tions</w:t>
      </w:r>
      <w:r w:rsidR="00AA60F6" w:rsidRPr="00024E20">
        <w:rPr>
          <w:rFonts w:ascii="Times New Roman" w:eastAsia="Times New Roman" w:hAnsi="Times New Roman" w:cs="Times New Roman"/>
          <w:color w:val="000000" w:themeColor="text1"/>
          <w:sz w:val="24"/>
          <w:szCs w:val="24"/>
        </w:rPr>
        <w:t xml:space="preserve"> to training.</w:t>
      </w:r>
      <w:r w:rsidR="00641273" w:rsidRPr="00024E20">
        <w:rPr>
          <w:rFonts w:ascii="Times New Roman" w:eastAsia="Times New Roman" w:hAnsi="Times New Roman" w:cs="Times New Roman"/>
          <w:color w:val="000000" w:themeColor="text1"/>
          <w:sz w:val="24"/>
          <w:szCs w:val="24"/>
        </w:rPr>
        <w:t xml:space="preserve"> Basic military training is not a specific resistance training intervention</w:t>
      </w:r>
      <w:r w:rsidR="00A03E83" w:rsidRPr="00024E20">
        <w:rPr>
          <w:rFonts w:ascii="Times New Roman" w:eastAsia="Times New Roman" w:hAnsi="Times New Roman" w:cs="Times New Roman"/>
          <w:color w:val="000000" w:themeColor="text1"/>
          <w:sz w:val="24"/>
          <w:szCs w:val="24"/>
        </w:rPr>
        <w:t xml:space="preserve"> — but resistance training forms a component of military training — </w:t>
      </w:r>
      <w:r w:rsidR="00811542" w:rsidRPr="00024E20">
        <w:rPr>
          <w:rFonts w:ascii="Times New Roman" w:eastAsia="Times New Roman" w:hAnsi="Times New Roman" w:cs="Times New Roman"/>
          <w:color w:val="000000" w:themeColor="text1"/>
          <w:sz w:val="24"/>
          <w:szCs w:val="24"/>
        </w:rPr>
        <w:t>and</w:t>
      </w:r>
      <w:r w:rsidR="00641273" w:rsidRPr="00024E20">
        <w:rPr>
          <w:rFonts w:ascii="Times New Roman" w:eastAsia="Times New Roman" w:hAnsi="Times New Roman" w:cs="Times New Roman"/>
          <w:color w:val="000000" w:themeColor="text1"/>
          <w:sz w:val="24"/>
          <w:szCs w:val="24"/>
        </w:rPr>
        <w:t xml:space="preserve"> </w:t>
      </w:r>
      <w:r w:rsidR="00811542" w:rsidRPr="00024E20">
        <w:rPr>
          <w:rFonts w:ascii="Times New Roman" w:eastAsia="Times New Roman" w:hAnsi="Times New Roman" w:cs="Times New Roman"/>
          <w:color w:val="000000" w:themeColor="text1"/>
          <w:sz w:val="24"/>
          <w:szCs w:val="24"/>
        </w:rPr>
        <w:t xml:space="preserve">is not </w:t>
      </w:r>
      <w:r w:rsidR="00641273" w:rsidRPr="00024E20">
        <w:rPr>
          <w:rFonts w:ascii="Times New Roman" w:eastAsia="Times New Roman" w:hAnsi="Times New Roman" w:cs="Times New Roman"/>
          <w:color w:val="000000" w:themeColor="text1"/>
          <w:sz w:val="24"/>
          <w:szCs w:val="24"/>
        </w:rPr>
        <w:t xml:space="preserve">optimal for promoting the adaptive response to exercise </w:t>
      </w:r>
      <w:r w:rsidR="00811542" w:rsidRPr="00024E20">
        <w:rPr>
          <w:rFonts w:ascii="Times New Roman" w:eastAsia="Times New Roman" w:hAnsi="Times New Roman" w:cs="Times New Roman"/>
          <w:color w:val="000000" w:themeColor="text1"/>
          <w:sz w:val="24"/>
          <w:szCs w:val="24"/>
        </w:rPr>
        <w:t>because of</w:t>
      </w:r>
      <w:r w:rsidR="00641273" w:rsidRPr="00024E20">
        <w:rPr>
          <w:rFonts w:ascii="Times New Roman" w:eastAsia="Times New Roman" w:hAnsi="Times New Roman" w:cs="Times New Roman"/>
          <w:color w:val="000000" w:themeColor="text1"/>
          <w:sz w:val="24"/>
          <w:szCs w:val="24"/>
        </w:rPr>
        <w:t xml:space="preserve"> poor sleep, high endurance exercise volumes, and sub-optimal nutrition</w:t>
      </w:r>
      <w:r w:rsidR="00E75E80" w:rsidRPr="00024E20">
        <w:rPr>
          <w:rFonts w:ascii="Times New Roman" w:eastAsia="Times New Roman" w:hAnsi="Times New Roman" w:cs="Times New Roman"/>
          <w:color w:val="000000" w:themeColor="text1"/>
          <w:sz w:val="24"/>
          <w:szCs w:val="24"/>
        </w:rPr>
        <w:t xml:space="preserve"> </w:t>
      </w:r>
      <w:r w:rsidR="00E75E80"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{"citationID":"01syMCxC","properties":{"formattedCitation":"(53)","plainCitation":"(53)","noteIndex":0},"citationItems":[{"id":6014,"uris":["http://zotero.org/users/6787375/items/CZPRD8CM"],"itemData":{"id":6014,"type":"article-journal","abstract":"Military personnel experience energy deficit (total energy expenditure higher than energy intake), particularly during combat training and field exercises where exercising energy expenditures are high and energy intake is reduced. Low energy availability (energy intake minus exercising energy expenditure expressed relative to fat free mass) impairs endocrine function and bone health, as recognized in female athletes as the Female Athlete Triad syndrome. More recently, the Relative Energy Deficiency in Sport (RED-S) syndrome encompasses broader health outcomes, physical and cognitive performance, non-athletes, and men. This review summarizes the evidence for the effect of low energy availability and energy deficiency in military training and operations on health and performance outcomes. Energy availability is difficult to measure in free-living individuals but doubly labeled water studies demonstrate high total energy expenditures during military training; studies that have concurrently measured energy intake, or measured body composition changes with DXA, suggest severe and/or prolonged energy deficits. Military training in energy deficit disturbs endocrine and metabolic function, menstrual function, bone health, immune function, gastrointestinal health, iron status, mood, and physical and cognitive performance. There are more data for men than women, and little evidence on the chronic effects of repeated exposures to energy deficit. Military training impairs indices of health and performance, indicative of the Triad and RED-S, but the multi-stressor environment makes it difficult to isolate the independent effects of energy deficiency. Studies supplementing with energy to attenuate the energy deficit suggest an independent effect of energy deficiency in the disturbances to metabolic, endocrine and immune function, and physical performance, but randomized controlled trials are lacking.","container-title":"Front Nutr","DOI":"10.3389/fnut.2020.00142","ISSN":"2296-861X (Print) 2296-861X (Linking)","note":"PMCID: PMC7477333","page":"142","title":"Energy Deficiency in Soldiers: The Risk of the Athlete Triad and Relative Energy Deficiency in Sport Syndromes in the Military","volume":"7","author":[{"family":"O'Leary","given":"T. J."},{"family":"Wardle","given":"S. L."},{"family":"Greeves","given":"J. P."}],"issued":{"date-parts":[["2020"]]}}}],"schema":"https://github.com/citation-style-language/schema/raw/master/csl-citation.json"} </w:instrText>
      </w:r>
      <w:r w:rsidR="00E75E80"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(53)</w:t>
      </w:r>
      <w:r w:rsidR="00E75E80" w:rsidRPr="00024E20">
        <w:rPr>
          <w:rFonts w:ascii="Times New Roman" w:eastAsia="Times New Roman" w:hAnsi="Times New Roman" w:cs="Times New Roman"/>
          <w:color w:val="000000" w:themeColor="text1"/>
          <w:sz w:val="24"/>
          <w:szCs w:val="24"/>
        </w:rPr>
        <w:fldChar w:fldCharType="end"/>
      </w:r>
      <w:r w:rsidR="00641273" w:rsidRPr="00024E20">
        <w:rPr>
          <w:rFonts w:ascii="Times New Roman" w:eastAsia="Times New Roman" w:hAnsi="Times New Roman" w:cs="Times New Roman"/>
          <w:color w:val="000000" w:themeColor="text1"/>
          <w:sz w:val="24"/>
          <w:szCs w:val="24"/>
        </w:rPr>
        <w:t xml:space="preserve">. </w:t>
      </w:r>
      <w:r w:rsidR="0022153B" w:rsidRPr="00024E20">
        <w:rPr>
          <w:rFonts w:ascii="Times New Roman" w:eastAsia="Times New Roman" w:hAnsi="Times New Roman" w:cs="Times New Roman"/>
          <w:color w:val="000000" w:themeColor="text1"/>
          <w:sz w:val="24"/>
          <w:szCs w:val="24"/>
        </w:rPr>
        <w:t>Nevertheless, the data from this study are supported by recent systematic reviews showing that COCP users have</w:t>
      </w:r>
      <w:r w:rsidR="00D25B25" w:rsidRPr="00024E20">
        <w:rPr>
          <w:rFonts w:ascii="Times New Roman" w:eastAsia="Times New Roman" w:hAnsi="Times New Roman" w:cs="Times New Roman"/>
          <w:color w:val="000000" w:themeColor="text1"/>
          <w:sz w:val="24"/>
          <w:szCs w:val="24"/>
        </w:rPr>
        <w:t xml:space="preserve"> slightly</w:t>
      </w:r>
      <w:r w:rsidR="0022153B" w:rsidRPr="00024E20">
        <w:rPr>
          <w:rFonts w:ascii="Times New Roman" w:eastAsia="Times New Roman" w:hAnsi="Times New Roman" w:cs="Times New Roman"/>
          <w:color w:val="000000" w:themeColor="text1"/>
          <w:sz w:val="24"/>
          <w:szCs w:val="24"/>
        </w:rPr>
        <w:t xml:space="preserve"> lower </w:t>
      </w:r>
      <w:r w:rsidR="00C3436B" w:rsidRPr="00024E20">
        <w:rPr>
          <w:rFonts w:ascii="Times New Roman" w:eastAsia="Times New Roman" w:hAnsi="Times New Roman" w:cs="Times New Roman"/>
          <w:color w:val="000000" w:themeColor="text1"/>
          <w:sz w:val="24"/>
          <w:szCs w:val="24"/>
        </w:rPr>
        <w:t xml:space="preserve">baseline </w:t>
      </w:r>
      <w:r w:rsidR="0022153B" w:rsidRPr="00024E20">
        <w:rPr>
          <w:rFonts w:ascii="Times New Roman" w:eastAsia="Times New Roman" w:hAnsi="Times New Roman" w:cs="Times New Roman"/>
          <w:color w:val="000000" w:themeColor="text1"/>
          <w:sz w:val="24"/>
          <w:szCs w:val="24"/>
        </w:rPr>
        <w:t xml:space="preserve">muscle strength </w:t>
      </w:r>
      <w:r w:rsidR="0022153B" w:rsidRPr="00024E20">
        <w:rPr>
          <w:rFonts w:ascii="Times New Roman" w:eastAsia="Times New Roman" w:hAnsi="Times New Roman" w:cs="Times New Roman"/>
          <w:color w:val="000000" w:themeColor="text1"/>
          <w:sz w:val="24"/>
          <w:szCs w:val="24"/>
        </w:rPr>
        <w:fldChar w:fldCharType="begin"/>
      </w:r>
      <w:r w:rsidR="0022153B" w:rsidRPr="00024E20">
        <w:rPr>
          <w:rFonts w:ascii="Times New Roman" w:eastAsia="Times New Roman" w:hAnsi="Times New Roman" w:cs="Times New Roman"/>
          <w:color w:val="000000" w:themeColor="text1"/>
          <w:sz w:val="24"/>
          <w:szCs w:val="24"/>
        </w:rPr>
        <w:instrText xml:space="preserve"> ADDIN ZOTERO_ITEM CSL_CITATION {"citationID":"VwESbERl","properties":{"formattedCitation":"(3)","plainCitation":"(3)","noteIndex":0},"citationItems":[{"id":1672,"uris":["http://zotero.org/groups/2537978/items/PX3HCGVC"],"itemData":{"id":1672,"type":"article-journal","abstract":"Oral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A."},{"family":"Dolan","given":"Eimear"}],"issued":{"date-parts":[["2020",10,1]]}}}],"schema":"https://github.com/citation-style-language/schema/raw/master/csl-citation.json"} </w:instrText>
      </w:r>
      <w:r w:rsidR="0022153B" w:rsidRPr="00024E20">
        <w:rPr>
          <w:rFonts w:ascii="Times New Roman" w:eastAsia="Times New Roman" w:hAnsi="Times New Roman" w:cs="Times New Roman"/>
          <w:color w:val="000000" w:themeColor="text1"/>
          <w:sz w:val="24"/>
          <w:szCs w:val="24"/>
        </w:rPr>
        <w:fldChar w:fldCharType="separate"/>
      </w:r>
      <w:r w:rsidR="0022153B" w:rsidRPr="00024E20">
        <w:rPr>
          <w:rFonts w:ascii="Times New Roman" w:eastAsia="Times New Roman" w:hAnsi="Times New Roman" w:cs="Times New Roman"/>
          <w:noProof/>
          <w:color w:val="000000" w:themeColor="text1"/>
          <w:sz w:val="24"/>
          <w:szCs w:val="24"/>
        </w:rPr>
        <w:t>(3)</w:t>
      </w:r>
      <w:r w:rsidR="0022153B" w:rsidRPr="00024E20">
        <w:rPr>
          <w:rFonts w:ascii="Times New Roman" w:eastAsia="Times New Roman" w:hAnsi="Times New Roman" w:cs="Times New Roman"/>
          <w:color w:val="000000" w:themeColor="text1"/>
          <w:sz w:val="24"/>
          <w:szCs w:val="24"/>
        </w:rPr>
        <w:fldChar w:fldCharType="end"/>
      </w:r>
      <w:r w:rsidR="0022153B" w:rsidRPr="00024E20">
        <w:rPr>
          <w:rFonts w:ascii="Times New Roman" w:eastAsia="Times New Roman" w:hAnsi="Times New Roman" w:cs="Times New Roman"/>
          <w:color w:val="000000" w:themeColor="text1"/>
          <w:sz w:val="24"/>
          <w:szCs w:val="24"/>
        </w:rPr>
        <w:t xml:space="preserve">, but similar muscle strength, power, or hypertrophy responses to resistance training </w:t>
      </w:r>
      <w:r w:rsidR="0022153B" w:rsidRPr="00024E20">
        <w:rPr>
          <w:rFonts w:ascii="Times New Roman" w:eastAsia="Times New Roman" w:hAnsi="Times New Roman" w:cs="Times New Roman"/>
          <w:color w:val="000000" w:themeColor="text1"/>
          <w:sz w:val="24"/>
          <w:szCs w:val="24"/>
        </w:rPr>
        <w:fldChar w:fldCharType="begin"/>
      </w:r>
      <w:r w:rsidR="0022153B" w:rsidRPr="00024E20">
        <w:rPr>
          <w:rFonts w:ascii="Times New Roman" w:eastAsia="Times New Roman" w:hAnsi="Times New Roman" w:cs="Times New Roman"/>
          <w:color w:val="000000" w:themeColor="text1"/>
          <w:sz w:val="24"/>
          <w:szCs w:val="24"/>
        </w:rPr>
        <w:instrText xml:space="preserve"> ADDIN ZOTERO_ITEM CSL_CITATION {"citationID":"MHdgzg4n","properties":{"formattedCitation":"(10)","plainCitation":"(10)","noteIndex":0},"citationItems":[{"id":8179,"uris":["http://zotero.org/users/6787375/items/BYM6TSYU"],"itemData":{"id":8179,"type":"article-journal","abstract":"Abstract\n            \n              Background\n              Resistance exercise training is widely used by general and athletic populations to increase skeletal muscle hypertrophy, power and strength. Endogenous sex hormones influence various bodily functions, including possibly exercise performance, and may influence adaptive changes in response to exercise training. Hormonal contraceptive (HC) use modulates the profile of endogenous sex hormones, and therefore, there is increasing interest in the impact, if any, of HC use on adaptive responses to resistance exercise training.\n            \n            \n              Objective\n              Our aim is to provide a quantitative synthesis of the effect of HC use on skeletal muscle hypertrophy, power and strength adaptations in response to resistance exercise training.\n            \n            \n              Methods\n              A systematic review with meta-analysis was conducted on experimental studies which directly compared skeletal muscle hypertrophy, power and strength adaptations following resistance exercise training in hormonal contraceptive users and non-users conducted before July 2023. The search using the online databases PUBMED, SPORTDiscus, Web of Science, Embase and other supplementary search strategies yielded 4669 articles, with 8 articles (54 effects and 325 participants) meeting the inclusion criteria. The methodological quality of the included studies was assessed using the “Tool for the assessment of study quality and reporting in exercise”.\n            \n            \n              Results\n              \n                All included studies investigated the influence of oral contraceptive pills (OCP), with no study including participants using other forms of HC. The articles were analysed using a meta-analytic multilevel maximum likelihood estimator model. The results indicate that OCP use does not have a significant effect on hypertrophy [0.01, 95% confidence interval (CI) [− 0.11, 0.13],\n                t\n                 = 0.14,\n                p\n                 = 0.90), power (− 0.04, 95% CI [− 0.93, 0.84],\n                t\n                 =  − 0.29,\n                p\n                 = 0.80) or strength (0.10, 95% CI [− 0.08, 0.28],\n                t\n                 = 1.48,\n                p\n                 = 0.20).\n              \n            \n            \n              Discussion\n              Based on the present analysis, there is no evidence-based rationale to advocate for or against the use of OCPs in females partaking in resistance exercise training to increase hypertrophy, power and/or strength. Rather, an individualised approach considering an individual’s response to OCPs, their reasons for use and menstrual cycle history may be more appropriate.\n            \n            \n              Registration\n              The review protocol was registered on PROSPERO (ID number and hyperlink: CRD42022365677).","container-title":"Sports Medicine","DOI":"10.1007/s40279-023-01911-3","ISSN":"0112-1642, 1179-2035","issue":"1","journalAbbreviation":"Sports Med","language":"en","page":"105-125","source":"DOI.org (Crossref)","title":"The Effect of Hormonal Contraceptive Use on Skeletal Muscle Hypertrophy, Power and Strength Adaptations to Resistance Exercise Training: A Systematic Review and Multilevel Meta-analysis","title-short":"The Effect of Hormonal Contraceptive Use on Skeletal Muscle Hypertrophy, Power and Strength Adaptations to Resistance Exercise Training","volume":"54","author":[{"family":"Nolan","given":"David"},{"family":"McNulty","given":"Kelly L."},{"family":"Manninen","given":"Mika"},{"family":"Egan","given":"Brendan"}],"issued":{"date-parts":[["2024",1]]}}}],"schema":"https://github.com/citation-style-language/schema/raw/master/csl-citation.json"} </w:instrText>
      </w:r>
      <w:r w:rsidR="0022153B" w:rsidRPr="00024E20">
        <w:rPr>
          <w:rFonts w:ascii="Times New Roman" w:eastAsia="Times New Roman" w:hAnsi="Times New Roman" w:cs="Times New Roman"/>
          <w:color w:val="000000" w:themeColor="text1"/>
          <w:sz w:val="24"/>
          <w:szCs w:val="24"/>
        </w:rPr>
        <w:fldChar w:fldCharType="separate"/>
      </w:r>
      <w:r w:rsidR="0022153B" w:rsidRPr="00024E20">
        <w:rPr>
          <w:rFonts w:ascii="Times New Roman" w:eastAsia="Times New Roman" w:hAnsi="Times New Roman" w:cs="Times New Roman"/>
          <w:noProof/>
          <w:color w:val="000000" w:themeColor="text1"/>
          <w:sz w:val="24"/>
          <w:szCs w:val="24"/>
        </w:rPr>
        <w:t>(10)</w:t>
      </w:r>
      <w:r w:rsidR="0022153B" w:rsidRPr="00024E20">
        <w:rPr>
          <w:rFonts w:ascii="Times New Roman" w:eastAsia="Times New Roman" w:hAnsi="Times New Roman" w:cs="Times New Roman"/>
          <w:color w:val="000000" w:themeColor="text1"/>
          <w:sz w:val="24"/>
          <w:szCs w:val="24"/>
        </w:rPr>
        <w:fldChar w:fldCharType="end"/>
      </w:r>
      <w:r w:rsidR="00B77984" w:rsidRPr="00024E20">
        <w:rPr>
          <w:rFonts w:ascii="Times New Roman" w:eastAsia="Times New Roman" w:hAnsi="Times New Roman" w:cs="Times New Roman"/>
          <w:color w:val="000000" w:themeColor="text1"/>
          <w:sz w:val="24"/>
          <w:szCs w:val="24"/>
        </w:rPr>
        <w:t>,</w:t>
      </w:r>
      <w:r w:rsidR="0022153B" w:rsidRPr="00024E20">
        <w:rPr>
          <w:rFonts w:ascii="Times New Roman" w:eastAsia="Times New Roman" w:hAnsi="Times New Roman" w:cs="Times New Roman"/>
          <w:color w:val="000000" w:themeColor="text1"/>
          <w:sz w:val="24"/>
          <w:szCs w:val="24"/>
        </w:rPr>
        <w:t xml:space="preserve"> compared with non-users. </w:t>
      </w:r>
      <w:r w:rsidR="00E66A6F" w:rsidRPr="00024E20">
        <w:rPr>
          <w:rFonts w:ascii="Times New Roman" w:eastAsia="Times New Roman" w:hAnsi="Times New Roman" w:cs="Times New Roman"/>
          <w:color w:val="000000" w:themeColor="text1"/>
          <w:sz w:val="24"/>
          <w:szCs w:val="24"/>
        </w:rPr>
        <w:t>Oestradiol promot</w:t>
      </w:r>
      <w:r w:rsidR="00DA2C6B" w:rsidRPr="00024E20">
        <w:rPr>
          <w:rFonts w:ascii="Times New Roman" w:eastAsia="Times New Roman" w:hAnsi="Times New Roman" w:cs="Times New Roman"/>
          <w:color w:val="000000" w:themeColor="text1"/>
          <w:sz w:val="24"/>
          <w:szCs w:val="24"/>
        </w:rPr>
        <w:t>es</w:t>
      </w:r>
      <w:r w:rsidR="00E66A6F" w:rsidRPr="00024E20">
        <w:rPr>
          <w:rFonts w:ascii="Times New Roman" w:eastAsia="Times New Roman" w:hAnsi="Times New Roman" w:cs="Times New Roman"/>
          <w:color w:val="000000" w:themeColor="text1"/>
          <w:sz w:val="24"/>
          <w:szCs w:val="24"/>
        </w:rPr>
        <w:t xml:space="preserve"> sensitivity of muscle to anabolic signals </w:t>
      </w:r>
      <w:r w:rsidR="00E66A6F"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{"citationID":"izklVM05","properties":{"formattedCitation":"(5)","plainCitation":"(5)","noteIndex":0},"citationItems":[{"id":2854,"uris":["http://zotero.org/users/6787375/items/L8M2CIX3"],"itemData":{"id":2854,"type":"article-journal","abstract":"Estrogen has a dramatic effect on musculoskeletal function. Beyond the known relationship between estrogen and bone, it directly affects the structure and function of other musculoskeletal tissues such as muscle, tendon, and ligament. In these other musculoskeletal tissues, estrogen improves muscle mass and strength, and increases the collagen content of connective tissues. However, unlike bone and muscle where estrogen improves function, in tendons and ligaments estrogen decreases stiffness, and this directly affects performance and injury rates. High estrogen levels can decrease power and performance and make women more prone for catastrophic ligament injury. The goal of the current work is to review the research that forms the basis of our understanding how estrogen affects muscle, tendon, and ligament and how hormonal manipulation can be used to optimize performance and promote female participation in an active lifestyle at any age.","container-title":"Front Physiol","DOI":"10.3389/fphys.2018.01834","ISSN":"1664-042X (Print) 1664-042X (Linking)","journalAbbreviation":"Frontiers in physiology","note":"PMCID: PMC6341375","page":"1834","title":"Effect of Estrogen on Musculoskeletal Performance and Injury Risk","volume":"9","author":[{"family":"Chidi-Ogbolu","given":"N."},{"family":"Baar","given":"K."}],"issued":{"date-parts":[["2018"]]}}}],"schema":"https://github.com/citation-style-language/schema/raw/master/csl-citation.json"} </w:instrText>
      </w:r>
      <w:r w:rsidR="00E66A6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w:t>
      </w:r>
      <w:r w:rsidR="00E66A6F" w:rsidRPr="00024E20">
        <w:rPr>
          <w:rFonts w:ascii="Times New Roman" w:eastAsia="Times New Roman" w:hAnsi="Times New Roman" w:cs="Times New Roman"/>
          <w:color w:val="000000" w:themeColor="text1"/>
          <w:sz w:val="24"/>
          <w:szCs w:val="24"/>
        </w:rPr>
        <w:fldChar w:fldCharType="end"/>
      </w:r>
      <w:r w:rsidR="00E66A6F" w:rsidRPr="00024E20">
        <w:rPr>
          <w:rFonts w:ascii="Times New Roman" w:eastAsia="Times New Roman" w:hAnsi="Times New Roman" w:cs="Times New Roman"/>
          <w:color w:val="000000" w:themeColor="text1"/>
          <w:sz w:val="24"/>
          <w:szCs w:val="24"/>
        </w:rPr>
        <w:t xml:space="preserve"> and act</w:t>
      </w:r>
      <w:r w:rsidR="00DA2C6B" w:rsidRPr="00024E20">
        <w:rPr>
          <w:rFonts w:ascii="Times New Roman" w:eastAsia="Times New Roman" w:hAnsi="Times New Roman" w:cs="Times New Roman"/>
          <w:color w:val="000000" w:themeColor="text1"/>
          <w:sz w:val="24"/>
          <w:szCs w:val="24"/>
        </w:rPr>
        <w:t>s</w:t>
      </w:r>
      <w:r w:rsidR="00E66A6F" w:rsidRPr="00024E20">
        <w:rPr>
          <w:rFonts w:ascii="Times New Roman" w:eastAsia="Times New Roman" w:hAnsi="Times New Roman" w:cs="Times New Roman"/>
          <w:color w:val="000000" w:themeColor="text1"/>
          <w:sz w:val="24"/>
          <w:szCs w:val="24"/>
        </w:rPr>
        <w:t xml:space="preserve"> as a </w:t>
      </w:r>
      <w:proofErr w:type="spellStart"/>
      <w:r w:rsidR="00E66A6F" w:rsidRPr="00024E20">
        <w:rPr>
          <w:rFonts w:ascii="Times New Roman" w:eastAsia="Times New Roman" w:hAnsi="Times New Roman" w:cs="Times New Roman"/>
          <w:color w:val="000000" w:themeColor="text1"/>
          <w:sz w:val="24"/>
          <w:szCs w:val="24"/>
        </w:rPr>
        <w:t>neurosteroid</w:t>
      </w:r>
      <w:proofErr w:type="spellEnd"/>
      <w:r w:rsidR="00E66A6F" w:rsidRPr="00024E20">
        <w:rPr>
          <w:rFonts w:ascii="Times New Roman" w:eastAsia="Times New Roman" w:hAnsi="Times New Roman" w:cs="Times New Roman"/>
          <w:color w:val="000000" w:themeColor="text1"/>
          <w:sz w:val="24"/>
          <w:szCs w:val="24"/>
        </w:rPr>
        <w:t xml:space="preserve"> in </w:t>
      </w:r>
      <w:r w:rsidR="00DA2C6B" w:rsidRPr="00024E20">
        <w:rPr>
          <w:rFonts w:ascii="Times New Roman" w:eastAsia="Times New Roman" w:hAnsi="Times New Roman" w:cs="Times New Roman"/>
          <w:color w:val="000000" w:themeColor="text1"/>
          <w:sz w:val="24"/>
          <w:szCs w:val="24"/>
        </w:rPr>
        <w:t xml:space="preserve">promoting </w:t>
      </w:r>
      <w:r w:rsidR="0049159F" w:rsidRPr="00024E20">
        <w:rPr>
          <w:rFonts w:ascii="Times New Roman" w:eastAsia="Times New Roman" w:hAnsi="Times New Roman" w:cs="Times New Roman"/>
          <w:color w:val="000000" w:themeColor="text1"/>
          <w:sz w:val="24"/>
          <w:szCs w:val="24"/>
        </w:rPr>
        <w:t>neuromuscular</w:t>
      </w:r>
      <w:r w:rsidR="00E66A6F" w:rsidRPr="00024E20">
        <w:rPr>
          <w:rFonts w:ascii="Times New Roman" w:eastAsia="Times New Roman" w:hAnsi="Times New Roman" w:cs="Times New Roman"/>
          <w:color w:val="000000" w:themeColor="text1"/>
          <w:sz w:val="24"/>
          <w:szCs w:val="24"/>
        </w:rPr>
        <w:t xml:space="preserve"> </w:t>
      </w:r>
      <w:r w:rsidR="00E66A6F" w:rsidRPr="00024E20">
        <w:rPr>
          <w:rFonts w:ascii="Times New Roman" w:eastAsia="Times New Roman" w:hAnsi="Times New Roman" w:cs="Times New Roman"/>
          <w:color w:val="000000" w:themeColor="text1"/>
          <w:sz w:val="24"/>
          <w:szCs w:val="24"/>
        </w:rPr>
        <w:lastRenderedPageBreak/>
        <w:t xml:space="preserve">performance </w:t>
      </w:r>
      <w:r w:rsidR="00E66A6F"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{"citationID":"qYuEJb0P","properties":{"formattedCitation":"(8)","plainCitation":"(8)","noteIndex":0},"citationItems":[{"id":8187,"uris":["http://zotero.org/users/6787375/items/WDBAI5W3"],"itemData":{"id":8187,"type":"chapter","container-title":"Sex Hormones, Exercise and Women","edition":"Second","publisher":"Springer","title":"Sex Hormone Effects on the Nervous System and Their Impact on Muscle Strength and Motor Performance in Women","author":[{"family":"Piirainen","given":"Jarmo M"},{"family":"Nevanpera","given":"Samuli"},{"family":"Tenan","given":"Matthew S"}]}}],"schema":"https://github.com/citation-style-language/schema/raw/master/csl-citation.json"} </w:instrText>
      </w:r>
      <w:r w:rsidR="00E66A6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(8)</w:t>
      </w:r>
      <w:r w:rsidR="00E66A6F" w:rsidRPr="00024E20">
        <w:rPr>
          <w:rFonts w:ascii="Times New Roman" w:eastAsia="Times New Roman" w:hAnsi="Times New Roman" w:cs="Times New Roman"/>
          <w:color w:val="000000" w:themeColor="text1"/>
          <w:sz w:val="24"/>
          <w:szCs w:val="24"/>
        </w:rPr>
        <w:fldChar w:fldCharType="end"/>
      </w:r>
      <w:r w:rsidR="00901EDB" w:rsidRPr="00024E20">
        <w:rPr>
          <w:rFonts w:ascii="Times New Roman" w:eastAsia="Times New Roman" w:hAnsi="Times New Roman" w:cs="Times New Roman"/>
          <w:color w:val="000000" w:themeColor="text1"/>
          <w:sz w:val="24"/>
          <w:szCs w:val="24"/>
        </w:rPr>
        <w:t>. P</w:t>
      </w:r>
      <w:r w:rsidR="0052558F" w:rsidRPr="00024E20">
        <w:rPr>
          <w:rFonts w:ascii="Times New Roman" w:eastAsia="Times New Roman" w:hAnsi="Times New Roman" w:cs="Times New Roman"/>
          <w:color w:val="000000" w:themeColor="text1"/>
          <w:sz w:val="24"/>
          <w:szCs w:val="24"/>
        </w:rPr>
        <w:t>oorer muscle strength</w:t>
      </w:r>
      <w:r w:rsidR="00E618DD" w:rsidRPr="00024E20">
        <w:rPr>
          <w:rFonts w:ascii="Times New Roman" w:eastAsia="Times New Roman" w:hAnsi="Times New Roman" w:cs="Times New Roman"/>
          <w:color w:val="000000" w:themeColor="text1"/>
          <w:sz w:val="24"/>
          <w:szCs w:val="24"/>
        </w:rPr>
        <w:t xml:space="preserve"> with COCP use</w:t>
      </w:r>
      <w:r w:rsidR="0052558F" w:rsidRPr="00024E20">
        <w:rPr>
          <w:rFonts w:ascii="Times New Roman" w:eastAsia="Times New Roman" w:hAnsi="Times New Roman" w:cs="Times New Roman"/>
          <w:color w:val="000000" w:themeColor="text1"/>
          <w:sz w:val="24"/>
          <w:szCs w:val="24"/>
        </w:rPr>
        <w:t xml:space="preserve"> might be due to low endogenous </w:t>
      </w:r>
      <w:r w:rsidR="0049159F" w:rsidRPr="00024E20">
        <w:rPr>
          <w:rFonts w:ascii="Times New Roman" w:eastAsia="Times New Roman" w:hAnsi="Times New Roman" w:cs="Times New Roman"/>
          <w:color w:val="000000" w:themeColor="text1"/>
          <w:sz w:val="24"/>
          <w:szCs w:val="24"/>
        </w:rPr>
        <w:t>oestradiol</w:t>
      </w:r>
      <w:r w:rsidR="0052558F" w:rsidRPr="00024E20">
        <w:rPr>
          <w:rFonts w:ascii="Times New Roman" w:eastAsia="Times New Roman" w:hAnsi="Times New Roman" w:cs="Times New Roman"/>
          <w:color w:val="000000" w:themeColor="text1"/>
          <w:sz w:val="24"/>
          <w:szCs w:val="24"/>
        </w:rPr>
        <w:t xml:space="preserve"> </w:t>
      </w:r>
      <w:r w:rsidR="0052558F" w:rsidRPr="00024E20">
        <w:rPr>
          <w:rFonts w:ascii="Times New Roman" w:eastAsia="Times New Roman" w:hAnsi="Times New Roman" w:cs="Times New Roman"/>
          <w:color w:val="000000" w:themeColor="text1"/>
          <w:sz w:val="24"/>
          <w:szCs w:val="24"/>
        </w:rPr>
        <w:fldChar w:fldCharType="begin"/>
      </w:r>
      <w:r w:rsidR="006928F3" w:rsidRPr="00024E20">
        <w:rPr>
          <w:rFonts w:ascii="Times New Roman" w:eastAsia="Times New Roman" w:hAnsi="Times New Roman" w:cs="Times New Roman"/>
          <w:color w:val="000000" w:themeColor="text1"/>
          <w:sz w:val="24"/>
          <w:szCs w:val="24"/>
        </w:rPr>
        <w:instrText xml:space="preserve"> ADDIN ZOTERO_ITEM CSL_CITATION {"citationID":"ChtKntlg","properties":{"formattedCitation":"(3)","plainCitation":"(3)","noteIndex":0},"citationItems":[{"id":1672,"uris":["http://zotero.org/groups/2537978/items/PX3HCGVC"],"itemData":{"id":1672,"type":"article-journal","abstract":"Oral contraceptive pills (OCPs) are double agents, which downregulate endogenous concentrations of oestradiol and progesterone whilst simultaneously providing daily supplementation of exogenous oestrogen and progestin during the OCP-taking days. This altered hormonal milieu differs significantly from that of eumenorrheic women and might impact exercise performance, due to changes in ovarian hormone-mediated physiological processes.","container-title":"Sports Medicine","DOI":"10.1007/s40279-020-01317-5","ISSN":"1179-2035","issue":"10","journalAbbreviation":"Sports Med","language":"en","page":"1785-1812","source":"Springer Link","title":"The Effects of Oral Contraceptives on Exercise Performance in Women: A Systematic Review and Meta-analysis","title-short":"The Effects of Oral Contraceptives on Exercise Performance in Women","volume":"50","author":[{"family":"Elliott-Sale","given":"Kirsty J."},{"family":"McNulty","given":"Kelly L."},{"family":"Ansdell","given":"Paul"},{"family":"Goodall","given":"Stuart"},{"family":"Hicks","given":"Kirsty M."},{"family":"Thomas","given":"Kevin"},{"family":"Swinton","given":"Paul A."},{"family":"Dolan","given":"Eimear"}],"issued":{"date-parts":[["2020",10,1]]}}}],"schema":"https://github.com/citation-style-language/schema/raw/master/csl-citation.json"} </w:instrText>
      </w:r>
      <w:r w:rsidR="0052558F"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w:t>
      </w:r>
      <w:r w:rsidR="0052558F" w:rsidRPr="00024E20">
        <w:rPr>
          <w:rFonts w:ascii="Times New Roman" w:eastAsia="Times New Roman" w:hAnsi="Times New Roman" w:cs="Times New Roman"/>
          <w:color w:val="000000" w:themeColor="text1"/>
          <w:sz w:val="24"/>
          <w:szCs w:val="24"/>
        </w:rPr>
        <w:fldChar w:fldCharType="end"/>
      </w:r>
      <w:r w:rsidR="00901EDB" w:rsidRPr="00024E20">
        <w:rPr>
          <w:rFonts w:ascii="Times New Roman" w:eastAsia="Times New Roman" w:hAnsi="Times New Roman" w:cs="Times New Roman"/>
          <w:color w:val="000000" w:themeColor="text1"/>
          <w:sz w:val="24"/>
          <w:szCs w:val="24"/>
        </w:rPr>
        <w:t xml:space="preserve"> but it</w:t>
      </w:r>
      <w:r w:rsidR="00F05BAB" w:rsidRPr="00024E20">
        <w:rPr>
          <w:rFonts w:ascii="Times New Roman" w:eastAsia="Times New Roman" w:hAnsi="Times New Roman" w:cs="Times New Roman"/>
          <w:color w:val="000000" w:themeColor="text1"/>
          <w:sz w:val="24"/>
          <w:szCs w:val="24"/>
        </w:rPr>
        <w:t xml:space="preserve"> is not clear why we observed no </w:t>
      </w:r>
      <w:r w:rsidR="00C35166" w:rsidRPr="00024E20">
        <w:rPr>
          <w:rFonts w:ascii="Times New Roman" w:eastAsia="Times New Roman" w:hAnsi="Times New Roman" w:cs="Times New Roman"/>
          <w:color w:val="000000" w:themeColor="text1"/>
          <w:sz w:val="24"/>
          <w:szCs w:val="24"/>
        </w:rPr>
        <w:t xml:space="preserve">difference in muscle strength between </w:t>
      </w:r>
      <w:r w:rsidR="00F05BAB" w:rsidRPr="00024E20">
        <w:rPr>
          <w:rFonts w:ascii="Times New Roman" w:eastAsia="Times New Roman" w:hAnsi="Times New Roman" w:cs="Times New Roman"/>
          <w:color w:val="000000" w:themeColor="text1"/>
          <w:sz w:val="24"/>
          <w:szCs w:val="24"/>
        </w:rPr>
        <w:t>POC use</w:t>
      </w:r>
      <w:r w:rsidR="00C35166" w:rsidRPr="00024E20">
        <w:rPr>
          <w:rFonts w:ascii="Times New Roman" w:eastAsia="Times New Roman" w:hAnsi="Times New Roman" w:cs="Times New Roman"/>
          <w:color w:val="000000" w:themeColor="text1"/>
          <w:sz w:val="24"/>
          <w:szCs w:val="24"/>
        </w:rPr>
        <w:t xml:space="preserve">rs and COCP users or non-users at either time-point. </w:t>
      </w:r>
      <w:r w:rsidR="00066684" w:rsidRPr="00024E20">
        <w:rPr>
          <w:rFonts w:ascii="Times New Roman" w:eastAsia="Times New Roman" w:hAnsi="Times New Roman" w:cs="Times New Roman"/>
          <w:color w:val="000000" w:themeColor="text1"/>
          <w:sz w:val="24"/>
          <w:szCs w:val="24"/>
        </w:rPr>
        <w:t>Ethinyl oestradiol</w:t>
      </w:r>
      <w:r w:rsidR="00E66A6F" w:rsidRPr="00024E20">
        <w:rPr>
          <w:rFonts w:ascii="Times New Roman" w:eastAsia="Times New Roman" w:hAnsi="Times New Roman" w:cs="Times New Roman"/>
          <w:color w:val="000000" w:themeColor="text1"/>
          <w:sz w:val="24"/>
          <w:szCs w:val="24"/>
        </w:rPr>
        <w:t xml:space="preserve"> also</w:t>
      </w:r>
      <w:r w:rsidR="00066684" w:rsidRPr="00024E20">
        <w:rPr>
          <w:rFonts w:ascii="Times New Roman" w:eastAsia="Times New Roman" w:hAnsi="Times New Roman" w:cs="Times New Roman"/>
          <w:color w:val="000000" w:themeColor="text1"/>
          <w:sz w:val="24"/>
          <w:szCs w:val="24"/>
        </w:rPr>
        <w:t xml:space="preserve"> reduce</w:t>
      </w:r>
      <w:r w:rsidR="00F420DF" w:rsidRPr="00024E20">
        <w:rPr>
          <w:rFonts w:ascii="Times New Roman" w:eastAsia="Times New Roman" w:hAnsi="Times New Roman" w:cs="Times New Roman"/>
          <w:color w:val="000000" w:themeColor="text1"/>
          <w:sz w:val="24"/>
          <w:szCs w:val="24"/>
        </w:rPr>
        <w:t>s</w:t>
      </w:r>
      <w:r w:rsidR="00066684" w:rsidRPr="00024E20">
        <w:rPr>
          <w:rFonts w:ascii="Times New Roman" w:eastAsia="Times New Roman" w:hAnsi="Times New Roman" w:cs="Times New Roman"/>
          <w:color w:val="000000" w:themeColor="text1"/>
          <w:sz w:val="24"/>
          <w:szCs w:val="24"/>
        </w:rPr>
        <w:t xml:space="preserve"> free testosterone by increasing sex hormone binding globulin </w:t>
      </w:r>
      <w:r w:rsidR="00066684" w:rsidRPr="00024E20">
        <w:rPr>
          <w:rFonts w:ascii="Times New Roman" w:eastAsia="Times New Roman" w:hAnsi="Times New Roman" w:cs="Times New Roman"/>
          <w:color w:val="000000" w:themeColor="text1"/>
          <w:sz w:val="24"/>
          <w:szCs w:val="24"/>
        </w:rPr>
        <w:fldChar w:fldCharType="begin"/>
      </w:r>
      <w:r w:rsidR="00AB084B" w:rsidRPr="00024E20">
        <w:rPr>
          <w:rFonts w:ascii="Times New Roman" w:eastAsia="Times New Roman" w:hAnsi="Times New Roman" w:cs="Times New Roman"/>
          <w:color w:val="000000" w:themeColor="text1"/>
          <w:sz w:val="24"/>
          <w:szCs w:val="24"/>
        </w:rPr>
        <w:instrText xml:space="preserve"> ADDIN ZOTERO_ITEM CSL_CITATION {"citationID":"GvaRCs10","properties":{"formattedCitation":"(37)","plainCitation":"(37)","noteIndex":0},"citationItems":[{"id":8094,"uris":["http://zotero.org/users/6787375/items/JKG33UE2"],"itemData":{"id":8094,"type":"article-journal","abstract":"We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considered.\n          , \n            Hypothalamic-pituitary-gonadal (HPG) axis suppression in exercising women can be caused by low energy availability (EA), but the impact of a real-world, multistressor training environment on reproductive and metabolic function is unknown. This study aimed to characterize reproductive and metabolic adaptation in women undertaking basic military training. A prospective cohort study in women undertaking 11-month initial military training ( n = 47) was carried out. Dynamic low-dose 1-h gonadotrophin-releasing hormone (GnRH) tests were completed after 0 and 7 mo of training. Urine progesterone was sampled weekly throughout. Body composition (dual X-ray absorptiometry), fasting insulin resistance (homeostatic modeling assessment 2, HOMA2), leptin, sex steroids, anti-Müllerian hormone (AMH), and inhibin B were measured after 0, 7, and 11 mo with an additional assessment of body composition at 3 mo. Luteinizing hormone (LH) and follicle-stimulating hormone (FSH) responses were suppressed after 7 mo (both P &lt; 0.001). Among noncontraceptive users ( n = 20), 65% had regular (23–35 days) cycles preenrollment, falling to 24% by 7 mo of training. Of women in whom urine progesterone was measured ( n = 24), 87% of cycles showed no evidence of ovulation. There was little change in AMH, LH, and estradiol, although inhibin B and FSH increased ( P &lt; 0.05). Fat mass fluctuated during training but at month 11 was unchanged from baseline. Fat-free mass did not change. Visceral adiposity, HOMA2, and leptin increased (all P &lt; 0.001). HPG axis suppression with anovulation occurred in response to training without evidence of low EA. Increased insulin resistance may have contributed to the observed pituitary and ovarian dysfunction. Our findings are likely to represent an adaptive response of reproductive function to the multistressor nature of military training.\n            NEW &amp; NOTEWORTHY We characterized reproductive endocrine adaptation to prolonged arduous multistressor training in women. We identified marked suppression of hypothalamic-pituitary-gonadal (HPG) axis function during training but found no evidence of low energy availability despite high energy requirements. Our findings suggest a complex interplay of psychological and environmental stressors with suppression of the HPG axis via activation of the hypothalamic-pituitary adrenal (HPA) axis. The neuroendocrine impact of nonexercise stressors on the HPG axis during arduous training should be considered.","container-title":"American Journal of Physiology-Endocrinology and Metabolism","DOI":"10.1152/ajpendo.00019.2021","ISSN":"0193-1849, 1522-1555","issue":"2","journalAbbreviation":"American Journal of Physiology-Endocrinology and Metabolism","language":"en","page":"E281-E291","source":"DOI.org (Crossref)","title":"Reproductive and metabolic adaptation to multistressor training in women","volume":"321","author":[{"family":"Gifford","given":"Robert M."},{"family":"O’Leary","given":"Thomas J."},{"family":"Wardle","given":"Sophie L."},{"family":"Double","given":"Rebecca L."},{"family":"Homer","given":"Natalie Z. M."},{"family":"Howie","given":"A. Forbes"},{"family":"Greeves","given":"Julie P."},{"family":"Anderson","given":"Richard A."},{"family":"Woods","given":"David R."},{"family":"Reynolds","given":"Rebecca M."}],"issued":{"date-parts":[["2021",8,1]]}}}],"schema":"https://github.com/citation-style-language/schema/raw/master/csl-citation.json"} </w:instrText>
      </w:r>
      <w:r w:rsidR="00066684"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(37)</w:t>
      </w:r>
      <w:r w:rsidR="00066684" w:rsidRPr="00024E20">
        <w:rPr>
          <w:rFonts w:ascii="Times New Roman" w:eastAsia="Times New Roman" w:hAnsi="Times New Roman" w:cs="Times New Roman"/>
          <w:color w:val="000000" w:themeColor="text1"/>
          <w:sz w:val="24"/>
          <w:szCs w:val="24"/>
        </w:rPr>
        <w:fldChar w:fldCharType="end"/>
      </w:r>
      <w:r w:rsidR="00F420DF" w:rsidRPr="00024E20">
        <w:rPr>
          <w:rFonts w:ascii="Times New Roman" w:eastAsia="Times New Roman" w:hAnsi="Times New Roman" w:cs="Times New Roman"/>
          <w:color w:val="000000" w:themeColor="text1"/>
          <w:sz w:val="24"/>
          <w:szCs w:val="24"/>
        </w:rPr>
        <w:t xml:space="preserve"> and can </w:t>
      </w:r>
      <w:r w:rsidR="0049159F" w:rsidRPr="00024E20">
        <w:rPr>
          <w:rFonts w:ascii="Times New Roman" w:eastAsia="Times New Roman" w:hAnsi="Times New Roman" w:cs="Times New Roman"/>
          <w:color w:val="000000" w:themeColor="text1"/>
          <w:sz w:val="24"/>
          <w:szCs w:val="24"/>
        </w:rPr>
        <w:t>interfere</w:t>
      </w:r>
      <w:r w:rsidR="00F420DF" w:rsidRPr="00024E20">
        <w:rPr>
          <w:rFonts w:ascii="Times New Roman" w:eastAsia="Times New Roman" w:hAnsi="Times New Roman" w:cs="Times New Roman"/>
          <w:color w:val="000000" w:themeColor="text1"/>
          <w:sz w:val="24"/>
          <w:szCs w:val="24"/>
        </w:rPr>
        <w:t xml:space="preserve"> with muscle protein synthesis</w:t>
      </w:r>
      <w:r w:rsidR="00DA2C6B" w:rsidRPr="00024E20">
        <w:rPr>
          <w:rFonts w:ascii="Times New Roman" w:eastAsia="Times New Roman" w:hAnsi="Times New Roman" w:cs="Times New Roman"/>
          <w:color w:val="000000" w:themeColor="text1"/>
          <w:sz w:val="24"/>
          <w:szCs w:val="24"/>
        </w:rPr>
        <w:t>, muscle</w:t>
      </w:r>
      <w:r w:rsidR="00F420DF" w:rsidRPr="00024E20">
        <w:rPr>
          <w:rFonts w:ascii="Times New Roman" w:eastAsia="Times New Roman" w:hAnsi="Times New Roman" w:cs="Times New Roman"/>
          <w:color w:val="000000" w:themeColor="text1"/>
          <w:sz w:val="24"/>
          <w:szCs w:val="24"/>
        </w:rPr>
        <w:t xml:space="preserve"> repair, and the </w:t>
      </w:r>
      <w:r w:rsidR="0049159F" w:rsidRPr="00024E20">
        <w:rPr>
          <w:rFonts w:ascii="Times New Roman" w:eastAsia="Times New Roman" w:hAnsi="Times New Roman" w:cs="Times New Roman"/>
          <w:color w:val="000000" w:themeColor="text1"/>
          <w:sz w:val="24"/>
          <w:szCs w:val="24"/>
        </w:rPr>
        <w:t>insulin</w:t>
      </w:r>
      <w:r w:rsidR="00F420DF" w:rsidRPr="00024E20">
        <w:rPr>
          <w:rFonts w:ascii="Times New Roman" w:eastAsia="Times New Roman" w:hAnsi="Times New Roman" w:cs="Times New Roman"/>
          <w:color w:val="000000" w:themeColor="text1"/>
          <w:sz w:val="24"/>
          <w:szCs w:val="24"/>
        </w:rPr>
        <w:t xml:space="preserve">-like growth like factor-I and growth hormone axis </w:t>
      </w:r>
      <w:r w:rsidR="00F420DF" w:rsidRPr="00024E20">
        <w:rPr>
          <w:rFonts w:ascii="Times New Roman" w:eastAsia="Times New Roman" w:hAnsi="Times New Roman" w:cs="Times New Roman"/>
          <w:color w:val="000000" w:themeColor="text1"/>
          <w:sz w:val="24"/>
          <w:szCs w:val="24"/>
        </w:rPr>
        <w:fldChar w:fldCharType="begin"/>
      </w:r>
      <w:r w:rsidR="007F7D23" w:rsidRPr="00024E20">
        <w:rPr>
          <w:rFonts w:ascii="Times New Roman" w:eastAsia="Times New Roman" w:hAnsi="Times New Roman" w:cs="Times New Roman"/>
          <w:color w:val="000000" w:themeColor="text1"/>
          <w:sz w:val="24"/>
          <w:szCs w:val="24"/>
        </w:rPr>
        <w:instrText xml:space="preserve"> ADDIN ZOTERO_ITEM CSL_CITATION {"citationID":"dGlQpekQ","properties":{"formattedCitation":"(9)","plainCitation":"(9)","noteIndex":0},"citationItems":[{"id":8176,"uris":["http://zotero.org/users/6787375/items/KGJGEMUF"],"itemData":{"id":8176,"type":"article-journal","abstract":"Abstract Hormonal contraceptives are used by approximately half of female athletes and may affect athletic performance as a result of their action on the endogenous hormonal milieu. In athletes, hormonal contraceptive use appears to have little effect on body composition, however further studies are needed assessing progestin-only contraceptives as they may have a negative effect in the general population. The type of progestin contained within the contraceptive may influence the anabolic response of muscle to loading although this relationship is complex as it may be due to either direct or indirect effects of exogenous hormones on protein synthesis and satellite cell proliferation. The altered hormonal milieu in hormonal contraceptive users has predominately been shown to have no effect on muscle strength and whilst maximal oxygen uptake is sometimes reduced, this does not translate into measures of performance. The majority of previous research has used cross-sectional designs and/or grouped together different types and brands of hormonal contraceptives and little research has been conducted on progestin-only contraceptives in athletes. Future research should use prospective, randomised-controlled designs to assess the effects of all types of hormonal contraceptives on athletic performance in females.\n          , \n            Resumo Os métodos contraceptivos hormonais são usados por aproximadamente metade das atletas do sexo feminino e podem afetar o desempenho atlético como resultado de sua ação hormonal sistêmica. Nas atletas, o uso de anticoncepcionais parece ter pouco efeito sobre a composição corporal, porém novos estudos são necessários para avaliar os efeitos dos contraceptivos derivados apenas de progestina, pois podem ter um efeito negativo na população em geral. O tipo de progestina contido dentro do contraceptivo pode influenciar a resposta anabólica do músculo, embora esta relação seja complexa em virtude dos efeitos diretos ou indiretos de hormônios exógenos na síntese da proteína e na proliferação das células satélites. A resposta sistêmica hormonal alterada em usuárias de contraceptivos parece não influenciar a força muscular e, embora o consumo máximo de oxigênio às vezes seja reduzida, isso não afeta as medidas de desempenho. A maioria das pesquisas utilizou desenhos transversais e/ou agrupou diferentes tipos e marcas de anticoncepcionais hormonais e poucos estudos têm sido realizada sobre anticoncepcionais com progestina em atletas. Futuros estudos devem usar desenhos experimentais prospectivos, randomizados e controlados para avaliar os efeitos de todos os tipos de contraceptivos hormonais no desempenho atlético em mulheres.","container-title":"Revista Brasileira de Educação Física e Esporte","DOI":"10.1590/1807-55092016000401087","ISSN":"1807-5509","issue":"4","journalAbbreviation":"Rev. bras. educ. fís. esporte","page":"1087-1096","source":"DOI.org (Crossref)","title":"A perspective on current research investigating the effects of hormonal contraceptives on determinants of female athlete performance","volume":"30","author":[{"family":"Martin","given":"Daniel"},{"family":"Elliott-Sale","given":"Kirsty"},{"literal":"Nottingham Trent University, United Kingdom"}],"issued":{"date-parts":[["2016",12]]}}}],"schema":"https://github.com/citation-style-language/schema/raw/master/csl-citation.json"} </w:instrText>
      </w:r>
      <w:r w:rsidR="00F420DF" w:rsidRPr="00024E20">
        <w:rPr>
          <w:rFonts w:ascii="Times New Roman" w:eastAsia="Times New Roman" w:hAnsi="Times New Roman" w:cs="Times New Roman"/>
          <w:color w:val="000000" w:themeColor="text1"/>
          <w:sz w:val="24"/>
          <w:szCs w:val="24"/>
        </w:rPr>
        <w:fldChar w:fldCharType="separate"/>
      </w:r>
      <w:r w:rsidR="007F7D23" w:rsidRPr="00024E20">
        <w:rPr>
          <w:rFonts w:ascii="Times New Roman" w:eastAsia="Times New Roman" w:hAnsi="Times New Roman" w:cs="Times New Roman"/>
          <w:noProof/>
          <w:color w:val="000000" w:themeColor="text1"/>
          <w:sz w:val="24"/>
          <w:szCs w:val="24"/>
        </w:rPr>
        <w:t>(9)</w:t>
      </w:r>
      <w:r w:rsidR="00F420DF" w:rsidRPr="00024E20">
        <w:rPr>
          <w:rFonts w:ascii="Times New Roman" w:eastAsia="Times New Roman" w:hAnsi="Times New Roman" w:cs="Times New Roman"/>
          <w:color w:val="000000" w:themeColor="text1"/>
          <w:sz w:val="24"/>
          <w:szCs w:val="24"/>
        </w:rPr>
        <w:fldChar w:fldCharType="end"/>
      </w:r>
      <w:r w:rsidR="00F420DF" w:rsidRPr="00024E20">
        <w:rPr>
          <w:rFonts w:ascii="Times New Roman" w:eastAsia="Times New Roman" w:hAnsi="Times New Roman" w:cs="Times New Roman"/>
          <w:color w:val="000000" w:themeColor="text1"/>
          <w:sz w:val="24"/>
          <w:szCs w:val="24"/>
        </w:rPr>
        <w:t xml:space="preserve">. </w:t>
      </w:r>
      <w:r w:rsidR="00283B70" w:rsidRPr="00024E20">
        <w:rPr>
          <w:rFonts w:ascii="Times New Roman" w:eastAsia="Times New Roman" w:hAnsi="Times New Roman" w:cs="Times New Roman"/>
          <w:color w:val="000000" w:themeColor="text1"/>
          <w:sz w:val="24"/>
          <w:szCs w:val="24"/>
        </w:rPr>
        <w:t>P</w:t>
      </w:r>
      <w:r w:rsidRPr="00024E20">
        <w:rPr>
          <w:rFonts w:ascii="Times New Roman" w:eastAsia="Times New Roman" w:hAnsi="Times New Roman" w:cs="Times New Roman"/>
          <w:color w:val="000000" w:themeColor="text1"/>
          <w:sz w:val="24"/>
          <w:szCs w:val="24"/>
        </w:rPr>
        <w:t>rogestins in hormonal contraceptives may have an anabolic effect on muscle</w:t>
      </w:r>
      <w:r w:rsidR="00861E07"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 given their androgenicity</w:t>
      </w:r>
      <w:r w:rsidR="00861E07" w:rsidRPr="00024E20">
        <w:rPr>
          <w:rFonts w:ascii="Times New Roman" w:eastAsia="Times New Roman" w:hAnsi="Times New Roman" w:cs="Times New Roman"/>
          <w:color w:val="000000" w:themeColor="text1"/>
          <w:sz w:val="24"/>
          <w:szCs w:val="24"/>
        </w:rPr>
        <w:t xml:space="preserve"> — but </w:t>
      </w:r>
      <w:r w:rsidRPr="00024E20">
        <w:rPr>
          <w:rFonts w:ascii="Times New Roman" w:eastAsia="Times New Roman" w:hAnsi="Times New Roman" w:cs="Times New Roman"/>
          <w:color w:val="000000" w:themeColor="text1"/>
          <w:sz w:val="24"/>
          <w:szCs w:val="24"/>
        </w:rPr>
        <w:t>even though</w:t>
      </w:r>
      <w:r w:rsidR="00C26E53" w:rsidRPr="00024E20">
        <w:rPr>
          <w:rFonts w:ascii="Times New Roman" w:eastAsia="Times New Roman" w:hAnsi="Times New Roman" w:cs="Times New Roman"/>
          <w:color w:val="000000" w:themeColor="text1"/>
          <w:sz w:val="24"/>
          <w:szCs w:val="24"/>
        </w:rPr>
        <w:t xml:space="preserve"> most progestins</w:t>
      </w:r>
      <w:r w:rsidRPr="00024E20">
        <w:rPr>
          <w:rFonts w:ascii="Times New Roman" w:eastAsia="Times New Roman" w:hAnsi="Times New Roman" w:cs="Times New Roman"/>
          <w:color w:val="000000" w:themeColor="text1"/>
          <w:sz w:val="24"/>
          <w:szCs w:val="24"/>
        </w:rPr>
        <w:t xml:space="preserve"> bind to androgen receptors, </w:t>
      </w:r>
      <w:r w:rsidR="00C26E53" w:rsidRPr="00024E20">
        <w:rPr>
          <w:rFonts w:ascii="Times New Roman" w:eastAsia="Times New Roman" w:hAnsi="Times New Roman" w:cs="Times New Roman"/>
          <w:color w:val="000000" w:themeColor="text1"/>
          <w:sz w:val="24"/>
          <w:szCs w:val="24"/>
        </w:rPr>
        <w:t>some progestins</w:t>
      </w:r>
      <w:r w:rsidRPr="00024E20">
        <w:rPr>
          <w:rFonts w:ascii="Times New Roman" w:eastAsia="Times New Roman" w:hAnsi="Times New Roman" w:cs="Times New Roman"/>
          <w:color w:val="000000" w:themeColor="text1"/>
          <w:sz w:val="24"/>
          <w:szCs w:val="24"/>
        </w:rPr>
        <w:t xml:space="preserve"> have an antiandrogenic effect </w:t>
      </w:r>
      <w:r w:rsidR="00727A8D"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{"citationID":"PYBW2zap","properties":{"formattedCitation":"(4, 54)","plainCitation":"(4, 54)","noteIndex":0},"citationItems":[{"id":4160,"uris":["http://zotero.org/users/6787375/items/HDA88NBH"],"itemData":{"id":4160,"type":"article-journal","abstract":"Sex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J."}],"issued":{"date-parts":[["2010",5]]}}},{"id":8169,"uris":["http://zotero.org/users/6787375/items/Z6H3P62B"],"itemData":{"id":8169,"type":"article-journal","abstract":"Synthetic progestogens differ not only in their hormonal potency, but also in their spectrum of hormonal activities. Beside their progestogenic and anti-oestrogenic effects, they may exert oestrogenic, androgenic, antiandrogenic, glucocorticoid and/or anti-mineralocorticoid activities. Consequently, progestogens may influence various metabolic parameters and modulate oestrogen-induced alterations in lipid metabolism, haemostasis, and various other factors. Progestogens with androgenic properties may counteract ethinyloestradiol (EE)-induced changes in lipoprotein metabolism, but do not cause atherosclerosis in the presence of EE. Oral contraceptives (OCs) containing androgenic progestogens which attenuate the EE-dependent changes in haemostasis, may be associated with a lower risk of venous thromboembolic disease than OCs whose progestogens have a less androgenic profile. Progestogens with androgenic activity may also antagonize oestrogen-induced alterations in various other hepatic proteins and modulate the effect of EE on growth factors. Progestogens with antiandrogenic activity may enhance the beneficial effect of EE in women with hyperandrogenic manifestations. Progestogens with glucocorticoid effects may increase procoagulatory activity in the vessel wall, while progestogens with anti-mineralocorticoid activity may reduce the aldosterone-induced water-retention in some women. For most women the differences in the hormonal pattern of progestogens used in OCs are without clinical relevance, but may be useful for women predisposed for the development of certain disorders.","container-title":"The European Journal of Contraception &amp; Reproductive Health Care: The Official Journal of the European Society of Contraception","DOI":"10.1080/13625180600772741","ISSN":"1362-5187","issue":"3","journalAbbreviation":"Eur J Contracept Reprod Health Care","language":"eng","note":"PMID: 17056444","page":"153-161","source":"PubMed","title":"Metabolic and clinical effects of progestogens","volume":"11","author":[{"family":"Wiegratz","given":"Inka"},{"family":"Kuhl","given":"Herbert"}],"issued":{"date-parts":[["2006",9]]}}}],"schema":"https://github.com/citation-style-language/schema/raw/master/csl-citation.json"} </w:instrText>
      </w:r>
      <w:r w:rsidR="00727A8D"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(4, 54)</w:t>
      </w:r>
      <w:r w:rsidR="00727A8D"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w:t>
      </w:r>
      <w:r w:rsidR="00DA2C6B" w:rsidRPr="00024E20">
        <w:rPr>
          <w:rFonts w:ascii="Times New Roman" w:eastAsia="Times New Roman" w:hAnsi="Times New Roman" w:cs="Times New Roman"/>
          <w:color w:val="000000" w:themeColor="text1"/>
          <w:sz w:val="24"/>
          <w:szCs w:val="24"/>
        </w:rPr>
        <w:t>H</w:t>
      </w:r>
      <w:r w:rsidR="00E618DD" w:rsidRPr="00024E20">
        <w:rPr>
          <w:rFonts w:ascii="Times New Roman" w:eastAsia="Times New Roman" w:hAnsi="Times New Roman" w:cs="Times New Roman"/>
          <w:color w:val="000000" w:themeColor="text1"/>
          <w:sz w:val="24"/>
          <w:szCs w:val="24"/>
        </w:rPr>
        <w:t xml:space="preserve">igher potency androgenic progestins may </w:t>
      </w:r>
      <w:r w:rsidR="00DA2C6B" w:rsidRPr="00024E20">
        <w:rPr>
          <w:rFonts w:ascii="Times New Roman" w:eastAsia="Times New Roman" w:hAnsi="Times New Roman" w:cs="Times New Roman"/>
          <w:color w:val="000000" w:themeColor="text1"/>
          <w:sz w:val="24"/>
          <w:szCs w:val="24"/>
        </w:rPr>
        <w:t>also</w:t>
      </w:r>
      <w:r w:rsidR="00E618DD" w:rsidRPr="00024E20">
        <w:rPr>
          <w:rFonts w:ascii="Times New Roman" w:eastAsia="Times New Roman" w:hAnsi="Times New Roman" w:cs="Times New Roman"/>
          <w:color w:val="000000" w:themeColor="text1"/>
          <w:sz w:val="24"/>
          <w:szCs w:val="24"/>
        </w:rPr>
        <w:t xml:space="preserve"> inhibit improvements in strength by reducing the ability of testosterone to bind to </w:t>
      </w:r>
      <w:r w:rsidR="00DA2C6B" w:rsidRPr="00024E20">
        <w:rPr>
          <w:rFonts w:ascii="Times New Roman" w:eastAsia="Times New Roman" w:hAnsi="Times New Roman" w:cs="Times New Roman"/>
          <w:color w:val="000000" w:themeColor="text1"/>
          <w:sz w:val="24"/>
          <w:szCs w:val="24"/>
        </w:rPr>
        <w:t>androgen</w:t>
      </w:r>
      <w:r w:rsidR="00E618DD" w:rsidRPr="00024E20">
        <w:rPr>
          <w:rFonts w:ascii="Times New Roman" w:eastAsia="Times New Roman" w:hAnsi="Times New Roman" w:cs="Times New Roman"/>
          <w:color w:val="000000" w:themeColor="text1"/>
          <w:sz w:val="24"/>
          <w:szCs w:val="24"/>
        </w:rPr>
        <w:t xml:space="preserve"> receptors </w:t>
      </w:r>
      <w:r w:rsidR="00E618DD"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{"citationID":"wSMsKXn4","properties":{"formattedCitation":"(4, 9)","plainCitation":"(4, 9)","noteIndex":0},"citationItems":[{"id":4160,"uris":["http://zotero.org/users/6787375/items/HDA88NBH"],"itemData":{"id":4160,"type":"article-journal","abstract":"Sex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J."}],"issued":{"date-parts":[["2010",5]]}}},{"id":8176,"uris":["http://zotero.org/users/6787375/items/KGJGEMUF"],"itemData":{"id":8176,"type":"article-journal","abstract":"Abstract Hormonal contraceptives are used by approximately half of female athletes and may affect athletic performance as a result of their action on the endogenous hormonal milieu. In athletes, hormonal contraceptive use appears to have little effect on body composition, however further studies are needed assessing progestin-only contraceptives as they may have a negative effect in the general population. The type of progestin contained within the contraceptive may influence the anabolic response of muscle to loading although this relationship is complex as it may be due to either direct or indirect effects of exogenous hormones on protein synthesis and satellite cell proliferation. The altered hormonal milieu in hormonal contraceptive users has predominately been shown to have no effect on muscle strength and whilst maximal oxygen uptake is sometimes reduced, this does not translate into measures of performance. The majority of previous research has used cross-sectional designs and/or grouped together different types and brands of hormonal contraceptives and little research has been conducted on progestin-only contraceptives in athletes. Future research should use prospective, randomised-controlled designs to assess the effects of all types of hormonal contraceptives on athletic performance in females.\n          , \n            Resumo Os métodos contraceptivos hormonais são usados por aproximadamente metade das atletas do sexo feminino e podem afetar o desempenho atlético como resultado de sua ação hormonal sistêmica. Nas atletas, o uso de anticoncepcionais parece ter pouco efeito sobre a composição corporal, porém novos estudos são necessários para avaliar os efeitos dos contraceptivos derivados apenas de progestina, pois podem ter um efeito negativo na população em geral. O tipo de progestina contido dentro do contraceptivo pode influenciar a resposta anabólica do músculo, embora esta relação seja complexa em virtude dos efeitos diretos ou indiretos de hormônios exógenos na síntese da proteína e na proliferação das células satélites. A resposta sistêmica hormonal alterada em usuárias de contraceptivos parece não influenciar a força muscular e, embora o consumo máximo de oxigênio às vezes seja reduzida, isso não afeta as medidas de desempenho. A maioria das pesquisas utilizou desenhos transversais e/ou agrupou diferentes tipos e marcas de anticoncepcionais hormonais e poucos estudos têm sido realizada sobre anticoncepcionais com progestina em atletas. Futuros estudos devem usar desenhos experimentais prospectivos, randomizados e controlados para avaliar os efeitos de todos os tipos de contraceptivos hormonais no desempenho atlético em mulheres.","container-title":"Revista Brasileira de Educação Física e Esporte","DOI":"10.1590/1807-55092016000401087","ISSN":"1807-5509","issue":"4","journalAbbreviation":"Rev. bras. educ. fís. esporte","page":"1087-1096","source":"DOI.org (Crossref)","title":"A perspective on current research investigating the effects of hormonal contraceptives on determinants of female athlete performance","volume":"30","author":[{"family":"Martin","given":"Daniel"},{"family":"Elliott-Sale","given":"Kirsty"},{"literal":"Nottingham Trent University, United Kingdom"}],"issued":{"date-parts":[["2016",12]]}}}],"schema":"https://github.com/citation-style-language/schema/raw/master/csl-citation.json"} </w:instrText>
      </w:r>
      <w:r w:rsidR="00E618DD"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(4, 9)</w:t>
      </w:r>
      <w:r w:rsidR="00E618DD" w:rsidRPr="00024E20">
        <w:rPr>
          <w:rFonts w:ascii="Times New Roman" w:eastAsia="Times New Roman" w:hAnsi="Times New Roman" w:cs="Times New Roman"/>
          <w:color w:val="000000" w:themeColor="text1"/>
          <w:sz w:val="24"/>
          <w:szCs w:val="24"/>
        </w:rPr>
        <w:fldChar w:fldCharType="end"/>
      </w:r>
      <w:r w:rsidR="00E618DD" w:rsidRPr="00024E20">
        <w:rPr>
          <w:rFonts w:ascii="Times New Roman" w:eastAsia="Times New Roman" w:hAnsi="Times New Roman" w:cs="Times New Roman"/>
          <w:color w:val="000000" w:themeColor="text1"/>
          <w:sz w:val="24"/>
          <w:szCs w:val="24"/>
        </w:rPr>
        <w:t>.</w:t>
      </w:r>
      <w:r w:rsidR="00C6028D" w:rsidRPr="00024E20">
        <w:rPr>
          <w:rFonts w:ascii="Times New Roman" w:eastAsia="Times New Roman" w:hAnsi="Times New Roman" w:cs="Times New Roman"/>
          <w:color w:val="000000" w:themeColor="text1"/>
          <w:sz w:val="24"/>
          <w:szCs w:val="24"/>
        </w:rPr>
        <w:t xml:space="preserve"> </w:t>
      </w:r>
      <w:r w:rsidR="006F59AD" w:rsidRPr="00024E20">
        <w:rPr>
          <w:rFonts w:ascii="Times New Roman" w:eastAsia="Times New Roman" w:hAnsi="Times New Roman" w:cs="Times New Roman"/>
          <w:color w:val="000000" w:themeColor="text1"/>
          <w:sz w:val="24"/>
          <w:szCs w:val="24"/>
        </w:rPr>
        <w:t xml:space="preserve">We did not separate groups by progestin type, </w:t>
      </w:r>
      <w:r w:rsidR="00827EC7" w:rsidRPr="00024E20">
        <w:rPr>
          <w:rFonts w:ascii="Times New Roman" w:eastAsia="Times New Roman" w:hAnsi="Times New Roman" w:cs="Times New Roman"/>
          <w:color w:val="000000" w:themeColor="text1"/>
          <w:sz w:val="24"/>
          <w:szCs w:val="24"/>
        </w:rPr>
        <w:t xml:space="preserve">but </w:t>
      </w:r>
      <w:r w:rsidR="00E100AD" w:rsidRPr="00024E20">
        <w:rPr>
          <w:rFonts w:ascii="Times New Roman" w:eastAsia="Times New Roman" w:hAnsi="Times New Roman" w:cs="Times New Roman"/>
          <w:color w:val="000000" w:themeColor="text1"/>
          <w:sz w:val="24"/>
          <w:szCs w:val="24"/>
        </w:rPr>
        <w:t>amongst COCP users, androgenicity of progestins ha</w:t>
      </w:r>
      <w:r w:rsidR="006F071E" w:rsidRPr="00024E20">
        <w:rPr>
          <w:rFonts w:ascii="Times New Roman" w:eastAsia="Times New Roman" w:hAnsi="Times New Roman" w:cs="Times New Roman"/>
          <w:color w:val="000000" w:themeColor="text1"/>
          <w:sz w:val="24"/>
          <w:szCs w:val="24"/>
        </w:rPr>
        <w:t xml:space="preserve">s been associated with </w:t>
      </w:r>
      <w:r w:rsidR="00E100AD" w:rsidRPr="00024E20">
        <w:rPr>
          <w:rFonts w:ascii="Times New Roman" w:eastAsia="Times New Roman" w:hAnsi="Times New Roman" w:cs="Times New Roman"/>
          <w:color w:val="000000" w:themeColor="text1"/>
          <w:sz w:val="24"/>
          <w:szCs w:val="24"/>
        </w:rPr>
        <w:t xml:space="preserve">the lean mass and / or strength responses to strength training; greater increases have been seen in </w:t>
      </w:r>
      <w:r w:rsidR="00721B72" w:rsidRPr="00024E20">
        <w:rPr>
          <w:rFonts w:ascii="Times New Roman" w:eastAsia="Times New Roman" w:hAnsi="Times New Roman" w:cs="Times New Roman"/>
          <w:color w:val="000000" w:themeColor="text1"/>
          <w:sz w:val="24"/>
          <w:szCs w:val="24"/>
        </w:rPr>
        <w:t xml:space="preserve">those using </w:t>
      </w:r>
      <w:r w:rsidR="00C3265A" w:rsidRPr="00024E20">
        <w:rPr>
          <w:rFonts w:ascii="Times New Roman" w:eastAsia="Times New Roman" w:hAnsi="Times New Roman" w:cs="Times New Roman"/>
          <w:color w:val="000000" w:themeColor="text1"/>
          <w:sz w:val="24"/>
          <w:szCs w:val="24"/>
        </w:rPr>
        <w:t>high</w:t>
      </w:r>
      <w:r w:rsidR="00E100AD" w:rsidRPr="00024E20">
        <w:rPr>
          <w:rFonts w:ascii="Times New Roman" w:eastAsia="Times New Roman" w:hAnsi="Times New Roman" w:cs="Times New Roman"/>
          <w:color w:val="000000" w:themeColor="text1"/>
          <w:sz w:val="24"/>
          <w:szCs w:val="24"/>
        </w:rPr>
        <w:t xml:space="preserve"> </w:t>
      </w:r>
      <w:r w:rsidR="007F7D23" w:rsidRPr="00024E20">
        <w:rPr>
          <w:rFonts w:ascii="Times New Roman" w:eastAsia="Times New Roman" w:hAnsi="Times New Roman" w:cs="Times New Roman"/>
          <w:color w:val="000000" w:themeColor="text1"/>
          <w:sz w:val="24"/>
          <w:szCs w:val="24"/>
        </w:rPr>
        <w:t xml:space="preserve">compared with low </w:t>
      </w:r>
      <w:r w:rsidR="00C3265A"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{"citationID":"0ZH5gs2H","properties":{"formattedCitation":"(55)","plainCitation":"(55)","noteIndex":0},"citationItems":[{"id":8174,"uris":["http://zotero.org/users/6787375/items/LWDCEDDX"],"itemData":{"id":8174,"type":"article-journal","abstract":"AIM: To determine antiandrogen effects on muscle strength gain and fat-free mass increase during exercise in women using hormonal contraception with antiandrogen content.\nMETHODS: The study included 50 women (age range, 18-30 years; mean-/+SD, 26-/+3) using hormonal contraception for at least 12 months before the beginning of the study. They were divided into two groups: \"antiandrogen\" group (n=26) and \"estrogen-progestogen\" group (n=24) groups. The subjects participated in strength training sessions 3 times a week during 16 weeks. Initially, there were no differences between the groups in fat-free mass, muscle strength, or maximum oxygen uptake. The parameters were measured before, during, and after the training period.\nRESULTS: After the training period, the mean increase of fat-free mass was significantly greater in the estrogen-progestogen group (p&lt;0.001). The mean gain in the muscle strength (in Newtons) was also more evident in estrogen-progestogen group (1289.0-/+17.1 N vs 101.9-/+18.5 N; p&lt;0.001). There were no differences in the maximum oxygen consumption (VO(2)max).\nCONCLUSION: Antiandrogens had a negative effect on muscle strength, minimizing the effects of strength training in women. Hormonal contraception containing antiandrogens should be avoided in young exercising women.","container-title":"Croatian Medical Journal","ISSN":"0353-9504","issue":"1","journalAbbreviation":"Croat Med J","language":"eng","note":"PMID: 12590431","page":"65-68","source":"PubMed","title":"Antiandrogens in hormonal contraception limit muscle strength gain in strength training: comparison study","title-short":"Antiandrogens in hormonal contraception limit muscle strength gain in strength training","volume":"44","author":[{"family":"Ruzić","given":"Lana"},{"family":"Matković","given":"Branka R."},{"family":"Leko","given":"Goran"}],"issued":{"date-parts":[["2003",2]]}}}],"schema":"https://github.com/citation-style-language/schema/raw/master/csl-citation.json"} </w:instrText>
      </w:r>
      <w:r w:rsidR="00C3265A"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(55)</w:t>
      </w:r>
      <w:r w:rsidR="00C3265A" w:rsidRPr="00024E20">
        <w:rPr>
          <w:rFonts w:ascii="Times New Roman" w:eastAsia="Times New Roman" w:hAnsi="Times New Roman" w:cs="Times New Roman"/>
          <w:color w:val="000000" w:themeColor="text1"/>
          <w:sz w:val="24"/>
          <w:szCs w:val="24"/>
        </w:rPr>
        <w:fldChar w:fldCharType="end"/>
      </w:r>
      <w:r w:rsidR="00C3265A" w:rsidRPr="00024E20">
        <w:rPr>
          <w:rFonts w:ascii="Times New Roman" w:eastAsia="Times New Roman" w:hAnsi="Times New Roman" w:cs="Times New Roman"/>
          <w:color w:val="000000" w:themeColor="text1"/>
          <w:sz w:val="24"/>
          <w:szCs w:val="24"/>
        </w:rPr>
        <w:t xml:space="preserve"> and low</w:t>
      </w:r>
      <w:r w:rsidR="007F7D23" w:rsidRPr="00024E20">
        <w:rPr>
          <w:rFonts w:ascii="Times New Roman" w:eastAsia="Times New Roman" w:hAnsi="Times New Roman" w:cs="Times New Roman"/>
          <w:color w:val="000000" w:themeColor="text1"/>
          <w:sz w:val="24"/>
          <w:szCs w:val="24"/>
        </w:rPr>
        <w:t xml:space="preserve"> compared with high</w:t>
      </w:r>
      <w:r w:rsidR="00E100AD" w:rsidRPr="00024E20">
        <w:rPr>
          <w:rFonts w:ascii="Times New Roman" w:eastAsia="Times New Roman" w:hAnsi="Times New Roman" w:cs="Times New Roman"/>
          <w:color w:val="000000" w:themeColor="text1"/>
          <w:sz w:val="24"/>
          <w:szCs w:val="24"/>
        </w:rPr>
        <w:t xml:space="preserve"> </w:t>
      </w:r>
      <w:r w:rsidR="00C3265A"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{"citationID":"pkwQgYrC","properties":{"formattedCitation":"(56)","plainCitation":"(56)","noteIndex":0},"citationItems":[{"id":8186,"uris":["http://zotero.org/users/6787375/items/N6URCSIB"],"itemData":{"id":8186,"type":"article-journal","abstract":"Abstract\n            \n              Riechman, SE and Lee, CW. Oral contraceptive use impairs muscle gains in young women.\n              J Strength Cond Res\n              36(11): 3074–3080, 2022—Many active young women use oral contraceptives (OCs), yet their effects on the body composition and exercise performance have not been thoroughly studied. We examined the effects of OCs on muscle responses to a standardized resistance exercise training (RET) program. Two groups of young healthy women (18–29 years old, non-OC:\n              n\n              = 38, OC:\n              n\n              = 34) underwent 10 weeks of whole-body RET (3 days·wk\n              −1\n              , 3 sets, 6–10 repetitions, at 75% of maximum strength, 13 exercises). Body composition was determined using hydrostatic weighing, and blood samples were taken before and after training to measure dehydroepiandrosterone (DHEA), DHEA sulfate (DHEAS), IGF-1, and cortisol levels. There were significant differences in lean mass gains between the groups (non-OC: 3.5 ± 0.4% vs. OC: 2.1 ± 0.5% and non-OC: 1.6 ± 0.2 kg vs. OC: 1.0 ± 0.2 kg,\n              p\n              &lt; 0.05). Plasma concentrations of DHEA, DHEAS, and IGF-1 were significantly lower, and cortisol levels were higher in the OC group before and after training (\n              p\n              &lt; 0.05). In addition, there were significant differences in lean mass gains depending on the androgenicity of progestin between the non-OC and medium-high groups (non-OC: 1.6 ± 0.2 kg, Low = 1.1 ± 0.2 kg, med-high = 0.3 ± 0.5 kg,\n              p\n              &lt; 0.05). Oral contraceptive use impaired lean mass gains in young women after RET and was associated with lower DHEA, DHEAS, and IGF-1 and higher cortisol. The diminished lean mass gain may be related to the effect of OCs on anabolic and catabolic hormone levels or the androgenicity of progestin that may bind to androgen receptors and inhibit its function.","container-title":"Journal of Strength and Conditioning Research","DOI":"10.1519/JSC.0000000000004059","ISSN":"1064-8011","issue":"11","language":"en","page":"3074-3080","source":"DOI.org (Crossref)","title":"Oral Contraceptive Use Impairs Muscle Gains in Young Women","volume":"36","author":[{"family":"Riechman","given":"Steven E."},{"family":"Lee","given":"Chang Woock"}],"issued":{"date-parts":[["2022",11]]}}}],"schema":"https://github.com/citation-style-language/schema/raw/master/csl-citation.json"} </w:instrText>
      </w:r>
      <w:r w:rsidR="00C3265A"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(56)</w:t>
      </w:r>
      <w:r w:rsidR="00C3265A" w:rsidRPr="00024E20">
        <w:rPr>
          <w:rFonts w:ascii="Times New Roman" w:eastAsia="Times New Roman" w:hAnsi="Times New Roman" w:cs="Times New Roman"/>
          <w:color w:val="000000" w:themeColor="text1"/>
          <w:sz w:val="24"/>
          <w:szCs w:val="24"/>
        </w:rPr>
        <w:fldChar w:fldCharType="end"/>
      </w:r>
      <w:r w:rsidR="00C3265A" w:rsidRPr="00024E20">
        <w:rPr>
          <w:rFonts w:ascii="Times New Roman" w:eastAsia="Times New Roman" w:hAnsi="Times New Roman" w:cs="Times New Roman"/>
          <w:color w:val="000000" w:themeColor="text1"/>
          <w:sz w:val="24"/>
          <w:szCs w:val="24"/>
        </w:rPr>
        <w:t xml:space="preserve"> </w:t>
      </w:r>
      <w:r w:rsidR="00E100AD" w:rsidRPr="00024E20">
        <w:rPr>
          <w:rFonts w:ascii="Times New Roman" w:eastAsia="Times New Roman" w:hAnsi="Times New Roman" w:cs="Times New Roman"/>
          <w:color w:val="000000" w:themeColor="text1"/>
          <w:sz w:val="24"/>
          <w:szCs w:val="24"/>
        </w:rPr>
        <w:t>androgenicity progestins.</w:t>
      </w:r>
    </w:p>
    <w:p w14:paraId="5D5949C0" w14:textId="77777777" w:rsidR="00F71CDB" w:rsidRPr="00024E20" w:rsidRDefault="00F71CDB">
      <w:pPr>
        <w:spacing w:after="0" w:line="480" w:lineRule="auto"/>
        <w:jc w:val="both"/>
        <w:rPr>
          <w:rFonts w:ascii="Times New Roman" w:eastAsia="Times New Roman" w:hAnsi="Times New Roman" w:cs="Times New Roman"/>
          <w:i/>
          <w:color w:val="000000" w:themeColor="text1"/>
          <w:sz w:val="24"/>
          <w:szCs w:val="24"/>
        </w:rPr>
      </w:pPr>
    </w:p>
    <w:p w14:paraId="4FB85EF7" w14:textId="77777777" w:rsidR="00430357" w:rsidRPr="00024E20" w:rsidRDefault="00430357" w:rsidP="00430357">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Bone Mineral Density and Bone Metabolism</w:t>
      </w:r>
    </w:p>
    <w:p w14:paraId="384D922C" w14:textId="77777777" w:rsidR="004F157B" w:rsidRPr="00024E20" w:rsidRDefault="00430357" w:rsidP="00430357">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Training increased whole-body</w:t>
      </w:r>
      <w:r w:rsidR="00B705D5" w:rsidRPr="00024E20">
        <w:rPr>
          <w:rFonts w:ascii="Times New Roman" w:eastAsia="Times New Roman" w:hAnsi="Times New Roman" w:cs="Times New Roman"/>
          <w:color w:val="000000" w:themeColor="text1"/>
          <w:sz w:val="24"/>
          <w:szCs w:val="24"/>
        </w:rPr>
        <w:t xml:space="preserve"> (0.9%)</w:t>
      </w:r>
      <w:r w:rsidRPr="00024E20">
        <w:rPr>
          <w:rFonts w:ascii="Times New Roman" w:eastAsia="Times New Roman" w:hAnsi="Times New Roman" w:cs="Times New Roman"/>
          <w:color w:val="000000" w:themeColor="text1"/>
          <w:sz w:val="24"/>
          <w:szCs w:val="24"/>
        </w:rPr>
        <w:t>, arms</w:t>
      </w:r>
      <w:r w:rsidR="00B705D5" w:rsidRPr="00024E20">
        <w:rPr>
          <w:rFonts w:ascii="Times New Roman" w:eastAsia="Times New Roman" w:hAnsi="Times New Roman" w:cs="Times New Roman"/>
          <w:color w:val="000000" w:themeColor="text1"/>
          <w:sz w:val="24"/>
          <w:szCs w:val="24"/>
        </w:rPr>
        <w:t xml:space="preserve"> (1.8%)</w:t>
      </w:r>
      <w:r w:rsidRPr="00024E20">
        <w:rPr>
          <w:rFonts w:ascii="Times New Roman" w:eastAsia="Times New Roman" w:hAnsi="Times New Roman" w:cs="Times New Roman"/>
          <w:color w:val="000000" w:themeColor="text1"/>
          <w:sz w:val="24"/>
          <w:szCs w:val="24"/>
        </w:rPr>
        <w:t>, and legs</w:t>
      </w:r>
      <w:r w:rsidR="00B705D5" w:rsidRPr="00024E20">
        <w:rPr>
          <w:rFonts w:ascii="Times New Roman" w:eastAsia="Times New Roman" w:hAnsi="Times New Roman" w:cs="Times New Roman"/>
          <w:color w:val="000000" w:themeColor="text1"/>
          <w:sz w:val="24"/>
          <w:szCs w:val="24"/>
        </w:rPr>
        <w:t xml:space="preserve"> (1.4%)</w:t>
      </w:r>
      <w:r w:rsidRPr="00024E20">
        <w:rPr>
          <w:rFonts w:ascii="Times New Roman" w:eastAsia="Times New Roman" w:hAnsi="Times New Roman" w:cs="Times New Roman"/>
          <w:color w:val="000000" w:themeColor="text1"/>
          <w:sz w:val="24"/>
          <w:szCs w:val="24"/>
        </w:rPr>
        <w:t xml:space="preserve">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but the training response was not different between hormonal contraceptive groups. </w:t>
      </w:r>
      <w:r w:rsidR="00A264E4" w:rsidRPr="00024E20">
        <w:rPr>
          <w:rFonts w:ascii="Times New Roman" w:eastAsia="Times New Roman" w:hAnsi="Times New Roman" w:cs="Times New Roman"/>
          <w:color w:val="000000" w:themeColor="text1"/>
          <w:sz w:val="24"/>
          <w:szCs w:val="24"/>
        </w:rPr>
        <w:t>Although these increases are close to or below the least significant change for DXA, they are similar in magnitude to those previously reported</w:t>
      </w:r>
      <w:r w:rsidR="00E76151" w:rsidRPr="00024E20">
        <w:rPr>
          <w:rFonts w:ascii="Times New Roman" w:eastAsia="Times New Roman" w:hAnsi="Times New Roman" w:cs="Times New Roman"/>
          <w:color w:val="000000" w:themeColor="text1"/>
          <w:sz w:val="24"/>
          <w:szCs w:val="24"/>
        </w:rPr>
        <w:t xml:space="preserve"> in response to military training using a range of imaging modalities</w:t>
      </w:r>
      <w:r w:rsidR="00A264E4" w:rsidRPr="00024E20">
        <w:rPr>
          <w:rFonts w:ascii="Times New Roman" w:eastAsia="Times New Roman" w:hAnsi="Times New Roman" w:cs="Times New Roman"/>
          <w:color w:val="000000" w:themeColor="text1"/>
          <w:sz w:val="24"/>
          <w:szCs w:val="24"/>
        </w:rPr>
        <w:t xml:space="preserve"> </w:t>
      </w:r>
      <w:r w:rsidR="00A264E4" w:rsidRPr="00024E20">
        <w:rPr>
          <w:rFonts w:ascii="Times New Roman" w:eastAsia="Times New Roman" w:hAnsi="Times New Roman" w:cs="Times New Roman"/>
          <w:color w:val="000000" w:themeColor="text1"/>
          <w:sz w:val="24"/>
          <w:szCs w:val="24"/>
        </w:rPr>
        <w:fldChar w:fldCharType="begin"/>
      </w:r>
      <w:r w:rsidR="006E0E7F" w:rsidRPr="00024E20">
        <w:rPr>
          <w:rFonts w:ascii="Times New Roman" w:eastAsia="Times New Roman" w:hAnsi="Times New Roman" w:cs="Times New Roman"/>
          <w:color w:val="000000" w:themeColor="text1"/>
          <w:sz w:val="24"/>
          <w:szCs w:val="24"/>
        </w:rPr>
        <w:instrText xml:space="preserve"> ADDIN ZOTERO_ITEM CSL_CITATION {"citationID":"ETI5IUd0","properties":{"formattedCitation":"(25, 57\\uc0\\u8211{}59)","plainCitation":"(25, 57–59)","dontUpdate":true,"noteIndex":0},"citationItems":[{"id":6010,"uris":["http://zotero.org/users/6787375/items/GN6QNGYT"],"itemData":{"id":6010,"type":"article-journal","abstract":"Bone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P."}],"issued":{"date-parts":[["2021",7]]}}},{"id":5981,"uris":["http://zotero.org/users/6787375/items/I8R6FYKL"],"itemData":{"id":5981,"type":"article-journal","abstract":"PURPOSE: Short periods of basic military training increase the density and size of the tibia, but the adaptive response of bone microarchitecture, a key component of bone strength, is not fully understood. METHODS: Tibial volumetric bone mineral density (vBMD), geometry, microarchitecture and mechanical properties were measured using high-resolution peripheral quantitative computed tomography in 43 male British Army infantry recruits (mean+/-SD, age 21+/-3years, height 1.76+/-0.06m, body mass 76.5+/-9.4kg). Bilateral scans were performed at the distal tibia at the start (week 1) and end (week 13) of basic military training. Concurrent measures were obtained for whole-body areal bone mineral density (aBMD) using DXA, and markers of bone metabolism (betaCTX, P1NP, PTH, total 25(OH)D and ACa) from venous blood. RESULTS: Training increased areal BMD for total body (1.4%) and arms (5.2%) (P&lt;/=0.031), but not legs and trunk (P&gt;/=0.094). Training increased trabecular (1.3 to 1.9%) and cortical vBMD (0.6 to 0.9%), trabecular volume (1.3 to 1.9%), cortical thickness (3.2 to 5.2%) and cortical area (2.6 to 2.8%), and reduced trabecular area (-0.4 to -0.5%) in both legs (P&lt;0.001). No changes in trabecular number, thickness and separation, cortical porosity, stiffness or failure load were observed (P&gt;/=0.188). betaCTX decreased (-0.11mugl(-1), P&lt;0.001) and total 25(OH)D increased (9.4nmoll(-1), P=0.029), but no differences in P1NP, PTH or ACa were observed between timepoints (P&gt;/=0.233). CONCLUSION: A short period of basic military training increased density and altered geometry of the distal tibia in male military recruits. The osteogenic effects of basic military training are likely due to an increase in unaccustomed, dynamic and high-impact loading.","container-title":"Bone","DOI":"10.1016/j.bone.2019.05.009","ISSN":"1873-2763 (Electronic) 1873-2763 (Linking)","page":"54-60","title":"Skeletal macro- and microstructure adaptations in men undergoing arduous military training","volume":"125","author":[{"family":"O'Leary","given":"T. J."},{"family":"Izard","given":"R. M."},{"family":"Walsh","given":"N. P."},{"family":"Tang","given":"J. C. Y."},{"family":"Fraser","given":"W. D."},{"family":"Greeves","given":"J. P."}],"issued":{"date-parts":[["2019",5,8]]}}},{"id":6006,"uris":["http://zotero.org/users/6787375/items/UE8BA5L6"],"itemData":{"id":6006,"type":"article-journal","abstract":"PURPOSE: This study aimed to investigate the effect of supplementary energy on bone formation and resorption during arduous military training in energy deficit. METHODS: Thirty male soldiers completed an 8-wk military combat course (mean +/- SD, age = 25 +/- 3 yr, height = 1.78 +/- 0.05 m, body mass = 80.9 +/- 7.7 kg). Participants received either the habitual diet (control group, n = 15) or an additional 5.1 MJ.d-1 to eliminate the energy deficit (supplemented group, n = 15). Circulating markers of bone formation and resorption, and reproductive, thyroid, and metabolic status, were measured at baseline and weeks 6 and 8 of training. RESULTS: Bone-specific alkaline phosphatase decreased in controls (-4.4 +/- 1.9 mug.L-1) and increased in the supplemented group (16.0 +/- 6.6 mug.L-1), between baseline and week 8 (P &lt; 0.001). Procollagen type 1 N-terminal propeptide increased between baseline and week 6 for both groups (5.6 +/- 8.1 mug.L-1, P = 0.005). Beta carboxy-terminal cross-linking telopeptide of type 1 collagen decreased between baseline and week 8 for both groups (-0.16 +/- 0.20 mug.L-1, P &lt; 0.001). Prolactin increased from baseline to week 8 for the supplemented group (148 +/- 151 IU.L-1, P = 0.041). The increase in adiponectin from baseline to week 8 was higher in controls (4.3 +/- 1.8 mg.L-1, P &lt; 0.001) than that in the supplemented group (1.4 +/- 1.0 mg.L-1, P &lt; 0.001). Insulin-like growth factor binding protein-3 was lower at week 8 than baseline for controls (-461 +/- 395 ng.mL-1, P &lt; 0.001). CONCLUSION: The increase in bone-specific alkaline phosphatase, a marker of bone formation, with supplementation supports a role of energy in osteoblastic activity; the implications for skeletal adaptation and stress fracture risk are unclear. The mechanism is likely through protecting markers of metabolic, but not reproductive or thyroid, function.","container-title":"Med Sci Sports Exerc","DOI":"10.1249/MSS.0000000000002473","ISSN":"1530-0315 (Electronic) 0195-9131 (Linking)","issue":"2","journalAbbreviation":"Medicine and science in sports and exercise","page":"394-403","title":"Supplementary Energy Increases Bone Formation during Arduous Military Training","volume":"53","author":[{"family":"O'Leary","given":"T. J."},{"family":"Walsh","given":"N. P."},{"family":"Casey","given":"A."},{"family":"Izard","given":"R. M."},{"family":"Tang","given":"J. C. Y."},{"family":"Fraser","given":"W. D."},{"family":"Greeves","given":"J. P."}],"issued":{"date-parts":[["2021",2,1]]}}},{"id":4296,"uris":["http://zotero.org/users/6787375/items/2VJH8VB4"],"itemData":{"id":4296,"type":"article-journal","abstract":"BACKGROUND: U.S. Army Basic Combat Training (BCT) is a physically-demanding program at the start of military service. Whereas animal studies have shown that increased mechanical loading rapidly alters bone structure, there is limited evidence of changes in bone density and structure in humans exposed to a brief period of unaccustomed physical activity. PURPOSE: We aimed to characterize changes in tibial bone density and microarchitecture and serum-based biochemical markers of bone metabolism in female recruits as a result of 8weeks of BCT. METHODS: We collected high-resolution peripheral quantitative computed tomographic images of the distal tibial metaphysis and diaphysis (4% and 30% of tibia length from the distal growth plate, respectively) and serum markers of bone metabolism before and after BCT. Linear mixed models were used to estimate the mean difference for each outcome from pre- to post-BCT, while controlling for race/ethnicity, age, and body mass index. RESULTS: 91 female BCT recruits volunteered and completed this observational study (age=21.5+/-3.3yrs). At the distal tibial metaphysis, cortical thickness, trabecular thickness, trabecular number, bone volume/total volume, and total and trabecular volumetric bone density (vBMD) increased significantly by 1-2% (all p&lt;0.05) over the BCT period, whereas trabecular separation, cortical tissue mineral density (TMD), and cortical vBMD decreased significantly by 0.3-1.0% (all p&lt;0.05). At the tibial diaphysis, cortical vBMD and cortical TMD decreased significantly (both -0.7%, p&lt;0.001). Bone strength, estimated by micro finite element analysis, increased by 2.5% and 0.7% at the distal tibial metaphysis and diaphysis, respectively (both p&lt;0.05). Among the biochemical markers of bone metabolism, sclerostin decreased (-5.7%), whereas bone alkaline phosphatase, C-telopeptide cross-links of type 1 collagen, tartrate-resistance acid phosphatase, and 25(OH)D increased by 10-28% (all p&lt;0.05). CONCLUSION: BCT leads to improvements in trabecular bone microarchitecture and increases in serum bone formation markers indicative of new bone formation, as well as increases in serum bone resorption markers and decreases in cortical vBMD consistent with intracortical remodeling. Together, these results demonstrate specific changes in trabecular and cortical bone density and microarchitecture following 8weeks of unaccustomed physical activity in women.","container-title":"Bone","DOI":"10.1016/j.bone.2018.04.021","ISSN":"1873-2763 (Electronic) 1873-2763 (Linking)","page":"9-16","title":"Changes in tibial bone microarchitecture in female recruits in response to 8weeks of U.S. Army Basic Combat Training","volume":"113","author":[{"family":"Hughes","given":"J. M."},{"family":"Gaffney-Stomberg","given":"E."},{"family":"Guerriere","given":"K. I."},{"family":"Taylor","given":"K. M."},{"family":"Popp","given":"K. L."},{"family":"Xu","given":"C."},{"family":"Unnikrishnan","given":"G."},{"family":"Staab","given":"J. S."},{"family":"Matheny","given":"R. W."},{"family":"McClung","given":"J. P."},{"family":"Reifman","given":"J."},{"family":"Bouxsein","given":"M. L."}],"issued":{"date-parts":[["2018",8]]}}}],"schema":"https://github.com/citation-style-language/schema/raw/master/csl-citation.json"} </w:instrText>
      </w:r>
      <w:r w:rsidR="00A264E4" w:rsidRPr="00024E20">
        <w:rPr>
          <w:rFonts w:ascii="Times New Roman" w:eastAsia="Times New Roman" w:hAnsi="Times New Roman" w:cs="Times New Roman"/>
          <w:color w:val="000000" w:themeColor="text1"/>
          <w:sz w:val="24"/>
          <w:szCs w:val="24"/>
        </w:rPr>
        <w:fldChar w:fldCharType="separate"/>
      </w:r>
      <w:r w:rsidR="008C6A23" w:rsidRPr="00024E20">
        <w:rPr>
          <w:rFonts w:ascii="Times New Roman" w:hAnsi="Times New Roman" w:cs="Times New Roman"/>
          <w:color w:val="000000" w:themeColor="text1"/>
          <w:sz w:val="24"/>
        </w:rPr>
        <w:t xml:space="preserve"> </w:t>
      </w:r>
      <w:r w:rsidR="00A264E4" w:rsidRPr="00024E20">
        <w:rPr>
          <w:rFonts w:ascii="Times New Roman" w:eastAsia="Times New Roman" w:hAnsi="Times New Roman" w:cs="Times New Roman"/>
          <w:color w:val="000000" w:themeColor="text1"/>
          <w:sz w:val="24"/>
          <w:szCs w:val="24"/>
        </w:rPr>
        <w:fldChar w:fldCharType="end"/>
      </w:r>
      <w:r w:rsidR="00A264E4" w:rsidRPr="00024E20">
        <w:rPr>
          <w:rFonts w:ascii="Times New Roman" w:eastAsia="Times New Roman" w:hAnsi="Times New Roman" w:cs="Times New Roman"/>
          <w:color w:val="000000" w:themeColor="text1"/>
          <w:sz w:val="24"/>
          <w:szCs w:val="24"/>
        </w:rPr>
        <w:t xml:space="preserve"> a</w:t>
      </w:r>
      <w:r w:rsidR="00E76151" w:rsidRPr="00024E20">
        <w:rPr>
          <w:rFonts w:ascii="Times New Roman" w:eastAsia="Times New Roman" w:hAnsi="Times New Roman" w:cs="Times New Roman"/>
          <w:color w:val="000000" w:themeColor="text1"/>
          <w:sz w:val="24"/>
          <w:szCs w:val="24"/>
        </w:rPr>
        <w:t>n</w:t>
      </w:r>
      <w:r w:rsidR="00A264E4" w:rsidRPr="00024E20">
        <w:rPr>
          <w:rFonts w:ascii="Times New Roman" w:eastAsia="Times New Roman" w:hAnsi="Times New Roman" w:cs="Times New Roman"/>
          <w:color w:val="000000" w:themeColor="text1"/>
          <w:sz w:val="24"/>
          <w:szCs w:val="24"/>
        </w:rPr>
        <w:t xml:space="preserve">d could be clinically important for improving resistance to stress fractures </w:t>
      </w:r>
      <w:r w:rsidR="00A264E4" w:rsidRPr="00024E20">
        <w:rPr>
          <w:rFonts w:ascii="Times New Roman" w:eastAsia="Times New Roman" w:hAnsi="Times New Roman" w:cs="Times New Roman"/>
          <w:color w:val="000000" w:themeColor="text1"/>
          <w:sz w:val="24"/>
          <w:szCs w:val="24"/>
        </w:rPr>
        <w:fldChar w:fldCharType="begin"/>
      </w:r>
      <w:r w:rsidR="008C6A23" w:rsidRPr="00024E20">
        <w:rPr>
          <w:rFonts w:ascii="Times New Roman" w:eastAsia="Times New Roman" w:hAnsi="Times New Roman" w:cs="Times New Roman"/>
          <w:color w:val="000000" w:themeColor="text1"/>
          <w:sz w:val="24"/>
          <w:szCs w:val="24"/>
        </w:rPr>
        <w:instrText xml:space="preserve"> ADDIN ZOTERO_ITEM CSL_CITATION {"citationID":"RS7sWBIC","properties":{"formattedCitation":"(32)","plainCitation":"(32)","noteIndex":0},"citationItems":[{"id":4300,"uris":["http://zotero.org/users/6787375/items/55KF6J9V"],"itemData":{"id":4300,"type":"article-journal","abstract":"Mechanical loading leads to adaptive bone formation - the formation of new bone on existing skeletal surfaces - which increases bone strength and fatigue resistance. The same mechanical loading can also cause microdamage to bone and development of a stress fracture through targeted remodelling. Stress fractures are common in military recruits and cause significant morbidity, lost training time, and discharge from military service. This narrative review proposes strategies to promote adaptive bone formation as a novel approach to mitigate the risk of stress fracture injuries during arduous military training. Exercise that is unaccustomed, dynamic, high-impact, multidirectional, intermittent, and includes extended rest periods to restore bone mechanosensitivity, is most osteogenic. New bone formation can take up to one year to mineralize, and so new exercise training programmes should be initiated well in advance of military activities with high risk of stress fracture. Bone mechanosensitivity is highest in adolescence, before puberty, and so increasing physical activity in youth is likely to protect skeletal health in later life, including for those in the military. Recent data show that adaptive bone formation takes place during initial military training. Adaptive bone formation can also be supported with adequate sleep, vitamin D, calcium, and energy availability. Further evidence on how strategies to promote adaptive bone formation affect stress fracture risk are required. Adaptive bone formation can be optimized with a range of training and nutritional strategies to help create a resilient skeleton, which may protect against stress fracture throughout military service.","container-title":"Eur J Sport Sci","DOI":"10.1080/17461391.2021.1949637","ISSN":"1536-7290 (Electronic) 1536-7290 (Linking)","journalAbbreviation":"European journal of sport science","page":"1-12","title":"Promoting adaptive bone formation to prevent stress fractures in military personnel","author":[{"family":"Hughes","given":"J. M."},{"family":"O'Leary","given":"T. J."},{"family":"Koltun","given":"K. J."},{"family":"Greeves","given":"J. P."}],"issued":{"date-parts":[["2021",7,16]]}}}],"schema":"https://github.com/citation-style-language/schema/raw/master/csl-citation.json"} </w:instrText>
      </w:r>
      <w:r w:rsidR="00A264E4" w:rsidRPr="00024E20">
        <w:rPr>
          <w:rFonts w:ascii="Times New Roman" w:eastAsia="Times New Roman" w:hAnsi="Times New Roman" w:cs="Times New Roman"/>
          <w:color w:val="000000" w:themeColor="text1"/>
          <w:sz w:val="24"/>
          <w:szCs w:val="24"/>
        </w:rPr>
        <w:fldChar w:fldCharType="separate"/>
      </w:r>
      <w:r w:rsidR="008C6A23" w:rsidRPr="00024E20">
        <w:rPr>
          <w:rFonts w:ascii="Times New Roman" w:eastAsia="Times New Roman" w:hAnsi="Times New Roman" w:cs="Times New Roman"/>
          <w:noProof/>
          <w:color w:val="000000" w:themeColor="text1"/>
          <w:sz w:val="24"/>
          <w:szCs w:val="24"/>
        </w:rPr>
        <w:t>(32)</w:t>
      </w:r>
      <w:r w:rsidR="00A264E4" w:rsidRPr="00024E20">
        <w:rPr>
          <w:rFonts w:ascii="Times New Roman" w:eastAsia="Times New Roman" w:hAnsi="Times New Roman" w:cs="Times New Roman"/>
          <w:color w:val="000000" w:themeColor="text1"/>
          <w:sz w:val="24"/>
          <w:szCs w:val="24"/>
        </w:rPr>
        <w:fldChar w:fldCharType="end"/>
      </w:r>
      <w:r w:rsidR="00A264E4"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An increase in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is consistent with training-induced adaptive bone formation by increased </w:t>
      </w:r>
      <w:proofErr w:type="spellStart"/>
      <w:r w:rsidRPr="00024E20">
        <w:rPr>
          <w:rFonts w:ascii="Times New Roman" w:eastAsia="Times New Roman" w:hAnsi="Times New Roman" w:cs="Times New Roman"/>
          <w:color w:val="000000" w:themeColor="text1"/>
          <w:sz w:val="24"/>
          <w:szCs w:val="24"/>
        </w:rPr>
        <w:t>remodeling</w:t>
      </w:r>
      <w:proofErr w:type="spellEnd"/>
      <w:r w:rsidRPr="00024E20">
        <w:rPr>
          <w:rFonts w:ascii="Times New Roman" w:eastAsia="Times New Roman" w:hAnsi="Times New Roman" w:cs="Times New Roman"/>
          <w:color w:val="000000" w:themeColor="text1"/>
          <w:sz w:val="24"/>
          <w:szCs w:val="24"/>
        </w:rPr>
        <w:t xml:space="preserve"> / </w:t>
      </w:r>
      <w:proofErr w:type="spellStart"/>
      <w:r w:rsidRPr="00024E20">
        <w:rPr>
          <w:rFonts w:ascii="Times New Roman" w:eastAsia="Times New Roman" w:hAnsi="Times New Roman" w:cs="Times New Roman"/>
          <w:color w:val="000000" w:themeColor="text1"/>
          <w:sz w:val="24"/>
          <w:szCs w:val="24"/>
        </w:rPr>
        <w:t>modeling</w:t>
      </w:r>
      <w:proofErr w:type="spellEnd"/>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{"citationID":"5Ol96cVY","properties":{"formattedCitation":"(57)","plainCitation":"(57)","noteIndex":0},"citationItems":[{"id":5981,"uris":["http://zotero.org/users/6787375/items/I8R6FYKL"],"itemData":{"id":5981,"type":"article-journal","abstract":"PURPOSE: Short periods of basic military training increase the density and size of the tibia, but the adaptive response of bone microarchitecture, a key component of bone strength, is not fully understood. METHODS: Tibial volumetric bone mineral density (vBMD), geometry, microarchitecture and mechanical properties were measured using high-resolution peripheral quantitative computed tomography in 43 male British Army infantry recruits (mean+/-SD, age 21+/-3years, height 1.76+/-0.06m, body mass 76.5+/-9.4kg). Bilateral scans were performed at the distal tibia at the start (week 1) and end (week 13) of basic military training. Concurrent measures were obtained for whole-body areal bone mineral density (aBMD) using DXA, and markers of bone metabolism (betaCTX, P1NP, PTH, total 25(OH)D and ACa) from venous blood. RESULTS: Training increased areal BMD for total body (1.4%) and arms (5.2%) (P&lt;/=0.031), but not legs and trunk (P&gt;/=0.094). Training increased trabecular (1.3 to 1.9%) and cortical vBMD (0.6 to 0.9%), trabecular volume (1.3 to 1.9%), cortical thickness (3.2 to 5.2%) and cortical area (2.6 to 2.8%), and reduced trabecular area (-0.4 to -0.5%) in both legs (P&lt;0.001). No changes in trabecular number, thickness and separation, cortical porosity, stiffness or failure load were observed (P&gt;/=0.188). betaCTX decreased (-0.11mugl(-1), P&lt;0.001) and total 25(OH)D increased (9.4nmoll(-1), P=0.029), but no differences in P1NP, PTH or ACa were observed between timepoints (P&gt;/=0.233). CONCLUSION: A short period of basic military training increased density and altered geometry of the distal tibia in male military recruits. The osteogenic effects of basic military training are likely due to an increase in unaccustomed, dynamic and high-impact loading.","container-title":"Bone","DOI":"10.1016/j.bone.2019.05.009","ISSN":"1873-2763 (Electronic) 1873-2763 (Linking)","page":"54-60","title":"Skeletal macro- and microstructure adaptations in men undergoing arduous military training","volume":"125","author":[{"family":"O'Leary","given":"T. J."},{"family":"Izard","given":"R. M."},{"family":"Walsh","given":"N. P."},{"family":"Tang","given":"J. C. Y."},{"family":"Fraser","given":"W. D."},{"family":"Greeves","given":"J. P."}],"issued":{"date-parts":[["2019",5,8]]}}}],"schema":"https://github.com/citation-style-language/schema/raw/master/csl-citation.json"}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(57)</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We have previously observed inhibited adaptation of trabecular bone in the distal tibia in response to military training in COCP and / or POC users</w:t>
      </w:r>
      <w:r w:rsidR="007F7D23" w:rsidRPr="00024E20">
        <w:rPr>
          <w:rFonts w:ascii="Times New Roman" w:eastAsia="Times New Roman" w:hAnsi="Times New Roman" w:cs="Times New Roman"/>
          <w:color w:val="000000" w:themeColor="text1"/>
          <w:sz w:val="24"/>
          <w:szCs w:val="24"/>
        </w:rPr>
        <w:t xml:space="preserve"> compared with non-users</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7F7D23" w:rsidRPr="00024E20">
        <w:rPr>
          <w:rFonts w:ascii="Times New Roman" w:eastAsia="Times New Roman" w:hAnsi="Times New Roman" w:cs="Times New Roman"/>
          <w:color w:val="000000" w:themeColor="text1"/>
          <w:sz w:val="24"/>
          <w:szCs w:val="24"/>
        </w:rPr>
        <w:instrText xml:space="preserve"> ADDIN ZOTERO_ITEM CSL_CITATION {"citationID":"U2CyOIza","properties":{"formattedCitation":"(23, 31)","plainCitation":"(23, 31)","noteIndex":0},"citationItems":[{"id":6010,"uris":["http://zotero.org/users/6787375/items/GN6QNGYT"],"itemData":{"id":6010,"type":"article-journal","abstract":"Bone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7F7D23" w:rsidRPr="00024E20">
        <w:rPr>
          <w:rFonts w:ascii="Times New Roman" w:eastAsia="Times New Roman" w:hAnsi="Times New Roman" w:cs="Times New Roman"/>
          <w:noProof/>
          <w:color w:val="000000" w:themeColor="text1"/>
          <w:sz w:val="24"/>
          <w:szCs w:val="24"/>
        </w:rPr>
        <w:t>(23, 31)</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 consistent with the effects of low oestradiol on increasing remodelling of </w:t>
      </w:r>
      <w:r w:rsidRPr="00024E20">
        <w:rPr>
          <w:rFonts w:ascii="Times New Roman" w:eastAsia="Times New Roman" w:hAnsi="Times New Roman" w:cs="Times New Roman"/>
          <w:color w:val="000000" w:themeColor="text1"/>
          <w:sz w:val="24"/>
          <w:szCs w:val="24"/>
        </w:rPr>
        <w:lastRenderedPageBreak/>
        <w:t xml:space="preserve">trabecular bone </w:t>
      </w:r>
      <w:r w:rsidRPr="00024E20">
        <w:rPr>
          <w:rFonts w:ascii="Times New Roman" w:eastAsia="Times New Roman" w:hAnsi="Times New Roman" w:cs="Times New Roman"/>
          <w:color w:val="000000" w:themeColor="text1"/>
          <w:sz w:val="24"/>
          <w:szCs w:val="24"/>
        </w:rPr>
        <w:fldChar w:fldCharType="begin"/>
      </w:r>
      <w:r w:rsidR="00C6028D" w:rsidRPr="00024E20">
        <w:rPr>
          <w:rFonts w:ascii="Times New Roman" w:eastAsia="Times New Roman" w:hAnsi="Times New Roman" w:cs="Times New Roman"/>
          <w:color w:val="000000" w:themeColor="text1"/>
          <w:sz w:val="24"/>
          <w:szCs w:val="24"/>
        </w:rPr>
        <w:instrText xml:space="preserve"> ADDIN ZOTERO_ITEM CSL_CITATION {"citationID":"MLP61fBJ","properties":{"formattedCitation":"(6)","plainCitation":"(6)","noteIndex":0},"citationItems":[{"id":2953,"uris":["http://zotero.org/users/6787375/items/5K9BPSGL"],"itemData":{"id":2953,"type":"article-journal","abstract":"Sex steroids are essential for skeletal development and the maintenance of bone health throughout adult life, and estrogen deficiency at menopause is a major pathogenetic factor in the development of osteoporosis in postmenopausal women. The mechanisms by which the skeletal effects of sex steroids are mediated remain incompletely understood, but in recent years there have been considerable advances in our knowledge of how estrogens and, to a lesser extent androgens, influence bone modeling and remodeling in health and disease. New insights into estrogen receptor structure and function, recent discoveries about the development and activity of osteoclasts, and lessons learned from human and animal genetic mutations have all contributed to increased understanding of the skeletal effects of estrogen, both in males and females. Studies of untreated and treated osteoporosis in postmenopausal women have also contributed to this knowledge and have provided unequivocal evidence for the potential of high-dose estrogen therapy to have anabolic skeletal effects. The development of selective estrogen receptor modulators has provided a new approach to the prevention of osteoporosis and other major diseases of menopause and has implications for the therapeutic use of other steroid hormones, including androgens. Further elucidation of the mechanisms by which sex steroids affect bone thus has the potential to improve the clinical management not only of osteoporosis, both in men and women, but also of a number of other diseases related to sex hormone status.","container-title":"Physiol Rev","DOI":"10.1152/physrev.2001.81.1.419","ISSN":"0031-9333 (Print) 0031-9333 (Linking)","issue":"1","journalAbbreviation":"Physiological reviews","page":"419-447","title":"Sex steroids and bone","volume":"81","author":[{"family":"Compston","given":"J. E."}],"issued":{"date-parts":[["2001",1]]}}}],"schema":"https://github.com/citation-style-language/schema/raw/master/csl-citation.json"}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(6)</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 but it is likely we lacked sensitivity with DXA to detect differences between hormonal contraceptive groups in adaptation to </w:t>
      </w:r>
      <w:r w:rsidR="0045234D" w:rsidRPr="00024E20">
        <w:rPr>
          <w:rFonts w:ascii="Times New Roman" w:eastAsia="Times New Roman" w:hAnsi="Times New Roman" w:cs="Times New Roman"/>
          <w:color w:val="000000" w:themeColor="text1"/>
          <w:sz w:val="24"/>
          <w:szCs w:val="24"/>
        </w:rPr>
        <w:t>training</w:t>
      </w:r>
      <w:r w:rsidRPr="00024E20">
        <w:rPr>
          <w:rFonts w:ascii="Times New Roman" w:eastAsia="Times New Roman" w:hAnsi="Times New Roman" w:cs="Times New Roman"/>
          <w:color w:val="000000" w:themeColor="text1"/>
          <w:sz w:val="24"/>
          <w:szCs w:val="24"/>
        </w:rPr>
        <w:t xml:space="preserve">. </w:t>
      </w:r>
    </w:p>
    <w:p w14:paraId="23B4AA2F" w14:textId="77777777" w:rsidR="004F157B" w:rsidRPr="00024E20" w:rsidRDefault="004F157B" w:rsidP="00430357">
      <w:pPr>
        <w:spacing w:after="0" w:line="480" w:lineRule="auto"/>
        <w:jc w:val="both"/>
        <w:rPr>
          <w:rFonts w:ascii="Times New Roman" w:eastAsia="Times New Roman" w:hAnsi="Times New Roman" w:cs="Times New Roman"/>
          <w:color w:val="000000" w:themeColor="text1"/>
          <w:sz w:val="24"/>
          <w:szCs w:val="24"/>
        </w:rPr>
      </w:pPr>
    </w:p>
    <w:p w14:paraId="6F201C38" w14:textId="37D9D654" w:rsidR="00430357" w:rsidRPr="00024E20" w:rsidRDefault="00430357" w:rsidP="00430357">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Whole-body, trunk, and legs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were lower in POC users than non-users and</w:t>
      </w:r>
      <w:r w:rsidR="00D16C44" w:rsidRPr="00024E20">
        <w:rPr>
          <w:rFonts w:ascii="Times New Roman" w:eastAsia="Times New Roman" w:hAnsi="Times New Roman" w:cs="Times New Roman"/>
          <w:color w:val="000000" w:themeColor="text1"/>
          <w:sz w:val="24"/>
          <w:szCs w:val="24"/>
        </w:rPr>
        <w:t xml:space="preserve"> / or</w:t>
      </w:r>
      <w:r w:rsidRPr="00024E20">
        <w:rPr>
          <w:rFonts w:ascii="Times New Roman" w:eastAsia="Times New Roman" w:hAnsi="Times New Roman" w:cs="Times New Roman"/>
          <w:color w:val="000000" w:themeColor="text1"/>
          <w:sz w:val="24"/>
          <w:szCs w:val="24"/>
        </w:rPr>
        <w:t xml:space="preserve"> COCP users</w:t>
      </w:r>
      <w:r w:rsidR="000966CA" w:rsidRPr="00024E20">
        <w:rPr>
          <w:rFonts w:ascii="Times New Roman" w:eastAsia="Times New Roman" w:hAnsi="Times New Roman" w:cs="Times New Roman"/>
          <w:color w:val="000000" w:themeColor="text1"/>
          <w:sz w:val="24"/>
          <w:szCs w:val="24"/>
        </w:rPr>
        <w:t xml:space="preserve"> at both time-points</w:t>
      </w:r>
      <w:r w:rsidRPr="00024E20">
        <w:rPr>
          <w:rFonts w:ascii="Times New Roman" w:eastAsia="Times New Roman" w:hAnsi="Times New Roman" w:cs="Times New Roman"/>
          <w:color w:val="000000" w:themeColor="text1"/>
          <w:sz w:val="24"/>
          <w:szCs w:val="24"/>
        </w:rPr>
        <w:t xml:space="preserve">. These data are consistent with </w:t>
      </w:r>
      <w:r w:rsidR="007F7D23" w:rsidRPr="00024E20">
        <w:rPr>
          <w:rFonts w:ascii="Times New Roman" w:eastAsia="Times New Roman" w:hAnsi="Times New Roman" w:cs="Times New Roman"/>
          <w:color w:val="000000" w:themeColor="text1"/>
          <w:sz w:val="24"/>
          <w:szCs w:val="24"/>
        </w:rPr>
        <w:t>the lower t</w:t>
      </w:r>
      <w:r w:rsidR="009F0B62" w:rsidRPr="00024E20">
        <w:rPr>
          <w:rFonts w:ascii="Times New Roman" w:eastAsia="Times New Roman" w:hAnsi="Times New Roman" w:cs="Times New Roman"/>
          <w:color w:val="000000" w:themeColor="text1"/>
          <w:sz w:val="24"/>
          <w:szCs w:val="24"/>
        </w:rPr>
        <w:t>ibial speed of sound</w:t>
      </w:r>
      <w:r w:rsidR="007F7D23" w:rsidRPr="00024E20">
        <w:rPr>
          <w:rFonts w:ascii="Times New Roman" w:eastAsia="Times New Roman" w:hAnsi="Times New Roman" w:cs="Times New Roman"/>
          <w:color w:val="000000" w:themeColor="text1"/>
          <w:sz w:val="24"/>
          <w:szCs w:val="24"/>
        </w:rPr>
        <w:t xml:space="preserve"> in DMPA users than non-users in military recruits</w:t>
      </w:r>
      <w:r w:rsidR="009F0B62" w:rsidRPr="00024E20">
        <w:rPr>
          <w:rFonts w:ascii="Times New Roman" w:eastAsia="Times New Roman" w:hAnsi="Times New Roman" w:cs="Times New Roman"/>
          <w:color w:val="000000" w:themeColor="text1"/>
          <w:sz w:val="24"/>
          <w:szCs w:val="24"/>
        </w:rPr>
        <w:t xml:space="preserve"> </w:t>
      </w:r>
      <w:r w:rsidR="009F0B62" w:rsidRPr="00024E20">
        <w:rPr>
          <w:rFonts w:ascii="Times New Roman" w:eastAsia="Times New Roman" w:hAnsi="Times New Roman" w:cs="Times New Roman"/>
          <w:color w:val="000000" w:themeColor="text1"/>
          <w:sz w:val="24"/>
          <w:szCs w:val="24"/>
        </w:rPr>
        <w:fldChar w:fldCharType="begin"/>
      </w:r>
      <w:r w:rsidR="007F7D23" w:rsidRPr="00024E20">
        <w:rPr>
          <w:rFonts w:ascii="Times New Roman" w:eastAsia="Times New Roman" w:hAnsi="Times New Roman" w:cs="Times New Roman"/>
          <w:color w:val="000000" w:themeColor="text1"/>
          <w:sz w:val="24"/>
          <w:szCs w:val="24"/>
        </w:rPr>
        <w:instrText xml:space="preserve"> ADDIN ZOTERO_ITEM CSL_CITATION {"citationID":"CA4Ws9XW","properties":{"formattedCitation":"(27)","plainCitation":"(27)","noteIndex":0},"citationItems":[{"id":2985,"uris":["http://zotero.org/users/6787375/items/WG94CAXC"],"itemData":{"id":2985,"type":"article-journal","abstract":"INTRODUCTION: Hormonal contraceptive use might impair bone health and increase the risk of stress fracture by decreasing endogenous oestrogen production, a central regulator of bone metabolism. This cross-sectional study investigated bone density and biochemical markers of bone metabolism in women taking hormonal contraceptives on entry to basic military training. METHODS: Forty-five female British Army recruits had biochemical markers of bone metabolism, areal bone mineral density (aBMD) and tibial speed of sound (tSOS) measured at the start of basic military training. Participants were compared by their method of hormonal contraception: no hormonal contraception (NONE), combined contraceptive pill (CP) or depot-medroxyprogesterone acetate (DMPA) (20+/-2.8 years, 1.64+/-0.63 m, 61.7+/-6.2 kg). RESULTS: aBMD was not different between groups (p&gt;/=0.204), but tSOS was higher in NONE (3%, p=0.014) when compared with DMPA users. Beta C-terminal telopeptide was higher in NONE (45%, p=0.037) and DMPA users (90%, p=0.003) compared with CP users. Procollagen type 1 N-terminal propeptide was higher in DMPA users compared with NONE (43%, p=0.045) and CP users (127%, p=0.001), and higher in NONE compared with CP users (59%, p=0.014). Bone alkaline phosphatase was higher in DMPA users compared with CP users (56%, p=0.044). CONCLUSIONS: DMPA use was associated with increased bone turnover and decreased cortical bone integrity of the tibia. Lower cortical bone integrity in DMPA users was possibly mediated by increased intracortical remodelling, but trabecular bone was not affected by contraceptive use.","container-title":"BMJ Mil Health","DOI":"10.1136/bmjmilitary-2020-001745","ISSN":"2633-3775 (Electronic) 2633-3767 (Linking)","title":"Hormonal contraceptive use, bone density and biochemical markers of bone metabolism in British Army recruits","author":[{"family":"Coombs","given":"C. V."},{"family":"O'Leary","given":"T. J."},{"family":"Tang","given":"J. C. Y."},{"family":"Fraser","given":"W. D."},{"family":"Greeves","given":"J. P."}],"issued":{"date-parts":[["2021",3,15]]}}}],"schema":"https://github.com/citation-style-language/schema/raw/master/csl-citation.json"} </w:instrText>
      </w:r>
      <w:r w:rsidR="009F0B62" w:rsidRPr="00024E20">
        <w:rPr>
          <w:rFonts w:ascii="Times New Roman" w:eastAsia="Times New Roman" w:hAnsi="Times New Roman" w:cs="Times New Roman"/>
          <w:color w:val="000000" w:themeColor="text1"/>
          <w:sz w:val="24"/>
          <w:szCs w:val="24"/>
        </w:rPr>
        <w:fldChar w:fldCharType="separate"/>
      </w:r>
      <w:r w:rsidR="007F7D23" w:rsidRPr="00024E20">
        <w:rPr>
          <w:rFonts w:ascii="Times New Roman" w:eastAsia="Times New Roman" w:hAnsi="Times New Roman" w:cs="Times New Roman"/>
          <w:noProof/>
          <w:color w:val="000000" w:themeColor="text1"/>
          <w:sz w:val="24"/>
          <w:szCs w:val="24"/>
        </w:rPr>
        <w:t>(27)</w:t>
      </w:r>
      <w:r w:rsidR="009F0B62" w:rsidRPr="00024E20">
        <w:rPr>
          <w:rFonts w:ascii="Times New Roman" w:eastAsia="Times New Roman" w:hAnsi="Times New Roman" w:cs="Times New Roman"/>
          <w:color w:val="000000" w:themeColor="text1"/>
          <w:sz w:val="24"/>
          <w:szCs w:val="24"/>
        </w:rPr>
        <w:fldChar w:fldCharType="end"/>
      </w:r>
      <w:r w:rsidR="006F071E" w:rsidRPr="00024E20">
        <w:rPr>
          <w:rFonts w:ascii="Times New Roman" w:eastAsia="Times New Roman" w:hAnsi="Times New Roman" w:cs="Times New Roman"/>
          <w:color w:val="000000" w:themeColor="text1"/>
          <w:sz w:val="24"/>
          <w:szCs w:val="24"/>
        </w:rPr>
        <w:t xml:space="preserve"> </w:t>
      </w:r>
      <w:r w:rsidR="009F0B62" w:rsidRPr="00024E20">
        <w:rPr>
          <w:rFonts w:ascii="Times New Roman" w:eastAsia="Times New Roman" w:hAnsi="Times New Roman" w:cs="Times New Roman"/>
          <w:color w:val="000000" w:themeColor="text1"/>
          <w:sz w:val="24"/>
          <w:szCs w:val="24"/>
        </w:rPr>
        <w:t xml:space="preserve">and </w:t>
      </w:r>
      <w:r w:rsidR="007F7D23" w:rsidRPr="00024E20">
        <w:rPr>
          <w:rFonts w:ascii="Times New Roman" w:eastAsia="Times New Roman" w:hAnsi="Times New Roman" w:cs="Times New Roman"/>
          <w:color w:val="000000" w:themeColor="text1"/>
          <w:sz w:val="24"/>
          <w:szCs w:val="24"/>
        </w:rPr>
        <w:t>longitudinal studies showing decreased</w:t>
      </w:r>
      <w:r w:rsidR="00601872" w:rsidRPr="00024E20">
        <w:rPr>
          <w:rFonts w:ascii="Times New Roman" w:eastAsia="Times New Roman" w:hAnsi="Times New Roman" w:cs="Times New Roman"/>
          <w:color w:val="000000" w:themeColor="text1"/>
          <w:sz w:val="24"/>
          <w:szCs w:val="24"/>
        </w:rPr>
        <w:t xml:space="preserve"> </w:t>
      </w:r>
      <w:proofErr w:type="spellStart"/>
      <w:r w:rsidRPr="00024E20">
        <w:rPr>
          <w:rFonts w:ascii="Times New Roman" w:eastAsia="Times New Roman" w:hAnsi="Times New Roman" w:cs="Times New Roman"/>
          <w:color w:val="000000" w:themeColor="text1"/>
          <w:sz w:val="24"/>
          <w:szCs w:val="24"/>
        </w:rPr>
        <w:t>aBMD</w:t>
      </w:r>
      <w:proofErr w:type="spellEnd"/>
      <w:r w:rsidR="009F0B62" w:rsidRPr="00024E20">
        <w:rPr>
          <w:rFonts w:ascii="Times New Roman" w:eastAsia="Times New Roman" w:hAnsi="Times New Roman" w:cs="Times New Roman"/>
          <w:color w:val="000000" w:themeColor="text1"/>
          <w:sz w:val="24"/>
          <w:szCs w:val="24"/>
        </w:rPr>
        <w:t xml:space="preserve"> </w:t>
      </w:r>
      <w:r w:rsidR="007F7D23" w:rsidRPr="00024E20">
        <w:rPr>
          <w:rFonts w:ascii="Times New Roman" w:eastAsia="Times New Roman" w:hAnsi="Times New Roman" w:cs="Times New Roman"/>
          <w:color w:val="000000" w:themeColor="text1"/>
          <w:sz w:val="24"/>
          <w:szCs w:val="24"/>
        </w:rPr>
        <w:t xml:space="preserve">with DMPA use </w:t>
      </w:r>
      <w:r w:rsidR="009F0B62" w:rsidRPr="00024E20">
        <w:rPr>
          <w:rFonts w:ascii="Times New Roman" w:eastAsia="Times New Roman" w:hAnsi="Times New Roman" w:cs="Times New Roman"/>
          <w:color w:val="000000" w:themeColor="text1"/>
          <w:sz w:val="24"/>
          <w:szCs w:val="24"/>
        </w:rPr>
        <w:fldChar w:fldCharType="begin"/>
      </w:r>
      <w:r w:rsidR="007F7D23" w:rsidRPr="00024E20">
        <w:rPr>
          <w:rFonts w:ascii="Times New Roman" w:eastAsia="Times New Roman" w:hAnsi="Times New Roman" w:cs="Times New Roman"/>
          <w:color w:val="000000" w:themeColor="text1"/>
          <w:sz w:val="24"/>
          <w:szCs w:val="24"/>
        </w:rPr>
        <w:instrText xml:space="preserve"> ADDIN ZOTERO_ITEM CSL_CITATION {"citationID":"JVzycjlO","properties":{"formattedCitation":"(4, 29, 30)","plainCitation":"(4, 29, 30)","noteIndex":0},"citationItems":[{"id":4006,"uris":["http://zotero.org/users/6787375/items/TZDSUJP9"],"itemData":{"id":4006,"type":"article-journal","abstract":"Estrogens and progestogens influence the bone. The major physiological effect of estrogen is the inhibition of bone resorption whereas progestogens exert activity through binding to specific progesterone receptors. New estrogen-free contraceptive and its possible implication on bone turnover are discussed in this review. Insufficient bone acquisition during development and/or accelerated bone loss after attainment of peak bone mass (PBM) are 2 processes that may predispose to fragility fractures in later life. The relative importance of bone acquisition during growth versus bone loss during adulthood for fracture risk has been explored by examining the variability of areal bone mineral density (BMD) (aBMD) values in relation to age. Bone mass acquired at the end of the growth period appears to be more important than bone loss occurring during adult life. The major physiological effect of estrogen is the inhibition of bone resorption. When estrogen transcription possesses binds to the receptors, various genes are activated, and a variety modified. Interleukin 6 (IL-6) stimulates bone resorption, and estrogen blocks osteoblast synthesis of IL-6. Estrogen may also antagonize the IL-6 receptors. Additionally, estrogen inhibits bone resorption by inducing small but cumulative changes in multiple estrogen-dependent regulatory factors including TNF-alpha and the OPG/RANKL/RANK system. Review on existing data including information about new estrogen-free contraceptives. All progestins exert activity through binding to specific progesterone receptors; hereby, three different groups of progestins exist: pregnanes, gonanes, and estranges. Progestins also comprise specific glucocorticoid, androgen, or mineralocorticoid receptor interactions. Anabolic action of a progestogen may be affected via androgenic, anti-androgenic, or synadrogenic activity. The C 19 nortestosterone class of progestogens is known to bind with more affinity to androgen receptors than the C21 progestins. This article reviews the effect of estrogens and progestogens on bone and presents new data of the currently approved drospirenone-only pill. The use of progestin-only contraceptives leading to an estradiol level between 30 and 50 pg/ml does not seem to lead to an accelerate bone loss.","container-title":"Osteoporos Int","DOI":"10.1007/s00198-019-05103-6","ISSN":"1433-2965 (Electronic) 0937-941X (Linking)","issue":"12","page":"2391-2400","title":"Bone health in estrogen-free contraception","volume":"30","author":[{"family":"Hadji","given":"P."},{"family":"Colli","given":"E."},{"family":"Regidor","given":"P. A."}],"issued":{"date-parts":[["2019",12]]}}},{"id":8188,"uris":["http://zotero.org/users/6787375/items/72FDJVTR"],"itemData":{"id":8188,"type":"article-journal","container-title":"Contraception","DOI":"10.1016/j.contraception.2005.12.010","ISSN":"00107824","issue":"5","journalAbbreviation":"Contraception","language":"en","license":"https://www.elsevier.com/tdm/userlicense/1.0/","page":"470-487","source":"DOI.org (Crossref)","title":"Progestogen-only contraception and bone mineral density: a systematic review","title-short":"Progestogen-only contraception and bone mineral density","volume":"73","author":[{"family":"Curtis","given":"Kathryn M."},{"family":"Martins","given":"Summer L."}],"issued":{"date-parts":[["2006",5]]}}},{"id":4160,"uris":["http://zotero.org/users/6787375/items/HDA88NBH"],"itemData":{"id":4160,"type":"article-journal","abstract":"Sex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009F0B62" w:rsidRPr="00024E20">
        <w:rPr>
          <w:rFonts w:ascii="Times New Roman" w:eastAsia="Times New Roman" w:hAnsi="Times New Roman" w:cs="Times New Roman"/>
          <w:color w:val="000000" w:themeColor="text1"/>
          <w:sz w:val="24"/>
          <w:szCs w:val="24"/>
        </w:rPr>
        <w:fldChar w:fldCharType="separate"/>
      </w:r>
      <w:r w:rsidR="007F7D23" w:rsidRPr="00024E20">
        <w:rPr>
          <w:rFonts w:ascii="Times New Roman" w:hAnsi="Times New Roman" w:cs="Times New Roman"/>
          <w:color w:val="000000" w:themeColor="text1"/>
          <w:sz w:val="24"/>
        </w:rPr>
        <w:t>(4, 29, 30)</w:t>
      </w:r>
      <w:r w:rsidR="009F0B62" w:rsidRPr="00024E20">
        <w:rPr>
          <w:rFonts w:ascii="Times New Roman" w:eastAsia="Times New Roman" w:hAnsi="Times New Roman" w:cs="Times New Roman"/>
          <w:color w:val="000000" w:themeColor="text1"/>
          <w:sz w:val="24"/>
          <w:szCs w:val="24"/>
        </w:rPr>
        <w:fldChar w:fldCharType="end"/>
      </w:r>
      <w:r w:rsidR="00084C77" w:rsidRPr="00024E20">
        <w:rPr>
          <w:rFonts w:ascii="Times New Roman" w:eastAsia="Times New Roman" w:hAnsi="Times New Roman" w:cs="Times New Roman"/>
          <w:color w:val="000000" w:themeColor="text1"/>
          <w:sz w:val="24"/>
          <w:szCs w:val="24"/>
        </w:rPr>
        <w:t xml:space="preserve">; however, </w:t>
      </w:r>
      <w:r w:rsidRPr="00024E20">
        <w:rPr>
          <w:rFonts w:ascii="Times New Roman" w:eastAsia="Times New Roman" w:hAnsi="Times New Roman" w:cs="Times New Roman"/>
          <w:color w:val="000000" w:themeColor="text1"/>
          <w:sz w:val="24"/>
          <w:szCs w:val="24"/>
        </w:rPr>
        <w:t xml:space="preserve">data on </w:t>
      </w:r>
      <w:r w:rsidR="00802640" w:rsidRPr="00024E20">
        <w:rPr>
          <w:rFonts w:ascii="Times New Roman" w:eastAsia="Times New Roman" w:hAnsi="Times New Roman" w:cs="Times New Roman"/>
          <w:color w:val="000000" w:themeColor="text1"/>
          <w:sz w:val="24"/>
          <w:szCs w:val="24"/>
        </w:rPr>
        <w:t>other</w:t>
      </w:r>
      <w:r w:rsidRPr="00024E20">
        <w:rPr>
          <w:rFonts w:ascii="Times New Roman" w:eastAsia="Times New Roman" w:hAnsi="Times New Roman" w:cs="Times New Roman"/>
          <w:color w:val="000000" w:themeColor="text1"/>
          <w:sz w:val="24"/>
          <w:szCs w:val="24"/>
        </w:rPr>
        <w:t xml:space="preserve"> POCs suggests</w:t>
      </w:r>
      <w:r w:rsidR="002A5370" w:rsidRPr="00024E20">
        <w:rPr>
          <w:rFonts w:ascii="Times New Roman" w:eastAsia="Times New Roman" w:hAnsi="Times New Roman" w:cs="Times New Roman"/>
          <w:color w:val="000000" w:themeColor="text1"/>
          <w:sz w:val="24"/>
          <w:szCs w:val="24"/>
        </w:rPr>
        <w:t xml:space="preserve"> </w:t>
      </w:r>
      <w:r w:rsidR="00BD762F" w:rsidRPr="00024E20">
        <w:rPr>
          <w:rFonts w:ascii="Times New Roman" w:eastAsia="Times New Roman" w:hAnsi="Times New Roman" w:cs="Times New Roman"/>
          <w:color w:val="000000" w:themeColor="text1"/>
          <w:sz w:val="24"/>
          <w:szCs w:val="24"/>
        </w:rPr>
        <w:t xml:space="preserve">they have </w:t>
      </w:r>
      <w:r w:rsidRPr="00024E20">
        <w:rPr>
          <w:rFonts w:ascii="Times New Roman" w:eastAsia="Times New Roman" w:hAnsi="Times New Roman" w:cs="Times New Roman"/>
          <w:color w:val="000000" w:themeColor="text1"/>
          <w:sz w:val="24"/>
          <w:szCs w:val="24"/>
        </w:rPr>
        <w:t xml:space="preserve">little effect on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7F7D23" w:rsidRPr="00024E20">
        <w:rPr>
          <w:rFonts w:ascii="Times New Roman" w:eastAsia="Times New Roman" w:hAnsi="Times New Roman" w:cs="Times New Roman"/>
          <w:color w:val="000000" w:themeColor="text1"/>
          <w:sz w:val="24"/>
          <w:szCs w:val="24"/>
        </w:rPr>
        <w:instrText xml:space="preserve"> ADDIN ZOTERO_ITEM CSL_CITATION {"citationID":"3L4lUx4Z","properties":{"formattedCitation":"(4, 29, 30)","plainCitation":"(4, 29, 30)","noteIndex":0},"citationItems":[{"id":4006,"uris":["http://zotero.org/users/6787375/items/TZDSUJP9"],"itemData":{"id":4006,"type":"article-journal","abstract":"Estrogens and progestogens influence the bone. The major physiological effect of estrogen is the inhibition of bone resorption whereas progestogens exert activity through binding to specific progesterone receptors. New estrogen-free contraceptive and its possible implication on bone turnover are discussed in this review. Insufficient bone acquisition during development and/or accelerated bone loss after attainment of peak bone mass (PBM) are 2 processes that may predispose to fragility fractures in later life. The relative importance of bone acquisition during growth versus bone loss during adulthood for fracture risk has been explored by examining the variability of areal bone mineral density (BMD) (aBMD) values in relation to age. Bone mass acquired at the end of the growth period appears to be more important than bone loss occurring during adult life. The major physiological effect of estrogen is the inhibition of bone resorption. When estrogen transcription possesses binds to the receptors, various genes are activated, and a variety modified. Interleukin 6 (IL-6) stimulates bone resorption, and estrogen blocks osteoblast synthesis of IL-6. Estrogen may also antagonize the IL-6 receptors. Additionally, estrogen inhibits bone resorption by inducing small but cumulative changes in multiple estrogen-dependent regulatory factors including TNF-alpha and the OPG/RANKL/RANK system. Review on existing data including information about new estrogen-free contraceptives. All progestins exert activity through binding to specific progesterone receptors; hereby, three different groups of progestins exist: pregnanes, gonanes, and estranges. Progestins also comprise specific glucocorticoid, androgen, or mineralocorticoid receptor interactions. Anabolic action of a progestogen may be affected via androgenic, anti-androgenic, or synadrogenic activity. The C 19 nortestosterone class of progestogens is known to bind with more affinity to androgen receptors than the C21 progestins. This article reviews the effect of estrogens and progestogens on bone and presents new data of the currently approved drospirenone-only pill. The use of progestin-only contraceptives leading to an estradiol level between 30 and 50 pg/ml does not seem to lead to an accelerate bone loss.","container-title":"Osteoporos Int","DOI":"10.1007/s00198-019-05103-6","ISSN":"1433-2965 (Electronic) 0937-941X (Linking)","issue":"12","page":"2391-2400","title":"Bone health in estrogen-free contraception","volume":"30","author":[{"family":"Hadji","given":"P."},{"family":"Colli","given":"E."},{"family":"Regidor","given":"P. A."}],"issued":{"date-parts":[["2019",12]]}}},{"id":8188,"uris":["http://zotero.org/users/6787375/items/72FDJVTR"],"itemData":{"id":8188,"type":"article-journal","container-title":"Contraception","DOI":"10.1016/j.contraception.2005.12.010","ISSN":"00107824","issue":"5","journalAbbreviation":"Contraception","language":"en","license":"https://www.elsevier.com/tdm/userlicense/1.0/","page":"470-487","source":"DOI.org (Crossref)","title":"Progestogen-only contraception and bone mineral density: a systematic review","title-short":"Progestogen-only contraception and bone mineral density","volume":"73","author":[{"family":"Curtis","given":"Kathryn M."},{"family":"Martins","given":"Summer L."}],"issued":{"date-parts":[["2006",5]]}}},{"id":4160,"uris":["http://zotero.org/users/6787375/items/HDA88NBH"],"itemData":{"id":4160,"type":"article-journal","abstract":"Sex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7F7D23" w:rsidRPr="00024E20">
        <w:rPr>
          <w:rFonts w:ascii="Times New Roman" w:hAnsi="Times New Roman" w:cs="Times New Roman"/>
          <w:color w:val="000000" w:themeColor="text1"/>
          <w:sz w:val="24"/>
        </w:rPr>
        <w:t>(4, 29, 30)</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w:t>
      </w:r>
      <w:r w:rsidR="002A66FE" w:rsidRPr="00024E20">
        <w:rPr>
          <w:rFonts w:ascii="Times New Roman" w:eastAsia="Times New Roman" w:hAnsi="Times New Roman" w:cs="Times New Roman"/>
          <w:color w:val="000000" w:themeColor="text1"/>
          <w:sz w:val="24"/>
          <w:szCs w:val="24"/>
        </w:rPr>
        <w:t xml:space="preserve">Different progestins can have different effects on bone through different actions on the progesterone and androgen receptor </w:t>
      </w:r>
      <w:r w:rsidR="002A66FE" w:rsidRPr="00024E20">
        <w:rPr>
          <w:rFonts w:ascii="Times New Roman" w:eastAsia="Times New Roman" w:hAnsi="Times New Roman" w:cs="Times New Roman"/>
          <w:color w:val="000000" w:themeColor="text1"/>
          <w:sz w:val="24"/>
          <w:szCs w:val="24"/>
        </w:rPr>
        <w:fldChar w:fldCharType="begin"/>
      </w:r>
      <w:r w:rsidR="002A66FE" w:rsidRPr="00024E20">
        <w:rPr>
          <w:rFonts w:ascii="Times New Roman" w:eastAsia="Times New Roman" w:hAnsi="Times New Roman" w:cs="Times New Roman"/>
          <w:color w:val="000000" w:themeColor="text1"/>
          <w:sz w:val="24"/>
          <w:szCs w:val="24"/>
        </w:rPr>
        <w:instrText xml:space="preserve"> ADDIN ZOTERO_ITEM CSL_CITATION {"citationID":"t4QtYo0s","properties":{"formattedCitation":"(4)","plainCitation":"(4)","noteIndex":0},"citationItems":[{"id":4160,"uris":["http://zotero.org/users/6787375/items/HDA88NBH"],"itemData":{"id":4160,"type":"article-journal","abstract":"Sex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002A66FE"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(4)</w:t>
      </w:r>
      <w:r w:rsidR="002A66FE" w:rsidRPr="00024E20">
        <w:rPr>
          <w:rFonts w:ascii="Times New Roman" w:eastAsia="Times New Roman" w:hAnsi="Times New Roman" w:cs="Times New Roman"/>
          <w:color w:val="000000" w:themeColor="text1"/>
          <w:sz w:val="24"/>
          <w:szCs w:val="24"/>
        </w:rPr>
        <w:fldChar w:fldCharType="end"/>
      </w:r>
      <w:r w:rsidR="002A66FE" w:rsidRPr="00024E20">
        <w:rPr>
          <w:rFonts w:ascii="Times New Roman" w:eastAsia="Times New Roman" w:hAnsi="Times New Roman" w:cs="Times New Roman"/>
          <w:color w:val="000000" w:themeColor="text1"/>
          <w:sz w:val="24"/>
          <w:szCs w:val="24"/>
        </w:rPr>
        <w:t>, but we were unable to detect progestin-specific effects in this study. T</w:t>
      </w:r>
      <w:r w:rsidR="00005E88" w:rsidRPr="00024E20">
        <w:rPr>
          <w:rFonts w:ascii="Times New Roman" w:eastAsia="Times New Roman" w:hAnsi="Times New Roman" w:cs="Times New Roman"/>
          <w:color w:val="000000" w:themeColor="text1"/>
          <w:sz w:val="24"/>
          <w:szCs w:val="24"/>
        </w:rPr>
        <w:t xml:space="preserve">he lower </w:t>
      </w:r>
      <w:proofErr w:type="spellStart"/>
      <w:r w:rsidR="00005E88" w:rsidRPr="00024E20">
        <w:rPr>
          <w:rFonts w:ascii="Times New Roman" w:eastAsia="Times New Roman" w:hAnsi="Times New Roman" w:cs="Times New Roman"/>
          <w:color w:val="000000" w:themeColor="text1"/>
          <w:sz w:val="24"/>
          <w:szCs w:val="24"/>
        </w:rPr>
        <w:t>aBMD</w:t>
      </w:r>
      <w:proofErr w:type="spellEnd"/>
      <w:r w:rsidR="00005E88" w:rsidRPr="00024E20">
        <w:rPr>
          <w:rFonts w:ascii="Times New Roman" w:eastAsia="Times New Roman" w:hAnsi="Times New Roman" w:cs="Times New Roman"/>
          <w:color w:val="000000" w:themeColor="text1"/>
          <w:sz w:val="24"/>
          <w:szCs w:val="24"/>
        </w:rPr>
        <w:t xml:space="preserve"> in the POC </w:t>
      </w:r>
      <w:r w:rsidR="00601872" w:rsidRPr="00024E20">
        <w:rPr>
          <w:rFonts w:ascii="Times New Roman" w:eastAsia="Times New Roman" w:hAnsi="Times New Roman" w:cs="Times New Roman"/>
          <w:color w:val="000000" w:themeColor="text1"/>
          <w:sz w:val="24"/>
          <w:szCs w:val="24"/>
        </w:rPr>
        <w:t xml:space="preserve">users compared with COCP users and non-users </w:t>
      </w:r>
      <w:r w:rsidR="00005E88" w:rsidRPr="00024E20">
        <w:rPr>
          <w:rFonts w:ascii="Times New Roman" w:eastAsia="Times New Roman" w:hAnsi="Times New Roman" w:cs="Times New Roman"/>
          <w:color w:val="000000" w:themeColor="text1"/>
          <w:sz w:val="24"/>
          <w:szCs w:val="24"/>
        </w:rPr>
        <w:t>may be due to the independent effects of DMPA, however, d</w:t>
      </w:r>
      <w:r w:rsidR="00DC50D1" w:rsidRPr="00024E20">
        <w:rPr>
          <w:rFonts w:ascii="Times New Roman" w:eastAsia="Times New Roman" w:hAnsi="Times New Roman" w:cs="Times New Roman"/>
          <w:color w:val="000000" w:themeColor="text1"/>
          <w:sz w:val="24"/>
          <w:szCs w:val="24"/>
        </w:rPr>
        <w:t xml:space="preserve">ata from </w:t>
      </w:r>
      <w:r w:rsidR="00005E88" w:rsidRPr="00024E20">
        <w:rPr>
          <w:rFonts w:ascii="Times New Roman" w:eastAsia="Times New Roman" w:hAnsi="Times New Roman" w:cs="Times New Roman"/>
          <w:color w:val="000000" w:themeColor="text1"/>
          <w:sz w:val="24"/>
          <w:szCs w:val="24"/>
        </w:rPr>
        <w:t xml:space="preserve">other </w:t>
      </w:r>
      <w:r w:rsidR="00DC50D1" w:rsidRPr="00024E20">
        <w:rPr>
          <w:rFonts w:ascii="Times New Roman" w:eastAsia="Times New Roman" w:hAnsi="Times New Roman" w:cs="Times New Roman"/>
          <w:color w:val="000000" w:themeColor="text1"/>
          <w:sz w:val="24"/>
          <w:szCs w:val="24"/>
        </w:rPr>
        <w:t>military popul</w:t>
      </w:r>
      <w:r w:rsidR="00005E88" w:rsidRPr="00024E20">
        <w:rPr>
          <w:rFonts w:ascii="Times New Roman" w:eastAsia="Times New Roman" w:hAnsi="Times New Roman" w:cs="Times New Roman"/>
          <w:color w:val="000000" w:themeColor="text1"/>
          <w:sz w:val="24"/>
          <w:szCs w:val="24"/>
        </w:rPr>
        <w:t>a</w:t>
      </w:r>
      <w:r w:rsidR="00DC50D1" w:rsidRPr="00024E20">
        <w:rPr>
          <w:rFonts w:ascii="Times New Roman" w:eastAsia="Times New Roman" w:hAnsi="Times New Roman" w:cs="Times New Roman"/>
          <w:color w:val="000000" w:themeColor="text1"/>
          <w:sz w:val="24"/>
          <w:szCs w:val="24"/>
        </w:rPr>
        <w:t xml:space="preserve">tions also show lower spinal </w:t>
      </w:r>
      <w:proofErr w:type="spellStart"/>
      <w:r w:rsidR="00DC50D1" w:rsidRPr="00024E20">
        <w:rPr>
          <w:rFonts w:ascii="Times New Roman" w:eastAsia="Times New Roman" w:hAnsi="Times New Roman" w:cs="Times New Roman"/>
          <w:color w:val="000000" w:themeColor="text1"/>
          <w:sz w:val="24"/>
          <w:szCs w:val="24"/>
        </w:rPr>
        <w:t>aBMD</w:t>
      </w:r>
      <w:proofErr w:type="spellEnd"/>
      <w:r w:rsidR="00DC50D1" w:rsidRPr="00024E20">
        <w:rPr>
          <w:rFonts w:ascii="Times New Roman" w:eastAsia="Times New Roman" w:hAnsi="Times New Roman" w:cs="Times New Roman"/>
          <w:color w:val="000000" w:themeColor="text1"/>
          <w:sz w:val="24"/>
          <w:szCs w:val="24"/>
        </w:rPr>
        <w:t xml:space="preserve"> with </w:t>
      </w:r>
      <w:r w:rsidR="00C90AFB" w:rsidRPr="00024E20">
        <w:rPr>
          <w:rFonts w:ascii="Times New Roman" w:eastAsia="Times New Roman" w:hAnsi="Times New Roman" w:cs="Times New Roman"/>
          <w:color w:val="000000" w:themeColor="text1"/>
          <w:sz w:val="24"/>
          <w:szCs w:val="24"/>
        </w:rPr>
        <w:t xml:space="preserve">the </w:t>
      </w:r>
      <w:r w:rsidR="00F05BAB" w:rsidRPr="00024E20">
        <w:rPr>
          <w:rFonts w:ascii="Times New Roman" w:eastAsia="Times New Roman" w:hAnsi="Times New Roman" w:cs="Times New Roman"/>
          <w:color w:val="000000" w:themeColor="text1"/>
          <w:sz w:val="24"/>
          <w:szCs w:val="24"/>
        </w:rPr>
        <w:t xml:space="preserve">use of </w:t>
      </w:r>
      <w:r w:rsidR="00DC50D1" w:rsidRPr="00024E20">
        <w:rPr>
          <w:rFonts w:ascii="Times New Roman" w:eastAsia="Times New Roman" w:hAnsi="Times New Roman" w:cs="Times New Roman"/>
          <w:color w:val="000000" w:themeColor="text1"/>
          <w:sz w:val="24"/>
          <w:szCs w:val="24"/>
        </w:rPr>
        <w:t>hormonal contraceptive</w:t>
      </w:r>
      <w:r w:rsidR="00F05BAB" w:rsidRPr="00024E20">
        <w:rPr>
          <w:rFonts w:ascii="Times New Roman" w:eastAsia="Times New Roman" w:hAnsi="Times New Roman" w:cs="Times New Roman"/>
          <w:color w:val="000000" w:themeColor="text1"/>
          <w:sz w:val="24"/>
          <w:szCs w:val="24"/>
        </w:rPr>
        <w:t>s (all types grouped)</w:t>
      </w:r>
      <w:r w:rsidR="00601872" w:rsidRPr="00024E20">
        <w:rPr>
          <w:rFonts w:ascii="Times New Roman" w:eastAsia="Times New Roman" w:hAnsi="Times New Roman" w:cs="Times New Roman"/>
          <w:color w:val="000000" w:themeColor="text1"/>
          <w:sz w:val="24"/>
          <w:szCs w:val="24"/>
        </w:rPr>
        <w:t xml:space="preserve"> compared with non-users</w:t>
      </w:r>
      <w:r w:rsidR="00DC50D1" w:rsidRPr="00024E20">
        <w:rPr>
          <w:rFonts w:ascii="Times New Roman" w:eastAsia="Times New Roman" w:hAnsi="Times New Roman" w:cs="Times New Roman"/>
          <w:color w:val="000000" w:themeColor="text1"/>
          <w:sz w:val="24"/>
          <w:szCs w:val="24"/>
        </w:rPr>
        <w:t xml:space="preserve"> </w:t>
      </w:r>
      <w:r w:rsidR="00DC50D1" w:rsidRPr="00024E20">
        <w:rPr>
          <w:rFonts w:ascii="Times New Roman" w:eastAsia="Times New Roman" w:hAnsi="Times New Roman" w:cs="Times New Roman"/>
          <w:color w:val="000000" w:themeColor="text1"/>
          <w:sz w:val="24"/>
          <w:szCs w:val="24"/>
        </w:rPr>
        <w:fldChar w:fldCharType="begin"/>
      </w:r>
      <w:r w:rsidR="00601872" w:rsidRPr="00024E20">
        <w:rPr>
          <w:rFonts w:ascii="Times New Roman" w:eastAsia="Times New Roman" w:hAnsi="Times New Roman" w:cs="Times New Roman"/>
          <w:color w:val="000000" w:themeColor="text1"/>
          <w:sz w:val="24"/>
          <w:szCs w:val="24"/>
        </w:rPr>
        <w:instrText xml:space="preserve"> ADDIN ZOTERO_ITEM CSL_CITATION {"citationID":"S9XGuCMO","properties":{"formattedCitation":"(60)","plainCitation":"(60)","noteIndex":0},"citationItems":[{"id":6612,"uris":["http://zotero.org/users/6787375/items/8I7XRUEH"],"itemData":{"id":6612,"type":"article-journal","abstract":"PURPOSE: To determine the influence of menstrual irregularity, oral contraceptive use and other factors on bone mineral density (BMD) and bone size at different skeletal sites in 135 college-aged fit women. METHODS: Menstrual history, oral contraceptive use, exercise history, and nutritional factors including calcium, caffeine, and alcohol intake as well as tobacco use were determined by written survey. Height, weight and fitness levels were measured. Spine and hip BMD were measured by dual x-ray absorptiometry (DXA), calcaneus BMD by peripheral DXA, and tibial bone mineral content (BMC) and size by peripheral Quantitative Computed Tomography (pQCT). RESULTS: The mean age was 18.4 +/- 0.8 years. Weight and prior exercise were positively related to BMD at most skeletal sites and to tibial bone size. Milk intake was positively related to calcaneal BMD, tibial BMC and cortical thickness. Fracture history was an important predictor of spine, hip and heel BMD. Women who had &gt;/= 10 menstrual cycles in the year prior to BMD measurement had higher BMD at all sites as well as a greater tibial mineral content and cortical thickness than women who had oligomenorrhea/amenorrhea (&lt;/= 9 cycles in the prior year; all p &lt; 0.05). Oral Contraceptive (OC) users had significantly lower BMD in the spine (p &lt; 0.02) and calcaneus (p = 0.04), smaller tibial periosteal circumference and lower tibial mineral content (p &lt; 0.02) than non-OC users. CONCLUSION: In a population of fit, college-aged women, OC use and oligomenorrhea were associated with reduced BMD and bone size. Weight, as well as prior exercise and milk intake was positively related to bone density and size at some skeletal sites. Understanding these relationships would help improve skeletal health in young women.","container-title":"Nutr Metab (Lond)","DOI":"10.1186/1743-7075-4-17","ISSN":"1743-7075 (Electronic) 1743-7075 (Linking)","note":"PMCID: PMC1997123","page":"17","title":"The influence of lifestyle, menstrual function and oral contraceptive use on bone mass and size in female military cadets","volume":"4","author":[{"family":"Ruffing","given":"J. A."},{"family":"Nieves","given":"J. W."},{"family":"Zion","given":"M."},{"family":"Tendy","given":"S."},{"family":"Garrett","given":"P."},{"family":"Lindsay","given":"R."},{"family":"Cosman","given":"F."}],"issued":{"date-parts":[["2007",8,6]]}}}],"schema":"https://github.com/citation-style-language/schema/raw/master/csl-citation.json"} </w:instrText>
      </w:r>
      <w:r w:rsidR="00DC50D1" w:rsidRPr="00024E20">
        <w:rPr>
          <w:rFonts w:ascii="Times New Roman" w:eastAsia="Times New Roman" w:hAnsi="Times New Roman" w:cs="Times New Roman"/>
          <w:color w:val="000000" w:themeColor="text1"/>
          <w:sz w:val="24"/>
          <w:szCs w:val="24"/>
        </w:rPr>
        <w:fldChar w:fldCharType="separate"/>
      </w:r>
      <w:r w:rsidR="00601872" w:rsidRPr="00024E20">
        <w:rPr>
          <w:rFonts w:ascii="Times New Roman" w:eastAsia="Times New Roman" w:hAnsi="Times New Roman" w:cs="Times New Roman"/>
          <w:noProof/>
          <w:color w:val="000000" w:themeColor="text1"/>
          <w:sz w:val="24"/>
          <w:szCs w:val="24"/>
        </w:rPr>
        <w:t>(60)</w:t>
      </w:r>
      <w:r w:rsidR="00DC50D1" w:rsidRPr="00024E20">
        <w:rPr>
          <w:rFonts w:ascii="Times New Roman" w:eastAsia="Times New Roman" w:hAnsi="Times New Roman" w:cs="Times New Roman"/>
          <w:color w:val="000000" w:themeColor="text1"/>
          <w:sz w:val="24"/>
          <w:szCs w:val="24"/>
        </w:rPr>
        <w:fldChar w:fldCharType="end"/>
      </w:r>
      <w:r w:rsidR="00DC50D1"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The higher βCTX and PINP in the POC users compared with the non-users and COCP users</w:t>
      </w:r>
      <w:r w:rsidR="000966CA" w:rsidRPr="00024E20">
        <w:rPr>
          <w:rFonts w:ascii="Times New Roman" w:eastAsia="Times New Roman" w:hAnsi="Times New Roman" w:cs="Times New Roman"/>
          <w:color w:val="000000" w:themeColor="text1"/>
          <w:sz w:val="24"/>
          <w:szCs w:val="24"/>
        </w:rPr>
        <w:t xml:space="preserve"> at both time-points</w:t>
      </w:r>
      <w:r w:rsidRPr="00024E20">
        <w:rPr>
          <w:rFonts w:ascii="Times New Roman" w:eastAsia="Times New Roman" w:hAnsi="Times New Roman" w:cs="Times New Roman"/>
          <w:color w:val="000000" w:themeColor="text1"/>
          <w:sz w:val="24"/>
          <w:szCs w:val="24"/>
        </w:rPr>
        <w:t xml:space="preserve"> is consistent with the effects of low oestradiol on increasing bone turnover</w:t>
      </w:r>
      <w:r w:rsidR="00213B70" w:rsidRPr="00024E20">
        <w:rPr>
          <w:rFonts w:ascii="Times New Roman" w:eastAsia="Times New Roman" w:hAnsi="Times New Roman" w:cs="Times New Roman"/>
          <w:color w:val="000000" w:themeColor="text1"/>
          <w:sz w:val="24"/>
          <w:szCs w:val="24"/>
        </w:rPr>
        <w:t xml:space="preserve"> </w:t>
      </w:r>
      <w:r w:rsidR="00213B70" w:rsidRPr="00024E20">
        <w:rPr>
          <w:rFonts w:ascii="Times New Roman" w:eastAsia="Times New Roman" w:hAnsi="Times New Roman" w:cs="Times New Roman"/>
          <w:color w:val="000000" w:themeColor="text1"/>
          <w:sz w:val="24"/>
          <w:szCs w:val="24"/>
        </w:rPr>
        <w:fldChar w:fldCharType="begin"/>
      </w:r>
      <w:r w:rsidR="00213B70" w:rsidRPr="00024E20">
        <w:rPr>
          <w:rFonts w:ascii="Times New Roman" w:eastAsia="Times New Roman" w:hAnsi="Times New Roman" w:cs="Times New Roman"/>
          <w:color w:val="000000" w:themeColor="text1"/>
          <w:sz w:val="24"/>
          <w:szCs w:val="24"/>
        </w:rPr>
        <w:instrText xml:space="preserve"> ADDIN ZOTERO_ITEM CSL_CITATION {"citationID":"ubZPFvXD","properties":{"formattedCitation":"(6)","plainCitation":"(6)","noteIndex":0},"citationItems":[{"id":2953,"uris":["http://zotero.org/users/6787375/items/5K9BPSGL"],"itemData":{"id":2953,"type":"article-journal","abstract":"Sex steroids are essential for skeletal development and the maintenance of bone health throughout adult life, and estrogen deficiency at menopause is a major pathogenetic factor in the development of osteoporosis in postmenopausal women. The mechanisms by which the skeletal effects of sex steroids are mediated remain incompletely understood, but in recent years there have been considerable advances in our knowledge of how estrogens and, to a lesser extent androgens, influence bone modeling and remodeling in health and disease. New insights into estrogen receptor structure and function, recent discoveries about the development and activity of osteoclasts, and lessons learned from human and animal genetic mutations have all contributed to increased understanding of the skeletal effects of estrogen, both in males and females. Studies of untreated and treated osteoporosis in postmenopausal women have also contributed to this knowledge and have provided unequivocal evidence for the potential of high-dose estrogen therapy to have anabolic skeletal effects. The development of selective estrogen receptor modulators has provided a new approach to the prevention of osteoporosis and other major diseases of menopause and has implications for the therapeutic use of other steroid hormones, including androgens. Further elucidation of the mechanisms by which sex steroids affect bone thus has the potential to improve the clinical management not only of osteoporosis, both in men and women, but also of a number of other diseases related to sex hormone status.","container-title":"Physiol Rev","DOI":"10.1152/physrev.2001.81.1.419","ISSN":"0031-9333 (Print) 0031-9333 (Linking)","issue":"1","journalAbbreviation":"Physiological reviews","page":"419-447","title":"Sex steroids and bone","volume":"81","author":[{"family":"Compston","given":"J. E."}],"issued":{"date-parts":[["2001",1]]}}}],"schema":"https://github.com/citation-style-language/schema/raw/master/csl-citation.json"} </w:instrText>
      </w:r>
      <w:r w:rsidR="00213B70" w:rsidRPr="00024E20">
        <w:rPr>
          <w:rFonts w:ascii="Times New Roman" w:eastAsia="Times New Roman" w:hAnsi="Times New Roman" w:cs="Times New Roman"/>
          <w:color w:val="000000" w:themeColor="text1"/>
          <w:sz w:val="24"/>
          <w:szCs w:val="24"/>
        </w:rPr>
        <w:fldChar w:fldCharType="separate"/>
      </w:r>
      <w:r w:rsidR="00213B70" w:rsidRPr="00024E20">
        <w:rPr>
          <w:rFonts w:ascii="Times New Roman" w:eastAsia="Times New Roman" w:hAnsi="Times New Roman" w:cs="Times New Roman"/>
          <w:noProof/>
          <w:color w:val="000000" w:themeColor="text1"/>
          <w:sz w:val="24"/>
          <w:szCs w:val="24"/>
        </w:rPr>
        <w:t>(6)</w:t>
      </w:r>
      <w:r w:rsidR="00213B70" w:rsidRPr="00024E20">
        <w:rPr>
          <w:rFonts w:ascii="Times New Roman" w:eastAsia="Times New Roman" w:hAnsi="Times New Roman" w:cs="Times New Roman"/>
          <w:color w:val="000000" w:themeColor="text1"/>
          <w:sz w:val="24"/>
          <w:szCs w:val="24"/>
        </w:rPr>
        <w:fldChar w:fldCharType="end"/>
      </w:r>
      <w:r w:rsidR="00213B70" w:rsidRPr="00024E20">
        <w:rPr>
          <w:rFonts w:ascii="Times New Roman" w:eastAsia="Times New Roman" w:hAnsi="Times New Roman" w:cs="Times New Roman"/>
          <w:color w:val="000000" w:themeColor="text1"/>
          <w:sz w:val="24"/>
          <w:szCs w:val="24"/>
        </w:rPr>
        <w:t xml:space="preserve">; higher bone turnover in the POC users may also explain why </w:t>
      </w:r>
      <w:proofErr w:type="spellStart"/>
      <w:r w:rsidR="00213B70" w:rsidRPr="00024E20">
        <w:rPr>
          <w:rFonts w:ascii="Times New Roman" w:eastAsia="Times New Roman" w:hAnsi="Times New Roman" w:cs="Times New Roman"/>
          <w:color w:val="000000" w:themeColor="text1"/>
          <w:sz w:val="24"/>
          <w:szCs w:val="24"/>
        </w:rPr>
        <w:t>aBMD</w:t>
      </w:r>
      <w:proofErr w:type="spellEnd"/>
      <w:r w:rsidR="00213B70" w:rsidRPr="00024E20">
        <w:rPr>
          <w:rFonts w:ascii="Times New Roman" w:eastAsia="Times New Roman" w:hAnsi="Times New Roman" w:cs="Times New Roman"/>
          <w:color w:val="000000" w:themeColor="text1"/>
          <w:sz w:val="24"/>
          <w:szCs w:val="24"/>
        </w:rPr>
        <w:t xml:space="preserve"> was lower in POC users than non-users and / or COCP users</w:t>
      </w:r>
      <w:r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fldChar w:fldCharType="begin"/>
      </w:r>
      <w:r w:rsidR="000E3FD6" w:rsidRPr="00024E20">
        <w:rPr>
          <w:rFonts w:ascii="Times New Roman" w:eastAsia="Times New Roman" w:hAnsi="Times New Roman" w:cs="Times New Roman"/>
          <w:color w:val="000000" w:themeColor="text1"/>
          <w:sz w:val="24"/>
          <w:szCs w:val="24"/>
        </w:rPr>
        <w:instrText xml:space="preserve"> ADDIN ZOTERO_ITEM CSL_CITATION {"citationID":"qUxIyTEk","properties":{"formattedCitation":"(6)","plainCitation":"(6)","noteIndex":0},"citationItems":[{"id":2953,"uris":["http://zotero.org/users/6787375/items/5K9BPSGL"],"itemData":{"id":2953,"type":"article-journal","abstract":"Sex steroids are essential for skeletal development and the maintenance of bone health throughout adult life, and estrogen deficiency at menopause is a major pathogenetic factor in the development of osteoporosis in postmenopausal women. The mechanisms by which the skeletal effects of sex steroids are mediated remain incompletely understood, but in recent years there have been considerable advances in our knowledge of how estrogens and, to a lesser extent androgens, influence bone modeling and remodeling in health and disease. New insights into estrogen receptor structure and function, recent discoveries about the development and activity of osteoclasts, and lessons learned from human and animal genetic mutations have all contributed to increased understanding of the skeletal effects of estrogen, both in males and females. Studies of untreated and treated osteoporosis in postmenopausal women have also contributed to this knowledge and have provided unequivocal evidence for the potential of high-dose estrogen therapy to have anabolic skeletal effects. The development of selective estrogen receptor modulators has provided a new approach to the prevention of osteoporosis and other major diseases of menopause and has implications for the therapeutic use of other steroid hormones, including androgens. Further elucidation of the mechanisms by which sex steroids affect bone thus has the potential to improve the clinical management not only of osteoporosis, both in men and women, but also of a number of other diseases related to sex hormone status.","container-title":"Physiol Rev","DOI":"10.1152/physrev.2001.81.1.419","ISSN":"0031-9333 (Print) 0031-9333 (Linking)","issue":"1","journalAbbreviation":"Physiological reviews","page":"419-447","title":"Sex steroids and bone","volume":"81","author":[{"family":"Compston","given":"J. E."}],"issued":{"date-parts":[["2001",1]]}}}],"schema":"https://github.com/citation-style-language/schema/raw/master/csl-citation.json"}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(6)</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w:t>
      </w:r>
      <w:r w:rsidR="00901EDB" w:rsidRPr="00024E20">
        <w:rPr>
          <w:rFonts w:ascii="Times New Roman" w:eastAsia="Times New Roman" w:hAnsi="Times New Roman" w:cs="Times New Roman"/>
          <w:color w:val="000000" w:themeColor="text1"/>
          <w:sz w:val="24"/>
          <w:szCs w:val="24"/>
        </w:rPr>
        <w:t>High</w:t>
      </w:r>
      <w:r w:rsidR="00674DB2" w:rsidRPr="00024E20">
        <w:rPr>
          <w:rFonts w:ascii="Times New Roman" w:eastAsia="Times New Roman" w:hAnsi="Times New Roman" w:cs="Times New Roman"/>
          <w:color w:val="000000" w:themeColor="text1"/>
          <w:sz w:val="24"/>
          <w:szCs w:val="24"/>
        </w:rPr>
        <w:t>er</w:t>
      </w:r>
      <w:r w:rsidR="00901EDB" w:rsidRPr="00024E20">
        <w:rPr>
          <w:rFonts w:ascii="Times New Roman" w:eastAsia="Times New Roman" w:hAnsi="Times New Roman" w:cs="Times New Roman"/>
          <w:color w:val="000000" w:themeColor="text1"/>
          <w:sz w:val="24"/>
          <w:szCs w:val="24"/>
        </w:rPr>
        <w:t xml:space="preserve"> bone turnover and low</w:t>
      </w:r>
      <w:r w:rsidR="00C35166" w:rsidRPr="00024E20">
        <w:rPr>
          <w:rFonts w:ascii="Times New Roman" w:eastAsia="Times New Roman" w:hAnsi="Times New Roman" w:cs="Times New Roman"/>
          <w:color w:val="000000" w:themeColor="text1"/>
          <w:sz w:val="24"/>
          <w:szCs w:val="24"/>
        </w:rPr>
        <w:t>er</w:t>
      </w:r>
      <w:r w:rsidR="00901EDB" w:rsidRPr="00024E20">
        <w:rPr>
          <w:rFonts w:ascii="Times New Roman" w:eastAsia="Times New Roman" w:hAnsi="Times New Roman" w:cs="Times New Roman"/>
          <w:color w:val="000000" w:themeColor="text1"/>
          <w:sz w:val="24"/>
          <w:szCs w:val="24"/>
        </w:rPr>
        <w:t xml:space="preserve"> </w:t>
      </w:r>
      <w:proofErr w:type="spellStart"/>
      <w:r w:rsidR="00901EDB" w:rsidRPr="00024E20">
        <w:rPr>
          <w:rFonts w:ascii="Times New Roman" w:eastAsia="Times New Roman" w:hAnsi="Times New Roman" w:cs="Times New Roman"/>
          <w:color w:val="000000" w:themeColor="text1"/>
          <w:sz w:val="24"/>
          <w:szCs w:val="24"/>
        </w:rPr>
        <w:t>aBMD</w:t>
      </w:r>
      <w:proofErr w:type="spellEnd"/>
      <w:r w:rsidR="00901EDB" w:rsidRPr="00024E20">
        <w:rPr>
          <w:rFonts w:ascii="Times New Roman" w:eastAsia="Times New Roman" w:hAnsi="Times New Roman" w:cs="Times New Roman"/>
          <w:color w:val="000000" w:themeColor="text1"/>
          <w:sz w:val="24"/>
          <w:szCs w:val="24"/>
        </w:rPr>
        <w:t xml:space="preserve"> with long</w:t>
      </w:r>
      <w:r w:rsidR="0036490A" w:rsidRPr="00024E20">
        <w:rPr>
          <w:rFonts w:ascii="Times New Roman" w:eastAsia="Times New Roman" w:hAnsi="Times New Roman" w:cs="Times New Roman"/>
          <w:color w:val="000000" w:themeColor="text1"/>
          <w:sz w:val="24"/>
          <w:szCs w:val="24"/>
        </w:rPr>
        <w:t>-</w:t>
      </w:r>
      <w:r w:rsidR="00901EDB" w:rsidRPr="00024E20">
        <w:rPr>
          <w:rFonts w:ascii="Times New Roman" w:eastAsia="Times New Roman" w:hAnsi="Times New Roman" w:cs="Times New Roman"/>
          <w:color w:val="000000" w:themeColor="text1"/>
          <w:sz w:val="24"/>
          <w:szCs w:val="24"/>
        </w:rPr>
        <w:t>term POC use may have long-term impacts on bone health</w:t>
      </w:r>
      <w:r w:rsidR="00571DFB" w:rsidRPr="00024E20">
        <w:rPr>
          <w:rFonts w:ascii="Times New Roman" w:eastAsia="Times New Roman" w:hAnsi="Times New Roman" w:cs="Times New Roman"/>
          <w:color w:val="000000" w:themeColor="text1"/>
          <w:sz w:val="24"/>
          <w:szCs w:val="24"/>
        </w:rPr>
        <w:t xml:space="preserve"> and stress fracture risk</w:t>
      </w:r>
      <w:r w:rsidR="00901EDB"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Conversely, βCTX and PINP were lowest in COCP users</w:t>
      </w:r>
      <w:r w:rsidR="00084C77"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consistent with the effects of high oestradiol on suppressing bone turnover </w:t>
      </w:r>
      <w:r w:rsidRPr="00024E20">
        <w:rPr>
          <w:rFonts w:ascii="Times New Roman" w:eastAsia="Times New Roman" w:hAnsi="Times New Roman" w:cs="Times New Roman"/>
          <w:color w:val="000000" w:themeColor="text1"/>
          <w:sz w:val="24"/>
          <w:szCs w:val="24"/>
        </w:rPr>
        <w:fldChar w:fldCharType="begin"/>
      </w:r>
      <w:r w:rsidR="008C6A23" w:rsidRPr="00024E20">
        <w:rPr>
          <w:rFonts w:ascii="Times New Roman" w:eastAsia="Times New Roman" w:hAnsi="Times New Roman" w:cs="Times New Roman"/>
          <w:color w:val="000000" w:themeColor="text1"/>
          <w:sz w:val="24"/>
          <w:szCs w:val="24"/>
        </w:rPr>
        <w:instrText xml:space="preserve"> ADDIN ZOTERO_ITEM CSL_CITATION {"citationID":"O0iNKjc7","properties":{"formattedCitation":"(4, 27)","plainCitation":"(4, 27)","noteIndex":0},"citationItems":[{"id":2985,"uris":["http://zotero.org/users/6787375/items/WG94CAXC"],"itemData":{"id":2985,"type":"article-journal","abstract":"INTRODUCTION: Hormonal contraceptive use might impair bone health and increase the risk of stress fracture by decreasing endogenous oestrogen production, a central regulator of bone metabolism. This cross-sectional study investigated bone density and biochemical markers of bone metabolism in women taking hormonal contraceptives on entry to basic military training. METHODS: Forty-five female British Army recruits had biochemical markers of bone metabolism, areal bone mineral density (aBMD) and tibial speed of sound (tSOS) measured at the start of basic military training. Participants were compared by their method of hormonal contraception: no hormonal contraception (NONE), combined contraceptive pill (CP) or depot-medroxyprogesterone acetate (DMPA) (20+/-2.8 years, 1.64+/-0.63 m, 61.7+/-6.2 kg). RESULTS: aBMD was not different between groups (p&gt;/=0.204), but tSOS was higher in NONE (3%, p=0.014) when compared with DMPA users. Beta C-terminal telopeptide was higher in NONE (45%, p=0.037) and DMPA users (90%, p=0.003) compared with CP users. Procollagen type 1 N-terminal propeptide was higher in DMPA users compared with NONE (43%, p=0.045) and CP users (127%, p=0.001), and higher in NONE compared with CP users (59%, p=0.014). Bone alkaline phosphatase was higher in DMPA users compared with CP users (56%, p=0.044). CONCLUSIONS: DMPA use was associated with increased bone turnover and decreased cortical bone integrity of the tibia. Lower cortical bone integrity in DMPA users was possibly mediated by increased intracortical remodelling, but trabecular bone was not affected by contraceptive use.","container-title":"BMJ Mil Health","DOI":"10.1136/bmjmilitary-2020-001745","ISSN":"2633-3775 (Electronic) 2633-3767 (Linking)","title":"Hormonal contraceptive use, bone density and biochemical markers of bone metabolism in British Army recruits","author":[{"family":"Coombs","given":"C. V."},{"family":"O'Leary","given":"T. J."},{"family":"Tang","given":"J. C. Y."},{"family":"Fraser","given":"W. D."},{"family":"Greeves","given":"J. P."}],"issued":{"date-parts":[["2021",3,15]]}}},{"id":4160,"uris":["http://zotero.org/users/6787375/items/HDA88NBH"],"itemData":{"id":4160,"type":"article-journal","abstract":"Sex hormones are important regulators of bone metabolism. As hormonal contraceptives contain either oestrogens or progestins, or a combination thereof, it is conceivable that these widely used agents have an effect on bone metabolism and bone health. The main users of hormonal contraceptives, adolescent girls and young women, are still building bone and accruing bone mass and may therefore be particularly susceptible to the effects of hormonal contraceptives on bone. Despite these concerns, the effects of hormonal contraceptives on bone health are still poorly understood. As biochemical markers of bone turnover have been proven useful tools in the assessment and monitoring of bone metabolism, we reviewed the effects of combined and gestagen-only hormonal contraceptives on bone turnover markers and related effects on bone mineral density and fracture risk in premenopausal women, as documented in the literature until January 2009.","container-title":"Clin Endocrinol (Oxf)","DOI":"10.1111/j.1365-2265.2009.03688.x","ISSN":"1365-2265 (Electronic) 0300-0664 (Linking)","issue":"5","page":"571-83","title":"The effects of hormonal contraceptives on bone turnover markers and bone health","volume":"72","author":[{"family":"Herrmann","given":"M."},{"family":"Seibel","given":"M. J."}],"issued":{"date-parts":[["2010",5]]}}}],"schema":"https://github.com/citation-style-language/schema/raw/master/csl-citation.json"}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8C6A23" w:rsidRPr="00024E20">
        <w:rPr>
          <w:rFonts w:ascii="Times New Roman" w:eastAsia="Times New Roman" w:hAnsi="Times New Roman" w:cs="Times New Roman"/>
          <w:noProof/>
          <w:color w:val="000000" w:themeColor="text1"/>
          <w:sz w:val="24"/>
          <w:szCs w:val="24"/>
        </w:rPr>
        <w:t>(4)</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xml:space="preserve">. The </w:t>
      </w:r>
      <w:r w:rsidR="00445DC8" w:rsidRPr="00024E20">
        <w:rPr>
          <w:rFonts w:ascii="Times New Roman" w:eastAsia="Times New Roman" w:hAnsi="Times New Roman" w:cs="Times New Roman"/>
          <w:color w:val="000000" w:themeColor="text1"/>
          <w:sz w:val="24"/>
          <w:szCs w:val="24"/>
        </w:rPr>
        <w:t xml:space="preserve">mechanism for the </w:t>
      </w:r>
      <w:r w:rsidRPr="00024E20">
        <w:rPr>
          <w:rFonts w:ascii="Times New Roman" w:eastAsia="Times New Roman" w:hAnsi="Times New Roman" w:cs="Times New Roman"/>
          <w:color w:val="000000" w:themeColor="text1"/>
          <w:sz w:val="24"/>
          <w:szCs w:val="24"/>
        </w:rPr>
        <w:t xml:space="preserve">greater training-induced increase in PINP in POC users </w:t>
      </w:r>
      <w:r w:rsidR="00445DC8" w:rsidRPr="00024E20">
        <w:rPr>
          <w:rFonts w:ascii="Times New Roman" w:eastAsia="Times New Roman" w:hAnsi="Times New Roman" w:cs="Times New Roman"/>
          <w:color w:val="000000" w:themeColor="text1"/>
          <w:sz w:val="24"/>
          <w:szCs w:val="24"/>
        </w:rPr>
        <w:t xml:space="preserve">compared with </w:t>
      </w:r>
      <w:r w:rsidR="0036490A" w:rsidRPr="00024E20">
        <w:rPr>
          <w:rFonts w:ascii="Times New Roman" w:eastAsia="Times New Roman" w:hAnsi="Times New Roman" w:cs="Times New Roman"/>
          <w:color w:val="000000" w:themeColor="text1"/>
          <w:sz w:val="24"/>
          <w:szCs w:val="24"/>
        </w:rPr>
        <w:t xml:space="preserve">non-users and </w:t>
      </w:r>
      <w:r w:rsidR="00445DC8" w:rsidRPr="00024E20">
        <w:rPr>
          <w:rFonts w:ascii="Times New Roman" w:eastAsia="Times New Roman" w:hAnsi="Times New Roman" w:cs="Times New Roman"/>
          <w:color w:val="000000" w:themeColor="text1"/>
          <w:sz w:val="24"/>
          <w:szCs w:val="24"/>
        </w:rPr>
        <w:t xml:space="preserve">COCP users is </w:t>
      </w:r>
      <w:proofErr w:type="gramStart"/>
      <w:r w:rsidR="00445DC8" w:rsidRPr="00024E20">
        <w:rPr>
          <w:rFonts w:ascii="Times New Roman" w:eastAsia="Times New Roman" w:hAnsi="Times New Roman" w:cs="Times New Roman"/>
          <w:color w:val="000000" w:themeColor="text1"/>
          <w:sz w:val="24"/>
          <w:szCs w:val="24"/>
        </w:rPr>
        <w:t>unclear, but</w:t>
      </w:r>
      <w:proofErr w:type="gramEnd"/>
      <w:r w:rsidR="00445DC8"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could be due to lower oestradiol </w:t>
      </w:r>
      <w:r w:rsidR="00A43B32" w:rsidRPr="00024E20">
        <w:rPr>
          <w:rFonts w:ascii="Times New Roman" w:eastAsia="Times New Roman" w:hAnsi="Times New Roman" w:cs="Times New Roman"/>
          <w:color w:val="000000" w:themeColor="text1"/>
          <w:sz w:val="24"/>
          <w:szCs w:val="24"/>
        </w:rPr>
        <w:t xml:space="preserve">in POC users </w:t>
      </w:r>
      <w:r w:rsidRPr="00024E20">
        <w:rPr>
          <w:rFonts w:ascii="Times New Roman" w:eastAsia="Times New Roman" w:hAnsi="Times New Roman" w:cs="Times New Roman"/>
          <w:color w:val="000000" w:themeColor="text1"/>
          <w:sz w:val="24"/>
          <w:szCs w:val="24"/>
        </w:rPr>
        <w:t>increasing bone turnover. These data are in contrast to a previous study showing similar increases in PINP (and decreases in βCTX) in response to military training</w:t>
      </w:r>
      <w:r w:rsidR="00D51E07"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in non-users, COCP users, and DMPA users </w:t>
      </w:r>
      <w:r w:rsidRPr="00024E20">
        <w:rPr>
          <w:rFonts w:ascii="Times New Roman" w:eastAsia="Times New Roman" w:hAnsi="Times New Roman" w:cs="Times New Roman"/>
          <w:color w:val="000000" w:themeColor="text1"/>
          <w:sz w:val="24"/>
          <w:szCs w:val="24"/>
        </w:rPr>
        <w:fldChar w:fldCharType="begin"/>
      </w:r>
      <w:r w:rsidR="008C6A23" w:rsidRPr="00024E20">
        <w:rPr>
          <w:rFonts w:ascii="Times New Roman" w:eastAsia="Times New Roman" w:hAnsi="Times New Roman" w:cs="Times New Roman"/>
          <w:color w:val="000000" w:themeColor="text1"/>
          <w:sz w:val="24"/>
          <w:szCs w:val="24"/>
        </w:rPr>
        <w:instrText xml:space="preserve"> ADDIN ZOTERO_ITEM CSL_CITATION {"citationID":"rZU1Sqp2","properties":{"formattedCitation":"(23)","plainCitation":"(23)","noteIndex":0},"citationItems":[{"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P."}],"issued":{"date-parts":[["2024",4]]}}}],"schema":"https://github.com/citation-style-language/schema/raw/master/csl-citation.json"} </w:instrText>
      </w:r>
      <w:r w:rsidRPr="00024E20">
        <w:rPr>
          <w:rFonts w:ascii="Times New Roman" w:eastAsia="Times New Roman" w:hAnsi="Times New Roman" w:cs="Times New Roman"/>
          <w:color w:val="000000" w:themeColor="text1"/>
          <w:sz w:val="24"/>
          <w:szCs w:val="24"/>
        </w:rPr>
        <w:fldChar w:fldCharType="separate"/>
      </w:r>
      <w:r w:rsidR="008C6A23" w:rsidRPr="00024E20">
        <w:rPr>
          <w:rFonts w:ascii="Times New Roman" w:eastAsia="Times New Roman" w:hAnsi="Times New Roman" w:cs="Times New Roman"/>
          <w:noProof/>
          <w:color w:val="000000" w:themeColor="text1"/>
          <w:sz w:val="24"/>
          <w:szCs w:val="24"/>
        </w:rPr>
        <w:t>(23)</w:t>
      </w:r>
      <w:r w:rsidRPr="00024E20">
        <w:rPr>
          <w:rFonts w:ascii="Times New Roman" w:eastAsia="Times New Roman" w:hAnsi="Times New Roman" w:cs="Times New Roman"/>
          <w:color w:val="000000" w:themeColor="text1"/>
          <w:sz w:val="24"/>
          <w:szCs w:val="24"/>
        </w:rPr>
        <w:fldChar w:fldCharType="end"/>
      </w:r>
      <w:r w:rsidRPr="00024E20">
        <w:rPr>
          <w:rFonts w:ascii="Times New Roman" w:eastAsia="Times New Roman" w:hAnsi="Times New Roman" w:cs="Times New Roman"/>
          <w:color w:val="000000" w:themeColor="text1"/>
          <w:sz w:val="24"/>
          <w:szCs w:val="24"/>
        </w:rPr>
        <w:t>, but changes in bone metabolic markers in response to training likely depend on the time between measurements and other sources of variability.</w:t>
      </w:r>
      <w:r w:rsidR="00D51E07" w:rsidRPr="00024E20">
        <w:rPr>
          <w:rFonts w:ascii="Times New Roman" w:eastAsia="Times New Roman" w:hAnsi="Times New Roman" w:cs="Times New Roman"/>
          <w:color w:val="000000" w:themeColor="text1"/>
          <w:sz w:val="24"/>
          <w:szCs w:val="24"/>
        </w:rPr>
        <w:t xml:space="preserve"> </w:t>
      </w:r>
      <w:bookmarkStart w:id="9" w:name="_Hlk176873975"/>
      <w:r w:rsidR="00617F84" w:rsidRPr="00024E20">
        <w:rPr>
          <w:rFonts w:ascii="Times New Roman" w:eastAsia="Times New Roman" w:hAnsi="Times New Roman" w:cs="Times New Roman"/>
          <w:color w:val="000000" w:themeColor="text1"/>
          <w:sz w:val="24"/>
          <w:szCs w:val="24"/>
        </w:rPr>
        <w:t xml:space="preserve">The decrease </w:t>
      </w:r>
      <w:r w:rsidR="00617F84" w:rsidRPr="00024E20">
        <w:rPr>
          <w:rFonts w:ascii="Times New Roman" w:eastAsia="Times New Roman" w:hAnsi="Times New Roman" w:cs="Times New Roman"/>
          <w:color w:val="000000" w:themeColor="text1"/>
          <w:sz w:val="24"/>
          <w:szCs w:val="24"/>
        </w:rPr>
        <w:lastRenderedPageBreak/>
        <w:t xml:space="preserve">in total 25(OH)D and increase in PTH </w:t>
      </w:r>
      <w:r w:rsidR="00E136AE" w:rsidRPr="00024E20">
        <w:rPr>
          <w:rFonts w:ascii="Times New Roman" w:eastAsia="Times New Roman" w:hAnsi="Times New Roman" w:cs="Times New Roman"/>
          <w:color w:val="000000" w:themeColor="text1"/>
          <w:sz w:val="24"/>
          <w:szCs w:val="24"/>
        </w:rPr>
        <w:t xml:space="preserve">with training </w:t>
      </w:r>
      <w:r w:rsidR="00D71C3D" w:rsidRPr="00024E20">
        <w:rPr>
          <w:rFonts w:ascii="Times New Roman" w:eastAsia="Times New Roman" w:hAnsi="Times New Roman" w:cs="Times New Roman"/>
          <w:color w:val="000000" w:themeColor="text1"/>
          <w:sz w:val="24"/>
          <w:szCs w:val="24"/>
        </w:rPr>
        <w:t xml:space="preserve">in all groups </w:t>
      </w:r>
      <w:r w:rsidR="00617F84" w:rsidRPr="00024E20">
        <w:rPr>
          <w:rFonts w:ascii="Times New Roman" w:eastAsia="Times New Roman" w:hAnsi="Times New Roman" w:cs="Times New Roman"/>
          <w:color w:val="000000" w:themeColor="text1"/>
          <w:sz w:val="24"/>
          <w:szCs w:val="24"/>
        </w:rPr>
        <w:t xml:space="preserve">may have contributed to the increase in bone resorption </w:t>
      </w:r>
      <w:r w:rsidR="00617F84" w:rsidRPr="00024E20">
        <w:rPr>
          <w:rFonts w:ascii="Times New Roman" w:eastAsia="Times New Roman" w:hAnsi="Times New Roman" w:cs="Times New Roman"/>
          <w:color w:val="000000" w:themeColor="text1"/>
          <w:sz w:val="24"/>
          <w:szCs w:val="24"/>
        </w:rPr>
        <w:fldChar w:fldCharType="begin"/>
      </w:r>
      <w:r w:rsidR="00B0769B" w:rsidRPr="00024E20">
        <w:rPr>
          <w:rFonts w:ascii="Times New Roman" w:eastAsia="Times New Roman" w:hAnsi="Times New Roman" w:cs="Times New Roman"/>
          <w:color w:val="000000" w:themeColor="text1"/>
          <w:sz w:val="24"/>
          <w:szCs w:val="24"/>
        </w:rPr>
        <w:instrText xml:space="preserve"> ADDIN ZOTERO_ITEM CSL_CITATION {"citationID":"amPA0bGN","properties":{"formattedCitation":"(61)","plainCitation":"(61)","noteIndex":0},"citationItems":[{"id":5146,"uris":["http://zotero.org/users/6787375/items/CJLIQZI6"],"itemData":{"id":5146,"type":"article-journal","abstract":"Exercise perturbs homeostasis, alters the levels of circulating mediators and hormones, and increases the demand by skeletal muscles and other vital organs for energy substrates. Exercise also affects bone and mineral metabolism, particularly calcium and phosphate, both of which are essential for muscle contraction, neuromuscular signaling, biosynthesis of adenosine triphosphate (ATP), and other energy substrates. Parathyroid hormone (PTH) is involved in the regulation of calcium and phosphate homeostasis. Understanding the effects of exercise on PTH secretion is fundamental for appreciating how the body adapts to exercise. Altered PTH metabolism underlies hyperparathyroidism and hypoparathyroidism, the complications of which affect the organs involved in calcium and phosphorous metabolism (bone and kidney) and other body systems as well. Exercise affects PTH expression and secretion by altering the circulating levels of calcium and phosphate. In turn, PTH responds directly to exercise and exercise-induced myokines. Here, we review the main concepts of the regulation of PTH expression and secretion under physiological conditions, in acute and chronic exercise, and in relation to PTH-related disorders.","container-title":"Int J Mol Sci","DOI":"10.3390/ijms21155388","ISSN":"1422-0067 (Electronic) 1422-0067 (Linking)","issue":"15","journalAbbreviation":"International journal of molecular sciences","note":"PMCID: PMC7432834","title":"Physical Activity-Dependent Regulation of Parathyroid Hormone and Calcium-Phosphorous Metabolism","volume":"21","author":[{"family":"Lombardi","given":"G."},{"family":"Ziemann","given":"E."},{"family":"Banfi","given":"G."},{"family":"Corbetta","given":"S."}],"issued":{"date-parts":[["2020",7,29]]}}}],"schema":"https://github.com/citation-style-language/schema/raw/master/csl-citation.json"} </w:instrText>
      </w:r>
      <w:r w:rsidR="00617F84"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(61)</w:t>
      </w:r>
      <w:r w:rsidR="00617F84" w:rsidRPr="00024E20">
        <w:rPr>
          <w:rFonts w:ascii="Times New Roman" w:eastAsia="Times New Roman" w:hAnsi="Times New Roman" w:cs="Times New Roman"/>
          <w:color w:val="000000" w:themeColor="text1"/>
          <w:sz w:val="24"/>
          <w:szCs w:val="24"/>
        </w:rPr>
        <w:fldChar w:fldCharType="end"/>
      </w:r>
      <w:r w:rsidR="00617F84" w:rsidRPr="00024E20">
        <w:rPr>
          <w:rFonts w:ascii="Times New Roman" w:eastAsia="Times New Roman" w:hAnsi="Times New Roman" w:cs="Times New Roman"/>
          <w:color w:val="000000" w:themeColor="text1"/>
          <w:sz w:val="24"/>
          <w:szCs w:val="24"/>
        </w:rPr>
        <w:t>.</w:t>
      </w:r>
      <w:bookmarkEnd w:id="9"/>
      <w:r w:rsidR="00617F84"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Total 25(OH)D was higher and PTH lower in COCP users than non-users and POC users</w:t>
      </w:r>
      <w:r w:rsidR="000966CA" w:rsidRPr="00024E20">
        <w:rPr>
          <w:rFonts w:ascii="Times New Roman" w:eastAsia="Times New Roman" w:hAnsi="Times New Roman" w:cs="Times New Roman"/>
          <w:color w:val="000000" w:themeColor="text1"/>
          <w:sz w:val="24"/>
          <w:szCs w:val="24"/>
        </w:rPr>
        <w:t xml:space="preserve"> at both time-points</w:t>
      </w:r>
      <w:r w:rsidRPr="00024E20">
        <w:rPr>
          <w:rFonts w:ascii="Times New Roman" w:eastAsia="Times New Roman" w:hAnsi="Times New Roman" w:cs="Times New Roman"/>
          <w:color w:val="000000" w:themeColor="text1"/>
          <w:sz w:val="24"/>
          <w:szCs w:val="24"/>
        </w:rPr>
        <w:t xml:space="preserve">, </w:t>
      </w:r>
      <w:r w:rsidRPr="00024E20">
        <w:rPr>
          <w:rStyle w:val="mw-headline"/>
          <w:rFonts w:ascii="Times New Roman" w:hAnsi="Times New Roman" w:cs="Times New Roman"/>
          <w:color w:val="000000" w:themeColor="text1"/>
          <w:sz w:val="24"/>
          <w:szCs w:val="24"/>
        </w:rPr>
        <w:t>likely</w:t>
      </w:r>
      <w:r w:rsidRPr="00024E20">
        <w:rPr>
          <w:rFonts w:ascii="Times New Roman" w:hAnsi="Times New Roman" w:cs="Times New Roman"/>
          <w:color w:val="000000" w:themeColor="text1"/>
          <w:sz w:val="24"/>
          <w:szCs w:val="24"/>
        </w:rPr>
        <w:t xml:space="preserve"> due to</w:t>
      </w:r>
      <w:r w:rsidR="00D51E07" w:rsidRPr="00024E20">
        <w:rPr>
          <w:rFonts w:ascii="Times New Roman" w:hAnsi="Times New Roman" w:cs="Times New Roman"/>
          <w:color w:val="000000" w:themeColor="text1"/>
          <w:sz w:val="24"/>
          <w:szCs w:val="24"/>
        </w:rPr>
        <w:t xml:space="preserve"> </w:t>
      </w:r>
      <w:r w:rsidR="00617F84" w:rsidRPr="00024E20">
        <w:rPr>
          <w:rFonts w:ascii="Times New Roman" w:hAnsi="Times New Roman" w:cs="Times New Roman"/>
          <w:color w:val="000000" w:themeColor="text1"/>
          <w:sz w:val="24"/>
          <w:szCs w:val="24"/>
        </w:rPr>
        <w:t xml:space="preserve">the </w:t>
      </w:r>
      <w:r w:rsidR="00D51E07" w:rsidRPr="00024E20">
        <w:rPr>
          <w:rFonts w:ascii="Times New Roman" w:hAnsi="Times New Roman" w:cs="Times New Roman"/>
          <w:color w:val="000000" w:themeColor="text1"/>
          <w:sz w:val="24"/>
          <w:szCs w:val="24"/>
        </w:rPr>
        <w:t>effect</w:t>
      </w:r>
      <w:r w:rsidR="00617F84" w:rsidRPr="00024E20">
        <w:rPr>
          <w:rFonts w:ascii="Times New Roman" w:hAnsi="Times New Roman" w:cs="Times New Roman"/>
          <w:color w:val="000000" w:themeColor="text1"/>
          <w:sz w:val="24"/>
          <w:szCs w:val="24"/>
        </w:rPr>
        <w:t>s</w:t>
      </w:r>
      <w:r w:rsidR="00D51E07" w:rsidRPr="00024E20">
        <w:rPr>
          <w:rFonts w:ascii="Times New Roman" w:hAnsi="Times New Roman" w:cs="Times New Roman"/>
          <w:color w:val="000000" w:themeColor="text1"/>
          <w:sz w:val="24"/>
          <w:szCs w:val="24"/>
        </w:rPr>
        <w:t xml:space="preserve"> of </w:t>
      </w:r>
      <w:r w:rsidRPr="00024E20">
        <w:rPr>
          <w:rFonts w:ascii="Times New Roman" w:hAnsi="Times New Roman" w:cs="Times New Roman"/>
          <w:color w:val="000000" w:themeColor="text1"/>
          <w:sz w:val="24"/>
          <w:szCs w:val="24"/>
        </w:rPr>
        <w:t>ethinyl oestradiol</w:t>
      </w:r>
      <w:r w:rsidR="00617F84" w:rsidRPr="00024E20">
        <w:rPr>
          <w:rFonts w:ascii="Times New Roman" w:hAnsi="Times New Roman" w:cs="Times New Roman"/>
          <w:color w:val="000000" w:themeColor="text1"/>
          <w:sz w:val="24"/>
          <w:szCs w:val="24"/>
        </w:rPr>
        <w:t xml:space="preserve"> on increasing total 25(OH)D</w:t>
      </w:r>
      <w:r w:rsidR="00CF67F8" w:rsidRPr="00024E20">
        <w:rPr>
          <w:rFonts w:ascii="Times New Roman" w:hAnsi="Times New Roman" w:cs="Times New Roman"/>
          <w:color w:val="000000" w:themeColor="text1"/>
          <w:sz w:val="24"/>
          <w:szCs w:val="24"/>
        </w:rPr>
        <w:t xml:space="preserve"> and vitamin D binding protein</w:t>
      </w:r>
      <w:r w:rsidRPr="00024E20">
        <w:rPr>
          <w:rFonts w:ascii="Times New Roman" w:hAnsi="Times New Roman" w:cs="Times New Roman"/>
          <w:color w:val="000000" w:themeColor="text1"/>
          <w:sz w:val="24"/>
          <w:szCs w:val="24"/>
        </w:rPr>
        <w:t xml:space="preserve">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{"citationID":"XGvdeCoo","properties":{"formattedCitation":"(62)","plainCitation":"(62)","noteIndex":0},"citationItems":[{"id":8033,"uris":["http://zotero.org/users/6787375/items/9UMKG4SD"],"itemData":{"id":8033,"type":"article-journal","container-title":"Endocrine Practice","DOI":"10.4158/EP15623.OR","ISSN":"1530891X","issue":"8","journalAbbreviation":"Endocrine Practice","language":"en","page":"936-942","source":"DOI.org (Crossref)","title":"Vitamin D-Binding Protein in Healthy Pre- and Postmenopausal Women: Relationship with Estradiol Concentrations","title-short":"Vitamin D-Binding Protein in Healthy Pre- and Postmenopausal Women","volume":"21","author":[{"family":"Pop","given":"L. Claudia"},{"family":"Shapses","given":"Sue A."},{"family":"Chang","given":"Brian"},{"family":"Sun","given":"Wei"},{"family":"Wang","given":"Xiangbing"}],"issued":{"date-parts":[["2015",8]]}}}],"schema":"https://github.com/citation-style-language/schema/raw/master/csl-citation.json"}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szCs w:val="24"/>
        </w:rPr>
        <w:t>(62)</w:t>
      </w:r>
      <w:r w:rsidRPr="00024E20">
        <w:rPr>
          <w:rFonts w:ascii="Times New Roman" w:hAnsi="Times New Roman" w:cs="Times New Roman"/>
          <w:color w:val="000000" w:themeColor="text1"/>
          <w:sz w:val="24"/>
          <w:szCs w:val="24"/>
        </w:rPr>
        <w:fldChar w:fldCharType="end"/>
      </w:r>
      <w:r w:rsidR="00E136AE" w:rsidRPr="00024E20">
        <w:rPr>
          <w:rFonts w:ascii="Times New Roman" w:hAnsi="Times New Roman" w:cs="Times New Roman"/>
          <w:color w:val="000000" w:themeColor="text1"/>
          <w:sz w:val="24"/>
          <w:szCs w:val="24"/>
        </w:rPr>
        <w:t xml:space="preserve"> that, in turn,</w:t>
      </w:r>
      <w:r w:rsidRPr="00024E20">
        <w:rPr>
          <w:rFonts w:ascii="Times New Roman" w:hAnsi="Times New Roman" w:cs="Times New Roman"/>
          <w:color w:val="000000" w:themeColor="text1"/>
          <w:sz w:val="24"/>
          <w:szCs w:val="24"/>
        </w:rPr>
        <w:t xml:space="preserve"> </w:t>
      </w:r>
      <w:r w:rsidR="00E136AE" w:rsidRPr="00024E20">
        <w:rPr>
          <w:rFonts w:ascii="Times New Roman" w:hAnsi="Times New Roman" w:cs="Times New Roman"/>
          <w:color w:val="000000" w:themeColor="text1"/>
          <w:sz w:val="24"/>
          <w:szCs w:val="24"/>
        </w:rPr>
        <w:t>suppresses</w:t>
      </w:r>
      <w:r w:rsidRPr="00024E20">
        <w:rPr>
          <w:rFonts w:ascii="Times New Roman" w:hAnsi="Times New Roman" w:cs="Times New Roman"/>
          <w:color w:val="000000" w:themeColor="text1"/>
          <w:sz w:val="24"/>
          <w:szCs w:val="24"/>
        </w:rPr>
        <w:t xml:space="preserve"> PTH secretion</w:t>
      </w:r>
      <w:r w:rsidR="00CF67F8" w:rsidRPr="00024E20">
        <w:rPr>
          <w:rFonts w:ascii="Times New Roman" w:hAnsi="Times New Roman" w:cs="Times New Roman"/>
          <w:color w:val="000000" w:themeColor="text1"/>
          <w:sz w:val="24"/>
          <w:szCs w:val="24"/>
        </w:rPr>
        <w:t xml:space="preserve"> through actions of the metaboli</w:t>
      </w:r>
      <w:r w:rsidR="00F42C5F" w:rsidRPr="00024E20">
        <w:rPr>
          <w:rFonts w:ascii="Times New Roman" w:hAnsi="Times New Roman" w:cs="Times New Roman"/>
          <w:color w:val="000000" w:themeColor="text1"/>
          <w:sz w:val="24"/>
          <w:szCs w:val="24"/>
        </w:rPr>
        <w:t>te</w:t>
      </w:r>
      <w:r w:rsidR="00CF67F8" w:rsidRPr="00024E20">
        <w:rPr>
          <w:rFonts w:ascii="Times New Roman" w:hAnsi="Times New Roman" w:cs="Times New Roman"/>
          <w:color w:val="000000" w:themeColor="text1"/>
          <w:sz w:val="24"/>
          <w:szCs w:val="24"/>
        </w:rPr>
        <w:t xml:space="preserve"> 1,25 </w:t>
      </w:r>
      <w:proofErr w:type="spellStart"/>
      <w:r w:rsidR="00CF67F8" w:rsidRPr="00024E20">
        <w:rPr>
          <w:rFonts w:ascii="Times New Roman" w:hAnsi="Times New Roman" w:cs="Times New Roman"/>
          <w:color w:val="000000" w:themeColor="text1"/>
          <w:sz w:val="24"/>
          <w:szCs w:val="24"/>
        </w:rPr>
        <w:t>dihydroxyvitamin</w:t>
      </w:r>
      <w:proofErr w:type="spellEnd"/>
      <w:r w:rsidR="00CF67F8" w:rsidRPr="00024E20">
        <w:rPr>
          <w:rFonts w:ascii="Times New Roman" w:hAnsi="Times New Roman" w:cs="Times New Roman"/>
          <w:color w:val="000000" w:themeColor="text1"/>
          <w:sz w:val="24"/>
          <w:szCs w:val="24"/>
        </w:rPr>
        <w:t xml:space="preserve"> D </w:t>
      </w:r>
      <w:r w:rsidRPr="00024E20">
        <w:rPr>
          <w:rFonts w:ascii="Times New Roman" w:hAnsi="Times New Roman" w:cs="Times New Roman"/>
          <w:color w:val="000000" w:themeColor="text1"/>
          <w:sz w:val="24"/>
          <w:szCs w:val="24"/>
        </w:rPr>
        <w:fldChar w:fldCharType="begin"/>
      </w:r>
      <w:r w:rsidR="00B0769B" w:rsidRPr="00024E20">
        <w:rPr>
          <w:rFonts w:ascii="Times New Roman" w:hAnsi="Times New Roman" w:cs="Times New Roman"/>
          <w:color w:val="000000" w:themeColor="text1"/>
          <w:sz w:val="24"/>
          <w:szCs w:val="24"/>
        </w:rPr>
        <w:instrText xml:space="preserve"> ADDIN ZOTERO_ITEM CSL_CITATION {"citationID":"oy4waBOc","properties":{"formattedCitation":"(61)","plainCitation":"(61)","noteIndex":0},"citationItems":[{"id":5146,"uris":["http://zotero.org/users/6787375/items/CJLIQZI6"],"itemData":{"id":5146,"type":"article-journal","abstract":"Exercise perturbs homeostasis, alters the levels of circulating mediators and hormones, and increases the demand by skeletal muscles and other vital organs for energy substrates. Exercise also affects bone and mineral metabolism, particularly calcium and phosphate, both of which are essential for muscle contraction, neuromuscular signaling, biosynthesis of adenosine triphosphate (ATP), and other energy substrates. Parathyroid hormone (PTH) is involved in the regulation of calcium and phosphate homeostasis. Understanding the effects of exercise on PTH secretion is fundamental for appreciating how the body adapts to exercise. Altered PTH metabolism underlies hyperparathyroidism and hypoparathyroidism, the complications of which affect the organs involved in calcium and phosphorous metabolism (bone and kidney) and other body systems as well. Exercise affects PTH expression and secretion by altering the circulating levels of calcium and phosphate. In turn, PTH responds directly to exercise and exercise-induced myokines. Here, we review the main concepts of the regulation of PTH expression and secretion under physiological conditions, in acute and chronic exercise, and in relation to PTH-related disorders.","container-title":"Int J Mol Sci","DOI":"10.3390/ijms21155388","ISSN":"1422-0067 (Electronic) 1422-0067 (Linking)","issue":"15","journalAbbreviation":"International journal of molecular sciences","note":"PMCID: PMC7432834","title":"Physical Activity-Dependent Regulation of Parathyroid Hormone and Calcium-Phosphorous Metabolism","volume":"21","author":[{"family":"Lombardi","given":"G."},{"family":"Ziemann","given":"E."},{"family":"Banfi","given":"G."},{"family":"Corbetta","given":"S."}],"issued":{"date-parts":[["2020",7,29]]}}}],"schema":"https://github.com/citation-style-language/schema/raw/master/csl-citation.json"} </w:instrText>
      </w:r>
      <w:r w:rsidRPr="00024E20">
        <w:rPr>
          <w:rFonts w:ascii="Times New Roman" w:hAnsi="Times New Roman" w:cs="Times New Roman"/>
          <w:color w:val="000000" w:themeColor="text1"/>
          <w:sz w:val="24"/>
          <w:szCs w:val="24"/>
        </w:rPr>
        <w:fldChar w:fldCharType="separate"/>
      </w:r>
      <w:r w:rsidR="00B0769B" w:rsidRPr="00024E20">
        <w:rPr>
          <w:rFonts w:ascii="Times New Roman" w:hAnsi="Times New Roman" w:cs="Times New Roman"/>
          <w:color w:val="000000" w:themeColor="text1"/>
          <w:sz w:val="24"/>
          <w:szCs w:val="24"/>
        </w:rPr>
        <w:t>(61)</w:t>
      </w:r>
      <w:r w:rsidRPr="00024E20">
        <w:rPr>
          <w:rFonts w:ascii="Times New Roman" w:hAnsi="Times New Roman" w:cs="Times New Roman"/>
          <w:color w:val="000000" w:themeColor="text1"/>
          <w:sz w:val="24"/>
          <w:szCs w:val="24"/>
        </w:rPr>
        <w:fldChar w:fldCharType="end"/>
      </w:r>
      <w:r w:rsidRPr="00024E20">
        <w:rPr>
          <w:rFonts w:ascii="Times New Roman" w:hAnsi="Times New Roman" w:cs="Times New Roman"/>
          <w:color w:val="000000" w:themeColor="text1"/>
          <w:sz w:val="24"/>
          <w:szCs w:val="24"/>
        </w:rPr>
        <w:t>.</w:t>
      </w:r>
      <w:r w:rsidR="00617F84" w:rsidRPr="00024E20">
        <w:rPr>
          <w:rFonts w:ascii="Times New Roman" w:eastAsia="Times New Roman" w:hAnsi="Times New Roman" w:cs="Times New Roman"/>
          <w:color w:val="000000" w:themeColor="text1"/>
          <w:sz w:val="24"/>
          <w:szCs w:val="24"/>
        </w:rPr>
        <w:t xml:space="preserve"> </w:t>
      </w:r>
    </w:p>
    <w:p w14:paraId="4692889A" w14:textId="77777777" w:rsidR="00430357" w:rsidRPr="00024E20" w:rsidRDefault="00430357" w:rsidP="00430357">
      <w:pPr>
        <w:spacing w:after="0" w:line="480" w:lineRule="auto"/>
        <w:jc w:val="both"/>
        <w:rPr>
          <w:rFonts w:ascii="Times New Roman" w:eastAsia="Times New Roman" w:hAnsi="Times New Roman" w:cs="Times New Roman"/>
          <w:color w:val="000000" w:themeColor="text1"/>
          <w:sz w:val="24"/>
          <w:szCs w:val="24"/>
        </w:rPr>
      </w:pPr>
    </w:p>
    <w:p w14:paraId="456F2663" w14:textId="70C7F96E"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Musculoskeletal Injur</w:t>
      </w:r>
      <w:r w:rsidR="00AC6B69" w:rsidRPr="00024E20">
        <w:rPr>
          <w:rFonts w:ascii="Times New Roman" w:eastAsia="Times New Roman" w:hAnsi="Times New Roman" w:cs="Times New Roman"/>
          <w:i/>
          <w:color w:val="000000" w:themeColor="text1"/>
          <w:sz w:val="24"/>
          <w:szCs w:val="24"/>
        </w:rPr>
        <w:t>ies</w:t>
      </w:r>
      <w:r w:rsidR="009C68EB" w:rsidRPr="00024E20">
        <w:rPr>
          <w:rFonts w:ascii="Times New Roman" w:eastAsia="Times New Roman" w:hAnsi="Times New Roman" w:cs="Times New Roman"/>
          <w:i/>
          <w:color w:val="000000" w:themeColor="text1"/>
          <w:sz w:val="24"/>
          <w:szCs w:val="24"/>
        </w:rPr>
        <w:t xml:space="preserve"> and </w:t>
      </w:r>
      <w:r w:rsidR="00E136AE" w:rsidRPr="00024E20">
        <w:rPr>
          <w:rFonts w:ascii="Times New Roman" w:eastAsia="Times New Roman" w:hAnsi="Times New Roman" w:cs="Times New Roman"/>
          <w:i/>
          <w:color w:val="000000" w:themeColor="text1"/>
          <w:sz w:val="24"/>
          <w:szCs w:val="24"/>
        </w:rPr>
        <w:t>Bone Stress Injuries</w:t>
      </w:r>
      <w:r w:rsidR="006F48B1" w:rsidRPr="00024E20">
        <w:rPr>
          <w:rFonts w:ascii="Times New Roman" w:eastAsia="Times New Roman" w:hAnsi="Times New Roman" w:cs="Times New Roman"/>
          <w:i/>
          <w:color w:val="000000" w:themeColor="text1"/>
          <w:sz w:val="24"/>
          <w:szCs w:val="24"/>
        </w:rPr>
        <w:t xml:space="preserve"> </w:t>
      </w:r>
    </w:p>
    <w:p w14:paraId="0D1C882B" w14:textId="64E825C9" w:rsidR="00430357" w:rsidRPr="00024E20" w:rsidRDefault="002049D3" w:rsidP="00832E9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There was no evidence of associations between hormonal contraceptive use and developing a lower </w:t>
      </w:r>
      <w:r w:rsidR="0009133F" w:rsidRPr="00024E20">
        <w:rPr>
          <w:rFonts w:ascii="Times New Roman" w:eastAsia="Times New Roman" w:hAnsi="Times New Roman" w:cs="Times New Roman"/>
          <w:color w:val="000000" w:themeColor="text1"/>
          <w:sz w:val="24"/>
          <w:szCs w:val="24"/>
        </w:rPr>
        <w:t>body</w:t>
      </w:r>
      <w:r w:rsidRPr="00024E20">
        <w:rPr>
          <w:rFonts w:ascii="Times New Roman" w:eastAsia="Times New Roman" w:hAnsi="Times New Roman" w:cs="Times New Roman"/>
          <w:color w:val="000000" w:themeColor="text1"/>
          <w:sz w:val="24"/>
          <w:szCs w:val="24"/>
        </w:rPr>
        <w:t xml:space="preserve"> </w:t>
      </w:r>
      <w:r w:rsidR="00283B70" w:rsidRPr="00024E20">
        <w:rPr>
          <w:rFonts w:ascii="Times New Roman" w:eastAsia="Times New Roman" w:hAnsi="Times New Roman" w:cs="Times New Roman"/>
          <w:color w:val="000000" w:themeColor="text1"/>
          <w:sz w:val="24"/>
          <w:szCs w:val="24"/>
        </w:rPr>
        <w:t xml:space="preserve">overuse </w:t>
      </w:r>
      <w:r w:rsidRPr="00024E20">
        <w:rPr>
          <w:rFonts w:ascii="Times New Roman" w:eastAsia="Times New Roman" w:hAnsi="Times New Roman" w:cs="Times New Roman"/>
          <w:color w:val="000000" w:themeColor="text1"/>
          <w:sz w:val="24"/>
          <w:szCs w:val="24"/>
        </w:rPr>
        <w:t>musculoskeletal injury</w:t>
      </w:r>
      <w:r w:rsidR="00DF006C" w:rsidRPr="00024E20">
        <w:rPr>
          <w:rFonts w:ascii="Times New Roman" w:eastAsia="Times New Roman" w:hAnsi="Times New Roman" w:cs="Times New Roman"/>
          <w:color w:val="000000" w:themeColor="text1"/>
          <w:sz w:val="24"/>
          <w:szCs w:val="24"/>
        </w:rPr>
        <w:t xml:space="preserve"> in training</w:t>
      </w:r>
      <w:r w:rsidR="007D1510" w:rsidRPr="00024E20">
        <w:rPr>
          <w:rFonts w:ascii="Times New Roman" w:eastAsia="Times New Roman" w:hAnsi="Times New Roman" w:cs="Times New Roman"/>
          <w:color w:val="000000" w:themeColor="text1"/>
          <w:sz w:val="24"/>
          <w:szCs w:val="24"/>
        </w:rPr>
        <w:t xml:space="preserve">. Beyond the role of maintenance of bone, oestradiol plays an important role in muscle, tendon, and ligament function, resulting in decreased tendon and ligament laxity, which may impact musculoskeletal injury risk </w:t>
      </w:r>
      <w:r w:rsidR="007D1510" w:rsidRPr="00024E20">
        <w:rPr>
          <w:rFonts w:ascii="Times New Roman" w:eastAsia="Times New Roman" w:hAnsi="Times New Roman" w:cs="Times New Roman"/>
          <w:color w:val="000000" w:themeColor="text1"/>
          <w:sz w:val="24"/>
          <w:szCs w:val="24"/>
        </w:rPr>
        <w:fldChar w:fldCharType="begin"/>
      </w:r>
      <w:r w:rsidR="007D1510" w:rsidRPr="00024E20">
        <w:rPr>
          <w:rFonts w:ascii="Times New Roman" w:eastAsia="Times New Roman" w:hAnsi="Times New Roman" w:cs="Times New Roman"/>
          <w:color w:val="000000" w:themeColor="text1"/>
          <w:sz w:val="24"/>
          <w:szCs w:val="24"/>
        </w:rPr>
        <w:instrText xml:space="preserve"> ADDIN ZOTERO_ITEM CSL_CITATION {"citationID":"l3raDOef","properties":{"formattedCitation":"(5)","plainCitation":"(5)","noteIndex":0},"citationItems":[{"id":2854,"uris":["http://zotero.org/users/6787375/items/L8M2CIX3"],"itemData":{"id":2854,"type":"article-journal","abstract":"Estrogen has a dramatic effect on musculoskeletal function. Beyond the known relationship between estrogen and bone, it directly affects the structure and function of other musculoskeletal tissues such as muscle, tendon, and ligament. In these other musculoskeletal tissues, estrogen improves muscle mass and strength, and increases the collagen content of connective tissues. However, unlike bone and muscle where estrogen improves function, in tendons and ligaments estrogen decreases stiffness, and this directly affects performance and injury rates. High estrogen levels can decrease power and performance and make women more prone for catastrophic ligament injury. The goal of the current work is to review the research that forms the basis of our understanding how estrogen affects muscle, tendon, and ligament and how hormonal manipulation can be used to optimize performance and promote female participation in an active lifestyle at any age.","container-title":"Front Physiol","DOI":"10.3389/fphys.2018.01834","ISSN":"1664-042X (Print) 1664-042X (Linking)","journalAbbreviation":"Frontiers in physiology","note":"PMCID: PMC6341375","page":"1834","title":"Effect of Estrogen on Musculoskeletal Performance and Injury Risk","volume":"9","author":[{"family":"Chidi-Ogbolu","given":"N."},{"family":"Baar","given":"K."}],"issued":{"date-parts":[["2018"]]}}}],"schema":"https://github.com/citation-style-language/schema/raw/master/csl-citation.json"} </w:instrText>
      </w:r>
      <w:r w:rsidR="007D1510"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(5)</w:t>
      </w:r>
      <w:r w:rsidR="007D1510" w:rsidRPr="00024E20">
        <w:rPr>
          <w:rFonts w:ascii="Times New Roman" w:eastAsia="Times New Roman" w:hAnsi="Times New Roman" w:cs="Times New Roman"/>
          <w:color w:val="000000" w:themeColor="text1"/>
          <w:sz w:val="24"/>
          <w:szCs w:val="24"/>
        </w:rPr>
        <w:fldChar w:fldCharType="end"/>
      </w:r>
      <w:r w:rsidR="007D1510" w:rsidRPr="00024E20">
        <w:rPr>
          <w:rFonts w:ascii="Times New Roman" w:eastAsia="Times New Roman" w:hAnsi="Times New Roman" w:cs="Times New Roman"/>
          <w:color w:val="000000" w:themeColor="text1"/>
          <w:sz w:val="24"/>
          <w:szCs w:val="24"/>
        </w:rPr>
        <w:t xml:space="preserve">. </w:t>
      </w:r>
      <w:r w:rsidR="00DF006C" w:rsidRPr="00024E20">
        <w:rPr>
          <w:rFonts w:ascii="Times New Roman" w:eastAsia="Times New Roman" w:hAnsi="Times New Roman" w:cs="Times New Roman"/>
          <w:color w:val="000000" w:themeColor="text1"/>
          <w:sz w:val="24"/>
          <w:szCs w:val="24"/>
        </w:rPr>
        <w:t>T</w:t>
      </w:r>
      <w:r w:rsidR="00AF13A3" w:rsidRPr="00024E20">
        <w:rPr>
          <w:rFonts w:ascii="Times New Roman" w:eastAsia="Times New Roman" w:hAnsi="Times New Roman" w:cs="Times New Roman"/>
          <w:color w:val="000000" w:themeColor="text1"/>
          <w:sz w:val="24"/>
          <w:szCs w:val="24"/>
        </w:rPr>
        <w:t>he</w:t>
      </w:r>
      <w:r w:rsidR="00DF006C" w:rsidRPr="00024E20">
        <w:rPr>
          <w:rFonts w:ascii="Times New Roman" w:eastAsia="Times New Roman" w:hAnsi="Times New Roman" w:cs="Times New Roman"/>
          <w:color w:val="000000" w:themeColor="text1"/>
          <w:sz w:val="24"/>
          <w:szCs w:val="24"/>
        </w:rPr>
        <w:t xml:space="preserve"> higher total 25(OH)D in</w:t>
      </w:r>
      <w:r w:rsidR="00AF13A3" w:rsidRPr="00024E20">
        <w:rPr>
          <w:rFonts w:ascii="Times New Roman" w:eastAsia="Times New Roman" w:hAnsi="Times New Roman" w:cs="Times New Roman"/>
          <w:color w:val="000000" w:themeColor="text1"/>
          <w:sz w:val="24"/>
          <w:szCs w:val="24"/>
        </w:rPr>
        <w:t xml:space="preserve"> COCP</w:t>
      </w:r>
      <w:r w:rsidR="00DF006C" w:rsidRPr="00024E20">
        <w:rPr>
          <w:rFonts w:ascii="Times New Roman" w:eastAsia="Times New Roman" w:hAnsi="Times New Roman" w:cs="Times New Roman"/>
          <w:color w:val="000000" w:themeColor="text1"/>
          <w:sz w:val="24"/>
          <w:szCs w:val="24"/>
        </w:rPr>
        <w:t xml:space="preserve"> users compared with non-users and POC users</w:t>
      </w:r>
      <w:r w:rsidR="00AF13A3" w:rsidRPr="00024E20">
        <w:rPr>
          <w:rFonts w:ascii="Times New Roman" w:eastAsia="Times New Roman" w:hAnsi="Times New Roman" w:cs="Times New Roman"/>
          <w:color w:val="000000" w:themeColor="text1"/>
          <w:sz w:val="24"/>
          <w:szCs w:val="24"/>
        </w:rPr>
        <w:t>, could protect</w:t>
      </w:r>
      <w:r w:rsidR="00A8305E" w:rsidRPr="00024E20">
        <w:rPr>
          <w:rFonts w:ascii="Times New Roman" w:eastAsia="Times New Roman" w:hAnsi="Times New Roman" w:cs="Times New Roman"/>
          <w:color w:val="000000" w:themeColor="text1"/>
          <w:sz w:val="24"/>
          <w:szCs w:val="24"/>
        </w:rPr>
        <w:t xml:space="preserve"> against</w:t>
      </w:r>
      <w:r w:rsidR="00AF13A3" w:rsidRPr="00024E20">
        <w:rPr>
          <w:rFonts w:ascii="Times New Roman" w:eastAsia="Times New Roman" w:hAnsi="Times New Roman" w:cs="Times New Roman"/>
          <w:color w:val="000000" w:themeColor="text1"/>
          <w:sz w:val="24"/>
          <w:szCs w:val="24"/>
        </w:rPr>
        <w:t xml:space="preserve"> musculoskeletal injuries in basic military training </w:t>
      </w:r>
      <w:r w:rsidR="00AF13A3" w:rsidRPr="00024E20">
        <w:rPr>
          <w:rFonts w:ascii="Times New Roman" w:eastAsia="Times New Roman" w:hAnsi="Times New Roman" w:cs="Times New Roman"/>
          <w:color w:val="000000" w:themeColor="text1"/>
          <w:sz w:val="24"/>
          <w:szCs w:val="24"/>
        </w:rPr>
        <w:fldChar w:fldCharType="begin"/>
      </w:r>
      <w:r w:rsidR="00091081" w:rsidRPr="00024E20">
        <w:rPr>
          <w:rFonts w:ascii="Times New Roman" w:eastAsia="Times New Roman" w:hAnsi="Times New Roman" w:cs="Times New Roman"/>
          <w:color w:val="000000" w:themeColor="text1"/>
          <w:sz w:val="24"/>
          <w:szCs w:val="24"/>
        </w:rPr>
        <w:instrText xml:space="preserve"> ADDIN ZOTERO_ITEM CSL_CITATION {"citationID":"as73DzAX","properties":{"formattedCitation":"(25, 38)","plainCitation":"(25, 38)","noteIndex":0},"citationItems":[{"id":8074,"uris":["http://zotero.org/users/6787375/items/TQPI5AJ4"],"itemData":{"id":8074,"type":"article-journal","abstract":"ABSTRACT\n            \n              The relationship between vitamin D metabolites and lower body (pelvis and lower limb) overuse injury is unclear. In a prospective cohort study, we investigated the association between vitamin D metabolites and incidence of lower body overuse musculoskeletal and bone stress injury in young adults undergoing initial military training during all seasons. In 1637 men and 530 women (aged 22.6 ± 7.5 years; body mass index [BMI], 24.0 ± 2.6 kg/m\n              ‐\n              2\n              ; 94.3% white ethnicity), we measured serum 25‐hydroxyvitamin D (25(OH)D) and 24,25‐dihydroxyvitamin D (24,25(OH)\n              2\n              D) by high‐performance liquid chromatography tandem mass spectrometry, and 1,25‐dihydroxyvitamin D (1,25(OH)\n              2\n              D) by immunoassay during week 1 of training. We examined whether the relationship between 25(OH)D and 1,25(OH)\n              2\n              D:24,25(OH)\n              2\n              D ratio was associated with overuse injury. During 12 weeks of training, 21.0% sustained ≥1 overuse musculoskeletal injury, and 5.6% sustained ≥1 bone stress injury. After controlling for sex, BMI, 2.4 km run time, smoking, bone injury history, and Army training course (Officer, standard, or Infantry), lower body overuse musculoskeletal injury incidence was higher for participants within the second lowest versus highest quartile of 24,25(OH)\n              2\n              D (odds ratio [OR] = 1.62; 95% confidence interval [CI] 1.13–2.32;\n              p\n               = 0.009) and lowest versus highest cluster of 25(OH)D and 1,25(OH)\n              2\n              D:24,25(OH)\n              2\n              D (OR = 6.30; 95% CI 1.89–21.2;\n              p\n               = 0.003). Lower body bone stress injury incidence was higher for participants within the lowest versus highest quartile of 24,25(OH)\n              2\n              D (OR = 4.02; 95% CI 1.82–8.87;\n              p\n               &lt; 0.001) and lowest versus highest cluster of 25(OH)D and 1,25(OH)\n              2\n              D:24,25(OH)\n              2\n              D (OR = 22.08; 95% CI 3.26–149.4;\n              p\n               = 0.001), after controlling for the same covariates. Greater conversion of 25(OH)D to 24,25(OH)\n              2\n              D, relative to 1,25(OH)\n              2\n              D (ie, low 1,25(OH)\n              2\n              D:24,25(OH)\n              2\n              D), and higher serum 24,25(OH)\n              2\n              D were associated with a lower incidence of lower body overuse musculoskeletal and bone stress injury. Serum 24,25(OH)\n              2\n              D may have a role in preventing overuse injury in young adults undertaking arduous physical training. © 2023 Crown copyright and The Authors.\n              Journal of Bone and Mineral Research\n              published by Wiley Periodicals LLC on behalf of American Society for Bone and Mineral Research (ASBMR). This article is published with the permission of the Controller of HMSO and the King's Printer for Scotland.","container-title":"Journal of Bone and Mineral Research","DOI":"10.1002/jbmr.4890","ISSN":"0884-0431, 1523-4681","journalAbbreviation":"J of Bone &amp; Mineral Res","language":"en","page":"jbmr.4890","source":"DOI.org (Crossref)","title":"Vitamin D Metabolites Are Associated With Musculoskeletal Injury in Young Adults: A Prospective Cohort Study","title-short":"Vitamin D Metabolites Are Associated With Musculoskeletal Injury in Young Adults","author":[{"family":"Carswell","given":"Alexander T"},{"family":"O'Leary","given":"Thomas J"},{"family":"Swinton","given":"Paul"},{"family":"Jackson","given":"Sarah"},{"family":"Tang","given":"Jonathan Cy"},{"family":"Oliver","given":"Samuel J"},{"family":"Izard","given":"Rachel M"},{"family":"Walsh","given":"Neil P"},{"family":"Fraser","given":"William D"},{"family":"Greeves","given":"Julie P"}],"issued":{"date-parts":[["2023",8,30]]}}},{"id":3091,"uris":["http://zotero.org/users/6787375/items/6INEUWD8"],"itemData":{"id":3091,"type":"article-journal","abstract":"BACKGROUND: Low serum 25-hydroxyvitamin D (25(OH)D) levels have been associated with stress fractures in various physically active populations such as the military. PURPOSE: To examine the association between serum 25(OH)D levels and stress fractures in the military. STUDY DESIGN: Systematic review and meta-analysis. METHODS: Relevant studies were identified through searching multiple databases and manually screening reference lists. Two reviewers independently selected the included studies by applying the eligibility criteria to the title, abstract, and/or full text of the articles yielded in the search. Two reviewers also independently conducted the methodological quality assessment and data extraction. A random-effects model was used to calculate the mean difference (MD) with 95% CI in serum 25(OH)D levels between stress fracture cases and controls. RESULTS: Nine observational studies on lower extremity stress fractures were eligible, and 1 was excluded due to inadequate data. A total of 2634 military personnel (age, 18-30 years; 44% male) with 761 cases (16% male) and 1873 controls (61% male) from 8 studies were included in the analysis. Three of the 8 studies measured serum 25(OH)D levels at the time of stress fracture diagnosis, and the 5 remaining studies measured serum 25(OH)D levels at the time of entry into basic training. The mean serum 25(OH)D level was lower in stress fracture cases than in controls at the time of entry into basic training (MD, -2.63 ng/mL; 95% CI, -5.80 to 0.54; P = .10; I(2) = 65%) and at the time of stress fracture diagnosis (MD, -2.26 ng/mL; 95% CI, -3.89 to -0.63; P = .007; I(2) = 42%). CONCLUSION: Despite the inherent limitations of the included studies, the study results suggest some association between low serum 25(OH)D levels and lower extremity stress fractures in military personnel. Given the rigorous training of military personnel, implementing strategies to ensure sufficient 25(OH)D levels may be beneficial for reducing the risk of stress fractures.","container-title":"Am J Sports Med","DOI":"10.1177/0363546514555971","ISSN":"1552-3365 (Electronic) 0363-5465 (Linking)","issue":"8","page":"2064-72","title":"Serum 25-Hydroxyvitamin D Levels and Stress Fractures in Military Personnel: A Systematic Review and Meta-analysis","volume":"43","author":[{"family":"Dao","given":"D."},{"family":"Sodhi","given":"S."},{"family":"Tabasinejad","given":"R."},{"family":"Peterson","given":"D."},{"family":"Ayeni","given":"O. R."},{"family":"Bhandari","given":"M."},{"family":"Farrokhyar","given":"F."}],"issued":{"date-parts":[["2015",8]]}}}],"schema":"https://github.com/citation-style-language/schema/raw/master/csl-citation.json"} </w:instrText>
      </w:r>
      <w:r w:rsidR="00AF13A3" w:rsidRPr="00024E20">
        <w:rPr>
          <w:rFonts w:ascii="Times New Roman" w:eastAsia="Times New Roman" w:hAnsi="Times New Roman" w:cs="Times New Roman"/>
          <w:color w:val="000000" w:themeColor="text1"/>
          <w:sz w:val="24"/>
          <w:szCs w:val="24"/>
        </w:rPr>
        <w:fldChar w:fldCharType="separate"/>
      </w:r>
      <w:r w:rsidR="00091081" w:rsidRPr="00024E20">
        <w:rPr>
          <w:rFonts w:ascii="Times New Roman" w:hAnsi="Times New Roman" w:cs="Times New Roman"/>
          <w:color w:val="000000" w:themeColor="text1"/>
          <w:sz w:val="24"/>
        </w:rPr>
        <w:t>(25, 38)</w:t>
      </w:r>
      <w:r w:rsidR="00AF13A3" w:rsidRPr="00024E20">
        <w:rPr>
          <w:rFonts w:ascii="Times New Roman" w:eastAsia="Times New Roman" w:hAnsi="Times New Roman" w:cs="Times New Roman"/>
          <w:color w:val="000000" w:themeColor="text1"/>
          <w:sz w:val="24"/>
          <w:szCs w:val="24"/>
        </w:rPr>
        <w:fldChar w:fldCharType="end"/>
      </w:r>
      <w:r w:rsidR="00CF67F8" w:rsidRPr="00024E20">
        <w:rPr>
          <w:rFonts w:ascii="Times New Roman" w:eastAsia="Times New Roman" w:hAnsi="Times New Roman" w:cs="Times New Roman"/>
          <w:color w:val="000000" w:themeColor="text1"/>
          <w:sz w:val="24"/>
          <w:szCs w:val="24"/>
        </w:rPr>
        <w:t xml:space="preserve">, although we did not measure </w:t>
      </w:r>
      <w:r w:rsidR="00091081" w:rsidRPr="00024E20">
        <w:rPr>
          <w:rFonts w:ascii="Times New Roman" w:eastAsia="Times New Roman" w:hAnsi="Times New Roman" w:cs="Times New Roman"/>
          <w:color w:val="000000" w:themeColor="text1"/>
          <w:sz w:val="24"/>
          <w:szCs w:val="24"/>
        </w:rPr>
        <w:t xml:space="preserve">vitamin D metabolites, </w:t>
      </w:r>
      <w:r w:rsidR="00CF67F8" w:rsidRPr="00024E20">
        <w:rPr>
          <w:rFonts w:ascii="Times New Roman" w:eastAsia="Times New Roman" w:hAnsi="Times New Roman" w:cs="Times New Roman"/>
          <w:color w:val="000000" w:themeColor="text1"/>
          <w:sz w:val="24"/>
          <w:szCs w:val="24"/>
        </w:rPr>
        <w:t>the vitamin D binding protein</w:t>
      </w:r>
      <w:r w:rsidR="00091081" w:rsidRPr="00024E20">
        <w:rPr>
          <w:rFonts w:ascii="Times New Roman" w:eastAsia="Times New Roman" w:hAnsi="Times New Roman" w:cs="Times New Roman"/>
          <w:color w:val="000000" w:themeColor="text1"/>
          <w:sz w:val="24"/>
          <w:szCs w:val="24"/>
        </w:rPr>
        <w:t xml:space="preserve">, </w:t>
      </w:r>
      <w:r w:rsidR="00CF67F8" w:rsidRPr="00024E20">
        <w:rPr>
          <w:rFonts w:ascii="Times New Roman" w:eastAsia="Times New Roman" w:hAnsi="Times New Roman" w:cs="Times New Roman"/>
          <w:color w:val="000000" w:themeColor="text1"/>
          <w:sz w:val="24"/>
          <w:szCs w:val="24"/>
        </w:rPr>
        <w:t>and free vitamin D.</w:t>
      </w:r>
      <w:r w:rsidR="00AF13A3" w:rsidRPr="00024E20">
        <w:rPr>
          <w:rFonts w:ascii="Times New Roman" w:eastAsia="Times New Roman" w:hAnsi="Times New Roman" w:cs="Times New Roman"/>
          <w:color w:val="000000" w:themeColor="text1"/>
          <w:sz w:val="24"/>
          <w:szCs w:val="24"/>
        </w:rPr>
        <w:t xml:space="preserve"> We grouped all types of lower </w:t>
      </w:r>
      <w:r w:rsidR="0009133F" w:rsidRPr="00024E20">
        <w:rPr>
          <w:rFonts w:ascii="Times New Roman" w:eastAsia="Times New Roman" w:hAnsi="Times New Roman" w:cs="Times New Roman"/>
          <w:color w:val="000000" w:themeColor="text1"/>
          <w:sz w:val="24"/>
          <w:szCs w:val="24"/>
        </w:rPr>
        <w:t>body</w:t>
      </w:r>
      <w:r w:rsidR="00AF13A3" w:rsidRPr="00024E20">
        <w:rPr>
          <w:rFonts w:ascii="Times New Roman" w:eastAsia="Times New Roman" w:hAnsi="Times New Roman" w:cs="Times New Roman"/>
          <w:color w:val="000000" w:themeColor="text1"/>
          <w:sz w:val="24"/>
          <w:szCs w:val="24"/>
        </w:rPr>
        <w:t xml:space="preserve"> overuse musculoskeletal injuries so differences in injury aetiology will have masked any associations between hormonal contraceptive use and specifi</w:t>
      </w:r>
      <w:r w:rsidR="00C71E11" w:rsidRPr="00024E20">
        <w:rPr>
          <w:rFonts w:ascii="Times New Roman" w:eastAsia="Times New Roman" w:hAnsi="Times New Roman" w:cs="Times New Roman"/>
          <w:color w:val="000000" w:themeColor="text1"/>
          <w:sz w:val="24"/>
          <w:szCs w:val="24"/>
        </w:rPr>
        <w:t xml:space="preserve">c </w:t>
      </w:r>
      <w:r w:rsidR="00AF13A3" w:rsidRPr="00024E20">
        <w:rPr>
          <w:rFonts w:ascii="Times New Roman" w:eastAsia="Times New Roman" w:hAnsi="Times New Roman" w:cs="Times New Roman"/>
          <w:color w:val="000000" w:themeColor="text1"/>
          <w:sz w:val="24"/>
          <w:szCs w:val="24"/>
        </w:rPr>
        <w:t xml:space="preserve">injury types. </w:t>
      </w:r>
      <w:r w:rsidR="007D1510" w:rsidRPr="00024E20">
        <w:rPr>
          <w:rFonts w:ascii="Times New Roman" w:eastAsia="Times New Roman" w:hAnsi="Times New Roman" w:cs="Times New Roman"/>
          <w:color w:val="000000" w:themeColor="text1"/>
          <w:sz w:val="24"/>
          <w:szCs w:val="24"/>
        </w:rPr>
        <w:t xml:space="preserve">There is some evidence that oral contraceptive pills (both COCP and progestin-only pills) </w:t>
      </w:r>
      <w:r w:rsidR="005B59F2" w:rsidRPr="00024E20">
        <w:rPr>
          <w:rFonts w:ascii="Times New Roman" w:eastAsia="Times New Roman" w:hAnsi="Times New Roman" w:cs="Times New Roman"/>
          <w:color w:val="000000" w:themeColor="text1"/>
          <w:sz w:val="24"/>
          <w:szCs w:val="24"/>
        </w:rPr>
        <w:t xml:space="preserve">reduce </w:t>
      </w:r>
      <w:r w:rsidR="003E6B15" w:rsidRPr="00024E20">
        <w:rPr>
          <w:rFonts w:ascii="Times New Roman" w:eastAsia="Times New Roman" w:hAnsi="Times New Roman" w:cs="Times New Roman"/>
          <w:color w:val="000000" w:themeColor="text1"/>
          <w:sz w:val="24"/>
          <w:szCs w:val="24"/>
        </w:rPr>
        <w:t xml:space="preserve">the </w:t>
      </w:r>
      <w:r w:rsidR="007D1510" w:rsidRPr="00024E20">
        <w:rPr>
          <w:rFonts w:ascii="Times New Roman" w:eastAsia="Times New Roman" w:hAnsi="Times New Roman" w:cs="Times New Roman"/>
          <w:color w:val="000000" w:themeColor="text1"/>
          <w:sz w:val="24"/>
          <w:szCs w:val="24"/>
        </w:rPr>
        <w:t>risk of anterior cruciate ligament</w:t>
      </w:r>
      <w:r w:rsidR="003E6B15" w:rsidRPr="00024E20">
        <w:rPr>
          <w:rFonts w:ascii="Times New Roman" w:eastAsia="Times New Roman" w:hAnsi="Times New Roman" w:cs="Times New Roman"/>
          <w:color w:val="000000" w:themeColor="text1"/>
          <w:sz w:val="24"/>
          <w:szCs w:val="24"/>
        </w:rPr>
        <w:t xml:space="preserve"> injuries</w:t>
      </w:r>
      <w:r w:rsidR="00A93970" w:rsidRPr="00024E20">
        <w:rPr>
          <w:rFonts w:ascii="Times New Roman" w:eastAsia="Times New Roman" w:hAnsi="Times New Roman" w:cs="Times New Roman"/>
          <w:color w:val="000000" w:themeColor="text1"/>
          <w:sz w:val="24"/>
          <w:szCs w:val="24"/>
        </w:rPr>
        <w:t xml:space="preserve"> compared with non-users</w:t>
      </w:r>
      <w:r w:rsidR="003E6B15" w:rsidRPr="00024E20">
        <w:rPr>
          <w:rFonts w:ascii="Times New Roman" w:eastAsia="Times New Roman" w:hAnsi="Times New Roman" w:cs="Times New Roman"/>
          <w:color w:val="000000" w:themeColor="text1"/>
          <w:sz w:val="24"/>
          <w:szCs w:val="24"/>
        </w:rPr>
        <w:t xml:space="preserve"> </w:t>
      </w:r>
      <w:r w:rsidR="007D1510" w:rsidRPr="00024E20">
        <w:rPr>
          <w:rFonts w:ascii="Times New Roman" w:eastAsia="Times New Roman" w:hAnsi="Times New Roman" w:cs="Times New Roman"/>
          <w:color w:val="000000" w:themeColor="text1"/>
          <w:sz w:val="24"/>
          <w:szCs w:val="24"/>
        </w:rPr>
        <w:fldChar w:fldCharType="begin"/>
      </w:r>
      <w:r w:rsidR="007D1510" w:rsidRPr="00024E20">
        <w:rPr>
          <w:rFonts w:ascii="Times New Roman" w:eastAsia="Times New Roman" w:hAnsi="Times New Roman" w:cs="Times New Roman"/>
          <w:color w:val="000000" w:themeColor="text1"/>
          <w:sz w:val="24"/>
          <w:szCs w:val="24"/>
        </w:rPr>
        <w:instrText xml:space="preserve"> ADDIN ZOTERO_ITEM CSL_CITATION {"citationID":"ZuhfmesJ","properties":{"formattedCitation":"(12)","plainCitation":"(12)","noteIndex":0},"citationItems":[{"id":8190,"uris":["http://zotero.org/users/6787375/items/L5KKZM7I"],"itemData":{"id":8190,"type":"article-journal","container-title":"Orthopaedic Journal of Sports Medicine","DOI":"10.1177/2325967119831061","ISSN":"2325-9671, 2325-9671","issue":"3","journalAbbreviation":"Orthopaedic Journal of Sports Medicine","language":"en","page":"232596711983106","source":"DOI.org (Crossref)","title":"Effect of Oral Contraceptives on Soft Tissue Injury Risk, Soft Tissue Laxity, and Muscle Strength: A Systematic Review of the Literature","title-short":"Effect of Oral Contraceptives on Soft Tissue Injury Risk, Soft Tissue Laxity, and Muscle Strength","volume":"7","author":[{"family":"Konopka","given":"Jaclyn A."},{"family":"Hsue","given":"Lauren J."},{"family":"Dragoo","given":"Jason L."}],"issued":{"date-parts":[["2019",3]]}}}],"schema":"https://github.com/citation-style-language/schema/raw/master/csl-citation.json"} </w:instrText>
      </w:r>
      <w:r w:rsidR="007D1510"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(12)</w:t>
      </w:r>
      <w:r w:rsidR="007D1510" w:rsidRPr="00024E20">
        <w:rPr>
          <w:rFonts w:ascii="Times New Roman" w:eastAsia="Times New Roman" w:hAnsi="Times New Roman" w:cs="Times New Roman"/>
          <w:color w:val="000000" w:themeColor="text1"/>
          <w:sz w:val="24"/>
          <w:szCs w:val="24"/>
        </w:rPr>
        <w:fldChar w:fldCharType="end"/>
      </w:r>
      <w:r w:rsidR="00DF643A" w:rsidRPr="00024E20">
        <w:rPr>
          <w:rFonts w:ascii="Times New Roman" w:eastAsia="Times New Roman" w:hAnsi="Times New Roman" w:cs="Times New Roman"/>
          <w:color w:val="000000" w:themeColor="text1"/>
          <w:sz w:val="24"/>
          <w:szCs w:val="24"/>
        </w:rPr>
        <w:t>,</w:t>
      </w:r>
      <w:r w:rsidR="007D1510" w:rsidRPr="00024E20">
        <w:rPr>
          <w:rFonts w:ascii="Times New Roman" w:eastAsia="Times New Roman" w:hAnsi="Times New Roman" w:cs="Times New Roman"/>
          <w:color w:val="000000" w:themeColor="text1"/>
          <w:sz w:val="24"/>
          <w:szCs w:val="24"/>
        </w:rPr>
        <w:t xml:space="preserve"> but this finding is not supported by all studies</w:t>
      </w:r>
      <w:r w:rsidR="00C71E11" w:rsidRPr="00024E20">
        <w:rPr>
          <w:rFonts w:ascii="Times New Roman" w:eastAsia="Times New Roman" w:hAnsi="Times New Roman" w:cs="Times New Roman"/>
          <w:color w:val="000000" w:themeColor="text1"/>
          <w:sz w:val="24"/>
          <w:szCs w:val="24"/>
        </w:rPr>
        <w:t xml:space="preserve"> and the COCP may increase </w:t>
      </w:r>
      <w:r w:rsidR="006C4E45" w:rsidRPr="00024E20">
        <w:rPr>
          <w:rFonts w:ascii="Times New Roman" w:eastAsia="Times New Roman" w:hAnsi="Times New Roman" w:cs="Times New Roman"/>
          <w:color w:val="000000" w:themeColor="text1"/>
          <w:sz w:val="24"/>
          <w:szCs w:val="24"/>
        </w:rPr>
        <w:t xml:space="preserve">the </w:t>
      </w:r>
      <w:r w:rsidR="00C71E11" w:rsidRPr="00024E20">
        <w:rPr>
          <w:rFonts w:ascii="Times New Roman" w:eastAsia="Times New Roman" w:hAnsi="Times New Roman" w:cs="Times New Roman"/>
          <w:color w:val="000000" w:themeColor="text1"/>
          <w:sz w:val="24"/>
          <w:szCs w:val="24"/>
        </w:rPr>
        <w:t>risk of fracture</w:t>
      </w:r>
      <w:r w:rsidR="007D1510" w:rsidRPr="00024E20">
        <w:rPr>
          <w:rFonts w:ascii="Times New Roman" w:eastAsia="Times New Roman" w:hAnsi="Times New Roman" w:cs="Times New Roman"/>
          <w:color w:val="000000" w:themeColor="text1"/>
          <w:sz w:val="24"/>
          <w:szCs w:val="24"/>
        </w:rPr>
        <w:t xml:space="preserve"> </w:t>
      </w:r>
      <w:r w:rsidR="00601872" w:rsidRPr="00024E20">
        <w:rPr>
          <w:rFonts w:ascii="Times New Roman" w:eastAsia="Times New Roman" w:hAnsi="Times New Roman" w:cs="Times New Roman"/>
          <w:color w:val="000000" w:themeColor="text1"/>
          <w:sz w:val="24"/>
          <w:szCs w:val="24"/>
        </w:rPr>
        <w:t xml:space="preserve">compared with non-users </w:t>
      </w:r>
      <w:r w:rsidR="007D1510" w:rsidRPr="00024E20">
        <w:rPr>
          <w:rFonts w:ascii="Times New Roman" w:eastAsia="Times New Roman" w:hAnsi="Times New Roman" w:cs="Times New Roman"/>
          <w:color w:val="000000" w:themeColor="text1"/>
          <w:sz w:val="24"/>
          <w:szCs w:val="24"/>
        </w:rPr>
        <w:fldChar w:fldCharType="begin"/>
      </w:r>
      <w:r w:rsidR="00601872" w:rsidRPr="00024E20">
        <w:rPr>
          <w:rFonts w:ascii="Times New Roman" w:eastAsia="Times New Roman" w:hAnsi="Times New Roman" w:cs="Times New Roman"/>
          <w:color w:val="000000" w:themeColor="text1"/>
          <w:sz w:val="24"/>
          <w:szCs w:val="24"/>
        </w:rPr>
        <w:instrText xml:space="preserve"> ADDIN ZOTERO_ITEM CSL_CITATION {"citationID":"wADZVuPu","properties":{"formattedCitation":"(11)","plainCitation":"(11)","noteIndex":0},"citationItems":[{"id":8181,"uris":["http://zotero.org/users/6787375/items/U4YEVKP7"],"itemData":{"id":8181,"type":"article-journal","abstract":"Objective\n              Assess the association between combined hormonal contraceptives (CHC) use and musculoskeletal tissue pathophysiology, injuries or conditions.\n            \n            \n              Design\n              Systematic review with semiquantitative analyses and certainty of evidence assessment, guided by the Grading of Recommendations Assessment, Development and Evaluation approach.\n            \n            \n              Data Sources\n              MEDLINE, EMBASE, CENTRAL, SPORTDiscus, CINAHL searched from inception to April 2022.\n            \n            \n              Eligibility\n              Intervention and cohort studies that assessed the association between new or ongoing use of CHC and an outcome of musculoskeletal tissue pathophysiology, injury or condition in postpubertal premenopausal females.\n            \n            \n              Results\n              Across 50 included studies, we assessed the effect of CHC use on 30 unique musculoskeletal outcomes (75% bone related). Serious risk of bias was judged present in 82% of studies, with 52% adequately adjusting for confounding. Meta-analyses were not possible due to poor outcome reporting, and heterogeneity in estimate statistics and comparison conditions. Based on semiquantitative synthesis, there is low certainty evidence that CHC use was associated with elevated future fracture risk (risk ratio 1.02–1.20) and total knee arthroplasty (risk ratio 1.00–1.36). There is very low certainty evidence of unclear relationships between CHC use and a wide range of bone turnover and bone health outcomes. Evidence about the effect of CHC use on musculoskeletal tissues beyond bone, and the influence of CHC use in adolescence versus adulthood, is limited.\n            \n            \n              Conclusion\n              Given a paucity of high certainty evidence that CHC use is protective against musculoskeletal pathophysiology, injury or conditions, it is premature and inappropriate to advocate, or prescribe CHC for these purposes.\n            \n            \n              PROSPERO registration number\n              This review was registered on PROSPERO CRD42021224582 on 8 January 2021.","container-title":"British Journal of Sports Medicine","DOI":"10.1136/bjsports-2022-106519","ISSN":"0306-3674, 1473-0480","issue":"18","journalAbbreviation":"Br J Sports Med","language":"en","page":"1195-1202","source":"DOI.org (Crossref)","title":"Combined hormonal contraceptive use is not protective against musculoskeletal conditions or injuries: a systematic review with data from 5 million females","title-short":"Combined hormonal contraceptive use is not protective against musculoskeletal conditions or injuries","volume":"57","author":[{"family":"White","given":"Lynita"},{"family":"Losciale","given":"Justin M"},{"family":"Squier","given":"Kipling"},{"family":"Guy","given":"Sarah"},{"family":"Scott","given":"Alex"},{"family":"Prior","given":"Jerilynn C"},{"family":"Whittaker","given":"Jackie L"}],"issued":{"date-parts":[["2023",9]]}}}],"schema":"https://github.com/citation-style-language/schema/raw/master/csl-citation.json"} </w:instrText>
      </w:r>
      <w:r w:rsidR="007D1510" w:rsidRPr="00024E20">
        <w:rPr>
          <w:rFonts w:ascii="Times New Roman" w:eastAsia="Times New Roman" w:hAnsi="Times New Roman" w:cs="Times New Roman"/>
          <w:color w:val="000000" w:themeColor="text1"/>
          <w:sz w:val="24"/>
          <w:szCs w:val="24"/>
        </w:rPr>
        <w:fldChar w:fldCharType="separate"/>
      </w:r>
      <w:r w:rsidR="00601872" w:rsidRPr="00024E20">
        <w:rPr>
          <w:rFonts w:ascii="Times New Roman" w:eastAsia="Times New Roman" w:hAnsi="Times New Roman" w:cs="Times New Roman"/>
          <w:noProof/>
          <w:color w:val="000000" w:themeColor="text1"/>
          <w:sz w:val="24"/>
          <w:szCs w:val="24"/>
        </w:rPr>
        <w:t>(11)</w:t>
      </w:r>
      <w:r w:rsidR="007D1510" w:rsidRPr="00024E20">
        <w:rPr>
          <w:rFonts w:ascii="Times New Roman" w:eastAsia="Times New Roman" w:hAnsi="Times New Roman" w:cs="Times New Roman"/>
          <w:color w:val="000000" w:themeColor="text1"/>
          <w:sz w:val="24"/>
          <w:szCs w:val="24"/>
        </w:rPr>
        <w:fldChar w:fldCharType="end"/>
      </w:r>
      <w:r w:rsidR="007D1510" w:rsidRPr="00024E20">
        <w:rPr>
          <w:rFonts w:ascii="Times New Roman" w:eastAsia="Times New Roman" w:hAnsi="Times New Roman" w:cs="Times New Roman"/>
          <w:color w:val="000000" w:themeColor="text1"/>
          <w:sz w:val="24"/>
          <w:szCs w:val="24"/>
        </w:rPr>
        <w:t>.</w:t>
      </w:r>
      <w:r w:rsidR="00C71E11" w:rsidRPr="00024E20">
        <w:rPr>
          <w:rFonts w:ascii="Times New Roman" w:eastAsia="Times New Roman" w:hAnsi="Times New Roman" w:cs="Times New Roman"/>
          <w:color w:val="000000" w:themeColor="text1"/>
          <w:sz w:val="24"/>
          <w:szCs w:val="24"/>
        </w:rPr>
        <w:t xml:space="preserve"> </w:t>
      </w:r>
      <w:bookmarkStart w:id="10" w:name="_Hlk176874006"/>
      <w:r w:rsidR="00C71E11" w:rsidRPr="00024E20">
        <w:rPr>
          <w:rFonts w:ascii="Times New Roman" w:eastAsia="Times New Roman" w:hAnsi="Times New Roman" w:cs="Times New Roman"/>
          <w:color w:val="000000" w:themeColor="text1"/>
          <w:sz w:val="24"/>
          <w:szCs w:val="24"/>
        </w:rPr>
        <w:t xml:space="preserve">We separated lower </w:t>
      </w:r>
      <w:r w:rsidR="0009133F" w:rsidRPr="00024E20">
        <w:rPr>
          <w:rFonts w:ascii="Times New Roman" w:eastAsia="Times New Roman" w:hAnsi="Times New Roman" w:cs="Times New Roman"/>
          <w:color w:val="000000" w:themeColor="text1"/>
          <w:sz w:val="24"/>
          <w:szCs w:val="24"/>
        </w:rPr>
        <w:t>body</w:t>
      </w:r>
      <w:r w:rsidR="00C71E11" w:rsidRPr="00024E20">
        <w:rPr>
          <w:rFonts w:ascii="Times New Roman" w:eastAsia="Times New Roman" w:hAnsi="Times New Roman" w:cs="Times New Roman"/>
          <w:color w:val="000000" w:themeColor="text1"/>
          <w:sz w:val="24"/>
          <w:szCs w:val="24"/>
        </w:rPr>
        <w:t xml:space="preserve"> bone stress injuries due to the essential role of oestradiol in regulating bone metabolism </w:t>
      </w:r>
      <w:r w:rsidR="00C71E11" w:rsidRPr="00024E20">
        <w:rPr>
          <w:rFonts w:ascii="Times New Roman" w:eastAsia="Times New Roman" w:hAnsi="Times New Roman" w:cs="Times New Roman"/>
          <w:color w:val="000000" w:themeColor="text1"/>
          <w:sz w:val="24"/>
          <w:szCs w:val="24"/>
        </w:rPr>
        <w:fldChar w:fldCharType="begin"/>
      </w:r>
      <w:r w:rsidR="00C71E11" w:rsidRPr="00024E20">
        <w:rPr>
          <w:rFonts w:ascii="Times New Roman" w:eastAsia="Times New Roman" w:hAnsi="Times New Roman" w:cs="Times New Roman"/>
          <w:color w:val="000000" w:themeColor="text1"/>
          <w:sz w:val="24"/>
          <w:szCs w:val="24"/>
        </w:rPr>
        <w:instrText xml:space="preserve"> ADDIN ZOTERO_ITEM CSL_CITATION {"citationID":"OJxQrY42","properties":{"formattedCitation":"(6)","plainCitation":"(6)","noteIndex":0},"citationItems":[{"id":2953,"uris":["http://zotero.org/users/6787375/items/5K9BPSGL"],"itemData":{"id":2953,"type":"article-journal","abstract":"Sex steroids are essential for skeletal development and the maintenance of bone health throughout adult life, and estrogen deficiency at menopause is a major pathogenetic factor in the development of osteoporosis in postmenopausal women. The mechanisms by which the skeletal effects of sex steroids are mediated remain incompletely understood, but in recent years there have been considerable advances in our knowledge of how estrogens and, to a lesser extent androgens, influence bone modeling and remodeling in health and disease. New insights into estrogen receptor structure and function, recent discoveries about the development and activity of osteoclasts, and lessons learned from human and animal genetic mutations have all contributed to increased understanding of the skeletal effects of estrogen, both in males and females. Studies of untreated and treated osteoporosis in postmenopausal women have also contributed to this knowledge and have provided unequivocal evidence for the potential of high-dose estrogen therapy to have anabolic skeletal effects. The development of selective estrogen receptor modulators has provided a new approach to the prevention of osteoporosis and other major diseases of menopause and has implications for the therapeutic use of other steroid hormones, including androgens. Further elucidation of the mechanisms by which sex steroids affect bone thus has the potential to improve the clinical management not only of osteoporosis, both in men and women, but also of a number of other diseases related to sex hormone status.","container-title":"Physiol Rev","DOI":"10.1152/physrev.2001.81.1.419","ISSN":"0031-9333 (Print) 0031-9333 (Linking)","issue":"1","journalAbbreviation":"Physiological reviews","page":"419-447","title":"Sex steroids and bone","volume":"81","author":[{"family":"Compston","given":"J. E."}],"issued":{"date-parts":[["2001",1]]}}}],"schema":"https://github.com/citation-style-language/schema/raw/master/csl-citation.json"} </w:instrText>
      </w:r>
      <w:r w:rsidR="00C71E11" w:rsidRPr="00024E20">
        <w:rPr>
          <w:rFonts w:ascii="Times New Roman" w:eastAsia="Times New Roman" w:hAnsi="Times New Roman" w:cs="Times New Roman"/>
          <w:color w:val="000000" w:themeColor="text1"/>
          <w:sz w:val="24"/>
          <w:szCs w:val="24"/>
        </w:rPr>
        <w:fldChar w:fldCharType="separate"/>
      </w:r>
      <w:r w:rsidR="00B0769B" w:rsidRPr="00024E20">
        <w:rPr>
          <w:rFonts w:ascii="Times New Roman" w:eastAsia="Times New Roman" w:hAnsi="Times New Roman" w:cs="Times New Roman"/>
          <w:noProof/>
          <w:color w:val="000000" w:themeColor="text1"/>
          <w:sz w:val="24"/>
          <w:szCs w:val="24"/>
        </w:rPr>
        <w:t>(6)</w:t>
      </w:r>
      <w:r w:rsidR="00C71E11" w:rsidRPr="00024E20">
        <w:rPr>
          <w:rFonts w:ascii="Times New Roman" w:eastAsia="Times New Roman" w:hAnsi="Times New Roman" w:cs="Times New Roman"/>
          <w:color w:val="000000" w:themeColor="text1"/>
          <w:sz w:val="24"/>
          <w:szCs w:val="24"/>
        </w:rPr>
        <w:fldChar w:fldCharType="end"/>
      </w:r>
      <w:r w:rsidR="003E6B15" w:rsidRPr="00024E20">
        <w:rPr>
          <w:rFonts w:ascii="Times New Roman" w:eastAsia="Times New Roman" w:hAnsi="Times New Roman" w:cs="Times New Roman"/>
          <w:color w:val="000000" w:themeColor="text1"/>
          <w:sz w:val="24"/>
          <w:szCs w:val="24"/>
        </w:rPr>
        <w:t xml:space="preserve"> and </w:t>
      </w:r>
      <w:r w:rsidR="00D71C3D" w:rsidRPr="00024E20">
        <w:rPr>
          <w:rFonts w:ascii="Times New Roman" w:eastAsia="Times New Roman" w:hAnsi="Times New Roman" w:cs="Times New Roman"/>
          <w:color w:val="000000" w:themeColor="text1"/>
          <w:sz w:val="24"/>
          <w:szCs w:val="24"/>
        </w:rPr>
        <w:t xml:space="preserve">determined that </w:t>
      </w:r>
      <w:r w:rsidR="00C71E11" w:rsidRPr="00024E20">
        <w:rPr>
          <w:rFonts w:ascii="Times New Roman" w:eastAsia="Times New Roman" w:hAnsi="Times New Roman" w:cs="Times New Roman"/>
          <w:color w:val="000000" w:themeColor="text1"/>
          <w:sz w:val="24"/>
          <w:szCs w:val="24"/>
        </w:rPr>
        <w:t xml:space="preserve">hormonal contraceptive use was not associated with bone stress injury incidence. </w:t>
      </w:r>
      <w:bookmarkEnd w:id="10"/>
      <w:r w:rsidR="00C71E11" w:rsidRPr="00024E20">
        <w:rPr>
          <w:rFonts w:ascii="Times New Roman" w:eastAsia="Times New Roman" w:hAnsi="Times New Roman" w:cs="Times New Roman"/>
          <w:color w:val="000000" w:themeColor="text1"/>
          <w:sz w:val="24"/>
          <w:szCs w:val="24"/>
        </w:rPr>
        <w:t>The h</w:t>
      </w:r>
      <w:r w:rsidR="00AF13A3" w:rsidRPr="00024E20">
        <w:rPr>
          <w:rFonts w:ascii="Times New Roman" w:eastAsia="Times New Roman" w:hAnsi="Times New Roman" w:cs="Times New Roman"/>
          <w:color w:val="000000" w:themeColor="text1"/>
          <w:sz w:val="24"/>
          <w:szCs w:val="24"/>
        </w:rPr>
        <w:t xml:space="preserve">igher total 25(OH)D </w:t>
      </w:r>
      <w:r w:rsidR="00C71E11" w:rsidRPr="00024E20">
        <w:rPr>
          <w:rFonts w:ascii="Times New Roman" w:eastAsia="Times New Roman" w:hAnsi="Times New Roman" w:cs="Times New Roman"/>
          <w:color w:val="000000" w:themeColor="text1"/>
          <w:sz w:val="24"/>
          <w:szCs w:val="24"/>
        </w:rPr>
        <w:t>in COCP users</w:t>
      </w:r>
      <w:r w:rsidR="00D71C3D" w:rsidRPr="00024E20">
        <w:rPr>
          <w:rFonts w:ascii="Times New Roman" w:eastAsia="Times New Roman" w:hAnsi="Times New Roman" w:cs="Times New Roman"/>
          <w:color w:val="000000" w:themeColor="text1"/>
          <w:sz w:val="24"/>
          <w:szCs w:val="24"/>
        </w:rPr>
        <w:t xml:space="preserve"> </w:t>
      </w:r>
      <w:r w:rsidR="000E3FD6" w:rsidRPr="00024E20">
        <w:rPr>
          <w:rFonts w:ascii="Times New Roman" w:eastAsia="Times New Roman" w:hAnsi="Times New Roman" w:cs="Times New Roman"/>
          <w:color w:val="000000" w:themeColor="text1"/>
          <w:sz w:val="24"/>
          <w:szCs w:val="24"/>
        </w:rPr>
        <w:fldChar w:fldCharType="begin"/>
      </w:r>
      <w:r w:rsidR="000E3FD6" w:rsidRPr="00024E20">
        <w:rPr>
          <w:rFonts w:ascii="Times New Roman" w:eastAsia="Times New Roman" w:hAnsi="Times New Roman" w:cs="Times New Roman"/>
          <w:color w:val="000000" w:themeColor="text1"/>
          <w:sz w:val="24"/>
          <w:szCs w:val="24"/>
        </w:rPr>
        <w:instrText xml:space="preserve"> ADDIN ZOTERO_ITEM CSL_CITATION {"citationID":"flhrBAAJ","properties":{"formattedCitation":"(25)","plainCitation":"(25)","noteIndex":0},"citationItems":[{"id":3091,"uris":["http://zotero.org/users/6787375/items/6INEUWD8"],"itemData":{"id":3091,"type":"article-journal","abstract":"BACKGROUND: Low serum 25-hydroxyvitamin D (25(OH)D) levels have been associated with stress fractures in various physically active populations such as the military. PURPOSE: To examine the association between serum 25(OH)D levels and stress fractures in the military. STUDY DESIGN: Systematic review and meta-analysis. METHODS: Relevant studies were identified through searching multiple databases and manually screening reference lists. Two reviewers independently selected the included studies by applying the eligibility criteria to the title, abstract, and/or full text of the articles yielded in the search. Two reviewers also independently conducted the methodological quality assessment and data extraction. A random-effects model was used to calculate the mean difference (MD) with 95% CI in serum 25(OH)D levels between stress fracture cases and controls. RESULTS: Nine observational studies on lower extremity stress fractures were eligible, and 1 was excluded due to inadequate data. A total of 2634 military personnel (age, 18-30 years; 44% male) with 761 cases (16% male) and 1873 controls (61% male) from 8 studies were included in the analysis. Three of the 8 studies measured serum 25(OH)D levels at the time of stress fracture diagnosis, and the 5 remaining studies measured serum 25(OH)D levels at the time of entry into basic training. The mean serum 25(OH)D level was lower in stress fracture cases than in controls at the time of entry into basic training (MD, -2.63 ng/mL; 95% CI, -5.80 to 0.54; P = .10; I(2) = 65%) and at the time of stress fracture diagnosis (MD, -2.26 ng/mL; 95% CI, -3.89 to -0.63; P = .007; I(2) = 42%). CONCLUSION: Despite the inherent limitations of the included studies, the study results suggest some association between low serum 25(OH)D levels and lower extremity stress fractures in military personnel. Given the rigorous training of military personnel, implementing strategies to ensure sufficient 25(OH)D levels may be beneficial for reducing the risk of stress fractures.","container-title":"Am J Sports Med","DOI":"10.1177/0363546514555971","ISSN":"1552-3365 (Electronic) 0363-5465 (Linking)","issue":"8","page":"2064-72","title":"Serum 25-Hydroxyvitamin D Levels and Stress Fractures in Military Personnel: A Systematic Review and Meta-analysis","volume":"43","author":[{"family":"Dao","given":"D."},{"family":"Sodhi","given":"S."},{"family":"Tabasinejad","given":"R."},{"family":"Peterson","given":"D."},{"family":"Ayeni","given":"O. R."},{"family":"Bhandari","given":"M."},{"family":"Farrokhyar","given":"F."}],"issued":{"date-parts":[["2015",8]]}}}],"schema":"https://github.com/citation-style-language/schema/raw/master/csl-citation.json"} </w:instrText>
      </w:r>
      <w:r w:rsidR="000E3FD6" w:rsidRPr="00024E20">
        <w:rPr>
          <w:rFonts w:ascii="Times New Roman" w:eastAsia="Times New Roman" w:hAnsi="Times New Roman" w:cs="Times New Roman"/>
          <w:color w:val="000000" w:themeColor="text1"/>
          <w:sz w:val="24"/>
          <w:szCs w:val="24"/>
        </w:rPr>
        <w:fldChar w:fldCharType="separate"/>
      </w:r>
      <w:r w:rsidR="000E3FD6" w:rsidRPr="00024E20">
        <w:rPr>
          <w:rFonts w:ascii="Times New Roman" w:eastAsia="Times New Roman" w:hAnsi="Times New Roman" w:cs="Times New Roman"/>
          <w:noProof/>
          <w:color w:val="000000" w:themeColor="text1"/>
          <w:sz w:val="24"/>
          <w:szCs w:val="24"/>
        </w:rPr>
        <w:t>(25)</w:t>
      </w:r>
      <w:r w:rsidR="000E3FD6" w:rsidRPr="00024E20">
        <w:rPr>
          <w:rFonts w:ascii="Times New Roman" w:eastAsia="Times New Roman" w:hAnsi="Times New Roman" w:cs="Times New Roman"/>
          <w:color w:val="000000" w:themeColor="text1"/>
          <w:sz w:val="24"/>
          <w:szCs w:val="24"/>
        </w:rPr>
        <w:fldChar w:fldCharType="end"/>
      </w:r>
      <w:r w:rsidR="00C71E11" w:rsidRPr="00024E20">
        <w:rPr>
          <w:rFonts w:ascii="Times New Roman" w:eastAsia="Times New Roman" w:hAnsi="Times New Roman" w:cs="Times New Roman"/>
          <w:color w:val="000000" w:themeColor="text1"/>
          <w:sz w:val="24"/>
          <w:szCs w:val="24"/>
        </w:rPr>
        <w:t xml:space="preserve"> and lower </w:t>
      </w:r>
      <w:proofErr w:type="spellStart"/>
      <w:r w:rsidR="00C71E11" w:rsidRPr="00024E20">
        <w:rPr>
          <w:rFonts w:ascii="Times New Roman" w:eastAsia="Times New Roman" w:hAnsi="Times New Roman" w:cs="Times New Roman"/>
          <w:color w:val="000000" w:themeColor="text1"/>
          <w:sz w:val="24"/>
          <w:szCs w:val="24"/>
        </w:rPr>
        <w:t>aBMD</w:t>
      </w:r>
      <w:proofErr w:type="spellEnd"/>
      <w:r w:rsidR="00C71E11" w:rsidRPr="00024E20">
        <w:rPr>
          <w:rFonts w:ascii="Times New Roman" w:eastAsia="Times New Roman" w:hAnsi="Times New Roman" w:cs="Times New Roman"/>
          <w:color w:val="000000" w:themeColor="text1"/>
          <w:sz w:val="24"/>
          <w:szCs w:val="24"/>
        </w:rPr>
        <w:t xml:space="preserve"> </w:t>
      </w:r>
      <w:r w:rsidR="00841E51" w:rsidRPr="00024E20">
        <w:rPr>
          <w:rFonts w:ascii="Times New Roman" w:eastAsia="Times New Roman" w:hAnsi="Times New Roman" w:cs="Times New Roman"/>
          <w:color w:val="000000" w:themeColor="text1"/>
          <w:sz w:val="24"/>
          <w:szCs w:val="24"/>
        </w:rPr>
        <w:t>in</w:t>
      </w:r>
      <w:r w:rsidR="00C71E11" w:rsidRPr="00024E20">
        <w:rPr>
          <w:rFonts w:ascii="Times New Roman" w:eastAsia="Times New Roman" w:hAnsi="Times New Roman" w:cs="Times New Roman"/>
          <w:color w:val="000000" w:themeColor="text1"/>
          <w:sz w:val="24"/>
          <w:szCs w:val="24"/>
        </w:rPr>
        <w:t xml:space="preserve"> POC</w:t>
      </w:r>
      <w:r w:rsidR="00841E51" w:rsidRPr="00024E20">
        <w:rPr>
          <w:rFonts w:ascii="Times New Roman" w:eastAsia="Times New Roman" w:hAnsi="Times New Roman" w:cs="Times New Roman"/>
          <w:color w:val="000000" w:themeColor="text1"/>
          <w:sz w:val="24"/>
          <w:szCs w:val="24"/>
        </w:rPr>
        <w:t xml:space="preserve"> users</w:t>
      </w:r>
      <w:r w:rsidR="000E3FD6" w:rsidRPr="00024E20">
        <w:rPr>
          <w:rFonts w:ascii="Times New Roman" w:eastAsia="Times New Roman" w:hAnsi="Times New Roman" w:cs="Times New Roman"/>
          <w:color w:val="000000" w:themeColor="text1"/>
          <w:sz w:val="24"/>
          <w:szCs w:val="24"/>
        </w:rPr>
        <w:t xml:space="preserve"> </w:t>
      </w:r>
      <w:r w:rsidR="000E3FD6" w:rsidRPr="00024E20">
        <w:rPr>
          <w:rFonts w:ascii="Times New Roman" w:eastAsia="Times New Roman" w:hAnsi="Times New Roman" w:cs="Times New Roman"/>
          <w:color w:val="000000" w:themeColor="text1"/>
          <w:sz w:val="24"/>
          <w:szCs w:val="24"/>
        </w:rPr>
        <w:fldChar w:fldCharType="begin"/>
      </w:r>
      <w:r w:rsidR="000E3FD6" w:rsidRPr="00024E20">
        <w:rPr>
          <w:rFonts w:ascii="Times New Roman" w:eastAsia="Times New Roman" w:hAnsi="Times New Roman" w:cs="Times New Roman"/>
          <w:color w:val="000000" w:themeColor="text1"/>
          <w:sz w:val="24"/>
          <w:szCs w:val="24"/>
        </w:rPr>
        <w:instrText xml:space="preserve"> ADDIN ZOTERO_ITEM CSL_CITATION {"citationID":"wnB3prxc","properties":{"formattedCitation":"(63)","plainCitation":"(63)","noteIndex":0},"citationItems":[{"id":5994,"uris":["http://zotero.org/users/6787375/items/RLQZIM3R"],"itemData":{"id":5994,"type":"article-journal","abstract":"PURPOSE OF REVIEW: Stress fractures at weight-bearing sites, particularly the tibia, are common in military recruits and athletes. This review presents recent findings from human imaging and biomechanics studies aimed at predicting and preventing stress fractures. RECENT FINDINGS: Peripheral quantitative computed tomography (pQCT) provides evidence that cortical bone geometry (tibial width and area) is associated with tibial stress fracture risk during weight-bearing exercise. The contribution of bone trabecular microarchitecture, cortical porosity, and bone material properties in the pathophysiology of stress fractures is less clear, but high-resolution pQCT and new techniques such as impact microindentation may improve our understanding of the role of microarchitecture and material properties in stress fracture prediction. Military studies demonstrate osteogenic outcomes from high impact, repetitive tibial loading during training. Kinetic and kinematic characteristics may influence stress fracture risk, but there is no evidence that interventions to modify biomechanics can reduce the incidence of stress fracture. Strategies to promote adaptive bone formation, in combination with improved techniques to assess bone strength, present exciting opportunities for future research to prevent stress fractures.","container-title":"Curr Osteoporos Rep","DOI":"10.1007/s11914-021-00671-1","ISSN":"1544-2241 (Electronic) 1544-1873 (Linking)","title":"Biomechanical Basis of Predicting and Preventing Lower Limb Stress Fractures During Arduous Training","author":[{"family":"O'Leary","given":"T. J."},{"family":"Rice","given":"H. M."},{"family":"Greeves","given":"J. P."}],"issued":{"date-parts":[["2021",2,26]]}}}],"schema":"https://github.com/citation-style-language/schema/raw/master/csl-citation.json"} </w:instrText>
      </w:r>
      <w:r w:rsidR="000E3FD6" w:rsidRPr="00024E20">
        <w:rPr>
          <w:rFonts w:ascii="Times New Roman" w:eastAsia="Times New Roman" w:hAnsi="Times New Roman" w:cs="Times New Roman"/>
          <w:color w:val="000000" w:themeColor="text1"/>
          <w:sz w:val="24"/>
          <w:szCs w:val="24"/>
        </w:rPr>
        <w:fldChar w:fldCharType="separate"/>
      </w:r>
      <w:r w:rsidR="000E3FD6" w:rsidRPr="00024E20">
        <w:rPr>
          <w:rFonts w:ascii="Times New Roman" w:eastAsia="Times New Roman" w:hAnsi="Times New Roman" w:cs="Times New Roman"/>
          <w:noProof/>
          <w:color w:val="000000" w:themeColor="text1"/>
          <w:sz w:val="24"/>
          <w:szCs w:val="24"/>
        </w:rPr>
        <w:t>(63)</w:t>
      </w:r>
      <w:r w:rsidR="000E3FD6" w:rsidRPr="00024E20">
        <w:rPr>
          <w:rFonts w:ascii="Times New Roman" w:eastAsia="Times New Roman" w:hAnsi="Times New Roman" w:cs="Times New Roman"/>
          <w:color w:val="000000" w:themeColor="text1"/>
          <w:sz w:val="24"/>
          <w:szCs w:val="24"/>
        </w:rPr>
        <w:fldChar w:fldCharType="end"/>
      </w:r>
      <w:r w:rsidR="00C71E11" w:rsidRPr="00024E20">
        <w:rPr>
          <w:rFonts w:ascii="Times New Roman" w:eastAsia="Times New Roman" w:hAnsi="Times New Roman" w:cs="Times New Roman"/>
          <w:color w:val="000000" w:themeColor="text1"/>
          <w:sz w:val="24"/>
          <w:szCs w:val="24"/>
        </w:rPr>
        <w:t xml:space="preserve"> </w:t>
      </w:r>
      <w:r w:rsidR="00A93970" w:rsidRPr="00024E20">
        <w:rPr>
          <w:rFonts w:ascii="Times New Roman" w:eastAsia="Times New Roman" w:hAnsi="Times New Roman" w:cs="Times New Roman"/>
          <w:color w:val="000000" w:themeColor="text1"/>
          <w:sz w:val="24"/>
          <w:szCs w:val="24"/>
        </w:rPr>
        <w:t xml:space="preserve">than the other groups </w:t>
      </w:r>
      <w:r w:rsidR="00C71E11" w:rsidRPr="00024E20">
        <w:rPr>
          <w:rFonts w:ascii="Times New Roman" w:eastAsia="Times New Roman" w:hAnsi="Times New Roman" w:cs="Times New Roman"/>
          <w:color w:val="000000" w:themeColor="text1"/>
          <w:sz w:val="24"/>
          <w:szCs w:val="24"/>
        </w:rPr>
        <w:t xml:space="preserve">could </w:t>
      </w:r>
      <w:r w:rsidR="0097361F" w:rsidRPr="00024E20">
        <w:rPr>
          <w:rFonts w:ascii="Times New Roman" w:eastAsia="Times New Roman" w:hAnsi="Times New Roman" w:cs="Times New Roman"/>
          <w:color w:val="000000" w:themeColor="text1"/>
          <w:sz w:val="24"/>
          <w:szCs w:val="24"/>
        </w:rPr>
        <w:t>reduce</w:t>
      </w:r>
      <w:r w:rsidR="00C71E11" w:rsidRPr="00024E20">
        <w:rPr>
          <w:rFonts w:ascii="Times New Roman" w:eastAsia="Times New Roman" w:hAnsi="Times New Roman" w:cs="Times New Roman"/>
          <w:color w:val="000000" w:themeColor="text1"/>
          <w:sz w:val="24"/>
          <w:szCs w:val="24"/>
        </w:rPr>
        <w:t xml:space="preserve"> bone stress injury risk</w:t>
      </w:r>
      <w:r w:rsidR="00AF13A3" w:rsidRPr="00024E20">
        <w:rPr>
          <w:rFonts w:ascii="Times New Roman" w:eastAsia="Times New Roman" w:hAnsi="Times New Roman" w:cs="Times New Roman"/>
          <w:color w:val="000000" w:themeColor="text1"/>
          <w:sz w:val="24"/>
          <w:szCs w:val="24"/>
        </w:rPr>
        <w:t xml:space="preserve">, </w:t>
      </w:r>
      <w:r w:rsidR="00841E51" w:rsidRPr="00024E20">
        <w:rPr>
          <w:rFonts w:ascii="Times New Roman" w:eastAsia="Times New Roman" w:hAnsi="Times New Roman" w:cs="Times New Roman"/>
          <w:color w:val="000000" w:themeColor="text1"/>
          <w:sz w:val="24"/>
          <w:szCs w:val="24"/>
        </w:rPr>
        <w:t>however, the rel</w:t>
      </w:r>
      <w:r w:rsidR="008B3445" w:rsidRPr="00024E20">
        <w:rPr>
          <w:rFonts w:ascii="Times New Roman" w:eastAsia="Times New Roman" w:hAnsi="Times New Roman" w:cs="Times New Roman"/>
          <w:color w:val="000000" w:themeColor="text1"/>
          <w:sz w:val="24"/>
          <w:szCs w:val="24"/>
        </w:rPr>
        <w:t>a</w:t>
      </w:r>
      <w:r w:rsidR="00841E51" w:rsidRPr="00024E20">
        <w:rPr>
          <w:rFonts w:ascii="Times New Roman" w:eastAsia="Times New Roman" w:hAnsi="Times New Roman" w:cs="Times New Roman"/>
          <w:color w:val="000000" w:themeColor="text1"/>
          <w:sz w:val="24"/>
          <w:szCs w:val="24"/>
        </w:rPr>
        <w:t xml:space="preserve">tively low number of bone stress </w:t>
      </w:r>
      <w:r w:rsidR="003E6B15" w:rsidRPr="00024E20">
        <w:rPr>
          <w:rFonts w:ascii="Times New Roman" w:eastAsia="Times New Roman" w:hAnsi="Times New Roman" w:cs="Times New Roman"/>
          <w:color w:val="000000" w:themeColor="text1"/>
          <w:sz w:val="24"/>
          <w:szCs w:val="24"/>
        </w:rPr>
        <w:t>injury cases</w:t>
      </w:r>
      <w:r w:rsidR="00841E51" w:rsidRPr="00024E20">
        <w:rPr>
          <w:rFonts w:ascii="Times New Roman" w:eastAsia="Times New Roman" w:hAnsi="Times New Roman" w:cs="Times New Roman"/>
          <w:color w:val="000000" w:themeColor="text1"/>
          <w:sz w:val="24"/>
          <w:szCs w:val="24"/>
        </w:rPr>
        <w:t xml:space="preserve"> in our study </w:t>
      </w:r>
      <w:r w:rsidR="008B3445" w:rsidRPr="00024E20">
        <w:rPr>
          <w:rFonts w:ascii="Times New Roman" w:eastAsia="Times New Roman" w:hAnsi="Times New Roman" w:cs="Times New Roman"/>
          <w:color w:val="000000" w:themeColor="text1"/>
          <w:sz w:val="24"/>
          <w:szCs w:val="24"/>
        </w:rPr>
        <w:t xml:space="preserve">will have </w:t>
      </w:r>
      <w:r w:rsidR="00841E51" w:rsidRPr="00024E20">
        <w:rPr>
          <w:rFonts w:ascii="Times New Roman" w:eastAsia="Times New Roman" w:hAnsi="Times New Roman" w:cs="Times New Roman"/>
          <w:color w:val="000000" w:themeColor="text1"/>
          <w:sz w:val="24"/>
          <w:szCs w:val="24"/>
        </w:rPr>
        <w:t xml:space="preserve">reduced </w:t>
      </w:r>
      <w:r w:rsidR="00C71E11" w:rsidRPr="00024E20">
        <w:rPr>
          <w:rFonts w:ascii="Times New Roman" w:eastAsia="Times New Roman" w:hAnsi="Times New Roman" w:cs="Times New Roman"/>
          <w:color w:val="000000" w:themeColor="text1"/>
          <w:sz w:val="24"/>
          <w:szCs w:val="24"/>
        </w:rPr>
        <w:t xml:space="preserve">our </w:t>
      </w:r>
      <w:r w:rsidR="008B3445" w:rsidRPr="00024E20">
        <w:rPr>
          <w:rFonts w:ascii="Times New Roman" w:eastAsia="Times New Roman" w:hAnsi="Times New Roman" w:cs="Times New Roman"/>
          <w:color w:val="000000" w:themeColor="text1"/>
          <w:sz w:val="24"/>
          <w:szCs w:val="24"/>
        </w:rPr>
        <w:t xml:space="preserve">ability to detect </w:t>
      </w:r>
      <w:r w:rsidR="00C71E11" w:rsidRPr="00024E20">
        <w:rPr>
          <w:rFonts w:ascii="Times New Roman" w:eastAsia="Times New Roman" w:hAnsi="Times New Roman" w:cs="Times New Roman"/>
          <w:color w:val="000000" w:themeColor="text1"/>
          <w:sz w:val="24"/>
          <w:szCs w:val="24"/>
        </w:rPr>
        <w:t>any</w:t>
      </w:r>
      <w:r w:rsidR="008B3445" w:rsidRPr="00024E20">
        <w:rPr>
          <w:rFonts w:ascii="Times New Roman" w:eastAsia="Times New Roman" w:hAnsi="Times New Roman" w:cs="Times New Roman"/>
          <w:color w:val="000000" w:themeColor="text1"/>
          <w:sz w:val="24"/>
          <w:szCs w:val="24"/>
        </w:rPr>
        <w:t xml:space="preserve"> small</w:t>
      </w:r>
      <w:r w:rsidR="00C71E11" w:rsidRPr="00024E20">
        <w:rPr>
          <w:rFonts w:ascii="Times New Roman" w:eastAsia="Times New Roman" w:hAnsi="Times New Roman" w:cs="Times New Roman"/>
          <w:color w:val="000000" w:themeColor="text1"/>
          <w:sz w:val="24"/>
          <w:szCs w:val="24"/>
        </w:rPr>
        <w:t xml:space="preserve"> effects</w:t>
      </w:r>
      <w:r w:rsidR="003E6B15" w:rsidRPr="00024E20">
        <w:rPr>
          <w:rFonts w:ascii="Times New Roman" w:eastAsia="Times New Roman" w:hAnsi="Times New Roman" w:cs="Times New Roman"/>
          <w:color w:val="000000" w:themeColor="text1"/>
          <w:sz w:val="24"/>
          <w:szCs w:val="24"/>
        </w:rPr>
        <w:t xml:space="preserve"> and </w:t>
      </w:r>
      <w:r w:rsidR="00B2005C" w:rsidRPr="00024E20">
        <w:rPr>
          <w:rFonts w:ascii="Times New Roman" w:eastAsia="Times New Roman" w:hAnsi="Times New Roman" w:cs="Times New Roman"/>
          <w:color w:val="000000" w:themeColor="text1"/>
          <w:sz w:val="24"/>
          <w:szCs w:val="24"/>
        </w:rPr>
        <w:t xml:space="preserve">our bone stress injury </w:t>
      </w:r>
      <w:r w:rsidR="003E6B15" w:rsidRPr="00024E20">
        <w:rPr>
          <w:rFonts w:ascii="Times New Roman" w:eastAsia="Times New Roman" w:hAnsi="Times New Roman" w:cs="Times New Roman"/>
          <w:color w:val="000000" w:themeColor="text1"/>
          <w:sz w:val="24"/>
          <w:szCs w:val="24"/>
        </w:rPr>
        <w:t xml:space="preserve">data </w:t>
      </w:r>
      <w:r w:rsidR="00B2005C" w:rsidRPr="00024E20">
        <w:rPr>
          <w:rFonts w:ascii="Times New Roman" w:eastAsia="Times New Roman" w:hAnsi="Times New Roman" w:cs="Times New Roman"/>
          <w:color w:val="000000" w:themeColor="text1"/>
          <w:sz w:val="24"/>
          <w:szCs w:val="24"/>
        </w:rPr>
        <w:t>must be inter</w:t>
      </w:r>
      <w:r w:rsidR="00E75E80" w:rsidRPr="00024E20">
        <w:rPr>
          <w:rFonts w:ascii="Times New Roman" w:eastAsia="Times New Roman" w:hAnsi="Times New Roman" w:cs="Times New Roman"/>
          <w:color w:val="000000" w:themeColor="text1"/>
          <w:sz w:val="24"/>
          <w:szCs w:val="24"/>
        </w:rPr>
        <w:t xml:space="preserve">preted </w:t>
      </w:r>
      <w:r w:rsidR="00B2005C" w:rsidRPr="00024E20">
        <w:rPr>
          <w:rFonts w:ascii="Times New Roman" w:eastAsia="Times New Roman" w:hAnsi="Times New Roman" w:cs="Times New Roman"/>
          <w:color w:val="000000" w:themeColor="text1"/>
          <w:sz w:val="24"/>
          <w:szCs w:val="24"/>
        </w:rPr>
        <w:t xml:space="preserve">with </w:t>
      </w:r>
      <w:r w:rsidR="00B2005C" w:rsidRPr="00024E20">
        <w:rPr>
          <w:rFonts w:ascii="Times New Roman" w:eastAsia="Times New Roman" w:hAnsi="Times New Roman" w:cs="Times New Roman"/>
          <w:color w:val="000000" w:themeColor="text1"/>
          <w:sz w:val="24"/>
          <w:szCs w:val="24"/>
        </w:rPr>
        <w:lastRenderedPageBreak/>
        <w:t xml:space="preserve">caution. </w:t>
      </w:r>
      <w:r w:rsidR="00832E93" w:rsidRPr="00024E20">
        <w:rPr>
          <w:rFonts w:ascii="Times New Roman" w:eastAsia="Times New Roman" w:hAnsi="Times New Roman" w:cs="Times New Roman"/>
          <w:color w:val="000000" w:themeColor="text1"/>
          <w:sz w:val="24"/>
          <w:szCs w:val="24"/>
        </w:rPr>
        <w:t xml:space="preserve">Data from military studies show </w:t>
      </w:r>
      <w:r w:rsidR="00640CA0" w:rsidRPr="00024E20">
        <w:rPr>
          <w:rFonts w:ascii="Times New Roman" w:eastAsia="Times New Roman" w:hAnsi="Times New Roman" w:cs="Times New Roman"/>
          <w:color w:val="000000" w:themeColor="text1"/>
          <w:sz w:val="24"/>
          <w:szCs w:val="24"/>
        </w:rPr>
        <w:t xml:space="preserve">that </w:t>
      </w:r>
      <w:r w:rsidR="00DC50D1" w:rsidRPr="00024E20">
        <w:rPr>
          <w:rFonts w:ascii="Times New Roman" w:eastAsia="Times New Roman" w:hAnsi="Times New Roman" w:cs="Times New Roman"/>
          <w:color w:val="000000" w:themeColor="text1"/>
          <w:sz w:val="24"/>
          <w:szCs w:val="24"/>
        </w:rPr>
        <w:t>DMPA</w:t>
      </w:r>
      <w:r w:rsidR="00640CA0" w:rsidRPr="00024E20">
        <w:rPr>
          <w:rFonts w:ascii="Times New Roman" w:eastAsia="Times New Roman" w:hAnsi="Times New Roman" w:cs="Times New Roman"/>
          <w:color w:val="000000" w:themeColor="text1"/>
          <w:sz w:val="24"/>
          <w:szCs w:val="24"/>
        </w:rPr>
        <w:t xml:space="preserve"> might be</w:t>
      </w:r>
      <w:r w:rsidR="00DC50D1" w:rsidRPr="00024E20">
        <w:rPr>
          <w:rFonts w:ascii="Times New Roman" w:eastAsia="Times New Roman" w:hAnsi="Times New Roman" w:cs="Times New Roman"/>
          <w:color w:val="000000" w:themeColor="text1"/>
          <w:sz w:val="24"/>
          <w:szCs w:val="24"/>
        </w:rPr>
        <w:t xml:space="preserve"> associated with increased </w:t>
      </w:r>
      <w:r w:rsidR="00286A1A" w:rsidRPr="00024E20">
        <w:rPr>
          <w:rFonts w:ascii="Times New Roman" w:eastAsia="Times New Roman" w:hAnsi="Times New Roman" w:cs="Times New Roman"/>
          <w:color w:val="000000" w:themeColor="text1"/>
          <w:sz w:val="24"/>
          <w:szCs w:val="24"/>
        </w:rPr>
        <w:t xml:space="preserve">bone stress injury </w:t>
      </w:r>
      <w:r w:rsidR="00DC50D1" w:rsidRPr="00024E20">
        <w:rPr>
          <w:rFonts w:ascii="Times New Roman" w:eastAsia="Times New Roman" w:hAnsi="Times New Roman" w:cs="Times New Roman"/>
          <w:color w:val="000000" w:themeColor="text1"/>
          <w:sz w:val="24"/>
          <w:szCs w:val="24"/>
        </w:rPr>
        <w:t>risk</w:t>
      </w:r>
      <w:r w:rsidR="00A025CE" w:rsidRPr="00024E20">
        <w:rPr>
          <w:rFonts w:ascii="Times New Roman" w:eastAsia="Times New Roman" w:hAnsi="Times New Roman" w:cs="Times New Roman"/>
          <w:color w:val="000000" w:themeColor="text1"/>
          <w:sz w:val="24"/>
          <w:szCs w:val="24"/>
        </w:rPr>
        <w:t xml:space="preserve"> </w:t>
      </w:r>
      <w:r w:rsidR="00A025CE" w:rsidRPr="00024E20">
        <w:rPr>
          <w:rFonts w:ascii="Times New Roman" w:eastAsia="Times New Roman" w:hAnsi="Times New Roman" w:cs="Times New Roman"/>
          <w:color w:val="000000" w:themeColor="text1"/>
          <w:sz w:val="24"/>
          <w:szCs w:val="24"/>
        </w:rPr>
        <w:fldChar w:fldCharType="begin"/>
      </w:r>
      <w:r w:rsidR="008C6A23" w:rsidRPr="00024E20">
        <w:rPr>
          <w:rFonts w:ascii="Times New Roman" w:eastAsia="Times New Roman" w:hAnsi="Times New Roman" w:cs="Times New Roman"/>
          <w:color w:val="000000" w:themeColor="text1"/>
          <w:sz w:val="24"/>
          <w:szCs w:val="24"/>
        </w:rPr>
        <w:instrText xml:space="preserve"> ADDIN ZOTERO_ITEM CSL_CITATION {"citationID":"QXPLXCQJ","properties":{"formattedCitation":"(28)","plainCitation":"(28)","noteIndex":0},"citationItems":[{"id":4936,"uris":["http://zotero.org/users/6787375/items/NUQGQWGT"],"itemData":{"id":4936,"type":"article-journal","abstract":"Estimates are that stress fractures during basic training (BT) occur in as many as 14% of US female military recruits. Injuries of this type lead to morbidity ranging from minor pain to serious lifetime disability. Since women are assuming an increasing role in the military, this high risk of stress fracture is of concern. The purpose of this prospective study was to determine factors that predict stress fracture during BT in US Army female recruits. The analysis was part of an investigation using quantitative ultrasound (QUS) to determine risk of stress fracture during BT. Prior to the start of BT, we obtained QUS measurements and asked each subject to complete a risk factor questionnaire. We completed assessments for 3758 recruits who then proceeded to 8 weeks of BT, during which time any diagnosed stress fractures were reported to us by Army clinicians. Stress fractures were confirmed with radiographs. The incidence of stress fracture was 8.5% per 8 weeks. Factors associated with stress fracture include: QUS, age, race, alcohol and tobacco use, weight-bearing exercise, lowest adult weight, corticosteroid use, and, in white women only, use of depo-medroxyprogesterone acetate (DMPA). Women who fractured were older than women who remained fracture-free, and black women were less likely to sustain a fracture than whites and other races. Compared with their non-stress-fracture counterparts, recruits who developed stress fractures were more likely to report current or past smoking, alcoholic drinking of &gt; 10 drinks/week, corticosteroid use and lower adult weight. A history of regular exercise was protective against stress fracture, and a longer history of exercise further decreased the relative risk of fracture. Although current weight was not associated with stress fracture, lowest adult weight was inversely related to the risk of fracture. We conclude that prevention of stress fractures in female military recruits should include a thorough assessment of lifestyle factors such as exercise patterns, alcohol and tobacco habits, and corticosteroid and DMPA use. Assessment of risk factors may be helpful in pinpointing female recruits who should have further evaluation of their bone health or additional preparation, such as gradual increases in physical activity, prior to being exposed to the rigor of BT.","container-title":"Osteoporos Int","DOI":"10.1007/s001980170155","ISSN":"0937-941X (Print) 0937-941X (Linking)","issue":"1","page":"35-42","title":"The impact of lifestyle factors on stress fractures in female Army recruits","volume":"12","author":[{"family":"Lappe","given":"J. M."},{"family":"Stegman","given":"M. R."},{"family":"Recker","given":"R. R."}],"issued":{"date-parts":[["2001"]]}}}],"schema":"https://github.com/citation-style-language/schema/raw/master/csl-citation.json"} </w:instrText>
      </w:r>
      <w:r w:rsidR="00A025CE" w:rsidRPr="00024E20">
        <w:rPr>
          <w:rFonts w:ascii="Times New Roman" w:eastAsia="Times New Roman" w:hAnsi="Times New Roman" w:cs="Times New Roman"/>
          <w:color w:val="000000" w:themeColor="text1"/>
          <w:sz w:val="24"/>
          <w:szCs w:val="24"/>
        </w:rPr>
        <w:fldChar w:fldCharType="separate"/>
      </w:r>
      <w:r w:rsidR="008C6A23" w:rsidRPr="00024E20">
        <w:rPr>
          <w:rFonts w:ascii="Times New Roman" w:eastAsia="Times New Roman" w:hAnsi="Times New Roman" w:cs="Times New Roman"/>
          <w:noProof/>
          <w:color w:val="000000" w:themeColor="text1"/>
          <w:sz w:val="24"/>
          <w:szCs w:val="24"/>
        </w:rPr>
        <w:t>(28)</w:t>
      </w:r>
      <w:r w:rsidR="00A025CE" w:rsidRPr="00024E20">
        <w:rPr>
          <w:rFonts w:ascii="Times New Roman" w:eastAsia="Times New Roman" w:hAnsi="Times New Roman" w:cs="Times New Roman"/>
          <w:color w:val="000000" w:themeColor="text1"/>
          <w:sz w:val="24"/>
          <w:szCs w:val="24"/>
        </w:rPr>
        <w:fldChar w:fldCharType="end"/>
      </w:r>
      <w:r w:rsidR="00DC50D1" w:rsidRPr="00024E20">
        <w:rPr>
          <w:rFonts w:ascii="Times New Roman" w:eastAsia="Times New Roman" w:hAnsi="Times New Roman" w:cs="Times New Roman"/>
          <w:color w:val="000000" w:themeColor="text1"/>
          <w:sz w:val="24"/>
          <w:szCs w:val="24"/>
        </w:rPr>
        <w:t xml:space="preserve">, but </w:t>
      </w:r>
      <w:r w:rsidR="002D19B4" w:rsidRPr="00024E20">
        <w:rPr>
          <w:rFonts w:ascii="Times New Roman" w:eastAsia="Times New Roman" w:hAnsi="Times New Roman" w:cs="Times New Roman"/>
          <w:color w:val="000000" w:themeColor="text1"/>
          <w:sz w:val="24"/>
          <w:szCs w:val="24"/>
        </w:rPr>
        <w:t xml:space="preserve">contrasting </w:t>
      </w:r>
      <w:r w:rsidR="00640CA0" w:rsidRPr="00024E20">
        <w:rPr>
          <w:rFonts w:ascii="Times New Roman" w:eastAsia="Times New Roman" w:hAnsi="Times New Roman" w:cs="Times New Roman"/>
          <w:color w:val="000000" w:themeColor="text1"/>
          <w:sz w:val="24"/>
          <w:szCs w:val="24"/>
        </w:rPr>
        <w:t xml:space="preserve">data also show hormonal contraceptive use </w:t>
      </w:r>
      <w:r w:rsidR="002D19B4" w:rsidRPr="00024E20">
        <w:rPr>
          <w:rFonts w:ascii="Times New Roman" w:eastAsia="Times New Roman" w:hAnsi="Times New Roman" w:cs="Times New Roman"/>
          <w:color w:val="000000" w:themeColor="text1"/>
          <w:sz w:val="24"/>
          <w:szCs w:val="24"/>
        </w:rPr>
        <w:t xml:space="preserve">is </w:t>
      </w:r>
      <w:r w:rsidR="00640CA0" w:rsidRPr="00024E20">
        <w:rPr>
          <w:rFonts w:ascii="Times New Roman" w:eastAsia="Times New Roman" w:hAnsi="Times New Roman" w:cs="Times New Roman"/>
          <w:color w:val="000000" w:themeColor="text1"/>
          <w:sz w:val="24"/>
          <w:szCs w:val="24"/>
        </w:rPr>
        <w:t xml:space="preserve">not </w:t>
      </w:r>
      <w:r w:rsidR="002D19B4" w:rsidRPr="00024E20">
        <w:rPr>
          <w:rFonts w:ascii="Times New Roman" w:eastAsia="Times New Roman" w:hAnsi="Times New Roman" w:cs="Times New Roman"/>
          <w:color w:val="000000" w:themeColor="text1"/>
          <w:sz w:val="24"/>
          <w:szCs w:val="24"/>
        </w:rPr>
        <w:t xml:space="preserve">associated with </w:t>
      </w:r>
      <w:r w:rsidR="00640CA0" w:rsidRPr="00024E20">
        <w:rPr>
          <w:rFonts w:ascii="Times New Roman" w:eastAsia="Times New Roman" w:hAnsi="Times New Roman" w:cs="Times New Roman"/>
          <w:color w:val="000000" w:themeColor="text1"/>
          <w:sz w:val="24"/>
          <w:szCs w:val="24"/>
        </w:rPr>
        <w:t xml:space="preserve">musculoskeletal injury or </w:t>
      </w:r>
      <w:r w:rsidR="00C71E11" w:rsidRPr="00024E20">
        <w:rPr>
          <w:rFonts w:ascii="Times New Roman" w:eastAsia="Times New Roman" w:hAnsi="Times New Roman" w:cs="Times New Roman"/>
          <w:color w:val="000000" w:themeColor="text1"/>
          <w:sz w:val="24"/>
          <w:szCs w:val="24"/>
        </w:rPr>
        <w:t>bone stress injury risk</w:t>
      </w:r>
      <w:r w:rsidR="00B2005C" w:rsidRPr="00024E20">
        <w:rPr>
          <w:rFonts w:ascii="Times New Roman" w:eastAsia="Times New Roman" w:hAnsi="Times New Roman" w:cs="Times New Roman"/>
          <w:color w:val="000000" w:themeColor="text1"/>
          <w:sz w:val="24"/>
          <w:szCs w:val="24"/>
        </w:rPr>
        <w:t xml:space="preserve"> in military training</w:t>
      </w:r>
      <w:r w:rsidR="001A178E" w:rsidRPr="00024E20">
        <w:rPr>
          <w:rFonts w:ascii="Times New Roman" w:eastAsia="Times New Roman" w:hAnsi="Times New Roman" w:cs="Times New Roman"/>
          <w:color w:val="000000" w:themeColor="text1"/>
          <w:sz w:val="24"/>
          <w:szCs w:val="24"/>
        </w:rPr>
        <w:t xml:space="preserve"> </w:t>
      </w:r>
      <w:r w:rsidR="00DC50D1" w:rsidRPr="00024E20">
        <w:rPr>
          <w:rFonts w:ascii="Times New Roman" w:eastAsia="Times New Roman" w:hAnsi="Times New Roman" w:cs="Times New Roman"/>
          <w:color w:val="000000" w:themeColor="text1"/>
          <w:sz w:val="24"/>
          <w:szCs w:val="24"/>
        </w:rPr>
        <w:fldChar w:fldCharType="begin"/>
      </w:r>
      <w:r w:rsidR="00A93970" w:rsidRPr="00024E20">
        <w:rPr>
          <w:rFonts w:ascii="Times New Roman" w:eastAsia="Times New Roman" w:hAnsi="Times New Roman" w:cs="Times New Roman"/>
          <w:color w:val="000000" w:themeColor="text1"/>
          <w:sz w:val="24"/>
          <w:szCs w:val="24"/>
        </w:rPr>
        <w:instrText xml:space="preserve"> ADDIN ZOTERO_ITEM CSL_CITATION {"citationID":"xnTAjehV","properties":{"formattedCitation":"(64\\uc0\\u8211{}66)","plainCitation":"(64–66)","noteIndex":0},"citationItems":[{"id":2989,"uris":["http://zotero.org/users/6787375/items/TIY979YD"],"itemData":{"id":2989,"type":"article-journal","abstract":"BACKGROUND: Prior studies have identified some risk factors for stress fracture in athletes and military recruits. OBJECTIVE: To determine whether historical factors, physical measures, biochemical variables of skeletal metabolism, genetic factors, bone density (BMD) and bone size could predict risk of stress fracture over 4 years in physically fit cadets at the US Military Academy (USMA). METHODS: Baseline surveys, assessments of height, weight, scores on the Army Physical Fitness Test, and peripheral BMD were obtained in all cadets (755 men, 136 women), and central BMD in a subset. Blood samples were analyzed for variables of calcium homeostasis, bone turnover, and selected hormones and genetic factors. Stress fractures were adjudicated by review of orthopedic notes and imaging reports. RESULTS: 5.7% of male and 19.1% of female cadets had at least 1 stress fracture (58% metatarsal and 29% tibial), most within 3 months of entry to USMA. In males, risk of stress fracture was higher in those who exercised &lt;7 h per week during the prior year (RR 2.31; CI 1.29,4.12), and in those with smaller tibial cortical area (RR 1.12; CI 1.03,1.23), lower tibial bone mineral content (RR 1.11; CI 1.03,1.20) and smaller femoral neck diameter (RR 1.35, CI 1.01, 1.81). In women, higher stress fracture risk was seen in those with shorter time since menarche (RR 1.44 per year; CI 1.19, 1.73) and smaller femoral neck diameter (RR 1.16; CI 1.01, 1.33.). CONCLUSION: Although prior physical training in men, length of prior estrogen exposure in women and leg bone dimensions in both genders played a role, the maximum variance explained by all of these factors was below 10%. We conclude these factors play a minor role in the development of stress fractures in physically fit USMA cadets.","container-title":"Bone","DOI":"10.1016/j.bone.2013.04.011","ISSN":"1873-2763 (Electronic) 1873-2763 (Linking)","issue":"2","page":"359-66","title":"Determinants of stress fracture risk in United States Military Academy cadets","volume":"55","author":[{"family":"Cosman","given":"F."},{"family":"Ruffing","given":"J."},{"family":"Zion","given":"M."},{"family":"Uhorchak","given":"J."},{"family":"Ralston","given":"S."},{"family":"Tendy","given":"S."},{"family":"McGuigan","given":"F. E."},{"family":"Lindsay","given":"R."},{"family":"Nieves","given":"J."}],"issued":{"date-parts":[["2013",8]]}}},{"id":6396,"uris":["http://zotero.org/users/6787375/items/H3NRB2QS"],"itemData":{"id":6396,"type":"article-journal","abstract":"PURPOSE: The purpose of this prospective study was to examine rates and risk factors for overuse injuries among 824 women during Marine Corps Recruit Depot basic training at Parris Island, SC, in 1999. METHODS: Data collected included training day exposures (TDE), baseline performance on a standardized 1.5-mile timed run, and a pretraining questionnaire highlighting exercise and health habits. The women were followed during training for occurrence of stress fracture and other lower-extremity overuse injury. RESULTS: There were 868 lower-extremity overuse injuries for an overall injury rate of 12.6/1000 TDE. Rates for initial and subsequent injury were 8.7/1000 and 20.7/1000 TDE, respectively. There were 66 confirmed lower-extremity stress fractures among 56 (6.8%) women (1.0/1000 TDE). Logistic regression modeling indicated that low aerobic fitness (a slower time on the timed run (&gt; 14.4 min)), no menses in six or more consecutive months during the past year, and less than 7 months of lower-extremity weight training were significantly associated with stress fracture incidence. Self-rated fair-poor fitness at baseline was the only variable significantly associated with other non-stress fracture overuse injury during basic training. CONCLUSIONS: Among this sample of women, the risk of lower-extremity overuse injury was high, with a twofold risk of subsequent injury. The results suggest that stress fracture injury might be decreased if women entered training with high aerobic fitness and participated frequently in lower-extremity strength training. Furthermore, women reporting a history of menstrual irregularity at their initial medical exam may require closer observation during basic training.","container-title":"Med Sci Sports Exerc","DOI":"10.1249/01.mss.0000227543.51293.9d","ISSN":"0195-9131 (Print) 0195-9131 (Linking)","issue":"9","journalAbbreviation":"Medicine and science in sports and exercise","page":"1571-7","title":"Epidemiology of stress fracture and lower-extremity overuse injury in female recruits","volume":"38","author":[{"family":"Rauh","given":"M. J."},{"family":"Macera","given":"C. A."},{"family":"Trone","given":"D. W."},{"family":"Shaffer","given":"R. A."},{"family":"Brodine","given":"S. K."}],"issued":{"date-parts":[["2006",9]]}}},{"id":6857,"uris":["http://zotero.org/users/6787375/items/KLIFGWI3"],"itemData":{"id":6857,"type":"article-journal","abstract":"BACKGROUND: Stress fractures account for substantial morbidity for young women undergoing U.S. Marine Corps basic training. HYPOTHESIS: Certain pretraining characteristics identify women at increased risk of stress fractures during boot camp. STUDY DESIGN: Cohort study; Level of evidence, 2. METHODS: Data collected included baseline performance on a timed run (a measure of aerobic fitness), anthropometric measurements, and a baseline questionnaire highlighting exercise and menstrual status among 2962 women undergoing basic training at the Marine Corps Recruit Depot, Parris Island, in 1995 and 1996. RESULTS: One hundred fifty-two recruits (5.1%) had 181 confirmed lower extremity stress fractures, with the most common sites being the tibia (25%), metatarsals (22%), pelvis (22%), and femur (20%). Logistic regression models revealed that having low aerobic fitness (a slower time on the timed run) and no menses during the past year were significantly associated with the occurrence of any stress fracture and with pelvic or femoral stress fracture during boot camp. CONCLUSION: These findings suggest that stress fractures may be reduced if women entering Marine Corps Recruit Depot training participated in pretraining activities designed to improve aerobic fitness. Furthermore, women reporting no menses during the previous year may need additional observation during training. CLINICAL RELEVANCE: Consistent with previous studies, we found that low aerobic fitness was the only modifiable risk factor associated with stress fractures during boot camp.","container-title":"Am J Sports Med","DOI":"10.1177/0363546505278703","ISSN":"0363-5465 (Print) 0363-5465 (Linking)","issue":"1","page":"108-15","title":"Predictors of stress fracture susceptibility in young female recruits","volume":"34","author":[{"family":"Shaffer","given":"R. A."},{"family":"Rauh","given":"M. J."},{"family":"Brodine","given":"S. K."},{"family":"Trone","given":"D. W."},{"family":"Macera","given":"C. A."}],"issued":{"date-parts":[["2006",1]]}}}],"schema":"https://github.com/citation-style-language/schema/raw/master/csl-citation.json"} </w:instrText>
      </w:r>
      <w:r w:rsidR="00DC50D1" w:rsidRPr="00024E20">
        <w:rPr>
          <w:rFonts w:ascii="Times New Roman" w:eastAsia="Times New Roman" w:hAnsi="Times New Roman" w:cs="Times New Roman"/>
          <w:color w:val="000000" w:themeColor="text1"/>
          <w:sz w:val="24"/>
          <w:szCs w:val="24"/>
        </w:rPr>
        <w:fldChar w:fldCharType="separate"/>
      </w:r>
      <w:r w:rsidR="00A93970" w:rsidRPr="00024E20">
        <w:rPr>
          <w:rFonts w:ascii="Times New Roman" w:hAnsi="Times New Roman" w:cs="Times New Roman"/>
          <w:color w:val="000000" w:themeColor="text1"/>
          <w:sz w:val="24"/>
        </w:rPr>
        <w:t>(64–66)</w:t>
      </w:r>
      <w:r w:rsidR="00DC50D1" w:rsidRPr="00024E20">
        <w:rPr>
          <w:rFonts w:ascii="Times New Roman" w:eastAsia="Times New Roman" w:hAnsi="Times New Roman" w:cs="Times New Roman"/>
          <w:color w:val="000000" w:themeColor="text1"/>
          <w:sz w:val="24"/>
          <w:szCs w:val="24"/>
        </w:rPr>
        <w:fldChar w:fldCharType="end"/>
      </w:r>
      <w:r w:rsidR="00832E93" w:rsidRPr="00024E20">
        <w:rPr>
          <w:rFonts w:ascii="Times New Roman" w:eastAsia="Times New Roman" w:hAnsi="Times New Roman" w:cs="Times New Roman"/>
          <w:color w:val="000000" w:themeColor="text1"/>
          <w:sz w:val="24"/>
          <w:szCs w:val="24"/>
        </w:rPr>
        <w:t xml:space="preserve"> </w:t>
      </w:r>
      <w:r w:rsidR="001A178E" w:rsidRPr="00024E20">
        <w:rPr>
          <w:rFonts w:ascii="Times New Roman" w:eastAsia="Times New Roman" w:hAnsi="Times New Roman" w:cs="Times New Roman"/>
          <w:color w:val="000000" w:themeColor="text1"/>
          <w:sz w:val="24"/>
          <w:szCs w:val="24"/>
        </w:rPr>
        <w:t xml:space="preserve">compared with non-users. </w:t>
      </w:r>
      <w:r w:rsidR="00B2005C" w:rsidRPr="00024E20">
        <w:rPr>
          <w:rFonts w:ascii="Times New Roman" w:eastAsia="Times New Roman" w:hAnsi="Times New Roman" w:cs="Times New Roman"/>
          <w:color w:val="000000" w:themeColor="text1"/>
          <w:sz w:val="24"/>
          <w:szCs w:val="24"/>
        </w:rPr>
        <w:t xml:space="preserve">Inconsistent findings between </w:t>
      </w:r>
      <w:r w:rsidR="00832E93" w:rsidRPr="00024E20">
        <w:rPr>
          <w:rFonts w:ascii="Times New Roman" w:eastAsia="Times New Roman" w:hAnsi="Times New Roman" w:cs="Times New Roman"/>
          <w:color w:val="000000" w:themeColor="text1"/>
          <w:sz w:val="24"/>
          <w:szCs w:val="24"/>
        </w:rPr>
        <w:t>studies could be due to</w:t>
      </w:r>
      <w:r w:rsidR="006C4362" w:rsidRPr="00024E20">
        <w:rPr>
          <w:rFonts w:ascii="Times New Roman" w:eastAsia="Times New Roman" w:hAnsi="Times New Roman" w:cs="Times New Roman"/>
          <w:color w:val="000000" w:themeColor="text1"/>
          <w:sz w:val="24"/>
          <w:szCs w:val="24"/>
        </w:rPr>
        <w:t xml:space="preserve"> the short nature of studies, small sample sizes, inconsistency in methodologies, and inconsistencies in </w:t>
      </w:r>
      <w:r w:rsidR="0079023D" w:rsidRPr="00024E20">
        <w:rPr>
          <w:rFonts w:ascii="Times New Roman" w:eastAsia="Times New Roman" w:hAnsi="Times New Roman" w:cs="Times New Roman"/>
          <w:color w:val="000000" w:themeColor="text1"/>
          <w:sz w:val="24"/>
          <w:szCs w:val="24"/>
        </w:rPr>
        <w:t>definitions</w:t>
      </w:r>
      <w:r w:rsidR="00286A1A" w:rsidRPr="00024E20">
        <w:rPr>
          <w:rFonts w:ascii="Times New Roman" w:eastAsia="Times New Roman" w:hAnsi="Times New Roman" w:cs="Times New Roman"/>
          <w:color w:val="000000" w:themeColor="text1"/>
          <w:sz w:val="24"/>
          <w:szCs w:val="24"/>
        </w:rPr>
        <w:t xml:space="preserve"> of </w:t>
      </w:r>
      <w:r w:rsidR="00EA669E" w:rsidRPr="00024E20">
        <w:rPr>
          <w:rFonts w:ascii="Times New Roman" w:eastAsia="Times New Roman" w:hAnsi="Times New Roman" w:cs="Times New Roman"/>
          <w:color w:val="000000" w:themeColor="text1"/>
          <w:sz w:val="24"/>
          <w:szCs w:val="24"/>
        </w:rPr>
        <w:t>hormonal contraceptive user</w:t>
      </w:r>
      <w:r w:rsidR="00286A1A" w:rsidRPr="00024E20">
        <w:rPr>
          <w:rFonts w:ascii="Times New Roman" w:eastAsia="Times New Roman" w:hAnsi="Times New Roman" w:cs="Times New Roman"/>
          <w:color w:val="000000" w:themeColor="text1"/>
          <w:sz w:val="24"/>
          <w:szCs w:val="24"/>
        </w:rPr>
        <w:t xml:space="preserve"> groups</w:t>
      </w:r>
      <w:r w:rsidR="00EA669E" w:rsidRPr="00024E20">
        <w:rPr>
          <w:rFonts w:ascii="Times New Roman" w:eastAsia="Times New Roman" w:hAnsi="Times New Roman" w:cs="Times New Roman"/>
          <w:color w:val="000000" w:themeColor="text1"/>
          <w:sz w:val="24"/>
          <w:szCs w:val="24"/>
        </w:rPr>
        <w:t>.</w:t>
      </w:r>
      <w:r w:rsidR="00DC50D1" w:rsidRPr="00024E20">
        <w:rPr>
          <w:rFonts w:ascii="Times New Roman" w:eastAsia="Times New Roman" w:hAnsi="Times New Roman" w:cs="Times New Roman"/>
          <w:color w:val="000000" w:themeColor="text1"/>
          <w:sz w:val="24"/>
          <w:szCs w:val="24"/>
        </w:rPr>
        <w:t xml:space="preserve"> </w:t>
      </w:r>
    </w:p>
    <w:p w14:paraId="3F62AE17" w14:textId="77777777" w:rsidR="006C4362" w:rsidRPr="00024E20" w:rsidRDefault="006C4362">
      <w:pPr>
        <w:spacing w:after="0" w:line="480" w:lineRule="auto"/>
        <w:jc w:val="both"/>
        <w:rPr>
          <w:rFonts w:ascii="Helvetica Neue" w:hAnsi="Helvetica Neue" w:cs="Helvetica Neue"/>
          <w:color w:val="000000" w:themeColor="text1"/>
          <w:sz w:val="24"/>
          <w:szCs w:val="24"/>
        </w:rPr>
      </w:pPr>
    </w:p>
    <w:p w14:paraId="746E68C4" w14:textId="3F97D8BD" w:rsidR="00F71CDB" w:rsidRPr="00024E20" w:rsidRDefault="002049D3">
      <w:pPr>
        <w:spacing w:after="0" w:line="480" w:lineRule="auto"/>
        <w:jc w:val="both"/>
        <w:rPr>
          <w:rFonts w:ascii="Times New Roman" w:eastAsia="Times New Roman" w:hAnsi="Times New Roman" w:cs="Times New Roman"/>
          <w:i/>
          <w:color w:val="000000" w:themeColor="text1"/>
          <w:sz w:val="24"/>
          <w:szCs w:val="24"/>
        </w:rPr>
      </w:pPr>
      <w:r w:rsidRPr="00024E20">
        <w:rPr>
          <w:rFonts w:ascii="Times New Roman" w:eastAsia="Times New Roman" w:hAnsi="Times New Roman" w:cs="Times New Roman"/>
          <w:i/>
          <w:color w:val="000000" w:themeColor="text1"/>
          <w:sz w:val="24"/>
          <w:szCs w:val="24"/>
        </w:rPr>
        <w:t>Limitations</w:t>
      </w:r>
    </w:p>
    <w:p w14:paraId="58E817C2" w14:textId="39A37BEA" w:rsidR="006C4362" w:rsidRPr="00024E20" w:rsidRDefault="00197407" w:rsidP="007D3A44">
      <w:pPr>
        <w:spacing w:after="0" w:line="480" w:lineRule="auto"/>
        <w:jc w:val="both"/>
        <w:rPr>
          <w:rFonts w:ascii="Times New Roman" w:eastAsia="Times New Roman" w:hAnsi="Times New Roman" w:cs="Times New Roman"/>
          <w:iCs/>
          <w:color w:val="000000" w:themeColor="text1"/>
          <w:sz w:val="24"/>
          <w:szCs w:val="24"/>
        </w:rPr>
      </w:pPr>
      <w:r w:rsidRPr="00024E20">
        <w:rPr>
          <w:rFonts w:ascii="Times New Roman" w:eastAsia="Times New Roman" w:hAnsi="Times New Roman" w:cs="Times New Roman"/>
          <w:iCs/>
          <w:color w:val="000000" w:themeColor="text1"/>
          <w:sz w:val="24"/>
          <w:szCs w:val="24"/>
        </w:rPr>
        <w:t>We were unable to subgroup COCP users and POC users by</w:t>
      </w:r>
      <w:r w:rsidR="007D3A44" w:rsidRPr="00024E20">
        <w:rPr>
          <w:rFonts w:ascii="Times New Roman" w:eastAsia="Times New Roman" w:hAnsi="Times New Roman" w:cs="Times New Roman"/>
          <w:iCs/>
          <w:color w:val="000000" w:themeColor="text1"/>
          <w:sz w:val="24"/>
          <w:szCs w:val="24"/>
        </w:rPr>
        <w:t xml:space="preserve"> </w:t>
      </w:r>
      <w:r w:rsidR="0010131D" w:rsidRPr="00024E20">
        <w:rPr>
          <w:rFonts w:ascii="Times New Roman" w:eastAsia="Times New Roman" w:hAnsi="Times New Roman" w:cs="Times New Roman"/>
          <w:iCs/>
          <w:color w:val="000000" w:themeColor="text1"/>
          <w:sz w:val="24"/>
          <w:szCs w:val="24"/>
        </w:rPr>
        <w:t xml:space="preserve">ethinyl oestradiol </w:t>
      </w:r>
      <w:r w:rsidR="007D3A44" w:rsidRPr="00024E20">
        <w:rPr>
          <w:rFonts w:ascii="Times New Roman" w:eastAsia="Times New Roman" w:hAnsi="Times New Roman" w:cs="Times New Roman"/>
          <w:iCs/>
          <w:color w:val="000000" w:themeColor="text1"/>
          <w:sz w:val="24"/>
          <w:szCs w:val="24"/>
        </w:rPr>
        <w:t>dos</w:t>
      </w:r>
      <w:r w:rsidR="0010131D" w:rsidRPr="00024E20">
        <w:rPr>
          <w:rFonts w:ascii="Times New Roman" w:eastAsia="Times New Roman" w:hAnsi="Times New Roman" w:cs="Times New Roman"/>
          <w:iCs/>
          <w:color w:val="000000" w:themeColor="text1"/>
          <w:sz w:val="24"/>
          <w:szCs w:val="24"/>
        </w:rPr>
        <w:t>e</w:t>
      </w:r>
      <w:r w:rsidR="007D3A44" w:rsidRPr="00024E20">
        <w:rPr>
          <w:rFonts w:ascii="Times New Roman" w:eastAsia="Times New Roman" w:hAnsi="Times New Roman" w:cs="Times New Roman"/>
          <w:iCs/>
          <w:color w:val="000000" w:themeColor="text1"/>
          <w:sz w:val="24"/>
          <w:szCs w:val="24"/>
        </w:rPr>
        <w:t xml:space="preserve"> or by</w:t>
      </w:r>
      <w:r w:rsidRPr="00024E20">
        <w:rPr>
          <w:rFonts w:ascii="Times New Roman" w:eastAsia="Times New Roman" w:hAnsi="Times New Roman" w:cs="Times New Roman"/>
          <w:iCs/>
          <w:color w:val="000000" w:themeColor="text1"/>
          <w:sz w:val="24"/>
          <w:szCs w:val="24"/>
        </w:rPr>
        <w:t xml:space="preserve"> progestin type</w:t>
      </w:r>
      <w:r w:rsidR="00C25901" w:rsidRPr="00024E20">
        <w:rPr>
          <w:rFonts w:ascii="Times New Roman" w:eastAsia="Times New Roman" w:hAnsi="Times New Roman" w:cs="Times New Roman"/>
          <w:iCs/>
          <w:color w:val="000000" w:themeColor="text1"/>
          <w:sz w:val="24"/>
          <w:szCs w:val="24"/>
        </w:rPr>
        <w:t xml:space="preserve">, </w:t>
      </w:r>
      <w:r w:rsidR="007D3A44" w:rsidRPr="00024E20">
        <w:rPr>
          <w:rFonts w:ascii="Times New Roman" w:eastAsia="Times New Roman" w:hAnsi="Times New Roman" w:cs="Times New Roman"/>
          <w:iCs/>
          <w:color w:val="000000" w:themeColor="text1"/>
          <w:sz w:val="24"/>
          <w:szCs w:val="24"/>
        </w:rPr>
        <w:t>and our groups included multiple different types of hormonal contraceptive preparations within each group</w:t>
      </w:r>
      <w:r w:rsidR="0010131D" w:rsidRPr="00024E20">
        <w:rPr>
          <w:rFonts w:ascii="Times New Roman" w:eastAsia="Times New Roman" w:hAnsi="Times New Roman" w:cs="Times New Roman"/>
          <w:iCs/>
          <w:color w:val="000000" w:themeColor="text1"/>
          <w:sz w:val="24"/>
          <w:szCs w:val="24"/>
        </w:rPr>
        <w:t>. The</w:t>
      </w:r>
      <w:r w:rsidR="00C25901" w:rsidRPr="00024E20">
        <w:rPr>
          <w:rFonts w:ascii="Times New Roman" w:eastAsia="Times New Roman" w:hAnsi="Times New Roman" w:cs="Times New Roman"/>
          <w:iCs/>
          <w:color w:val="000000" w:themeColor="text1"/>
          <w:sz w:val="24"/>
          <w:szCs w:val="24"/>
        </w:rPr>
        <w:t>refore, the</w:t>
      </w:r>
      <w:r w:rsidR="0010131D" w:rsidRPr="00024E20">
        <w:rPr>
          <w:rFonts w:ascii="Times New Roman" w:eastAsia="Times New Roman" w:hAnsi="Times New Roman" w:cs="Times New Roman"/>
          <w:iCs/>
          <w:color w:val="000000" w:themeColor="text1"/>
          <w:sz w:val="24"/>
          <w:szCs w:val="24"/>
        </w:rPr>
        <w:t xml:space="preserve"> heterogenous hormonal contraceptive type within each group might </w:t>
      </w:r>
      <w:r w:rsidRPr="00024E20">
        <w:rPr>
          <w:rFonts w:ascii="Times New Roman" w:eastAsia="Times New Roman" w:hAnsi="Times New Roman" w:cs="Times New Roman"/>
          <w:iCs/>
          <w:color w:val="000000" w:themeColor="text1"/>
          <w:sz w:val="24"/>
          <w:szCs w:val="24"/>
        </w:rPr>
        <w:t xml:space="preserve">mask any effects of specific hormonal contraceptives. </w:t>
      </w:r>
      <w:r w:rsidR="005F3B34" w:rsidRPr="00024E20">
        <w:rPr>
          <w:rFonts w:ascii="Times New Roman" w:eastAsia="Times New Roman" w:hAnsi="Times New Roman" w:cs="Times New Roman"/>
          <w:iCs/>
          <w:color w:val="000000" w:themeColor="text1"/>
          <w:sz w:val="24"/>
          <w:szCs w:val="24"/>
        </w:rPr>
        <w:t xml:space="preserve">Due to the nature of military training, our non-user group was tested at various points of the menstrual cycle, but there </w:t>
      </w:r>
      <w:r w:rsidR="00E75E80" w:rsidRPr="00024E20">
        <w:rPr>
          <w:rFonts w:ascii="Times New Roman" w:eastAsia="Times New Roman" w:hAnsi="Times New Roman" w:cs="Times New Roman"/>
          <w:iCs/>
          <w:color w:val="000000" w:themeColor="text1"/>
          <w:sz w:val="24"/>
          <w:szCs w:val="24"/>
        </w:rPr>
        <w:t xml:space="preserve">are </w:t>
      </w:r>
      <w:r w:rsidR="005F3B34" w:rsidRPr="00024E20">
        <w:rPr>
          <w:rFonts w:ascii="Times New Roman" w:eastAsia="Times New Roman" w:hAnsi="Times New Roman" w:cs="Times New Roman"/>
          <w:iCs/>
          <w:color w:val="000000" w:themeColor="text1"/>
          <w:sz w:val="24"/>
          <w:szCs w:val="24"/>
        </w:rPr>
        <w:t xml:space="preserve">unlikely to be any effects on performance </w:t>
      </w:r>
      <w:r w:rsidR="005F3B34" w:rsidRPr="00024E20">
        <w:rPr>
          <w:rFonts w:ascii="Times New Roman" w:eastAsia="Times New Roman" w:hAnsi="Times New Roman" w:cs="Times New Roman"/>
          <w:iCs/>
          <w:color w:val="000000" w:themeColor="text1"/>
          <w:sz w:val="24"/>
          <w:szCs w:val="24"/>
        </w:rPr>
        <w:fldChar w:fldCharType="begin"/>
      </w:r>
      <w:r w:rsidR="00AB084B" w:rsidRPr="00024E20">
        <w:rPr>
          <w:rFonts w:ascii="Times New Roman" w:eastAsia="Times New Roman" w:hAnsi="Times New Roman" w:cs="Times New Roman"/>
          <w:iCs/>
          <w:color w:val="000000" w:themeColor="text1"/>
          <w:sz w:val="24"/>
          <w:szCs w:val="24"/>
        </w:rPr>
        <w:instrText xml:space="preserve"> ADDIN ZOTERO_ITEM CSL_CITATION {"citationID":"AGGuKmSs","properties":{"formattedCitation":"(67)","plainCitation":"(67)","noteIndex":0},"citationItems":[{"id":8194,"uris":["http://zotero.org/users/6787375/items/TCC98EN4"],"itemData":{"id":8194,"type":"article-journal","abstract":"Abstract\n            \n              Background\n              Concentrations of endogenous sex hormones fluctuate across the menstrual cycle (MC), which could have implications for exercise performance in women. At present, data are conflicting, with no consensus on whether exercise performance is affected by MC phase.\n            \n            \n              Objective\n              To determine the effects of the MC on exercise performance and provide evidence-based, practical, performance recommendations to eumenorrheic women.\n            \n            \n              Methods\n              This review followed the Preferred Reporting Items for Systematic Reviews and Meta-Analyses (PRISMA) guidelines. Four databases were searched for published experimental studies that investigated the effects of the MC on exercise performance, which included at least one outcome measure taken in two or more defined MC phases. All data were meta-analysed using multilevel models grounded in Bayesian principles. The initial meta-analysis pooled pairwise effect sizes comparing exercise performance during the early follicular phase with all other phases (late follicular, ovulation, early luteal, mid-luteal and late luteal) amalgamated. A more comprehensive analysis was then conducted, comparing exercise performance between all phases with direct and indirect pairwise effect sizes through a network meta-analysis. Results from the network meta-analysis were summarised by calculating the Surface Under the Cumulative Ranking curve (SUCRA). Study quality was assessed using a modified Downs and Black checklist and a strategy based on the recommendations of the Grading of Recommendations Assessment Development and Evaluation (GRADE) working group.\n            \n            \n              Results\n              \n                Of the 78 included studies, data from 51 studies were eligible for inclusion in the initial pairwise meta-analysis. The three-level hierarchical model indicated a trivial effect for both endurance- and strength-based outcomes, with reduced exercise performance observed in the early follicular phase of the MC, based on the median pooled effect size (ES\n                0.5\n                 = − 0.06 [95% credible interval (CrI): − 0.16 to 0.04]). Seventy-three studies had enough data to be included in the network meta-analysis. The largest effect was identified between the early follicular and the late follicular phases of the MC (ES\n                0.5\n                 = − 0.14 [95% CrI: − 0.26 to − 0.03]). The lowest SUCRA value, which represents the likelihood that exercise performance is poor, or among the poorest, relative to other MC phases, was obtained for the early follicular phase (30%), with values for all other phases ranging between 53 and 55%. The quality of evidence for this review was classified as “low” (42%).\n              \n            \n            \n              Conclusion\n              The results from this systematic review and meta-analysis indicate that exercise performance might be trivially reduced during the early follicular phase of the MC, compared to all other phases. Due to the trivial effect size, the large between-study variation and the number of poor-quality studies included in this review, general guidelines on exercise performance across the MC cannot be formed; rather, it is recommended that a personalised approach should be taken based on each individual's response to exercise performance across the MC.","container-title":"Sports Medicine","DOI":"10.1007/s40279-020-01319-3","ISSN":"0112-1642, 1179-2035","issue":"10","journalAbbreviation":"Sports Med","language":"en","page":"1813-1827","source":"DOI.org (Crossref)","title":"The Effects of Menstrual Cycle Phase on Exercise Performance in Eumenorrheic Women: A Systematic Review and Meta-Analysis","title-short":"The Effects of Menstrual Cycle Phase on Exercise Performance in Eumenorrheic Women","volume":"50","author":[{"family":"McNulty","given":"Kelly Lee"},{"family":"Elliott-Sale","given":"Kirsty Jayne"},{"family":"Dolan","given":"Eimear"},{"family":"Swinton","given":"Paul Alan"},{"family":"Ansdell","given":"Paul"},{"family":"Goodall","given":"Stuart"},{"family":"Thomas","given":"Kevin"},{"family":"Hicks","given":"Kirsty Marie"}],"issued":{"date-parts":[["2020",10]]}}}],"schema":"https://github.com/citation-style-language/schema/raw/master/csl-citation.json"} </w:instrText>
      </w:r>
      <w:r w:rsidR="005F3B34" w:rsidRPr="00024E20">
        <w:rPr>
          <w:rFonts w:ascii="Times New Roman" w:eastAsia="Times New Roman" w:hAnsi="Times New Roman" w:cs="Times New Roman"/>
          <w:iCs/>
          <w:color w:val="000000" w:themeColor="text1"/>
          <w:sz w:val="24"/>
          <w:szCs w:val="24"/>
        </w:rPr>
        <w:fldChar w:fldCharType="separate"/>
      </w:r>
      <w:r w:rsidR="00B0769B" w:rsidRPr="00024E20">
        <w:rPr>
          <w:rFonts w:ascii="Times New Roman" w:eastAsia="Times New Roman" w:hAnsi="Times New Roman" w:cs="Times New Roman"/>
          <w:iCs/>
          <w:noProof/>
          <w:color w:val="000000" w:themeColor="text1"/>
          <w:sz w:val="24"/>
          <w:szCs w:val="24"/>
        </w:rPr>
        <w:t>(67)</w:t>
      </w:r>
      <w:r w:rsidR="005F3B34" w:rsidRPr="00024E20">
        <w:rPr>
          <w:rFonts w:ascii="Times New Roman" w:eastAsia="Times New Roman" w:hAnsi="Times New Roman" w:cs="Times New Roman"/>
          <w:iCs/>
          <w:color w:val="000000" w:themeColor="text1"/>
          <w:sz w:val="24"/>
          <w:szCs w:val="24"/>
        </w:rPr>
        <w:fldChar w:fldCharType="end"/>
      </w:r>
      <w:r w:rsidR="005F3B34" w:rsidRPr="00024E20">
        <w:rPr>
          <w:rFonts w:ascii="Times New Roman" w:eastAsia="Times New Roman" w:hAnsi="Times New Roman" w:cs="Times New Roman"/>
          <w:iCs/>
          <w:color w:val="000000" w:themeColor="text1"/>
          <w:sz w:val="24"/>
          <w:szCs w:val="24"/>
        </w:rPr>
        <w:t xml:space="preserve">. </w:t>
      </w:r>
      <w:r w:rsidR="00E76151" w:rsidRPr="00024E20">
        <w:rPr>
          <w:rFonts w:ascii="Times New Roman" w:eastAsia="Times New Roman" w:hAnsi="Times New Roman" w:cs="Times New Roman"/>
          <w:iCs/>
          <w:color w:val="000000" w:themeColor="text1"/>
          <w:sz w:val="24"/>
          <w:szCs w:val="24"/>
        </w:rPr>
        <w:t>We also did not include a</w:t>
      </w:r>
      <w:r w:rsidR="00254098" w:rsidRPr="00024E20">
        <w:rPr>
          <w:rFonts w:ascii="Times New Roman" w:eastAsia="Times New Roman" w:hAnsi="Times New Roman" w:cs="Times New Roman"/>
          <w:iCs/>
          <w:color w:val="000000" w:themeColor="text1"/>
          <w:sz w:val="24"/>
          <w:szCs w:val="24"/>
        </w:rPr>
        <w:t xml:space="preserve"> </w:t>
      </w:r>
      <w:r w:rsidR="00E76151" w:rsidRPr="00024E20">
        <w:rPr>
          <w:rFonts w:ascii="Times New Roman" w:eastAsia="Times New Roman" w:hAnsi="Times New Roman" w:cs="Times New Roman"/>
          <w:iCs/>
          <w:color w:val="000000" w:themeColor="text1"/>
          <w:sz w:val="24"/>
          <w:szCs w:val="24"/>
        </w:rPr>
        <w:t>non-exercising control group</w:t>
      </w:r>
      <w:r w:rsidR="00254098" w:rsidRPr="00024E20">
        <w:rPr>
          <w:rFonts w:ascii="Times New Roman" w:eastAsia="Times New Roman" w:hAnsi="Times New Roman" w:cs="Times New Roman"/>
          <w:iCs/>
          <w:color w:val="000000" w:themeColor="text1"/>
          <w:sz w:val="24"/>
          <w:szCs w:val="24"/>
        </w:rPr>
        <w:t xml:space="preserve"> to determine natural variability in our measures</w:t>
      </w:r>
      <w:r w:rsidR="00E76151" w:rsidRPr="00024E20">
        <w:rPr>
          <w:rFonts w:ascii="Times New Roman" w:eastAsia="Times New Roman" w:hAnsi="Times New Roman" w:cs="Times New Roman"/>
          <w:iCs/>
          <w:color w:val="000000" w:themeColor="text1"/>
          <w:sz w:val="24"/>
          <w:szCs w:val="24"/>
        </w:rPr>
        <w:t xml:space="preserve">. </w:t>
      </w:r>
      <w:r w:rsidR="005F3B34" w:rsidRPr="00024E20">
        <w:rPr>
          <w:rFonts w:ascii="Times New Roman" w:eastAsia="Times New Roman" w:hAnsi="Times New Roman" w:cs="Times New Roman"/>
          <w:iCs/>
          <w:color w:val="000000" w:themeColor="text1"/>
          <w:sz w:val="24"/>
          <w:szCs w:val="24"/>
        </w:rPr>
        <w:t xml:space="preserve">We did not measure oestrogens, progestogens, </w:t>
      </w:r>
      <w:r w:rsidR="0079023D" w:rsidRPr="00024E20">
        <w:rPr>
          <w:rFonts w:ascii="Times New Roman" w:eastAsia="Times New Roman" w:hAnsi="Times New Roman" w:cs="Times New Roman"/>
          <w:iCs/>
          <w:color w:val="000000" w:themeColor="text1"/>
          <w:sz w:val="24"/>
          <w:szCs w:val="24"/>
        </w:rPr>
        <w:t>androgens</w:t>
      </w:r>
      <w:r w:rsidR="005F3B34" w:rsidRPr="00024E20">
        <w:rPr>
          <w:rFonts w:ascii="Times New Roman" w:eastAsia="Times New Roman" w:hAnsi="Times New Roman" w:cs="Times New Roman"/>
          <w:iCs/>
          <w:color w:val="000000" w:themeColor="text1"/>
          <w:sz w:val="24"/>
          <w:szCs w:val="24"/>
        </w:rPr>
        <w:t xml:space="preserve">, or sex hormone binding globulin, which could help explain some of our findings. </w:t>
      </w:r>
      <w:r w:rsidR="00B82E1F" w:rsidRPr="00024E20">
        <w:rPr>
          <w:rFonts w:ascii="Times New Roman" w:eastAsia="Times New Roman" w:hAnsi="Times New Roman" w:cs="Times New Roman"/>
          <w:iCs/>
          <w:color w:val="000000" w:themeColor="text1"/>
          <w:sz w:val="24"/>
          <w:szCs w:val="24"/>
        </w:rPr>
        <w:t xml:space="preserve">We also did not have more detailed measures of appendicular bone geometry or microstructure, but have recently published data on hormonal contraceptives and peripheral quantitative computed tomography </w:t>
      </w:r>
      <w:r w:rsidR="00B82E1F" w:rsidRPr="00024E20">
        <w:rPr>
          <w:rFonts w:ascii="Times New Roman" w:eastAsia="Times New Roman" w:hAnsi="Times New Roman" w:cs="Times New Roman"/>
          <w:iCs/>
          <w:color w:val="000000" w:themeColor="text1"/>
          <w:sz w:val="24"/>
          <w:szCs w:val="24"/>
        </w:rPr>
        <w:fldChar w:fldCharType="begin"/>
      </w:r>
      <w:r w:rsidR="008C6A23" w:rsidRPr="00024E20">
        <w:rPr>
          <w:rFonts w:ascii="Times New Roman" w:eastAsia="Times New Roman" w:hAnsi="Times New Roman" w:cs="Times New Roman"/>
          <w:iCs/>
          <w:color w:val="000000" w:themeColor="text1"/>
          <w:sz w:val="24"/>
          <w:szCs w:val="24"/>
        </w:rPr>
        <w:instrText xml:space="preserve"> ADDIN ZOTERO_ITEM CSL_CITATION {"citationID":"eEUhZdhv","properties":{"formattedCitation":"(23)","plainCitation":"(23)","noteIndex":0},"citationItems":[{"id":8116,"uris":["http://zotero.org/users/6787375/items/RUJJZZBX"],"itemData":{"id":8116,"type":"article-journal","container-title":"Bone","DOI":"10.1016/j.bone.2024.117012","ISSN":"87563282","journalAbbreviation":"Bone","language":"en","page":"117012","source":"DOI.org (Crossref)","title":"Hormonal contraceptive use is associated with altered bone structural and metabolic responses to military training in women: An observational cohort study","title-short":"Hormonal contraceptive use is associated with altered bone structural and metabolic responses to military training in women","volume":"181","author":[{"family":"O'Leary","given":"Thomas J."},{"family":"Izard","given":"Rachel M."},{"family":"Tang","given":"Jonathan C.Y."},{"family":"Fraser","given":"William D."},{"family":"Greeves","given":"Julie P."}],"issued":{"date-parts":[["2024",4]]}}}],"schema":"https://github.com/citation-style-language/schema/raw/master/csl-citation.json"} </w:instrText>
      </w:r>
      <w:r w:rsidR="00B82E1F" w:rsidRPr="00024E20">
        <w:rPr>
          <w:rFonts w:ascii="Times New Roman" w:eastAsia="Times New Roman" w:hAnsi="Times New Roman" w:cs="Times New Roman"/>
          <w:iCs/>
          <w:color w:val="000000" w:themeColor="text1"/>
          <w:sz w:val="24"/>
          <w:szCs w:val="24"/>
        </w:rPr>
        <w:fldChar w:fldCharType="separate"/>
      </w:r>
      <w:r w:rsidR="008C6A23" w:rsidRPr="00024E20">
        <w:rPr>
          <w:rFonts w:ascii="Times New Roman" w:hAnsi="Times New Roman" w:cs="Times New Roman"/>
          <w:color w:val="000000" w:themeColor="text1"/>
          <w:sz w:val="24"/>
        </w:rPr>
        <w:t>(23)</w:t>
      </w:r>
      <w:r w:rsidR="00B82E1F" w:rsidRPr="00024E20">
        <w:rPr>
          <w:rFonts w:ascii="Times New Roman" w:eastAsia="Times New Roman" w:hAnsi="Times New Roman" w:cs="Times New Roman"/>
          <w:iCs/>
          <w:color w:val="000000" w:themeColor="text1"/>
          <w:sz w:val="24"/>
          <w:szCs w:val="24"/>
        </w:rPr>
        <w:fldChar w:fldCharType="end"/>
      </w:r>
      <w:r w:rsidR="00B82E1F" w:rsidRPr="00024E20">
        <w:rPr>
          <w:rFonts w:ascii="Times New Roman" w:eastAsia="Times New Roman" w:hAnsi="Times New Roman" w:cs="Times New Roman"/>
          <w:iCs/>
          <w:color w:val="000000" w:themeColor="text1"/>
          <w:sz w:val="24"/>
          <w:szCs w:val="24"/>
        </w:rPr>
        <w:t xml:space="preserve"> and high-resolution peripheral quantitative computed tomography </w:t>
      </w:r>
      <w:r w:rsidR="00B82E1F" w:rsidRPr="00024E20">
        <w:rPr>
          <w:rFonts w:ascii="Times New Roman" w:eastAsia="Times New Roman" w:hAnsi="Times New Roman" w:cs="Times New Roman"/>
          <w:iCs/>
          <w:color w:val="000000" w:themeColor="text1"/>
          <w:sz w:val="24"/>
          <w:szCs w:val="24"/>
        </w:rPr>
        <w:fldChar w:fldCharType="begin"/>
      </w:r>
      <w:r w:rsidR="008C6A23" w:rsidRPr="00024E20">
        <w:rPr>
          <w:rFonts w:ascii="Times New Roman" w:eastAsia="Times New Roman" w:hAnsi="Times New Roman" w:cs="Times New Roman"/>
          <w:iCs/>
          <w:color w:val="000000" w:themeColor="text1"/>
          <w:sz w:val="24"/>
          <w:szCs w:val="24"/>
        </w:rPr>
        <w:instrText xml:space="preserve"> ADDIN ZOTERO_ITEM CSL_CITATION {"citationID":"lu9B7nDx","properties":{"formattedCitation":"(31)","plainCitation":"(31)","noteIndex":0},"citationItems":[{"id":6010,"uris":["http://zotero.org/users/6787375/items/GN6QNGYT"],"itemData":{"id":6010,"type":"article-journal","abstract":"Bone adapts to unaccustomed, high-impact loading but loses mechanosensitivity quickly. Short periods of military training (&lt;/=12 weeks) increase the density and size of the tibia in women. The effect of longer periods of military training, where the incidence of stress fracture is high, on tibial macrostructure and microarchitecture in women is unknown. This observational study recruited 51 women (age 19 to 30 years) at the start of 44 weeks of British Army Officer training. Tibial volumetric bone mineral density (vBMD), geometry, and microarchitecture were measured by high-resolution peripheral quantitative computed tomography (HRpQCT). Scans of the right tibial metaphysis (4% site) and diaphysis (30% site) were performed at weeks 1, 14, 28, and 44. Measures of whole-body areal bone mineral density (aBMD) were obtained using dual-energy X-ray absorptiometry (DXA). Blood samples were taken at weeks 1, 28, and 44, and were analyzed for markers of bone formation and resorption. Trabecular vBMD increased from week 1 to 44 at the 4% site (3.0%, p &lt; .001). Cortical vBMD decreased from week 1 to 14 at the 30% site (-0.3%, p &lt; .001). Trabecular area decreased at the 4% site (-0.4%); trabecular bone volume fraction (3.5%), cortical area (4.8%), and cortical thickness (4.0%) increased at the 4% site; and, cortical perimeter increased at the 30% site (0.5%) from week 1 to 44 (p &lt;/= .005). Trabecular number (3.5%) and thickness (2.1%) increased, and trabecular separation decreased (-3.1%), at the 4% site from week 1 to 44 (p &lt; .001). Training increased failure load at the 30% site from week 1 to 44 (2.5%, p &lt; .001). Training had no effect on aBMD or markers of bone formation or resorption. Tibial macrostructure and microarchitecture continued to adapt across 44 weeks of military training in young women. Temporal decreases in cortical density support a role of intracortical remodeling in the pathogenesis of stress fracture. (c) 2021 Crown copyright. Journal of Bone and Mineral Research (c) 2021 American Society for Bone and Mineral Research (ASBMR). This article is published with the permission of the Controller of HMSO and the Queen's Printer for Scotland.","container-title":"J Bone Miner Res","DOI":"10.1002/jbmr.4290","ISSN":"1523-4681 (Electronic) 0884-0431 (Linking)","issue":"7","page":"1300-1315","title":"Tibial Macrostructure and Microarchitecture Adaptations in Women During 44 Weeks of Arduous Military Training","volume":"36","author":[{"family":"O'Leary","given":"T. J."},{"family":"Wardle","given":"S. L."},{"family":"Gifford","given":"R. M."},{"family":"Double","given":"R. L."},{"family":"Reynolds","given":"R. M."},{"family":"Woods","given":"D. R."},{"family":"Greeves","given":"J. P."}],"issued":{"date-parts":[["2021",7]]}}}],"schema":"https://github.com/citation-style-language/schema/raw/master/csl-citation.json"} </w:instrText>
      </w:r>
      <w:r w:rsidR="00B82E1F" w:rsidRPr="00024E20">
        <w:rPr>
          <w:rFonts w:ascii="Times New Roman" w:eastAsia="Times New Roman" w:hAnsi="Times New Roman" w:cs="Times New Roman"/>
          <w:iCs/>
          <w:color w:val="000000" w:themeColor="text1"/>
          <w:sz w:val="24"/>
          <w:szCs w:val="24"/>
        </w:rPr>
        <w:fldChar w:fldCharType="separate"/>
      </w:r>
      <w:r w:rsidR="008C6A23" w:rsidRPr="00024E20">
        <w:rPr>
          <w:rFonts w:ascii="Times New Roman" w:hAnsi="Times New Roman" w:cs="Times New Roman"/>
          <w:color w:val="000000" w:themeColor="text1"/>
          <w:sz w:val="24"/>
        </w:rPr>
        <w:t>(31)</w:t>
      </w:r>
      <w:r w:rsidR="00B82E1F" w:rsidRPr="00024E20">
        <w:rPr>
          <w:rFonts w:ascii="Times New Roman" w:eastAsia="Times New Roman" w:hAnsi="Times New Roman" w:cs="Times New Roman"/>
          <w:iCs/>
          <w:color w:val="000000" w:themeColor="text1"/>
          <w:sz w:val="24"/>
          <w:szCs w:val="24"/>
        </w:rPr>
        <w:fldChar w:fldCharType="end"/>
      </w:r>
      <w:r w:rsidR="00B82E1F" w:rsidRPr="00024E20">
        <w:rPr>
          <w:rFonts w:ascii="Times New Roman" w:eastAsia="Times New Roman" w:hAnsi="Times New Roman" w:cs="Times New Roman"/>
          <w:iCs/>
          <w:color w:val="000000" w:themeColor="text1"/>
          <w:sz w:val="24"/>
          <w:szCs w:val="24"/>
        </w:rPr>
        <w:t xml:space="preserve"> outcomes. </w:t>
      </w:r>
      <w:r w:rsidR="008A0914" w:rsidRPr="00024E20">
        <w:rPr>
          <w:rFonts w:ascii="Times New Roman" w:eastAsia="Times New Roman" w:hAnsi="Times New Roman" w:cs="Times New Roman"/>
          <w:iCs/>
          <w:color w:val="000000" w:themeColor="text1"/>
          <w:sz w:val="24"/>
          <w:szCs w:val="24"/>
        </w:rPr>
        <w:t xml:space="preserve">Measures of bone formation and resorption have circadian patterns and can be influenced by feeding and exercise. Due to training course demands, we were unable to obtain morning fasted samples on all participants, which will increase the variability of this measure, but we did match the time of day for week 1 and week 13 measures. </w:t>
      </w:r>
      <w:r w:rsidRPr="00024E20">
        <w:rPr>
          <w:rFonts w:ascii="Times New Roman" w:eastAsia="Times New Roman" w:hAnsi="Times New Roman" w:cs="Times New Roman"/>
          <w:iCs/>
          <w:color w:val="000000" w:themeColor="text1"/>
          <w:sz w:val="24"/>
          <w:szCs w:val="24"/>
        </w:rPr>
        <w:t xml:space="preserve">Our study only included the basic training component of a military </w:t>
      </w:r>
      <w:r w:rsidR="004A4EC4" w:rsidRPr="00024E20">
        <w:rPr>
          <w:rFonts w:ascii="Times New Roman" w:eastAsia="Times New Roman" w:hAnsi="Times New Roman" w:cs="Times New Roman"/>
          <w:iCs/>
          <w:color w:val="000000" w:themeColor="text1"/>
          <w:sz w:val="24"/>
          <w:szCs w:val="24"/>
        </w:rPr>
        <w:t>career,</w:t>
      </w:r>
      <w:r w:rsidRPr="00024E20">
        <w:rPr>
          <w:rFonts w:ascii="Times New Roman" w:eastAsia="Times New Roman" w:hAnsi="Times New Roman" w:cs="Times New Roman"/>
          <w:iCs/>
          <w:color w:val="000000" w:themeColor="text1"/>
          <w:sz w:val="24"/>
          <w:szCs w:val="24"/>
        </w:rPr>
        <w:t xml:space="preserve"> and </w:t>
      </w:r>
      <w:r w:rsidR="00D2005D" w:rsidRPr="00024E20">
        <w:rPr>
          <w:rFonts w:ascii="Times New Roman" w:eastAsia="Times New Roman" w:hAnsi="Times New Roman" w:cs="Times New Roman"/>
          <w:iCs/>
          <w:color w:val="000000" w:themeColor="text1"/>
          <w:sz w:val="24"/>
          <w:szCs w:val="24"/>
        </w:rPr>
        <w:t xml:space="preserve">it </w:t>
      </w:r>
      <w:r w:rsidRPr="00024E20">
        <w:rPr>
          <w:rFonts w:ascii="Times New Roman" w:eastAsia="Times New Roman" w:hAnsi="Times New Roman" w:cs="Times New Roman"/>
          <w:iCs/>
          <w:color w:val="000000" w:themeColor="text1"/>
          <w:sz w:val="24"/>
          <w:szCs w:val="24"/>
        </w:rPr>
        <w:t xml:space="preserve">is not clear whether a longer follow-up time would </w:t>
      </w:r>
      <w:r w:rsidR="003D6B57" w:rsidRPr="00024E20">
        <w:rPr>
          <w:rFonts w:ascii="Times New Roman" w:eastAsia="Times New Roman" w:hAnsi="Times New Roman" w:cs="Times New Roman"/>
          <w:iCs/>
          <w:color w:val="000000" w:themeColor="text1"/>
          <w:sz w:val="24"/>
          <w:szCs w:val="24"/>
        </w:rPr>
        <w:t xml:space="preserve">detect other differences </w:t>
      </w:r>
      <w:r w:rsidR="003D6B57" w:rsidRPr="00024E20">
        <w:rPr>
          <w:rFonts w:ascii="Times New Roman" w:eastAsia="Times New Roman" w:hAnsi="Times New Roman" w:cs="Times New Roman"/>
          <w:iCs/>
          <w:color w:val="000000" w:themeColor="text1"/>
          <w:sz w:val="24"/>
          <w:szCs w:val="24"/>
        </w:rPr>
        <w:lastRenderedPageBreak/>
        <w:t>between</w:t>
      </w:r>
      <w:r w:rsidRPr="00024E20">
        <w:rPr>
          <w:rFonts w:ascii="Times New Roman" w:eastAsia="Times New Roman" w:hAnsi="Times New Roman" w:cs="Times New Roman"/>
          <w:iCs/>
          <w:color w:val="000000" w:themeColor="text1"/>
          <w:sz w:val="24"/>
          <w:szCs w:val="24"/>
        </w:rPr>
        <w:t xml:space="preserve"> hormonal contraceptives </w:t>
      </w:r>
      <w:r w:rsidR="003D6B57" w:rsidRPr="00024E20">
        <w:rPr>
          <w:rFonts w:ascii="Times New Roman" w:eastAsia="Times New Roman" w:hAnsi="Times New Roman" w:cs="Times New Roman"/>
          <w:iCs/>
          <w:color w:val="000000" w:themeColor="text1"/>
          <w:sz w:val="24"/>
          <w:szCs w:val="24"/>
        </w:rPr>
        <w:t>groups</w:t>
      </w:r>
      <w:r w:rsidRPr="00024E20">
        <w:rPr>
          <w:rFonts w:ascii="Times New Roman" w:eastAsia="Times New Roman" w:hAnsi="Times New Roman" w:cs="Times New Roman"/>
          <w:iCs/>
          <w:color w:val="000000" w:themeColor="text1"/>
          <w:sz w:val="24"/>
          <w:szCs w:val="24"/>
        </w:rPr>
        <w:t xml:space="preserve">. </w:t>
      </w:r>
      <w:r w:rsidR="00E05774" w:rsidRPr="00024E20">
        <w:rPr>
          <w:rFonts w:ascii="Times New Roman" w:eastAsia="Times New Roman" w:hAnsi="Times New Roman" w:cs="Times New Roman"/>
          <w:iCs/>
          <w:color w:val="000000" w:themeColor="text1"/>
          <w:sz w:val="24"/>
          <w:szCs w:val="24"/>
        </w:rPr>
        <w:t>Hormonal contraceptive use was self-</w:t>
      </w:r>
      <w:proofErr w:type="gramStart"/>
      <w:r w:rsidR="00E05774" w:rsidRPr="00024E20">
        <w:rPr>
          <w:rFonts w:ascii="Times New Roman" w:eastAsia="Times New Roman" w:hAnsi="Times New Roman" w:cs="Times New Roman"/>
          <w:iCs/>
          <w:color w:val="000000" w:themeColor="text1"/>
          <w:sz w:val="24"/>
          <w:szCs w:val="24"/>
        </w:rPr>
        <w:t>reported</w:t>
      </w:r>
      <w:proofErr w:type="gramEnd"/>
      <w:r w:rsidR="00E05774" w:rsidRPr="00024E20">
        <w:rPr>
          <w:rFonts w:ascii="Times New Roman" w:eastAsia="Times New Roman" w:hAnsi="Times New Roman" w:cs="Times New Roman"/>
          <w:iCs/>
          <w:color w:val="000000" w:themeColor="text1"/>
          <w:sz w:val="24"/>
          <w:szCs w:val="24"/>
        </w:rPr>
        <w:t xml:space="preserve"> and w</w:t>
      </w:r>
      <w:r w:rsidR="002074B4" w:rsidRPr="00024E20">
        <w:rPr>
          <w:rFonts w:ascii="Times New Roman" w:eastAsia="Times New Roman" w:hAnsi="Times New Roman" w:cs="Times New Roman"/>
          <w:iCs/>
          <w:color w:val="000000" w:themeColor="text1"/>
          <w:sz w:val="24"/>
          <w:szCs w:val="24"/>
        </w:rPr>
        <w:t>e did not record length of use of each hormonal contraceptive, and each participant likely</w:t>
      </w:r>
      <w:r w:rsidRPr="00024E20">
        <w:rPr>
          <w:rFonts w:ascii="Times New Roman" w:eastAsia="Times New Roman" w:hAnsi="Times New Roman" w:cs="Times New Roman"/>
          <w:iCs/>
          <w:color w:val="000000" w:themeColor="text1"/>
          <w:sz w:val="24"/>
          <w:szCs w:val="24"/>
        </w:rPr>
        <w:t xml:space="preserve"> had a varied length of use at the start of training and may have had a history of using different hormonal contraceptives, but the inclusion of a </w:t>
      </w:r>
      <w:r w:rsidR="00C35166" w:rsidRPr="00024E20">
        <w:rPr>
          <w:rFonts w:ascii="Times New Roman" w:eastAsia="Times New Roman" w:hAnsi="Times New Roman" w:cs="Times New Roman"/>
          <w:iCs/>
          <w:color w:val="000000" w:themeColor="text1"/>
          <w:sz w:val="24"/>
          <w:szCs w:val="24"/>
        </w:rPr>
        <w:t>13-week</w:t>
      </w:r>
      <w:r w:rsidR="002A1A41" w:rsidRPr="00024E20">
        <w:rPr>
          <w:rFonts w:ascii="Times New Roman" w:eastAsia="Times New Roman" w:hAnsi="Times New Roman" w:cs="Times New Roman"/>
          <w:iCs/>
          <w:color w:val="000000" w:themeColor="text1"/>
          <w:sz w:val="24"/>
          <w:szCs w:val="24"/>
        </w:rPr>
        <w:t xml:space="preserve"> </w:t>
      </w:r>
      <w:r w:rsidRPr="00024E20">
        <w:rPr>
          <w:rFonts w:ascii="Times New Roman" w:eastAsia="Times New Roman" w:hAnsi="Times New Roman" w:cs="Times New Roman"/>
          <w:iCs/>
          <w:color w:val="000000" w:themeColor="text1"/>
          <w:sz w:val="24"/>
          <w:szCs w:val="24"/>
        </w:rPr>
        <w:t>follow-up</w:t>
      </w:r>
      <w:r w:rsidR="007D3A44" w:rsidRPr="00024E20">
        <w:rPr>
          <w:rFonts w:ascii="Times New Roman" w:eastAsia="Times New Roman" w:hAnsi="Times New Roman" w:cs="Times New Roman"/>
          <w:iCs/>
          <w:color w:val="000000" w:themeColor="text1"/>
          <w:sz w:val="24"/>
          <w:szCs w:val="24"/>
        </w:rPr>
        <w:t xml:space="preserve"> period of standardised </w:t>
      </w:r>
      <w:r w:rsidR="00371D09" w:rsidRPr="00024E20">
        <w:rPr>
          <w:rFonts w:ascii="Times New Roman" w:eastAsia="Times New Roman" w:hAnsi="Times New Roman" w:cs="Times New Roman"/>
          <w:iCs/>
          <w:color w:val="000000" w:themeColor="text1"/>
          <w:sz w:val="24"/>
          <w:szCs w:val="24"/>
        </w:rPr>
        <w:t xml:space="preserve">military </w:t>
      </w:r>
      <w:r w:rsidR="007D3A44" w:rsidRPr="00024E20">
        <w:rPr>
          <w:rFonts w:ascii="Times New Roman" w:eastAsia="Times New Roman" w:hAnsi="Times New Roman" w:cs="Times New Roman"/>
          <w:iCs/>
          <w:color w:val="000000" w:themeColor="text1"/>
          <w:sz w:val="24"/>
          <w:szCs w:val="24"/>
        </w:rPr>
        <w:t>training and feeding provides a methodological strength. Our physical performance and body composition data are subject to survivor bias</w:t>
      </w:r>
      <w:r w:rsidR="00D82C9A" w:rsidRPr="00024E20">
        <w:rPr>
          <w:rFonts w:ascii="Times New Roman" w:eastAsia="Times New Roman" w:hAnsi="Times New Roman" w:cs="Times New Roman"/>
          <w:iCs/>
          <w:color w:val="000000" w:themeColor="text1"/>
          <w:sz w:val="24"/>
          <w:szCs w:val="24"/>
        </w:rPr>
        <w:t xml:space="preserve">; </w:t>
      </w:r>
      <w:r w:rsidR="007D3A44" w:rsidRPr="00024E20">
        <w:rPr>
          <w:rFonts w:ascii="Times New Roman" w:eastAsia="Times New Roman" w:hAnsi="Times New Roman" w:cs="Times New Roman"/>
          <w:iCs/>
          <w:color w:val="000000" w:themeColor="text1"/>
          <w:sz w:val="24"/>
          <w:szCs w:val="24"/>
        </w:rPr>
        <w:t xml:space="preserve">we only followed up those who completed training and not adapting to training may be a risk factor for </w:t>
      </w:r>
      <w:r w:rsidR="00BD48EE" w:rsidRPr="00024E20">
        <w:rPr>
          <w:rFonts w:ascii="Times New Roman" w:eastAsia="Times New Roman" w:hAnsi="Times New Roman" w:cs="Times New Roman"/>
          <w:iCs/>
          <w:color w:val="000000" w:themeColor="text1"/>
          <w:sz w:val="24"/>
          <w:szCs w:val="24"/>
        </w:rPr>
        <w:t>failing to complete the training course</w:t>
      </w:r>
      <w:r w:rsidR="00D82C9A" w:rsidRPr="00024E20">
        <w:rPr>
          <w:rFonts w:ascii="Times New Roman" w:eastAsia="Times New Roman" w:hAnsi="Times New Roman" w:cs="Times New Roman"/>
          <w:iCs/>
          <w:color w:val="000000" w:themeColor="text1"/>
          <w:sz w:val="24"/>
          <w:szCs w:val="24"/>
        </w:rPr>
        <w:t>, but the proportion of non-users, COCP users, and POC users was similar at baseline and follow-up</w:t>
      </w:r>
      <w:r w:rsidR="007D3A44" w:rsidRPr="00024E20">
        <w:rPr>
          <w:rFonts w:ascii="Times New Roman" w:eastAsia="Times New Roman" w:hAnsi="Times New Roman" w:cs="Times New Roman"/>
          <w:iCs/>
          <w:color w:val="000000" w:themeColor="text1"/>
          <w:sz w:val="24"/>
          <w:szCs w:val="24"/>
        </w:rPr>
        <w:t>.</w:t>
      </w:r>
      <w:r w:rsidR="0010131D" w:rsidRPr="00024E20">
        <w:rPr>
          <w:rFonts w:ascii="Times New Roman" w:eastAsia="Times New Roman" w:hAnsi="Times New Roman" w:cs="Times New Roman"/>
          <w:iCs/>
          <w:color w:val="000000" w:themeColor="text1"/>
          <w:sz w:val="24"/>
          <w:szCs w:val="24"/>
        </w:rPr>
        <w:t xml:space="preserve"> Our non-user groups </w:t>
      </w:r>
      <w:r w:rsidR="00BD48EE" w:rsidRPr="00024E20">
        <w:rPr>
          <w:rFonts w:ascii="Times New Roman" w:eastAsia="Times New Roman" w:hAnsi="Times New Roman" w:cs="Times New Roman"/>
          <w:iCs/>
          <w:color w:val="000000" w:themeColor="text1"/>
          <w:sz w:val="24"/>
          <w:szCs w:val="24"/>
        </w:rPr>
        <w:t xml:space="preserve">were </w:t>
      </w:r>
      <w:r w:rsidR="0010131D" w:rsidRPr="00024E20">
        <w:rPr>
          <w:rFonts w:ascii="Times New Roman" w:eastAsia="Times New Roman" w:hAnsi="Times New Roman" w:cs="Times New Roman"/>
          <w:iCs/>
          <w:color w:val="000000" w:themeColor="text1"/>
          <w:sz w:val="24"/>
          <w:szCs w:val="24"/>
        </w:rPr>
        <w:t>also</w:t>
      </w:r>
      <w:r w:rsidR="00BD48EE" w:rsidRPr="00024E20">
        <w:rPr>
          <w:rFonts w:ascii="Times New Roman" w:eastAsia="Times New Roman" w:hAnsi="Times New Roman" w:cs="Times New Roman"/>
          <w:iCs/>
          <w:color w:val="000000" w:themeColor="text1"/>
          <w:sz w:val="24"/>
          <w:szCs w:val="24"/>
        </w:rPr>
        <w:t xml:space="preserve"> not all eumenorrheic, which may have impacted outcomes</w:t>
      </w:r>
      <w:r w:rsidR="00C25901" w:rsidRPr="00024E20">
        <w:rPr>
          <w:rFonts w:ascii="Times New Roman" w:eastAsia="Times New Roman" w:hAnsi="Times New Roman" w:cs="Times New Roman"/>
          <w:iCs/>
          <w:color w:val="000000" w:themeColor="text1"/>
          <w:sz w:val="24"/>
          <w:szCs w:val="24"/>
        </w:rPr>
        <w:t xml:space="preserve">. </w:t>
      </w:r>
      <w:r w:rsidR="0049159F" w:rsidRPr="00024E20">
        <w:rPr>
          <w:rFonts w:ascii="Times New Roman" w:eastAsia="Times New Roman" w:hAnsi="Times New Roman" w:cs="Times New Roman"/>
          <w:iCs/>
          <w:color w:val="000000" w:themeColor="text1"/>
          <w:sz w:val="24"/>
          <w:szCs w:val="24"/>
        </w:rPr>
        <w:t>Finally,</w:t>
      </w:r>
      <w:r w:rsidR="007D3A44" w:rsidRPr="00024E20">
        <w:rPr>
          <w:rFonts w:ascii="Times New Roman" w:eastAsia="Times New Roman" w:hAnsi="Times New Roman" w:cs="Times New Roman"/>
          <w:iCs/>
          <w:color w:val="000000" w:themeColor="text1"/>
          <w:sz w:val="24"/>
          <w:szCs w:val="24"/>
        </w:rPr>
        <w:t xml:space="preserve"> our sample number of </w:t>
      </w:r>
      <w:r w:rsidR="00A479AF" w:rsidRPr="00024E20">
        <w:rPr>
          <w:rFonts w:ascii="Times New Roman" w:eastAsia="Times New Roman" w:hAnsi="Times New Roman" w:cs="Times New Roman"/>
          <w:iCs/>
          <w:color w:val="000000" w:themeColor="text1"/>
          <w:sz w:val="24"/>
          <w:szCs w:val="24"/>
        </w:rPr>
        <w:t>bone stress injuries</w:t>
      </w:r>
      <w:r w:rsidR="00D52362" w:rsidRPr="00024E20">
        <w:rPr>
          <w:rFonts w:ascii="Times New Roman" w:eastAsia="Times New Roman" w:hAnsi="Times New Roman" w:cs="Times New Roman"/>
          <w:iCs/>
          <w:color w:val="000000" w:themeColor="text1"/>
          <w:sz w:val="24"/>
          <w:szCs w:val="24"/>
        </w:rPr>
        <w:t xml:space="preserve"> meant </w:t>
      </w:r>
      <w:r w:rsidR="006C4362" w:rsidRPr="00024E20">
        <w:rPr>
          <w:rFonts w:ascii="Times New Roman" w:eastAsia="Times New Roman" w:hAnsi="Times New Roman" w:cs="Times New Roman"/>
          <w:iCs/>
          <w:color w:val="000000" w:themeColor="text1"/>
          <w:sz w:val="24"/>
          <w:szCs w:val="24"/>
        </w:rPr>
        <w:t xml:space="preserve">a larger study would likely be required to detect </w:t>
      </w:r>
      <w:r w:rsidR="00B94DBB" w:rsidRPr="00024E20">
        <w:rPr>
          <w:rFonts w:ascii="Times New Roman" w:eastAsia="Times New Roman" w:hAnsi="Times New Roman" w:cs="Times New Roman"/>
          <w:iCs/>
          <w:color w:val="000000" w:themeColor="text1"/>
          <w:sz w:val="24"/>
          <w:szCs w:val="24"/>
        </w:rPr>
        <w:t>an effect of hormonal contraceptive use on bone stress injury risk.</w:t>
      </w:r>
    </w:p>
    <w:p w14:paraId="2C74592E" w14:textId="37F8C7F9" w:rsidR="00F71CDB" w:rsidRPr="00024E20" w:rsidRDefault="00F71CDB" w:rsidP="007D3A44">
      <w:pPr>
        <w:spacing w:after="0" w:line="480" w:lineRule="auto"/>
        <w:jc w:val="both"/>
        <w:rPr>
          <w:rFonts w:ascii="Times New Roman" w:eastAsia="Times New Roman" w:hAnsi="Times New Roman" w:cs="Times New Roman"/>
          <w:iCs/>
          <w:color w:val="000000" w:themeColor="text1"/>
          <w:sz w:val="24"/>
          <w:szCs w:val="24"/>
        </w:rPr>
      </w:pPr>
    </w:p>
    <w:p w14:paraId="068E17AD" w14:textId="77777777"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Conclusions</w:t>
      </w:r>
    </w:p>
    <w:p w14:paraId="6824BF91" w14:textId="21D1A63F" w:rsidR="00F71CDB" w:rsidRPr="00024E20" w:rsidRDefault="009C68EB">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Military training improved physical performance and body composition</w:t>
      </w:r>
      <w:r w:rsidR="0049159F"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 but hormonal contraceptive use was not associated with adaptations in endurance</w:t>
      </w:r>
      <w:r w:rsidR="00E75E80" w:rsidRPr="00024E20">
        <w:rPr>
          <w:rFonts w:ascii="Times New Roman" w:eastAsia="Times New Roman" w:hAnsi="Times New Roman" w:cs="Times New Roman"/>
          <w:color w:val="000000" w:themeColor="text1"/>
          <w:sz w:val="24"/>
          <w:szCs w:val="24"/>
        </w:rPr>
        <w:t xml:space="preserve"> performance</w:t>
      </w:r>
      <w:r w:rsidRPr="00024E20">
        <w:rPr>
          <w:rFonts w:ascii="Times New Roman" w:eastAsia="Times New Roman" w:hAnsi="Times New Roman" w:cs="Times New Roman"/>
          <w:color w:val="000000" w:themeColor="text1"/>
          <w:sz w:val="24"/>
          <w:szCs w:val="24"/>
        </w:rPr>
        <w:t xml:space="preserve">, </w:t>
      </w:r>
      <w:r w:rsidR="00E75E80" w:rsidRPr="00024E20">
        <w:rPr>
          <w:rFonts w:ascii="Times New Roman" w:eastAsia="Times New Roman" w:hAnsi="Times New Roman" w:cs="Times New Roman"/>
          <w:color w:val="000000" w:themeColor="text1"/>
          <w:sz w:val="24"/>
          <w:szCs w:val="24"/>
        </w:rPr>
        <w:t xml:space="preserve">muscle </w:t>
      </w:r>
      <w:r w:rsidRPr="00024E20">
        <w:rPr>
          <w:rFonts w:ascii="Times New Roman" w:eastAsia="Times New Roman" w:hAnsi="Times New Roman" w:cs="Times New Roman"/>
          <w:color w:val="000000" w:themeColor="text1"/>
          <w:sz w:val="24"/>
          <w:szCs w:val="24"/>
        </w:rPr>
        <w:t>strength</w:t>
      </w:r>
      <w:r w:rsidR="00E75E80" w:rsidRPr="00024E20">
        <w:rPr>
          <w:rFonts w:ascii="Times New Roman" w:eastAsia="Times New Roman" w:hAnsi="Times New Roman" w:cs="Times New Roman"/>
          <w:color w:val="000000" w:themeColor="text1"/>
          <w:sz w:val="24"/>
          <w:szCs w:val="24"/>
        </w:rPr>
        <w:t xml:space="preserve"> and</w:t>
      </w:r>
      <w:r w:rsidRPr="00024E20">
        <w:rPr>
          <w:rFonts w:ascii="Times New Roman" w:eastAsia="Times New Roman" w:hAnsi="Times New Roman" w:cs="Times New Roman"/>
          <w:color w:val="000000" w:themeColor="text1"/>
          <w:sz w:val="24"/>
          <w:szCs w:val="24"/>
        </w:rPr>
        <w:t xml:space="preserve"> power, fat mass, lean mass, or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Progest</w:t>
      </w:r>
      <w:r w:rsidR="00123DA9" w:rsidRPr="00024E20">
        <w:rPr>
          <w:rFonts w:ascii="Times New Roman" w:eastAsia="Times New Roman" w:hAnsi="Times New Roman" w:cs="Times New Roman"/>
          <w:color w:val="000000" w:themeColor="text1"/>
          <w:sz w:val="24"/>
          <w:szCs w:val="24"/>
        </w:rPr>
        <w:t>in</w:t>
      </w:r>
      <w:r w:rsidR="00BD48EE" w:rsidRPr="00024E20">
        <w:rPr>
          <w:rFonts w:ascii="Times New Roman" w:eastAsia="Times New Roman" w:hAnsi="Times New Roman" w:cs="Times New Roman"/>
          <w:color w:val="000000" w:themeColor="text1"/>
          <w:sz w:val="24"/>
          <w:szCs w:val="24"/>
        </w:rPr>
        <w:t>-</w:t>
      </w:r>
      <w:r w:rsidRPr="00024E20">
        <w:rPr>
          <w:rFonts w:ascii="Times New Roman" w:eastAsia="Times New Roman" w:hAnsi="Times New Roman" w:cs="Times New Roman"/>
          <w:color w:val="000000" w:themeColor="text1"/>
          <w:sz w:val="24"/>
          <w:szCs w:val="24"/>
        </w:rPr>
        <w:t xml:space="preserve">only contraceptive use was associated with lower </w:t>
      </w:r>
      <w:proofErr w:type="spellStart"/>
      <w:r w:rsidRPr="00024E20">
        <w:rPr>
          <w:rFonts w:ascii="Times New Roman" w:eastAsia="Times New Roman" w:hAnsi="Times New Roman" w:cs="Times New Roman"/>
          <w:color w:val="000000" w:themeColor="text1"/>
          <w:sz w:val="24"/>
          <w:szCs w:val="24"/>
        </w:rPr>
        <w:t>aBMD</w:t>
      </w:r>
      <w:proofErr w:type="spellEnd"/>
      <w:r w:rsidRPr="00024E20">
        <w:rPr>
          <w:rFonts w:ascii="Times New Roman" w:eastAsia="Times New Roman" w:hAnsi="Times New Roman" w:cs="Times New Roman"/>
          <w:color w:val="000000" w:themeColor="text1"/>
          <w:sz w:val="24"/>
          <w:szCs w:val="24"/>
        </w:rPr>
        <w:t xml:space="preserve"> and higher </w:t>
      </w:r>
      <w:r w:rsidR="00B705D5" w:rsidRPr="00024E20">
        <w:rPr>
          <w:rFonts w:ascii="Times New Roman" w:eastAsia="Times New Roman" w:hAnsi="Times New Roman" w:cs="Times New Roman"/>
          <w:color w:val="000000" w:themeColor="text1"/>
          <w:sz w:val="24"/>
          <w:szCs w:val="24"/>
        </w:rPr>
        <w:t xml:space="preserve">markers of </w:t>
      </w:r>
      <w:r w:rsidRPr="00024E20">
        <w:rPr>
          <w:rFonts w:ascii="Times New Roman" w:eastAsia="Times New Roman" w:hAnsi="Times New Roman" w:cs="Times New Roman"/>
          <w:color w:val="000000" w:themeColor="text1"/>
          <w:sz w:val="24"/>
          <w:szCs w:val="24"/>
        </w:rPr>
        <w:t>bone resorption and</w:t>
      </w:r>
      <w:r w:rsidR="00B705D5"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formation</w:t>
      </w:r>
      <w:r w:rsidR="003A4303" w:rsidRPr="00024E20">
        <w:rPr>
          <w:rFonts w:ascii="Times New Roman" w:eastAsia="Times New Roman" w:hAnsi="Times New Roman" w:cs="Times New Roman"/>
          <w:color w:val="000000" w:themeColor="text1"/>
          <w:sz w:val="24"/>
          <w:szCs w:val="24"/>
        </w:rPr>
        <w:t xml:space="preserve"> than COCP users and / or non-users</w:t>
      </w:r>
      <w:r w:rsidRPr="00024E20">
        <w:rPr>
          <w:rFonts w:ascii="Times New Roman" w:eastAsia="Times New Roman" w:hAnsi="Times New Roman" w:cs="Times New Roman"/>
          <w:color w:val="000000" w:themeColor="text1"/>
          <w:sz w:val="24"/>
          <w:szCs w:val="24"/>
        </w:rPr>
        <w:t>,</w:t>
      </w:r>
      <w:r w:rsidR="00B705D5" w:rsidRPr="00024E20">
        <w:rPr>
          <w:rFonts w:ascii="Times New Roman" w:eastAsia="Times New Roman" w:hAnsi="Times New Roman" w:cs="Times New Roman"/>
          <w:color w:val="000000" w:themeColor="text1"/>
          <w:sz w:val="24"/>
          <w:szCs w:val="24"/>
        </w:rPr>
        <w:t xml:space="preserve"> and COCP use was associated with lower </w:t>
      </w:r>
      <w:r w:rsidR="007A4CC8" w:rsidRPr="00024E20">
        <w:rPr>
          <w:rFonts w:ascii="Times New Roman" w:eastAsia="Times New Roman" w:hAnsi="Times New Roman" w:cs="Times New Roman"/>
          <w:color w:val="000000" w:themeColor="text1"/>
          <w:sz w:val="24"/>
          <w:szCs w:val="24"/>
        </w:rPr>
        <w:t>ma</w:t>
      </w:r>
      <w:r w:rsidR="00BD48EE" w:rsidRPr="00024E20">
        <w:rPr>
          <w:rFonts w:ascii="Times New Roman" w:eastAsia="Times New Roman" w:hAnsi="Times New Roman" w:cs="Times New Roman"/>
          <w:color w:val="000000" w:themeColor="text1"/>
          <w:sz w:val="24"/>
          <w:szCs w:val="24"/>
        </w:rPr>
        <w:t>r</w:t>
      </w:r>
      <w:r w:rsidR="007A4CC8" w:rsidRPr="00024E20">
        <w:rPr>
          <w:rFonts w:ascii="Times New Roman" w:eastAsia="Times New Roman" w:hAnsi="Times New Roman" w:cs="Times New Roman"/>
          <w:color w:val="000000" w:themeColor="text1"/>
          <w:sz w:val="24"/>
          <w:szCs w:val="24"/>
        </w:rPr>
        <w:t xml:space="preserve">kers of </w:t>
      </w:r>
      <w:r w:rsidR="00B705D5" w:rsidRPr="00024E20">
        <w:rPr>
          <w:rFonts w:ascii="Times New Roman" w:eastAsia="Times New Roman" w:hAnsi="Times New Roman" w:cs="Times New Roman"/>
          <w:color w:val="000000" w:themeColor="text1"/>
          <w:sz w:val="24"/>
          <w:szCs w:val="24"/>
        </w:rPr>
        <w:t>bone resorption</w:t>
      </w:r>
      <w:r w:rsidR="00BD48EE" w:rsidRPr="00024E20">
        <w:rPr>
          <w:rFonts w:ascii="Times New Roman" w:eastAsia="Times New Roman" w:hAnsi="Times New Roman" w:cs="Times New Roman"/>
          <w:color w:val="000000" w:themeColor="text1"/>
          <w:sz w:val="24"/>
          <w:szCs w:val="24"/>
        </w:rPr>
        <w:t xml:space="preserve"> and </w:t>
      </w:r>
      <w:r w:rsidR="00B705D5" w:rsidRPr="00024E20">
        <w:rPr>
          <w:rFonts w:ascii="Times New Roman" w:eastAsia="Times New Roman" w:hAnsi="Times New Roman" w:cs="Times New Roman"/>
          <w:color w:val="000000" w:themeColor="text1"/>
          <w:sz w:val="24"/>
          <w:szCs w:val="24"/>
        </w:rPr>
        <w:t xml:space="preserve">formation, </w:t>
      </w:r>
      <w:r w:rsidR="0049159F" w:rsidRPr="00024E20">
        <w:rPr>
          <w:rFonts w:ascii="Times New Roman" w:eastAsia="Times New Roman" w:hAnsi="Times New Roman" w:cs="Times New Roman"/>
          <w:color w:val="000000" w:themeColor="text1"/>
          <w:sz w:val="24"/>
          <w:szCs w:val="24"/>
        </w:rPr>
        <w:t xml:space="preserve">lower </w:t>
      </w:r>
      <w:r w:rsidR="00B705D5" w:rsidRPr="00024E20">
        <w:rPr>
          <w:rFonts w:ascii="Times New Roman" w:eastAsia="Times New Roman" w:hAnsi="Times New Roman" w:cs="Times New Roman"/>
          <w:color w:val="000000" w:themeColor="text1"/>
          <w:sz w:val="24"/>
          <w:szCs w:val="24"/>
        </w:rPr>
        <w:t>PTH, and higher total 25(OH)D</w:t>
      </w:r>
      <w:r w:rsidR="003A4303" w:rsidRPr="00024E20">
        <w:rPr>
          <w:rFonts w:ascii="Times New Roman" w:eastAsia="Times New Roman" w:hAnsi="Times New Roman" w:cs="Times New Roman"/>
          <w:color w:val="000000" w:themeColor="text1"/>
          <w:sz w:val="24"/>
          <w:szCs w:val="24"/>
        </w:rPr>
        <w:t xml:space="preserve"> than POC users and / or non-users</w:t>
      </w:r>
      <w:r w:rsidR="00501F54" w:rsidRPr="00024E20">
        <w:rPr>
          <w:rFonts w:ascii="Times New Roman" w:eastAsia="Times New Roman" w:hAnsi="Times New Roman" w:cs="Times New Roman"/>
          <w:color w:val="000000" w:themeColor="text1"/>
          <w:sz w:val="24"/>
          <w:szCs w:val="24"/>
        </w:rPr>
        <w:t xml:space="preserve">; </w:t>
      </w:r>
      <w:r w:rsidR="00BD48EE" w:rsidRPr="00024E20">
        <w:rPr>
          <w:rFonts w:ascii="Times New Roman" w:eastAsia="Times New Roman" w:hAnsi="Times New Roman" w:cs="Times New Roman"/>
          <w:color w:val="000000" w:themeColor="text1"/>
          <w:sz w:val="24"/>
          <w:szCs w:val="24"/>
        </w:rPr>
        <w:t>these differences between hormonal contraceptive group</w:t>
      </w:r>
      <w:r w:rsidR="0049159F" w:rsidRPr="00024E20">
        <w:rPr>
          <w:rFonts w:ascii="Times New Roman" w:eastAsia="Times New Roman" w:hAnsi="Times New Roman" w:cs="Times New Roman"/>
          <w:color w:val="000000" w:themeColor="text1"/>
          <w:sz w:val="24"/>
          <w:szCs w:val="24"/>
        </w:rPr>
        <w:t>s</w:t>
      </w:r>
      <w:r w:rsidR="00BD48EE" w:rsidRPr="00024E20">
        <w:rPr>
          <w:rFonts w:ascii="Times New Roman" w:eastAsia="Times New Roman" w:hAnsi="Times New Roman" w:cs="Times New Roman"/>
          <w:color w:val="000000" w:themeColor="text1"/>
          <w:sz w:val="24"/>
          <w:szCs w:val="24"/>
        </w:rPr>
        <w:t xml:space="preserve"> did not manifest in differences in </w:t>
      </w:r>
      <w:r w:rsidR="00C03EA9" w:rsidRPr="00024E20">
        <w:rPr>
          <w:rFonts w:ascii="Times New Roman" w:eastAsia="Times New Roman" w:hAnsi="Times New Roman" w:cs="Times New Roman"/>
          <w:color w:val="000000" w:themeColor="text1"/>
          <w:sz w:val="24"/>
          <w:szCs w:val="24"/>
        </w:rPr>
        <w:t xml:space="preserve">lower body </w:t>
      </w:r>
      <w:r w:rsidR="004A4EC4" w:rsidRPr="00024E20">
        <w:rPr>
          <w:rFonts w:ascii="Times New Roman" w:eastAsia="Times New Roman" w:hAnsi="Times New Roman" w:cs="Times New Roman"/>
          <w:color w:val="000000" w:themeColor="text1"/>
          <w:sz w:val="24"/>
          <w:szCs w:val="24"/>
        </w:rPr>
        <w:t>overuse</w:t>
      </w:r>
      <w:r w:rsidR="00C03EA9"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 xml:space="preserve">musculoskeletal </w:t>
      </w:r>
      <w:r w:rsidR="007A4CC8" w:rsidRPr="00024E20">
        <w:rPr>
          <w:rFonts w:ascii="Times New Roman" w:eastAsia="Times New Roman" w:hAnsi="Times New Roman" w:cs="Times New Roman"/>
          <w:color w:val="000000" w:themeColor="text1"/>
          <w:sz w:val="24"/>
          <w:szCs w:val="24"/>
        </w:rPr>
        <w:t xml:space="preserve">injury </w:t>
      </w:r>
      <w:r w:rsidRPr="00024E20">
        <w:rPr>
          <w:rFonts w:ascii="Times New Roman" w:eastAsia="Times New Roman" w:hAnsi="Times New Roman" w:cs="Times New Roman"/>
          <w:color w:val="000000" w:themeColor="text1"/>
          <w:sz w:val="24"/>
          <w:szCs w:val="24"/>
        </w:rPr>
        <w:t xml:space="preserve">or </w:t>
      </w:r>
      <w:r w:rsidR="00A479AF" w:rsidRPr="00024E20">
        <w:rPr>
          <w:rFonts w:ascii="Times New Roman" w:eastAsia="Times New Roman" w:hAnsi="Times New Roman" w:cs="Times New Roman"/>
          <w:color w:val="000000" w:themeColor="text1"/>
          <w:sz w:val="24"/>
          <w:szCs w:val="24"/>
        </w:rPr>
        <w:t>bone stress injury</w:t>
      </w:r>
      <w:r w:rsidR="007A4CC8" w:rsidRPr="00024E20">
        <w:rPr>
          <w:rFonts w:ascii="Times New Roman" w:eastAsia="Times New Roman" w:hAnsi="Times New Roman" w:cs="Times New Roman"/>
          <w:color w:val="000000" w:themeColor="text1"/>
          <w:sz w:val="24"/>
          <w:szCs w:val="24"/>
        </w:rPr>
        <w:t xml:space="preserve"> </w:t>
      </w:r>
      <w:r w:rsidRPr="00024E20">
        <w:rPr>
          <w:rFonts w:ascii="Times New Roman" w:eastAsia="Times New Roman" w:hAnsi="Times New Roman" w:cs="Times New Roman"/>
          <w:color w:val="000000" w:themeColor="text1"/>
          <w:sz w:val="24"/>
          <w:szCs w:val="24"/>
        </w:rPr>
        <w:t>risk</w:t>
      </w:r>
      <w:r w:rsidR="00843A6C" w:rsidRPr="00024E20">
        <w:rPr>
          <w:rFonts w:ascii="Times New Roman" w:eastAsia="Times New Roman" w:hAnsi="Times New Roman" w:cs="Times New Roman"/>
          <w:color w:val="000000" w:themeColor="text1"/>
          <w:sz w:val="24"/>
          <w:szCs w:val="24"/>
        </w:rPr>
        <w:t xml:space="preserve"> in the short-term</w:t>
      </w:r>
      <w:r w:rsidRPr="00024E20">
        <w:rPr>
          <w:rFonts w:ascii="Times New Roman" w:eastAsia="Times New Roman" w:hAnsi="Times New Roman" w:cs="Times New Roman"/>
          <w:color w:val="000000" w:themeColor="text1"/>
          <w:sz w:val="24"/>
          <w:szCs w:val="24"/>
        </w:rPr>
        <w:t>.</w:t>
      </w:r>
    </w:p>
    <w:p w14:paraId="2C302075" w14:textId="77777777" w:rsidR="009C68EB" w:rsidRPr="00024E20" w:rsidRDefault="009C68EB">
      <w:pPr>
        <w:spacing w:after="0" w:line="480" w:lineRule="auto"/>
        <w:jc w:val="both"/>
        <w:rPr>
          <w:rFonts w:ascii="Times New Roman" w:eastAsia="Times New Roman" w:hAnsi="Times New Roman" w:cs="Times New Roman"/>
          <w:b/>
          <w:color w:val="000000" w:themeColor="text1"/>
          <w:sz w:val="24"/>
          <w:szCs w:val="24"/>
        </w:rPr>
      </w:pPr>
    </w:p>
    <w:p w14:paraId="64D60081" w14:textId="77777777"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Acknowledgements</w:t>
      </w:r>
    </w:p>
    <w:p w14:paraId="00DE451C" w14:textId="4BDA0E8D" w:rsidR="00F71CDB" w:rsidRPr="00024E20" w:rsidRDefault="00E06EB8">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lastRenderedPageBreak/>
        <w:t xml:space="preserve">This study was funded by the UK Ministry of Defence (Army). </w:t>
      </w:r>
      <w:r w:rsidR="002049D3" w:rsidRPr="00024E20">
        <w:rPr>
          <w:rFonts w:ascii="Times New Roman" w:eastAsia="Times New Roman" w:hAnsi="Times New Roman" w:cs="Times New Roman"/>
          <w:color w:val="000000" w:themeColor="text1"/>
          <w:sz w:val="24"/>
          <w:szCs w:val="24"/>
        </w:rPr>
        <w:t xml:space="preserve">The authors thank Dr Daniel Kashi, Xin Hui Aw Yong, Mark Ward, Claire Potter, and Dr Laurel Wentz for their assistance with data collection. </w:t>
      </w:r>
    </w:p>
    <w:p w14:paraId="0A963333" w14:textId="77777777" w:rsidR="00F71CDB" w:rsidRPr="00024E20" w:rsidRDefault="00F71CDB" w:rsidP="0088605D">
      <w:pPr>
        <w:spacing w:after="0" w:line="480" w:lineRule="auto"/>
        <w:jc w:val="both"/>
        <w:rPr>
          <w:rFonts w:ascii="Times New Roman" w:eastAsia="Times New Roman" w:hAnsi="Times New Roman" w:cs="Times New Roman"/>
          <w:b/>
          <w:color w:val="000000" w:themeColor="text1"/>
          <w:sz w:val="24"/>
          <w:szCs w:val="24"/>
        </w:rPr>
      </w:pPr>
    </w:p>
    <w:p w14:paraId="3F36CFF1" w14:textId="505057FC" w:rsidR="00F71CDB" w:rsidRPr="00024E20" w:rsidRDefault="0049159F" w:rsidP="0088605D">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Conflicts</w:t>
      </w:r>
      <w:r w:rsidR="002049D3" w:rsidRPr="00024E20">
        <w:rPr>
          <w:rFonts w:ascii="Times New Roman" w:eastAsia="Times New Roman" w:hAnsi="Times New Roman" w:cs="Times New Roman"/>
          <w:b/>
          <w:color w:val="000000" w:themeColor="text1"/>
          <w:sz w:val="24"/>
          <w:szCs w:val="24"/>
        </w:rPr>
        <w:t xml:space="preserve"> of Interest</w:t>
      </w:r>
    </w:p>
    <w:p w14:paraId="2A757B7F" w14:textId="04335AB5" w:rsidR="00E06EB8" w:rsidRPr="00024E20" w:rsidRDefault="002049D3" w:rsidP="0088605D">
      <w:pPr>
        <w:tabs>
          <w:tab w:val="num" w:pos="720"/>
        </w:tabs>
        <w:spacing w:after="0" w:line="480" w:lineRule="auto"/>
        <w:jc w:val="both"/>
        <w:rPr>
          <w:rFonts w:ascii="Times New Roman" w:eastAsia="Times"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The authors have no conflicts of interests to declare.</w:t>
      </w:r>
      <w:r w:rsidR="00E06EB8" w:rsidRPr="00024E20">
        <w:rPr>
          <w:rFonts w:ascii="Times New Roman" w:eastAsia="Times New Roman" w:hAnsi="Times New Roman" w:cs="Times New Roman"/>
          <w:color w:val="000000" w:themeColor="text1"/>
          <w:sz w:val="24"/>
          <w:szCs w:val="24"/>
        </w:rPr>
        <w:t xml:space="preserve"> </w:t>
      </w:r>
      <w:r w:rsidR="00E06EB8" w:rsidRPr="00024E20">
        <w:rPr>
          <w:rFonts w:ascii="Times New Roman" w:eastAsia="Times" w:hAnsi="Times New Roman" w:cs="Times New Roman"/>
          <w:color w:val="000000" w:themeColor="text1"/>
          <w:sz w:val="24"/>
          <w:szCs w:val="24"/>
        </w:rPr>
        <w:t>The results of the present study do not constitute endorsement by ACSM. The results of this study are presented clearly, honestly, and without fabrication, falsification, or inappropriate data manipulation.</w:t>
      </w:r>
    </w:p>
    <w:p w14:paraId="4C033DA3" w14:textId="77777777" w:rsidR="00F71CDB" w:rsidRPr="00024E20" w:rsidRDefault="00F71CDB" w:rsidP="0088605D">
      <w:pPr>
        <w:spacing w:after="0" w:line="480" w:lineRule="auto"/>
        <w:jc w:val="both"/>
        <w:rPr>
          <w:rFonts w:ascii="Times New Roman" w:eastAsia="Times New Roman" w:hAnsi="Times New Roman" w:cs="Times New Roman"/>
          <w:b/>
          <w:color w:val="000000" w:themeColor="text1"/>
          <w:sz w:val="24"/>
          <w:szCs w:val="24"/>
        </w:rPr>
      </w:pPr>
    </w:p>
    <w:p w14:paraId="336065DD" w14:textId="77777777" w:rsidR="00F71CDB" w:rsidRPr="00024E20" w:rsidRDefault="002049D3" w:rsidP="0088605D">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Author Contributions</w:t>
      </w:r>
    </w:p>
    <w:p w14:paraId="1430AC59" w14:textId="7CB85336" w:rsidR="00F71CDB" w:rsidRPr="00024E20" w:rsidRDefault="002049D3">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RMI, NPW, and JPG designed the study. TJO, SJ, NPW, ATC, SJO</w:t>
      </w:r>
      <w:r w:rsidR="005F3B34" w:rsidRPr="00024E20">
        <w:rPr>
          <w:rFonts w:ascii="Times New Roman" w:eastAsia="Times New Roman" w:hAnsi="Times New Roman" w:cs="Times New Roman"/>
          <w:color w:val="000000" w:themeColor="text1"/>
          <w:sz w:val="24"/>
          <w:szCs w:val="24"/>
        </w:rPr>
        <w:t>, and JPG</w:t>
      </w:r>
      <w:r w:rsidRPr="00024E20">
        <w:rPr>
          <w:rFonts w:ascii="Times New Roman" w:eastAsia="Times New Roman" w:hAnsi="Times New Roman" w:cs="Times New Roman"/>
          <w:color w:val="000000" w:themeColor="text1"/>
          <w:sz w:val="24"/>
          <w:szCs w:val="24"/>
        </w:rPr>
        <w:t xml:space="preserve"> collected the data. JCYT and WDF analysed the biochemical samples. TJO</w:t>
      </w:r>
      <w:r w:rsidR="00D52362" w:rsidRPr="00024E20">
        <w:rPr>
          <w:rFonts w:ascii="Times New Roman" w:eastAsia="Times New Roman" w:hAnsi="Times New Roman" w:cs="Times New Roman"/>
          <w:color w:val="000000" w:themeColor="text1"/>
          <w:sz w:val="24"/>
          <w:szCs w:val="24"/>
        </w:rPr>
        <w:t>, H</w:t>
      </w:r>
      <w:r w:rsidR="00774AF6" w:rsidRPr="00024E20">
        <w:rPr>
          <w:rFonts w:ascii="Times New Roman" w:eastAsia="Times New Roman" w:hAnsi="Times New Roman" w:cs="Times New Roman"/>
          <w:color w:val="000000" w:themeColor="text1"/>
          <w:sz w:val="24"/>
          <w:szCs w:val="24"/>
        </w:rPr>
        <w:t>A</w:t>
      </w:r>
      <w:r w:rsidR="00D52362" w:rsidRPr="00024E20">
        <w:rPr>
          <w:rFonts w:ascii="Times New Roman" w:eastAsia="Times New Roman" w:hAnsi="Times New Roman" w:cs="Times New Roman"/>
          <w:color w:val="000000" w:themeColor="text1"/>
          <w:sz w:val="24"/>
          <w:szCs w:val="24"/>
        </w:rPr>
        <w:t>E,</w:t>
      </w:r>
      <w:r w:rsidR="00774AF6" w:rsidRPr="00024E20">
        <w:rPr>
          <w:rFonts w:ascii="Times New Roman" w:eastAsia="Times New Roman" w:hAnsi="Times New Roman" w:cs="Times New Roman"/>
          <w:color w:val="000000" w:themeColor="text1"/>
          <w:sz w:val="24"/>
          <w:szCs w:val="24"/>
        </w:rPr>
        <w:t xml:space="preserve"> MOC, and CVC</w:t>
      </w:r>
      <w:r w:rsidRPr="00024E20">
        <w:rPr>
          <w:rFonts w:ascii="Times New Roman" w:eastAsia="Times New Roman" w:hAnsi="Times New Roman" w:cs="Times New Roman"/>
          <w:color w:val="000000" w:themeColor="text1"/>
          <w:sz w:val="24"/>
          <w:szCs w:val="24"/>
        </w:rPr>
        <w:t xml:space="preserve"> produced the manuscript</w:t>
      </w:r>
      <w:r w:rsidR="00774AF6" w:rsidRPr="00024E20">
        <w:rPr>
          <w:rFonts w:ascii="Times New Roman" w:eastAsia="Times New Roman" w:hAnsi="Times New Roman" w:cs="Times New Roman"/>
          <w:color w:val="000000" w:themeColor="text1"/>
          <w:sz w:val="24"/>
          <w:szCs w:val="24"/>
        </w:rPr>
        <w:t xml:space="preserve">. TJO </w:t>
      </w:r>
      <w:r w:rsidRPr="00024E20">
        <w:rPr>
          <w:rFonts w:ascii="Times New Roman" w:eastAsia="Times New Roman" w:hAnsi="Times New Roman" w:cs="Times New Roman"/>
          <w:color w:val="000000" w:themeColor="text1"/>
          <w:sz w:val="24"/>
          <w:szCs w:val="24"/>
        </w:rPr>
        <w:t>performed the data analysis. All authors edited the manuscript and approved the final version.</w:t>
      </w:r>
    </w:p>
    <w:p w14:paraId="2A509CBD" w14:textId="77777777" w:rsidR="00F71CDB" w:rsidRPr="00024E20" w:rsidRDefault="00F71CDB">
      <w:pPr>
        <w:spacing w:after="0" w:line="480" w:lineRule="auto"/>
        <w:jc w:val="both"/>
        <w:rPr>
          <w:rFonts w:ascii="Times New Roman" w:eastAsia="Times New Roman" w:hAnsi="Times New Roman" w:cs="Times New Roman"/>
          <w:b/>
          <w:color w:val="000000" w:themeColor="text1"/>
          <w:sz w:val="24"/>
          <w:szCs w:val="24"/>
        </w:rPr>
      </w:pPr>
    </w:p>
    <w:p w14:paraId="7199C04B" w14:textId="77777777" w:rsidR="00F71CDB" w:rsidRPr="00024E20" w:rsidRDefault="002049D3">
      <w:pPr>
        <w:spacing w:after="0" w:line="480" w:lineRule="auto"/>
        <w:jc w:val="both"/>
        <w:rPr>
          <w:rFonts w:ascii="Times New Roman" w:eastAsia="Times New Roman" w:hAnsi="Times New Roman" w:cs="Times New Roman"/>
          <w:b/>
          <w:color w:val="000000" w:themeColor="text1"/>
          <w:sz w:val="24"/>
          <w:szCs w:val="24"/>
        </w:rPr>
      </w:pPr>
      <w:r w:rsidRPr="00024E20">
        <w:rPr>
          <w:rFonts w:ascii="Times New Roman" w:eastAsia="Times New Roman" w:hAnsi="Times New Roman" w:cs="Times New Roman"/>
          <w:b/>
          <w:color w:val="000000" w:themeColor="text1"/>
          <w:sz w:val="24"/>
          <w:szCs w:val="24"/>
        </w:rPr>
        <w:t>Data Availability</w:t>
      </w:r>
    </w:p>
    <w:p w14:paraId="666217D7" w14:textId="586C611C" w:rsidR="00A82197" w:rsidRPr="00024E20" w:rsidRDefault="002049D3" w:rsidP="00BD48EE">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color w:val="000000" w:themeColor="text1"/>
          <w:sz w:val="24"/>
          <w:szCs w:val="24"/>
        </w:rPr>
        <w:t xml:space="preserve">All data </w:t>
      </w:r>
      <w:r w:rsidR="00363A64" w:rsidRPr="00024E20">
        <w:rPr>
          <w:rFonts w:ascii="Times New Roman" w:eastAsia="Times New Roman" w:hAnsi="Times New Roman" w:cs="Times New Roman"/>
          <w:color w:val="000000" w:themeColor="text1"/>
          <w:sz w:val="24"/>
          <w:szCs w:val="24"/>
        </w:rPr>
        <w:t xml:space="preserve">and code </w:t>
      </w:r>
      <w:r w:rsidRPr="00024E20">
        <w:rPr>
          <w:rFonts w:ascii="Times New Roman" w:eastAsia="Times New Roman" w:hAnsi="Times New Roman" w:cs="Times New Roman"/>
          <w:color w:val="000000" w:themeColor="text1"/>
          <w:sz w:val="24"/>
          <w:szCs w:val="24"/>
        </w:rPr>
        <w:t>are available from the corresponding author pending approval of public release from UK Ministry of Defence</w:t>
      </w:r>
      <w:r w:rsidR="00A82197" w:rsidRPr="00024E20">
        <w:rPr>
          <w:rFonts w:ascii="Times New Roman" w:eastAsia="Times New Roman" w:hAnsi="Times New Roman" w:cs="Times New Roman"/>
          <w:color w:val="000000" w:themeColor="text1"/>
          <w:sz w:val="24"/>
          <w:szCs w:val="24"/>
        </w:rPr>
        <w:t>.</w:t>
      </w:r>
    </w:p>
    <w:p w14:paraId="238B0C3D" w14:textId="77777777" w:rsidR="00A82197" w:rsidRPr="00024E20" w:rsidRDefault="00A82197" w:rsidP="003B452A">
      <w:pPr>
        <w:spacing w:after="0" w:line="360" w:lineRule="auto"/>
        <w:jc w:val="both"/>
        <w:rPr>
          <w:rFonts w:ascii="Times New Roman" w:eastAsia="Times New Roman" w:hAnsi="Times New Roman" w:cs="Times New Roman"/>
          <w:color w:val="000000" w:themeColor="text1"/>
          <w:sz w:val="24"/>
          <w:szCs w:val="24"/>
        </w:rPr>
      </w:pPr>
    </w:p>
    <w:p w14:paraId="09F63D18" w14:textId="59AD36E6" w:rsidR="001E6C01" w:rsidRPr="00024E20" w:rsidRDefault="001E6C01" w:rsidP="00CC7E53">
      <w:pPr>
        <w:spacing w:after="0" w:line="360" w:lineRule="auto"/>
        <w:jc w:val="both"/>
        <w:rPr>
          <w:rFonts w:ascii="Times New Roman" w:eastAsia="Times New Roman" w:hAnsi="Times New Roman" w:cs="Times New Roman"/>
          <w:b/>
          <w:bCs/>
          <w:color w:val="000000" w:themeColor="text1"/>
          <w:sz w:val="24"/>
          <w:szCs w:val="24"/>
        </w:rPr>
      </w:pPr>
      <w:r w:rsidRPr="00024E20">
        <w:rPr>
          <w:rFonts w:ascii="Times New Roman" w:eastAsia="Times New Roman" w:hAnsi="Times New Roman" w:cs="Times New Roman"/>
          <w:b/>
          <w:bCs/>
          <w:color w:val="000000" w:themeColor="text1"/>
          <w:sz w:val="24"/>
          <w:szCs w:val="24"/>
        </w:rPr>
        <w:t>References</w:t>
      </w:r>
    </w:p>
    <w:p w14:paraId="5B1B692B" w14:textId="602D0040" w:rsidR="00091081" w:rsidRPr="00024E20" w:rsidRDefault="006E0E7F"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 </w:t>
      </w:r>
      <w:r w:rsidR="00465C87" w:rsidRPr="00024E20">
        <w:rPr>
          <w:rFonts w:ascii="Times New Roman" w:hAnsi="Times New Roman" w:cs="Times New Roman"/>
          <w:color w:val="000000" w:themeColor="text1"/>
          <w:sz w:val="24"/>
          <w:szCs w:val="24"/>
        </w:rPr>
        <w:fldChar w:fldCharType="begin"/>
      </w:r>
      <w:r w:rsidR="00465C87" w:rsidRPr="00024E20">
        <w:rPr>
          <w:rFonts w:ascii="Times New Roman" w:hAnsi="Times New Roman" w:cs="Times New Roman"/>
          <w:color w:val="000000" w:themeColor="text1"/>
          <w:sz w:val="24"/>
          <w:szCs w:val="24"/>
        </w:rPr>
        <w:instrText xml:space="preserve"> ADDIN ZOTERO_BIBL {"uncited":[],"omitted":[],"custom":[]} CSL_BIBLIOGRAPHY </w:instrText>
      </w:r>
      <w:r w:rsidR="00465C87" w:rsidRPr="00024E20">
        <w:rPr>
          <w:rFonts w:ascii="Times New Roman" w:hAnsi="Times New Roman" w:cs="Times New Roman"/>
          <w:color w:val="000000" w:themeColor="text1"/>
          <w:sz w:val="24"/>
          <w:szCs w:val="24"/>
        </w:rPr>
        <w:fldChar w:fldCharType="separate"/>
      </w:r>
      <w:r w:rsidR="00091081" w:rsidRPr="00024E20">
        <w:rPr>
          <w:rFonts w:ascii="Times New Roman" w:hAnsi="Times New Roman" w:cs="Times New Roman"/>
          <w:color w:val="000000" w:themeColor="text1"/>
          <w:sz w:val="24"/>
          <w:szCs w:val="24"/>
        </w:rPr>
        <w:t xml:space="preserve">1. </w:t>
      </w:r>
      <w:r w:rsidR="00091081" w:rsidRPr="00024E20">
        <w:rPr>
          <w:rFonts w:ascii="Times New Roman" w:hAnsi="Times New Roman" w:cs="Times New Roman"/>
          <w:color w:val="000000" w:themeColor="text1"/>
          <w:sz w:val="24"/>
          <w:szCs w:val="24"/>
        </w:rPr>
        <w:tab/>
        <w:t xml:space="preserve">Martin D, Sale C, Cooper SB, Elliott-Sale KJ. Period Prevalence and Perceived Side Effects of Hormonal Contraceptive Use and the Menstrual Cycle in Elite Athletes. </w:t>
      </w:r>
      <w:r w:rsidR="00091081" w:rsidRPr="00024E20">
        <w:rPr>
          <w:rFonts w:ascii="Times New Roman" w:hAnsi="Times New Roman" w:cs="Times New Roman"/>
          <w:i/>
          <w:iCs/>
          <w:color w:val="000000" w:themeColor="text1"/>
          <w:sz w:val="24"/>
          <w:szCs w:val="24"/>
        </w:rPr>
        <w:t>Int</w:t>
      </w:r>
      <w:r w:rsidR="0036490A" w:rsidRPr="00024E20">
        <w:rPr>
          <w:rFonts w:ascii="Times New Roman" w:hAnsi="Times New Roman" w:cs="Times New Roman"/>
          <w:i/>
          <w:iCs/>
          <w:color w:val="000000" w:themeColor="text1"/>
          <w:sz w:val="24"/>
          <w:szCs w:val="24"/>
        </w:rPr>
        <w:t xml:space="preserve"> J S</w:t>
      </w:r>
      <w:r w:rsidR="00091081" w:rsidRPr="00024E20">
        <w:rPr>
          <w:rFonts w:ascii="Times New Roman" w:hAnsi="Times New Roman" w:cs="Times New Roman"/>
          <w:i/>
          <w:iCs/>
          <w:color w:val="000000" w:themeColor="text1"/>
          <w:sz w:val="24"/>
          <w:szCs w:val="24"/>
        </w:rPr>
        <w:t xml:space="preserve">ports </w:t>
      </w:r>
      <w:r w:rsidR="0036490A" w:rsidRPr="00024E20">
        <w:rPr>
          <w:rFonts w:ascii="Times New Roman" w:hAnsi="Times New Roman" w:cs="Times New Roman"/>
          <w:i/>
          <w:iCs/>
          <w:color w:val="000000" w:themeColor="text1"/>
          <w:sz w:val="24"/>
          <w:szCs w:val="24"/>
        </w:rPr>
        <w:t>P</w:t>
      </w:r>
      <w:r w:rsidR="00091081" w:rsidRPr="00024E20">
        <w:rPr>
          <w:rFonts w:ascii="Times New Roman" w:hAnsi="Times New Roman" w:cs="Times New Roman"/>
          <w:i/>
          <w:iCs/>
          <w:color w:val="000000" w:themeColor="text1"/>
          <w:sz w:val="24"/>
          <w:szCs w:val="24"/>
        </w:rPr>
        <w:t>hysiol</w:t>
      </w:r>
      <w:r w:rsidR="0036490A" w:rsidRPr="00024E20">
        <w:rPr>
          <w:rFonts w:ascii="Times New Roman" w:hAnsi="Times New Roman" w:cs="Times New Roman"/>
          <w:i/>
          <w:iCs/>
          <w:color w:val="000000" w:themeColor="text1"/>
          <w:sz w:val="24"/>
          <w:szCs w:val="24"/>
        </w:rPr>
        <w:t xml:space="preserve"> P</w:t>
      </w:r>
      <w:r w:rsidR="00091081" w:rsidRPr="00024E20">
        <w:rPr>
          <w:rFonts w:ascii="Times New Roman" w:hAnsi="Times New Roman" w:cs="Times New Roman"/>
          <w:i/>
          <w:iCs/>
          <w:color w:val="000000" w:themeColor="text1"/>
          <w:sz w:val="24"/>
          <w:szCs w:val="24"/>
        </w:rPr>
        <w:t>erf</w:t>
      </w:r>
      <w:r w:rsidR="00091081" w:rsidRPr="00024E20">
        <w:rPr>
          <w:rFonts w:ascii="Times New Roman" w:hAnsi="Times New Roman" w:cs="Times New Roman"/>
          <w:color w:val="000000" w:themeColor="text1"/>
          <w:sz w:val="24"/>
          <w:szCs w:val="24"/>
        </w:rPr>
        <w:t>. 2018;13(7):926–32.</w:t>
      </w:r>
    </w:p>
    <w:p w14:paraId="459E71E2"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 </w:t>
      </w:r>
      <w:r w:rsidRPr="00024E20">
        <w:rPr>
          <w:rFonts w:ascii="Times New Roman" w:hAnsi="Times New Roman" w:cs="Times New Roman"/>
          <w:color w:val="000000" w:themeColor="text1"/>
          <w:sz w:val="24"/>
          <w:szCs w:val="24"/>
        </w:rPr>
        <w:tab/>
        <w:t xml:space="preserve">Cea-Soriano L, García Rodríguez LA, Machlitt A, Wallander M-A. Use of prescription contraceptive methods in the UK general population: a primary care study. </w:t>
      </w:r>
      <w:r w:rsidRPr="00024E20">
        <w:rPr>
          <w:rFonts w:ascii="Times New Roman" w:hAnsi="Times New Roman" w:cs="Times New Roman"/>
          <w:i/>
          <w:iCs/>
          <w:color w:val="000000" w:themeColor="text1"/>
          <w:sz w:val="24"/>
          <w:szCs w:val="24"/>
        </w:rPr>
        <w:t>BJOG</w:t>
      </w:r>
      <w:r w:rsidRPr="00024E20">
        <w:rPr>
          <w:rFonts w:ascii="Times New Roman" w:hAnsi="Times New Roman" w:cs="Times New Roman"/>
          <w:color w:val="000000" w:themeColor="text1"/>
          <w:sz w:val="24"/>
          <w:szCs w:val="24"/>
        </w:rPr>
        <w:t>. 2014;121(1):53–60; discussion 60-61.</w:t>
      </w:r>
    </w:p>
    <w:p w14:paraId="6A83CE14"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3. </w:t>
      </w:r>
      <w:r w:rsidRPr="00024E20">
        <w:rPr>
          <w:rFonts w:ascii="Times New Roman" w:hAnsi="Times New Roman" w:cs="Times New Roman"/>
          <w:color w:val="000000" w:themeColor="text1"/>
          <w:sz w:val="24"/>
          <w:szCs w:val="24"/>
        </w:rPr>
        <w:tab/>
        <w:t xml:space="preserve">Elliott-Sale KJ, McNulty KL, Ansdell P, et al. The Effects of Oral Contraceptives on Exercise Performance in Women: A Systematic Review and Meta-analysis. </w:t>
      </w:r>
      <w:r w:rsidRPr="00024E20">
        <w:rPr>
          <w:rFonts w:ascii="Times New Roman" w:hAnsi="Times New Roman" w:cs="Times New Roman"/>
          <w:i/>
          <w:iCs/>
          <w:color w:val="000000" w:themeColor="text1"/>
          <w:sz w:val="24"/>
          <w:szCs w:val="24"/>
        </w:rPr>
        <w:t>Sports Med</w:t>
      </w:r>
      <w:r w:rsidRPr="00024E20">
        <w:rPr>
          <w:rFonts w:ascii="Times New Roman" w:hAnsi="Times New Roman" w:cs="Times New Roman"/>
          <w:color w:val="000000" w:themeColor="text1"/>
          <w:sz w:val="24"/>
          <w:szCs w:val="24"/>
        </w:rPr>
        <w:t>. 2020;50(10):1785–812.</w:t>
      </w:r>
    </w:p>
    <w:p w14:paraId="5D85D372"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 </w:t>
      </w:r>
      <w:r w:rsidRPr="00024E20">
        <w:rPr>
          <w:rFonts w:ascii="Times New Roman" w:hAnsi="Times New Roman" w:cs="Times New Roman"/>
          <w:color w:val="000000" w:themeColor="text1"/>
          <w:sz w:val="24"/>
          <w:szCs w:val="24"/>
        </w:rPr>
        <w:tab/>
        <w:t xml:space="preserve">Herrmann M, Seibel MJ. The effects of hormonal contraceptives on bone turnover markers and bone health. </w:t>
      </w:r>
      <w:r w:rsidRPr="00024E20">
        <w:rPr>
          <w:rFonts w:ascii="Times New Roman" w:hAnsi="Times New Roman" w:cs="Times New Roman"/>
          <w:i/>
          <w:iCs/>
          <w:color w:val="000000" w:themeColor="text1"/>
          <w:sz w:val="24"/>
          <w:szCs w:val="24"/>
        </w:rPr>
        <w:t>Clin Endocrinol (Oxf)</w:t>
      </w:r>
      <w:r w:rsidRPr="00024E20">
        <w:rPr>
          <w:rFonts w:ascii="Times New Roman" w:hAnsi="Times New Roman" w:cs="Times New Roman"/>
          <w:color w:val="000000" w:themeColor="text1"/>
          <w:sz w:val="24"/>
          <w:szCs w:val="24"/>
        </w:rPr>
        <w:t>. 2010;72(5):571–83.</w:t>
      </w:r>
    </w:p>
    <w:p w14:paraId="720D91C1" w14:textId="392793CA"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 </w:t>
      </w:r>
      <w:r w:rsidRPr="00024E20">
        <w:rPr>
          <w:rFonts w:ascii="Times New Roman" w:hAnsi="Times New Roman" w:cs="Times New Roman"/>
          <w:color w:val="000000" w:themeColor="text1"/>
          <w:sz w:val="24"/>
          <w:szCs w:val="24"/>
        </w:rPr>
        <w:tab/>
        <w:t xml:space="preserve">Chidi-Ogbolu N, Baar K. Effect of Estrogen on Musculoskeletal Performance and Injury Risk. </w:t>
      </w:r>
      <w:r w:rsidRPr="00024E20">
        <w:rPr>
          <w:rFonts w:ascii="Times New Roman" w:hAnsi="Times New Roman" w:cs="Times New Roman"/>
          <w:i/>
          <w:iCs/>
          <w:color w:val="000000" w:themeColor="text1"/>
          <w:sz w:val="24"/>
          <w:szCs w:val="24"/>
        </w:rPr>
        <w:t>Front</w:t>
      </w:r>
      <w:r w:rsidR="00A504CC" w:rsidRPr="00024E20">
        <w:rPr>
          <w:rFonts w:ascii="Times New Roman" w:hAnsi="Times New Roman" w:cs="Times New Roman"/>
          <w:i/>
          <w:iCs/>
          <w:color w:val="000000" w:themeColor="text1"/>
          <w:sz w:val="24"/>
          <w:szCs w:val="24"/>
        </w:rPr>
        <w:t xml:space="preserve"> P</w:t>
      </w:r>
      <w:r w:rsidRPr="00024E20">
        <w:rPr>
          <w:rFonts w:ascii="Times New Roman" w:hAnsi="Times New Roman" w:cs="Times New Roman"/>
          <w:i/>
          <w:iCs/>
          <w:color w:val="000000" w:themeColor="text1"/>
          <w:sz w:val="24"/>
          <w:szCs w:val="24"/>
        </w:rPr>
        <w:t>hysiol</w:t>
      </w:r>
      <w:r w:rsidRPr="00024E20">
        <w:rPr>
          <w:rFonts w:ascii="Times New Roman" w:hAnsi="Times New Roman" w:cs="Times New Roman"/>
          <w:color w:val="000000" w:themeColor="text1"/>
          <w:sz w:val="24"/>
          <w:szCs w:val="24"/>
        </w:rPr>
        <w:t>. 2018;9:1834.</w:t>
      </w:r>
    </w:p>
    <w:p w14:paraId="0D9D950C" w14:textId="57C3B31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 </w:t>
      </w:r>
      <w:r w:rsidRPr="00024E20">
        <w:rPr>
          <w:rFonts w:ascii="Times New Roman" w:hAnsi="Times New Roman" w:cs="Times New Roman"/>
          <w:color w:val="000000" w:themeColor="text1"/>
          <w:sz w:val="24"/>
          <w:szCs w:val="24"/>
        </w:rPr>
        <w:tab/>
        <w:t xml:space="preserve">Compston JE. Sex steroids and bone. </w:t>
      </w:r>
      <w:r w:rsidRPr="00024E20">
        <w:rPr>
          <w:rFonts w:ascii="Times New Roman" w:hAnsi="Times New Roman" w:cs="Times New Roman"/>
          <w:i/>
          <w:iCs/>
          <w:color w:val="000000" w:themeColor="text1"/>
          <w:sz w:val="24"/>
          <w:szCs w:val="24"/>
        </w:rPr>
        <w:t xml:space="preserve">Physiol </w:t>
      </w:r>
      <w:r w:rsidR="0040547C" w:rsidRPr="00024E20">
        <w:rPr>
          <w:rFonts w:ascii="Times New Roman" w:hAnsi="Times New Roman" w:cs="Times New Roman"/>
          <w:i/>
          <w:iCs/>
          <w:color w:val="000000" w:themeColor="text1"/>
          <w:sz w:val="24"/>
          <w:szCs w:val="24"/>
        </w:rPr>
        <w:t>R</w:t>
      </w:r>
      <w:r w:rsidRPr="00024E20">
        <w:rPr>
          <w:rFonts w:ascii="Times New Roman" w:hAnsi="Times New Roman" w:cs="Times New Roman"/>
          <w:i/>
          <w:iCs/>
          <w:color w:val="000000" w:themeColor="text1"/>
          <w:sz w:val="24"/>
          <w:szCs w:val="24"/>
        </w:rPr>
        <w:t>ev</w:t>
      </w:r>
      <w:r w:rsidRPr="00024E20">
        <w:rPr>
          <w:rFonts w:ascii="Times New Roman" w:hAnsi="Times New Roman" w:cs="Times New Roman"/>
          <w:color w:val="000000" w:themeColor="text1"/>
          <w:sz w:val="24"/>
          <w:szCs w:val="24"/>
        </w:rPr>
        <w:t>. 2001;81(1):419–47.</w:t>
      </w:r>
    </w:p>
    <w:p w14:paraId="716BB177" w14:textId="1183C9B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7. </w:t>
      </w:r>
      <w:r w:rsidRPr="00024E20">
        <w:rPr>
          <w:rFonts w:ascii="Times New Roman" w:hAnsi="Times New Roman" w:cs="Times New Roman"/>
          <w:color w:val="000000" w:themeColor="text1"/>
          <w:sz w:val="24"/>
          <w:szCs w:val="24"/>
        </w:rPr>
        <w:tab/>
        <w:t xml:space="preserve">Minahan C, Sabapathy S. Sex Hormones and Endurance Exercise in Women: Physiological and Psychological Factors Affecting Performance. </w:t>
      </w:r>
      <w:r w:rsidR="0040547C" w:rsidRPr="00024E20">
        <w:rPr>
          <w:rFonts w:ascii="Times New Roman" w:hAnsi="Times New Roman" w:cs="Times New Roman"/>
          <w:color w:val="000000" w:themeColor="text1"/>
          <w:sz w:val="24"/>
          <w:szCs w:val="24"/>
        </w:rPr>
        <w:t xml:space="preserve">In: Hackney AC, editor. </w:t>
      </w:r>
      <w:r w:rsidRPr="00024E20">
        <w:rPr>
          <w:rFonts w:ascii="Times New Roman" w:hAnsi="Times New Roman" w:cs="Times New Roman"/>
          <w:i/>
          <w:iCs/>
          <w:color w:val="000000" w:themeColor="text1"/>
          <w:sz w:val="24"/>
          <w:szCs w:val="24"/>
        </w:rPr>
        <w:t>Sex Hormones, Exercise and Women</w:t>
      </w:r>
      <w:r w:rsidRPr="00024E20">
        <w:rPr>
          <w:rFonts w:ascii="Times New Roman" w:hAnsi="Times New Roman" w:cs="Times New Roman"/>
          <w:color w:val="000000" w:themeColor="text1"/>
          <w:sz w:val="24"/>
          <w:szCs w:val="24"/>
        </w:rPr>
        <w:t>.</w:t>
      </w:r>
      <w:r w:rsidR="000B5461" w:rsidRPr="00024E20">
        <w:rPr>
          <w:rFonts w:ascii="Times New Roman" w:hAnsi="Times New Roman" w:cs="Times New Roman"/>
          <w:i/>
          <w:iCs/>
          <w:color w:val="000000" w:themeColor="text1"/>
          <w:sz w:val="24"/>
          <w:szCs w:val="24"/>
        </w:rPr>
        <w:t xml:space="preserve"> Scientific and Clinical Aspects. </w:t>
      </w:r>
      <w:r w:rsidR="000B5461" w:rsidRPr="00024E20">
        <w:rPr>
          <w:rFonts w:ascii="Times New Roman" w:hAnsi="Times New Roman" w:cs="Times New Roman"/>
          <w:color w:val="000000" w:themeColor="text1"/>
          <w:sz w:val="24"/>
          <w:szCs w:val="24"/>
        </w:rPr>
        <w:t>Switzerland:</w:t>
      </w:r>
      <w:r w:rsidRPr="00024E20">
        <w:rPr>
          <w:rFonts w:ascii="Times New Roman" w:hAnsi="Times New Roman" w:cs="Times New Roman"/>
          <w:color w:val="000000" w:themeColor="text1"/>
          <w:sz w:val="24"/>
          <w:szCs w:val="24"/>
        </w:rPr>
        <w:t xml:space="preserve"> Springer;</w:t>
      </w:r>
      <w:r w:rsidR="000B5461" w:rsidRPr="00024E20">
        <w:rPr>
          <w:rFonts w:ascii="Times New Roman" w:hAnsi="Times New Roman" w:cs="Times New Roman"/>
          <w:color w:val="000000" w:themeColor="text1"/>
          <w:sz w:val="24"/>
          <w:szCs w:val="24"/>
        </w:rPr>
        <w:t xml:space="preserve"> 2023. p. 197-225</w:t>
      </w:r>
      <w:r w:rsidRPr="00024E20">
        <w:rPr>
          <w:rFonts w:ascii="Times New Roman" w:hAnsi="Times New Roman" w:cs="Times New Roman"/>
          <w:color w:val="000000" w:themeColor="text1"/>
          <w:sz w:val="24"/>
          <w:szCs w:val="24"/>
        </w:rPr>
        <w:t>.</w:t>
      </w:r>
    </w:p>
    <w:p w14:paraId="4F09FA30" w14:textId="23FBC3FD" w:rsidR="005A7DEB"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8. </w:t>
      </w:r>
      <w:r w:rsidRPr="00024E20">
        <w:rPr>
          <w:rFonts w:ascii="Times New Roman" w:hAnsi="Times New Roman" w:cs="Times New Roman"/>
          <w:color w:val="000000" w:themeColor="text1"/>
          <w:sz w:val="24"/>
          <w:szCs w:val="24"/>
        </w:rPr>
        <w:tab/>
        <w:t xml:space="preserve">Piirainen JM, Nevanpera S, Tenan MS. Sex Hormone Effects on the Nervous System and Their Impact on Muscle Strength and Motor Performance in Women. </w:t>
      </w:r>
      <w:r w:rsidR="005A7DEB" w:rsidRPr="00024E20">
        <w:rPr>
          <w:rFonts w:ascii="Times New Roman" w:hAnsi="Times New Roman" w:cs="Times New Roman"/>
          <w:color w:val="000000" w:themeColor="text1"/>
          <w:sz w:val="24"/>
          <w:szCs w:val="24"/>
        </w:rPr>
        <w:t xml:space="preserve">In: Hackney AC, editor. </w:t>
      </w:r>
      <w:r w:rsidR="005A7DEB" w:rsidRPr="00024E20">
        <w:rPr>
          <w:rFonts w:ascii="Times New Roman" w:hAnsi="Times New Roman" w:cs="Times New Roman"/>
          <w:i/>
          <w:iCs/>
          <w:color w:val="000000" w:themeColor="text1"/>
          <w:sz w:val="24"/>
          <w:szCs w:val="24"/>
        </w:rPr>
        <w:t>Sex Hormones, Exercise and Women</w:t>
      </w:r>
      <w:r w:rsidR="005A7DEB" w:rsidRPr="00024E20">
        <w:rPr>
          <w:rFonts w:ascii="Times New Roman" w:hAnsi="Times New Roman" w:cs="Times New Roman"/>
          <w:color w:val="000000" w:themeColor="text1"/>
          <w:sz w:val="24"/>
          <w:szCs w:val="24"/>
        </w:rPr>
        <w:t>.</w:t>
      </w:r>
      <w:r w:rsidR="005A7DEB" w:rsidRPr="00024E20">
        <w:rPr>
          <w:rFonts w:ascii="Times New Roman" w:hAnsi="Times New Roman" w:cs="Times New Roman"/>
          <w:i/>
          <w:iCs/>
          <w:color w:val="000000" w:themeColor="text1"/>
          <w:sz w:val="24"/>
          <w:szCs w:val="24"/>
        </w:rPr>
        <w:t xml:space="preserve"> Scientific and Clinical Aspects. </w:t>
      </w:r>
      <w:r w:rsidR="005A7DEB" w:rsidRPr="00024E20">
        <w:rPr>
          <w:rFonts w:ascii="Times New Roman" w:hAnsi="Times New Roman" w:cs="Times New Roman"/>
          <w:color w:val="000000" w:themeColor="text1"/>
          <w:sz w:val="24"/>
          <w:szCs w:val="24"/>
        </w:rPr>
        <w:t>Switzerland: Springer; 2023. p</w:t>
      </w:r>
      <w:r w:rsidR="00493E9D" w:rsidRPr="00024E20">
        <w:rPr>
          <w:rFonts w:ascii="Times New Roman" w:hAnsi="Times New Roman" w:cs="Times New Roman"/>
          <w:color w:val="000000" w:themeColor="text1"/>
          <w:sz w:val="24"/>
          <w:szCs w:val="24"/>
        </w:rPr>
        <w:t>. 135-149.</w:t>
      </w:r>
    </w:p>
    <w:p w14:paraId="27CDA6A0" w14:textId="501EF781"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9. </w:t>
      </w:r>
      <w:r w:rsidRPr="00024E20">
        <w:rPr>
          <w:rFonts w:ascii="Times New Roman" w:hAnsi="Times New Roman" w:cs="Times New Roman"/>
          <w:color w:val="000000" w:themeColor="text1"/>
          <w:sz w:val="24"/>
          <w:szCs w:val="24"/>
        </w:rPr>
        <w:tab/>
        <w:t xml:space="preserve">Martin D, Elliott-Sale K, Nottingham Trent University, United Kingdom. A perspective on current research investigating the effects of hormonal contraceptives on determinants of female athlete performance. </w:t>
      </w:r>
      <w:r w:rsidRPr="00024E20">
        <w:rPr>
          <w:rFonts w:ascii="Times New Roman" w:hAnsi="Times New Roman" w:cs="Times New Roman"/>
          <w:i/>
          <w:iCs/>
          <w:color w:val="000000" w:themeColor="text1"/>
          <w:sz w:val="24"/>
          <w:szCs w:val="24"/>
        </w:rPr>
        <w:t>Rev bras educ fís esporte</w:t>
      </w:r>
      <w:r w:rsidRPr="00024E20">
        <w:rPr>
          <w:rFonts w:ascii="Times New Roman" w:hAnsi="Times New Roman" w:cs="Times New Roman"/>
          <w:color w:val="000000" w:themeColor="text1"/>
          <w:sz w:val="24"/>
          <w:szCs w:val="24"/>
        </w:rPr>
        <w:t>. 2016;30(4):1087–96.</w:t>
      </w:r>
    </w:p>
    <w:p w14:paraId="177E1CCC"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10. </w:t>
      </w:r>
      <w:r w:rsidRPr="00024E20">
        <w:rPr>
          <w:rFonts w:ascii="Times New Roman" w:hAnsi="Times New Roman" w:cs="Times New Roman"/>
          <w:color w:val="000000" w:themeColor="text1"/>
          <w:sz w:val="24"/>
          <w:szCs w:val="24"/>
        </w:rPr>
        <w:tab/>
        <w:t xml:space="preserve">Nolan D, McNulty KL, Manninen M, Egan B. The Effect of Hormonal Contraceptive Use on Skeletal Muscle Hypertrophy, Power and Strength Adaptations to Resistance Exercise Training: A Systematic Review and Multilevel Meta-analysis. </w:t>
      </w:r>
      <w:r w:rsidRPr="00024E20">
        <w:rPr>
          <w:rFonts w:ascii="Times New Roman" w:hAnsi="Times New Roman" w:cs="Times New Roman"/>
          <w:i/>
          <w:iCs/>
          <w:color w:val="000000" w:themeColor="text1"/>
          <w:sz w:val="24"/>
          <w:szCs w:val="24"/>
        </w:rPr>
        <w:t>Sports Med</w:t>
      </w:r>
      <w:r w:rsidRPr="00024E20">
        <w:rPr>
          <w:rFonts w:ascii="Times New Roman" w:hAnsi="Times New Roman" w:cs="Times New Roman"/>
          <w:color w:val="000000" w:themeColor="text1"/>
          <w:sz w:val="24"/>
          <w:szCs w:val="24"/>
        </w:rPr>
        <w:t>. 2024;54(1):105–25.</w:t>
      </w:r>
    </w:p>
    <w:p w14:paraId="5C237B53"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11. </w:t>
      </w:r>
      <w:r w:rsidRPr="00024E20">
        <w:rPr>
          <w:rFonts w:ascii="Times New Roman" w:hAnsi="Times New Roman" w:cs="Times New Roman"/>
          <w:color w:val="000000" w:themeColor="text1"/>
          <w:sz w:val="24"/>
          <w:szCs w:val="24"/>
        </w:rPr>
        <w:tab/>
        <w:t xml:space="preserve">White L, Losciale JM, Squier K, et al. Combined hormonal contraceptive use is not protective against musculoskeletal conditions or injuries: a systematic review with data from 5 million females. </w:t>
      </w:r>
      <w:r w:rsidRPr="00024E20">
        <w:rPr>
          <w:rFonts w:ascii="Times New Roman" w:hAnsi="Times New Roman" w:cs="Times New Roman"/>
          <w:i/>
          <w:iCs/>
          <w:color w:val="000000" w:themeColor="text1"/>
          <w:sz w:val="24"/>
          <w:szCs w:val="24"/>
        </w:rPr>
        <w:t>Br J Sports Med</w:t>
      </w:r>
      <w:r w:rsidRPr="00024E20">
        <w:rPr>
          <w:rFonts w:ascii="Times New Roman" w:hAnsi="Times New Roman" w:cs="Times New Roman"/>
          <w:color w:val="000000" w:themeColor="text1"/>
          <w:sz w:val="24"/>
          <w:szCs w:val="24"/>
        </w:rPr>
        <w:t>. 2023;57(18):1195–202.</w:t>
      </w:r>
    </w:p>
    <w:p w14:paraId="583F085A" w14:textId="3BE076A3"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12. </w:t>
      </w:r>
      <w:r w:rsidRPr="00024E20">
        <w:rPr>
          <w:rFonts w:ascii="Times New Roman" w:hAnsi="Times New Roman" w:cs="Times New Roman"/>
          <w:color w:val="000000" w:themeColor="text1"/>
          <w:sz w:val="24"/>
          <w:szCs w:val="24"/>
        </w:rPr>
        <w:tab/>
        <w:t xml:space="preserve">Konopka JA, Hsue LJ, Dragoo JL. Effect of Oral Contraceptives on Soft Tissue Injury Risk, Soft Tissue Laxity, and Muscle Strength: A Systematic Review of the Literature. </w:t>
      </w:r>
      <w:r w:rsidRPr="00024E20">
        <w:rPr>
          <w:rFonts w:ascii="Times New Roman" w:hAnsi="Times New Roman" w:cs="Times New Roman"/>
          <w:i/>
          <w:iCs/>
          <w:color w:val="000000" w:themeColor="text1"/>
          <w:sz w:val="24"/>
          <w:szCs w:val="24"/>
        </w:rPr>
        <w:t>Orthop</w:t>
      </w:r>
      <w:r w:rsidR="00871AC8"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J</w:t>
      </w:r>
      <w:r w:rsidR="00871AC8"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Sports Med</w:t>
      </w:r>
      <w:r w:rsidRPr="00024E20">
        <w:rPr>
          <w:rFonts w:ascii="Times New Roman" w:hAnsi="Times New Roman" w:cs="Times New Roman"/>
          <w:color w:val="000000" w:themeColor="text1"/>
          <w:sz w:val="24"/>
          <w:szCs w:val="24"/>
        </w:rPr>
        <w:t>. 2019;7(3):232596711983106.</w:t>
      </w:r>
    </w:p>
    <w:p w14:paraId="05303F70" w14:textId="7BE07B4B"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13. </w:t>
      </w:r>
      <w:r w:rsidRPr="00024E20">
        <w:rPr>
          <w:rFonts w:ascii="Times New Roman" w:hAnsi="Times New Roman" w:cs="Times New Roman"/>
          <w:color w:val="000000" w:themeColor="text1"/>
          <w:sz w:val="24"/>
          <w:szCs w:val="24"/>
        </w:rPr>
        <w:tab/>
        <w:t xml:space="preserve">O’Leary TJ, Saunders SC, McGuire SJ, Venables MC, Izard RM. Sex Differences in Training Loads during British Army Basic Training. </w:t>
      </w:r>
      <w:r w:rsidRPr="00024E20">
        <w:rPr>
          <w:rFonts w:ascii="Times New Roman" w:hAnsi="Times New Roman" w:cs="Times New Roman"/>
          <w:i/>
          <w:iCs/>
          <w:color w:val="000000" w:themeColor="text1"/>
          <w:sz w:val="24"/>
          <w:szCs w:val="24"/>
        </w:rPr>
        <w:t>Med</w:t>
      </w:r>
      <w:r w:rsidR="00045BFF"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ci</w:t>
      </w:r>
      <w:r w:rsidR="00045BFF"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ports </w:t>
      </w:r>
      <w:r w:rsidR="00045BFF" w:rsidRPr="00024E20">
        <w:rPr>
          <w:rFonts w:ascii="Times New Roman" w:hAnsi="Times New Roman" w:cs="Times New Roman"/>
          <w:i/>
          <w:iCs/>
          <w:color w:val="000000" w:themeColor="text1"/>
          <w:sz w:val="24"/>
          <w:szCs w:val="24"/>
        </w:rPr>
        <w:t>E</w:t>
      </w:r>
      <w:r w:rsidRPr="00024E20">
        <w:rPr>
          <w:rFonts w:ascii="Times New Roman" w:hAnsi="Times New Roman" w:cs="Times New Roman"/>
          <w:i/>
          <w:iCs/>
          <w:color w:val="000000" w:themeColor="text1"/>
          <w:sz w:val="24"/>
          <w:szCs w:val="24"/>
        </w:rPr>
        <w:t>xerc</w:t>
      </w:r>
      <w:r w:rsidRPr="00024E20">
        <w:rPr>
          <w:rFonts w:ascii="Times New Roman" w:hAnsi="Times New Roman" w:cs="Times New Roman"/>
          <w:color w:val="000000" w:themeColor="text1"/>
          <w:sz w:val="24"/>
          <w:szCs w:val="24"/>
        </w:rPr>
        <w:t>. 2018;50(12):2565–74.</w:t>
      </w:r>
    </w:p>
    <w:p w14:paraId="26FE5DE4" w14:textId="191B3528"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14. </w:t>
      </w:r>
      <w:r w:rsidRPr="00024E20">
        <w:rPr>
          <w:rFonts w:ascii="Times New Roman" w:hAnsi="Times New Roman" w:cs="Times New Roman"/>
          <w:color w:val="000000" w:themeColor="text1"/>
          <w:sz w:val="24"/>
          <w:szCs w:val="24"/>
        </w:rPr>
        <w:tab/>
        <w:t xml:space="preserve">O’Leary TJ, Saunders SC, McGuire SJ, Izard RM. Sex differences in neuromuscular fatigability in response to load carriage in the field in British Army recruits. </w:t>
      </w:r>
      <w:r w:rsidRPr="00024E20">
        <w:rPr>
          <w:rFonts w:ascii="Times New Roman" w:hAnsi="Times New Roman" w:cs="Times New Roman"/>
          <w:i/>
          <w:iCs/>
          <w:color w:val="000000" w:themeColor="text1"/>
          <w:sz w:val="24"/>
          <w:szCs w:val="24"/>
        </w:rPr>
        <w:t>J</w:t>
      </w:r>
      <w:r w:rsidR="008658B4"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ci</w:t>
      </w:r>
      <w:r w:rsidR="008658B4" w:rsidRPr="00024E20">
        <w:rPr>
          <w:rFonts w:ascii="Times New Roman" w:hAnsi="Times New Roman" w:cs="Times New Roman"/>
          <w:i/>
          <w:iCs/>
          <w:color w:val="000000" w:themeColor="text1"/>
          <w:sz w:val="24"/>
          <w:szCs w:val="24"/>
        </w:rPr>
        <w:t xml:space="preserve"> M</w:t>
      </w:r>
      <w:r w:rsidRPr="00024E20">
        <w:rPr>
          <w:rFonts w:ascii="Times New Roman" w:hAnsi="Times New Roman" w:cs="Times New Roman"/>
          <w:i/>
          <w:iCs/>
          <w:color w:val="000000" w:themeColor="text1"/>
          <w:sz w:val="24"/>
          <w:szCs w:val="24"/>
        </w:rPr>
        <w:t>ed</w:t>
      </w:r>
      <w:r w:rsidR="008658B4"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port</w:t>
      </w:r>
      <w:r w:rsidRPr="00024E20">
        <w:rPr>
          <w:rFonts w:ascii="Times New Roman" w:hAnsi="Times New Roman" w:cs="Times New Roman"/>
          <w:color w:val="000000" w:themeColor="text1"/>
          <w:sz w:val="24"/>
          <w:szCs w:val="24"/>
        </w:rPr>
        <w:t>. 2018;21(6):591–5.</w:t>
      </w:r>
    </w:p>
    <w:p w14:paraId="0764C222" w14:textId="18F1843E"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15. </w:t>
      </w:r>
      <w:r w:rsidRPr="00024E20">
        <w:rPr>
          <w:rFonts w:ascii="Times New Roman" w:hAnsi="Times New Roman" w:cs="Times New Roman"/>
          <w:color w:val="000000" w:themeColor="text1"/>
          <w:sz w:val="24"/>
          <w:szCs w:val="24"/>
        </w:rPr>
        <w:tab/>
        <w:t xml:space="preserve">O’Leary TJ, Gifford RM, Knight RL, et al. Sex differences in energy balance, body composition, and metabolic and endocrine markers during prolonged arduous military training. </w:t>
      </w:r>
      <w:r w:rsidRPr="00024E20">
        <w:rPr>
          <w:rFonts w:ascii="Times New Roman" w:hAnsi="Times New Roman" w:cs="Times New Roman"/>
          <w:i/>
          <w:iCs/>
          <w:color w:val="000000" w:themeColor="text1"/>
          <w:sz w:val="24"/>
          <w:szCs w:val="24"/>
        </w:rPr>
        <w:t>J Appl Physiol</w:t>
      </w:r>
      <w:r w:rsidRPr="00024E20">
        <w:rPr>
          <w:rFonts w:ascii="Times New Roman" w:hAnsi="Times New Roman" w:cs="Times New Roman"/>
          <w:color w:val="000000" w:themeColor="text1"/>
          <w:sz w:val="24"/>
          <w:szCs w:val="24"/>
        </w:rPr>
        <w:t>. 2024;136(4):938–48.</w:t>
      </w:r>
    </w:p>
    <w:p w14:paraId="3F783EB6"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16. </w:t>
      </w:r>
      <w:r w:rsidRPr="00024E20">
        <w:rPr>
          <w:rFonts w:ascii="Times New Roman" w:hAnsi="Times New Roman" w:cs="Times New Roman"/>
          <w:color w:val="000000" w:themeColor="text1"/>
          <w:sz w:val="24"/>
          <w:szCs w:val="24"/>
        </w:rPr>
        <w:tab/>
        <w:t xml:space="preserve">Varley-Campbell J, Cooper C, Wilkerson D, Wardle S, Greeves J, Lorenc T. Sex-Specific Changes in Physical Performance Following Military Training: A Systematic Review. </w:t>
      </w:r>
      <w:r w:rsidRPr="00024E20">
        <w:rPr>
          <w:rFonts w:ascii="Times New Roman" w:hAnsi="Times New Roman" w:cs="Times New Roman"/>
          <w:i/>
          <w:iCs/>
          <w:color w:val="000000" w:themeColor="text1"/>
          <w:sz w:val="24"/>
          <w:szCs w:val="24"/>
        </w:rPr>
        <w:t>Sports Med</w:t>
      </w:r>
      <w:r w:rsidRPr="00024E20">
        <w:rPr>
          <w:rFonts w:ascii="Times New Roman" w:hAnsi="Times New Roman" w:cs="Times New Roman"/>
          <w:color w:val="000000" w:themeColor="text1"/>
          <w:sz w:val="24"/>
          <w:szCs w:val="24"/>
        </w:rPr>
        <w:t>. 2018;48(11):2623–40.</w:t>
      </w:r>
    </w:p>
    <w:p w14:paraId="030A93FA" w14:textId="3D1294F2"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17. </w:t>
      </w:r>
      <w:r w:rsidRPr="00024E20">
        <w:rPr>
          <w:rFonts w:ascii="Times New Roman" w:hAnsi="Times New Roman" w:cs="Times New Roman"/>
          <w:color w:val="000000" w:themeColor="text1"/>
          <w:sz w:val="24"/>
          <w:szCs w:val="24"/>
        </w:rPr>
        <w:tab/>
        <w:t xml:space="preserve">O’Leary T, Saunders S, McGuire S, Kefyalew S, Venables M, Izard R. Sex differences in physical performance and body composition adaptations to British Army basic military training. </w:t>
      </w:r>
      <w:r w:rsidRPr="00024E20">
        <w:rPr>
          <w:rFonts w:ascii="Times New Roman" w:hAnsi="Times New Roman" w:cs="Times New Roman"/>
          <w:i/>
          <w:iCs/>
          <w:color w:val="000000" w:themeColor="text1"/>
          <w:sz w:val="24"/>
          <w:szCs w:val="24"/>
        </w:rPr>
        <w:t>J</w:t>
      </w:r>
      <w:r w:rsidR="00967FE9"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ci Med Sport</w:t>
      </w:r>
      <w:r w:rsidRPr="00024E20">
        <w:rPr>
          <w:rFonts w:ascii="Times New Roman" w:hAnsi="Times New Roman" w:cs="Times New Roman"/>
          <w:color w:val="000000" w:themeColor="text1"/>
          <w:sz w:val="24"/>
          <w:szCs w:val="24"/>
        </w:rPr>
        <w:t>. 2017;20:S80.</w:t>
      </w:r>
    </w:p>
    <w:p w14:paraId="47DB98B7" w14:textId="376D9B9A"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18. </w:t>
      </w:r>
      <w:r w:rsidRPr="00024E20">
        <w:rPr>
          <w:rFonts w:ascii="Times New Roman" w:hAnsi="Times New Roman" w:cs="Times New Roman"/>
          <w:color w:val="000000" w:themeColor="text1"/>
          <w:sz w:val="24"/>
          <w:szCs w:val="24"/>
        </w:rPr>
        <w:tab/>
        <w:t xml:space="preserve">O’Leary TJ, Wardle SL, Rawcliffe AJ, Chapman S, Mole J, Greeves JP. Understanding the musculoskeletal injury risk of women in combat: the effect of infantry training and sex on musculoskeletal injury incidence during British Army basic training. </w:t>
      </w:r>
      <w:r w:rsidRPr="00024E20">
        <w:rPr>
          <w:rFonts w:ascii="Times New Roman" w:hAnsi="Times New Roman" w:cs="Times New Roman"/>
          <w:i/>
          <w:iCs/>
          <w:color w:val="000000" w:themeColor="text1"/>
          <w:sz w:val="24"/>
          <w:szCs w:val="24"/>
        </w:rPr>
        <w:t>BMJ Mil Health</w:t>
      </w:r>
      <w:r w:rsidR="00161D50" w:rsidRPr="00024E20">
        <w:rPr>
          <w:rFonts w:ascii="Times New Roman" w:hAnsi="Times New Roman" w:cs="Times New Roman"/>
          <w:i/>
          <w:iCs/>
          <w:color w:val="000000" w:themeColor="text1"/>
          <w:sz w:val="24"/>
          <w:szCs w:val="24"/>
        </w:rPr>
        <w:t xml:space="preserve">. </w:t>
      </w:r>
      <w:r w:rsidR="00161D50" w:rsidRPr="00024E20">
        <w:rPr>
          <w:rFonts w:ascii="Times New Roman" w:hAnsi="Times New Roman" w:cs="Times New Roman"/>
          <w:color w:val="000000" w:themeColor="text1"/>
          <w:sz w:val="24"/>
          <w:szCs w:val="24"/>
        </w:rPr>
        <w:t>2023;169(1):57-61.</w:t>
      </w:r>
    </w:p>
    <w:p w14:paraId="4E7E757B"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19. </w:t>
      </w:r>
      <w:r w:rsidRPr="00024E20">
        <w:rPr>
          <w:rFonts w:ascii="Times New Roman" w:hAnsi="Times New Roman" w:cs="Times New Roman"/>
          <w:color w:val="000000" w:themeColor="text1"/>
          <w:sz w:val="24"/>
          <w:szCs w:val="24"/>
        </w:rPr>
        <w:tab/>
        <w:t xml:space="preserve">Notelovitz M, Zauner C, McKenzie L, Suggs Y, Fields C, Kitchens C. The effect of low-dose oral contraceptives on cardiorespiratory function, coagulation, and lipids in exercising young women: a preliminary report. </w:t>
      </w:r>
      <w:r w:rsidRPr="00024E20">
        <w:rPr>
          <w:rFonts w:ascii="Times New Roman" w:hAnsi="Times New Roman" w:cs="Times New Roman"/>
          <w:i/>
          <w:iCs/>
          <w:color w:val="000000" w:themeColor="text1"/>
          <w:sz w:val="24"/>
          <w:szCs w:val="24"/>
        </w:rPr>
        <w:t>Am J Obstet Gynecol</w:t>
      </w:r>
      <w:r w:rsidRPr="00024E20">
        <w:rPr>
          <w:rFonts w:ascii="Times New Roman" w:hAnsi="Times New Roman" w:cs="Times New Roman"/>
          <w:color w:val="000000" w:themeColor="text1"/>
          <w:sz w:val="24"/>
          <w:szCs w:val="24"/>
        </w:rPr>
        <w:t>. 1987;156(3):591–8.</w:t>
      </w:r>
    </w:p>
    <w:p w14:paraId="646DC7B9"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lang w:val="fr-CH"/>
        </w:rPr>
      </w:pPr>
      <w:r w:rsidRPr="00024E20">
        <w:rPr>
          <w:rFonts w:ascii="Times New Roman" w:hAnsi="Times New Roman" w:cs="Times New Roman"/>
          <w:color w:val="000000" w:themeColor="text1"/>
          <w:sz w:val="24"/>
          <w:szCs w:val="24"/>
        </w:rPr>
        <w:t xml:space="preserve">20. </w:t>
      </w:r>
      <w:r w:rsidRPr="00024E20">
        <w:rPr>
          <w:rFonts w:ascii="Times New Roman" w:hAnsi="Times New Roman" w:cs="Times New Roman"/>
          <w:color w:val="000000" w:themeColor="text1"/>
          <w:sz w:val="24"/>
          <w:szCs w:val="24"/>
        </w:rPr>
        <w:tab/>
        <w:t xml:space="preserve">Casazza GA, Suh S-H, Miller BF, Navazio FM, Brooks GA. Effects of oral contraceptives on peak exercise capacity. </w:t>
      </w:r>
      <w:r w:rsidRPr="00024E20">
        <w:rPr>
          <w:rFonts w:ascii="Times New Roman" w:hAnsi="Times New Roman" w:cs="Times New Roman"/>
          <w:i/>
          <w:iCs/>
          <w:color w:val="000000" w:themeColor="text1"/>
          <w:sz w:val="24"/>
          <w:szCs w:val="24"/>
          <w:lang w:val="fr-CH"/>
        </w:rPr>
        <w:t>J Appl Physiol (1985)</w:t>
      </w:r>
      <w:r w:rsidRPr="00024E20">
        <w:rPr>
          <w:rFonts w:ascii="Times New Roman" w:hAnsi="Times New Roman" w:cs="Times New Roman"/>
          <w:color w:val="000000" w:themeColor="text1"/>
          <w:sz w:val="24"/>
          <w:szCs w:val="24"/>
          <w:lang w:val="fr-CH"/>
        </w:rPr>
        <w:t>. 2002;93(5):1698–702.</w:t>
      </w:r>
    </w:p>
    <w:p w14:paraId="6293EE74"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lang w:val="fr-CH"/>
        </w:rPr>
        <w:lastRenderedPageBreak/>
        <w:t xml:space="preserve">21. </w:t>
      </w:r>
      <w:r w:rsidRPr="00024E20">
        <w:rPr>
          <w:rFonts w:ascii="Times New Roman" w:hAnsi="Times New Roman" w:cs="Times New Roman"/>
          <w:color w:val="000000" w:themeColor="text1"/>
          <w:sz w:val="24"/>
          <w:szCs w:val="24"/>
          <w:lang w:val="fr-CH"/>
        </w:rPr>
        <w:tab/>
        <w:t xml:space="preserve">Lebrun CM, Petit MA, McKenzie DC, Taunton JE, Prior JC. </w:t>
      </w:r>
      <w:r w:rsidRPr="00024E20">
        <w:rPr>
          <w:rFonts w:ascii="Times New Roman" w:hAnsi="Times New Roman" w:cs="Times New Roman"/>
          <w:color w:val="000000" w:themeColor="text1"/>
          <w:sz w:val="24"/>
          <w:szCs w:val="24"/>
        </w:rPr>
        <w:t xml:space="preserve">Decreased maximal aerobic capacity with use of a triphasic oral contraceptive in highly active women: a randomised controlled trial. </w:t>
      </w:r>
      <w:r w:rsidRPr="00024E20">
        <w:rPr>
          <w:rFonts w:ascii="Times New Roman" w:hAnsi="Times New Roman" w:cs="Times New Roman"/>
          <w:i/>
          <w:iCs/>
          <w:color w:val="000000" w:themeColor="text1"/>
          <w:sz w:val="24"/>
          <w:szCs w:val="24"/>
        </w:rPr>
        <w:t>Br J Sports Med</w:t>
      </w:r>
      <w:r w:rsidRPr="00024E20">
        <w:rPr>
          <w:rFonts w:ascii="Times New Roman" w:hAnsi="Times New Roman" w:cs="Times New Roman"/>
          <w:color w:val="000000" w:themeColor="text1"/>
          <w:sz w:val="24"/>
          <w:szCs w:val="24"/>
        </w:rPr>
        <w:t>. 2003;37(4):315–20.</w:t>
      </w:r>
    </w:p>
    <w:p w14:paraId="602FC7B5"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22. </w:t>
      </w:r>
      <w:r w:rsidRPr="00024E20">
        <w:rPr>
          <w:rFonts w:ascii="Times New Roman" w:hAnsi="Times New Roman" w:cs="Times New Roman"/>
          <w:color w:val="000000" w:themeColor="text1"/>
          <w:sz w:val="24"/>
          <w:szCs w:val="24"/>
        </w:rPr>
        <w:tab/>
        <w:t xml:space="preserve">Blacker SD, Wilkinson DM, Bilzon JL, Rayson MP. Risk factors for training injuries among British Army recruits. </w:t>
      </w:r>
      <w:r w:rsidRPr="00024E20">
        <w:rPr>
          <w:rFonts w:ascii="Times New Roman" w:hAnsi="Times New Roman" w:cs="Times New Roman"/>
          <w:i/>
          <w:iCs/>
          <w:color w:val="000000" w:themeColor="text1"/>
          <w:sz w:val="24"/>
          <w:szCs w:val="24"/>
        </w:rPr>
        <w:t>Mil Med</w:t>
      </w:r>
      <w:r w:rsidRPr="00024E20">
        <w:rPr>
          <w:rFonts w:ascii="Times New Roman" w:hAnsi="Times New Roman" w:cs="Times New Roman"/>
          <w:color w:val="000000" w:themeColor="text1"/>
          <w:sz w:val="24"/>
          <w:szCs w:val="24"/>
        </w:rPr>
        <w:t>. 2008;173(3):278–86.</w:t>
      </w:r>
    </w:p>
    <w:p w14:paraId="240D565A"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23. </w:t>
      </w:r>
      <w:r w:rsidRPr="00024E20">
        <w:rPr>
          <w:rFonts w:ascii="Times New Roman" w:hAnsi="Times New Roman" w:cs="Times New Roman"/>
          <w:color w:val="000000" w:themeColor="text1"/>
          <w:sz w:val="24"/>
          <w:szCs w:val="24"/>
        </w:rPr>
        <w:tab/>
        <w:t xml:space="preserve">O’Leary TJ, Izard RM, Tang JCY, Fraser WD, Greeves JP. Hormonal contraceptive use is associated with altered bone structural and metabolic responses to military training in women: An observational cohort study. </w:t>
      </w:r>
      <w:r w:rsidRPr="00024E20">
        <w:rPr>
          <w:rFonts w:ascii="Times New Roman" w:hAnsi="Times New Roman" w:cs="Times New Roman"/>
          <w:i/>
          <w:iCs/>
          <w:color w:val="000000" w:themeColor="text1"/>
          <w:sz w:val="24"/>
          <w:szCs w:val="24"/>
        </w:rPr>
        <w:t>Bone</w:t>
      </w:r>
      <w:r w:rsidRPr="00024E20">
        <w:rPr>
          <w:rFonts w:ascii="Times New Roman" w:hAnsi="Times New Roman" w:cs="Times New Roman"/>
          <w:color w:val="000000" w:themeColor="text1"/>
          <w:sz w:val="24"/>
          <w:szCs w:val="24"/>
        </w:rPr>
        <w:t>. 2024;181:117012.</w:t>
      </w:r>
    </w:p>
    <w:p w14:paraId="2EB68E3E" w14:textId="00BA7AA3"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24. </w:t>
      </w:r>
      <w:r w:rsidRPr="00024E20">
        <w:rPr>
          <w:rFonts w:ascii="Times New Roman" w:hAnsi="Times New Roman" w:cs="Times New Roman"/>
          <w:color w:val="000000" w:themeColor="text1"/>
          <w:sz w:val="24"/>
          <w:szCs w:val="24"/>
        </w:rPr>
        <w:tab/>
        <w:t xml:space="preserve">Carswell AT, Jackson S, Swinton P, et al. Vitamin D Metabolites are Associated with Physical Performance in Young Healthy Adults. </w:t>
      </w:r>
      <w:r w:rsidRPr="00024E20">
        <w:rPr>
          <w:rFonts w:ascii="Times New Roman" w:hAnsi="Times New Roman" w:cs="Times New Roman"/>
          <w:i/>
          <w:iCs/>
          <w:color w:val="000000" w:themeColor="text1"/>
          <w:sz w:val="24"/>
          <w:szCs w:val="24"/>
        </w:rPr>
        <w:t>Med</w:t>
      </w:r>
      <w:r w:rsidR="00AE5C33"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ci </w:t>
      </w:r>
      <w:r w:rsidR="00AE5C33"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 xml:space="preserve">ports </w:t>
      </w:r>
      <w:r w:rsidR="007C38B4" w:rsidRPr="00024E20">
        <w:rPr>
          <w:rFonts w:ascii="Times New Roman" w:hAnsi="Times New Roman" w:cs="Times New Roman"/>
          <w:i/>
          <w:iCs/>
          <w:color w:val="000000" w:themeColor="text1"/>
          <w:sz w:val="24"/>
          <w:szCs w:val="24"/>
        </w:rPr>
        <w:t>E</w:t>
      </w:r>
      <w:r w:rsidRPr="00024E20">
        <w:rPr>
          <w:rFonts w:ascii="Times New Roman" w:hAnsi="Times New Roman" w:cs="Times New Roman"/>
          <w:i/>
          <w:iCs/>
          <w:color w:val="000000" w:themeColor="text1"/>
          <w:sz w:val="24"/>
          <w:szCs w:val="24"/>
        </w:rPr>
        <w:t>xerc</w:t>
      </w:r>
      <w:r w:rsidRPr="00024E20">
        <w:rPr>
          <w:rFonts w:ascii="Times New Roman" w:hAnsi="Times New Roman" w:cs="Times New Roman"/>
          <w:color w:val="000000" w:themeColor="text1"/>
          <w:sz w:val="24"/>
          <w:szCs w:val="24"/>
        </w:rPr>
        <w:t>. 2022;</w:t>
      </w:r>
      <w:r w:rsidR="007C38B4" w:rsidRPr="00024E20">
        <w:rPr>
          <w:rFonts w:ascii="Times New Roman" w:hAnsi="Times New Roman" w:cs="Times New Roman"/>
          <w:color w:val="000000" w:themeColor="text1"/>
          <w:sz w:val="24"/>
          <w:szCs w:val="24"/>
        </w:rPr>
        <w:t>54(11):1982-89</w:t>
      </w:r>
      <w:r w:rsidRPr="00024E20">
        <w:rPr>
          <w:rFonts w:ascii="Times New Roman" w:hAnsi="Times New Roman" w:cs="Times New Roman"/>
          <w:color w:val="000000" w:themeColor="text1"/>
          <w:sz w:val="24"/>
          <w:szCs w:val="24"/>
        </w:rPr>
        <w:t>.</w:t>
      </w:r>
    </w:p>
    <w:p w14:paraId="2C7BA84E"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25. </w:t>
      </w:r>
      <w:r w:rsidRPr="00024E20">
        <w:rPr>
          <w:rFonts w:ascii="Times New Roman" w:hAnsi="Times New Roman" w:cs="Times New Roman"/>
          <w:color w:val="000000" w:themeColor="text1"/>
          <w:sz w:val="24"/>
          <w:szCs w:val="24"/>
        </w:rPr>
        <w:tab/>
        <w:t xml:space="preserve">Dao D, Sodhi S, Tabasinejad R, et al. Serum 25-Hydroxyvitamin D Levels and Stress Fractures in Military Personnel: A Systematic Review and Meta-analysis. </w:t>
      </w:r>
      <w:r w:rsidRPr="00024E20">
        <w:rPr>
          <w:rFonts w:ascii="Times New Roman" w:hAnsi="Times New Roman" w:cs="Times New Roman"/>
          <w:i/>
          <w:iCs/>
          <w:color w:val="000000" w:themeColor="text1"/>
          <w:sz w:val="24"/>
          <w:szCs w:val="24"/>
        </w:rPr>
        <w:t>Am J Sports Med</w:t>
      </w:r>
      <w:r w:rsidRPr="00024E20">
        <w:rPr>
          <w:rFonts w:ascii="Times New Roman" w:hAnsi="Times New Roman" w:cs="Times New Roman"/>
          <w:color w:val="000000" w:themeColor="text1"/>
          <w:sz w:val="24"/>
          <w:szCs w:val="24"/>
        </w:rPr>
        <w:t>. 2015;43(8):2064–72.</w:t>
      </w:r>
    </w:p>
    <w:p w14:paraId="1EF492A0" w14:textId="7E1CFFEF"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26. </w:t>
      </w:r>
      <w:r w:rsidRPr="00024E20">
        <w:rPr>
          <w:rFonts w:ascii="Times New Roman" w:hAnsi="Times New Roman" w:cs="Times New Roman"/>
          <w:color w:val="000000" w:themeColor="text1"/>
          <w:sz w:val="24"/>
          <w:szCs w:val="24"/>
        </w:rPr>
        <w:tab/>
        <w:t xml:space="preserve">O’Leary TJ, Jackson S, Izard RM, et al. Sex differences in iron status during military training: a prospective cohort study of longitudinal changes and associations with endurance performance and musculoskeletal outcomes. </w:t>
      </w:r>
      <w:r w:rsidRPr="00024E20">
        <w:rPr>
          <w:rFonts w:ascii="Times New Roman" w:hAnsi="Times New Roman" w:cs="Times New Roman"/>
          <w:i/>
          <w:iCs/>
          <w:color w:val="000000" w:themeColor="text1"/>
          <w:sz w:val="24"/>
          <w:szCs w:val="24"/>
        </w:rPr>
        <w:t>Br J Nutr</w:t>
      </w:r>
      <w:r w:rsidRPr="00024E20">
        <w:rPr>
          <w:rFonts w:ascii="Times New Roman" w:hAnsi="Times New Roman" w:cs="Times New Roman"/>
          <w:color w:val="000000" w:themeColor="text1"/>
          <w:sz w:val="24"/>
          <w:szCs w:val="24"/>
        </w:rPr>
        <w:t>. 202</w:t>
      </w:r>
      <w:r w:rsidR="003047A4" w:rsidRPr="00024E20">
        <w:rPr>
          <w:rFonts w:ascii="Times New Roman" w:hAnsi="Times New Roman" w:cs="Times New Roman"/>
          <w:color w:val="000000" w:themeColor="text1"/>
          <w:sz w:val="24"/>
          <w:szCs w:val="24"/>
        </w:rPr>
        <w:t>4</w:t>
      </w:r>
      <w:r w:rsidRPr="00024E20">
        <w:rPr>
          <w:rFonts w:ascii="Times New Roman" w:hAnsi="Times New Roman" w:cs="Times New Roman"/>
          <w:color w:val="000000" w:themeColor="text1"/>
          <w:sz w:val="24"/>
          <w:szCs w:val="24"/>
        </w:rPr>
        <w:t>;</w:t>
      </w:r>
      <w:r w:rsidR="003047A4" w:rsidRPr="00024E20">
        <w:rPr>
          <w:rFonts w:ascii="Times New Roman" w:hAnsi="Times New Roman" w:cs="Times New Roman"/>
          <w:color w:val="000000" w:themeColor="text1"/>
          <w:sz w:val="24"/>
          <w:szCs w:val="24"/>
        </w:rPr>
        <w:t>131(4):581-92</w:t>
      </w:r>
      <w:r w:rsidRPr="00024E20">
        <w:rPr>
          <w:rFonts w:ascii="Times New Roman" w:hAnsi="Times New Roman" w:cs="Times New Roman"/>
          <w:color w:val="000000" w:themeColor="text1"/>
          <w:sz w:val="24"/>
          <w:szCs w:val="24"/>
        </w:rPr>
        <w:t>.</w:t>
      </w:r>
    </w:p>
    <w:p w14:paraId="27A9D93F" w14:textId="4108BC91"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27. </w:t>
      </w:r>
      <w:r w:rsidRPr="00024E20">
        <w:rPr>
          <w:rFonts w:ascii="Times New Roman" w:hAnsi="Times New Roman" w:cs="Times New Roman"/>
          <w:color w:val="000000" w:themeColor="text1"/>
          <w:sz w:val="24"/>
          <w:szCs w:val="24"/>
        </w:rPr>
        <w:tab/>
        <w:t xml:space="preserve">Coombs CV, O’Leary TJ, Tang JCY, Fraser WD, Greeves JP. Hormonal contraceptive use, bone density and biochemical markers of bone metabolism in British Army recruits. </w:t>
      </w:r>
      <w:r w:rsidRPr="00024E20">
        <w:rPr>
          <w:rFonts w:ascii="Times New Roman" w:hAnsi="Times New Roman" w:cs="Times New Roman"/>
          <w:i/>
          <w:iCs/>
          <w:color w:val="000000" w:themeColor="text1"/>
          <w:sz w:val="24"/>
          <w:szCs w:val="24"/>
        </w:rPr>
        <w:t>BMJ Mil Health</w:t>
      </w:r>
      <w:r w:rsidRPr="00024E20">
        <w:rPr>
          <w:rFonts w:ascii="Times New Roman" w:hAnsi="Times New Roman" w:cs="Times New Roman"/>
          <w:color w:val="000000" w:themeColor="text1"/>
          <w:sz w:val="24"/>
          <w:szCs w:val="24"/>
        </w:rPr>
        <w:t>. 202</w:t>
      </w:r>
      <w:r w:rsidR="00675902" w:rsidRPr="00024E20">
        <w:rPr>
          <w:rFonts w:ascii="Times New Roman" w:hAnsi="Times New Roman" w:cs="Times New Roman"/>
          <w:color w:val="000000" w:themeColor="text1"/>
          <w:sz w:val="24"/>
          <w:szCs w:val="24"/>
        </w:rPr>
        <w:t>3;169(1):9-16.</w:t>
      </w:r>
    </w:p>
    <w:p w14:paraId="3A00068D"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28. </w:t>
      </w:r>
      <w:r w:rsidRPr="00024E20">
        <w:rPr>
          <w:rFonts w:ascii="Times New Roman" w:hAnsi="Times New Roman" w:cs="Times New Roman"/>
          <w:color w:val="000000" w:themeColor="text1"/>
          <w:sz w:val="24"/>
          <w:szCs w:val="24"/>
        </w:rPr>
        <w:tab/>
        <w:t xml:space="preserve">Lappe JM, Stegman MR, Recker RR. The impact of lifestyle factors on stress fractures in female Army recruits. </w:t>
      </w:r>
      <w:r w:rsidRPr="00024E20">
        <w:rPr>
          <w:rFonts w:ascii="Times New Roman" w:hAnsi="Times New Roman" w:cs="Times New Roman"/>
          <w:i/>
          <w:iCs/>
          <w:color w:val="000000" w:themeColor="text1"/>
          <w:sz w:val="24"/>
          <w:szCs w:val="24"/>
        </w:rPr>
        <w:t>Osteoporos Int</w:t>
      </w:r>
      <w:r w:rsidRPr="00024E20">
        <w:rPr>
          <w:rFonts w:ascii="Times New Roman" w:hAnsi="Times New Roman" w:cs="Times New Roman"/>
          <w:color w:val="000000" w:themeColor="text1"/>
          <w:sz w:val="24"/>
          <w:szCs w:val="24"/>
        </w:rPr>
        <w:t>. 2001;12(1):35–42.</w:t>
      </w:r>
    </w:p>
    <w:p w14:paraId="2E081FB2"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29. </w:t>
      </w:r>
      <w:r w:rsidRPr="00024E20">
        <w:rPr>
          <w:rFonts w:ascii="Times New Roman" w:hAnsi="Times New Roman" w:cs="Times New Roman"/>
          <w:color w:val="000000" w:themeColor="text1"/>
          <w:sz w:val="24"/>
          <w:szCs w:val="24"/>
        </w:rPr>
        <w:tab/>
        <w:t xml:space="preserve">Hadji P, Colli E, Regidor PA. Bone health in estrogen-free contraception. </w:t>
      </w:r>
      <w:r w:rsidRPr="00024E20">
        <w:rPr>
          <w:rFonts w:ascii="Times New Roman" w:hAnsi="Times New Roman" w:cs="Times New Roman"/>
          <w:i/>
          <w:iCs/>
          <w:color w:val="000000" w:themeColor="text1"/>
          <w:sz w:val="24"/>
          <w:szCs w:val="24"/>
        </w:rPr>
        <w:t>Osteoporos Int</w:t>
      </w:r>
      <w:r w:rsidRPr="00024E20">
        <w:rPr>
          <w:rFonts w:ascii="Times New Roman" w:hAnsi="Times New Roman" w:cs="Times New Roman"/>
          <w:color w:val="000000" w:themeColor="text1"/>
          <w:sz w:val="24"/>
          <w:szCs w:val="24"/>
        </w:rPr>
        <w:t>. 2019;30(12):2391–400.</w:t>
      </w:r>
    </w:p>
    <w:p w14:paraId="08B4CCA7"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30. </w:t>
      </w:r>
      <w:r w:rsidRPr="00024E20">
        <w:rPr>
          <w:rFonts w:ascii="Times New Roman" w:hAnsi="Times New Roman" w:cs="Times New Roman"/>
          <w:color w:val="000000" w:themeColor="text1"/>
          <w:sz w:val="24"/>
          <w:szCs w:val="24"/>
        </w:rPr>
        <w:tab/>
        <w:t xml:space="preserve">Curtis KM, Martins SL. Progestogen-only contraception and bone mineral density: a systematic review. </w:t>
      </w:r>
      <w:r w:rsidRPr="00024E20">
        <w:rPr>
          <w:rFonts w:ascii="Times New Roman" w:hAnsi="Times New Roman" w:cs="Times New Roman"/>
          <w:i/>
          <w:iCs/>
          <w:color w:val="000000" w:themeColor="text1"/>
          <w:sz w:val="24"/>
          <w:szCs w:val="24"/>
        </w:rPr>
        <w:t>Contraception</w:t>
      </w:r>
      <w:r w:rsidRPr="00024E20">
        <w:rPr>
          <w:rFonts w:ascii="Times New Roman" w:hAnsi="Times New Roman" w:cs="Times New Roman"/>
          <w:color w:val="000000" w:themeColor="text1"/>
          <w:sz w:val="24"/>
          <w:szCs w:val="24"/>
        </w:rPr>
        <w:t>. 2006;73(5):470–87.</w:t>
      </w:r>
    </w:p>
    <w:p w14:paraId="1B1BE61B"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31. </w:t>
      </w:r>
      <w:r w:rsidRPr="00024E20">
        <w:rPr>
          <w:rFonts w:ascii="Times New Roman" w:hAnsi="Times New Roman" w:cs="Times New Roman"/>
          <w:color w:val="000000" w:themeColor="text1"/>
          <w:sz w:val="24"/>
          <w:szCs w:val="24"/>
        </w:rPr>
        <w:tab/>
        <w:t xml:space="preserve">O’Leary TJ, Wardle SL, Gifford RM, et al. Tibial Macrostructure and Microarchitecture Adaptations in Women During 44 Weeks of Arduous Military Training. </w:t>
      </w:r>
      <w:r w:rsidRPr="00024E20">
        <w:rPr>
          <w:rFonts w:ascii="Times New Roman" w:hAnsi="Times New Roman" w:cs="Times New Roman"/>
          <w:i/>
          <w:iCs/>
          <w:color w:val="000000" w:themeColor="text1"/>
          <w:sz w:val="24"/>
          <w:szCs w:val="24"/>
        </w:rPr>
        <w:t>J Bone Miner Res</w:t>
      </w:r>
      <w:r w:rsidRPr="00024E20">
        <w:rPr>
          <w:rFonts w:ascii="Times New Roman" w:hAnsi="Times New Roman" w:cs="Times New Roman"/>
          <w:color w:val="000000" w:themeColor="text1"/>
          <w:sz w:val="24"/>
          <w:szCs w:val="24"/>
        </w:rPr>
        <w:t>. 2021;36(7):1300–15.</w:t>
      </w:r>
    </w:p>
    <w:p w14:paraId="18575F92" w14:textId="5830FFA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32. </w:t>
      </w:r>
      <w:r w:rsidRPr="00024E20">
        <w:rPr>
          <w:rFonts w:ascii="Times New Roman" w:hAnsi="Times New Roman" w:cs="Times New Roman"/>
          <w:color w:val="000000" w:themeColor="text1"/>
          <w:sz w:val="24"/>
          <w:szCs w:val="24"/>
        </w:rPr>
        <w:tab/>
        <w:t xml:space="preserve">Hughes JM, O’Leary TJ, Koltun KJ, Greeves JP. Promoting adaptive bone formation to prevent stress fractures in military personnel. </w:t>
      </w:r>
      <w:r w:rsidRPr="00024E20">
        <w:rPr>
          <w:rFonts w:ascii="Times New Roman" w:hAnsi="Times New Roman" w:cs="Times New Roman"/>
          <w:i/>
          <w:iCs/>
          <w:color w:val="000000" w:themeColor="text1"/>
          <w:sz w:val="24"/>
          <w:szCs w:val="24"/>
        </w:rPr>
        <w:t>Eur</w:t>
      </w:r>
      <w:r w:rsidR="002C0BB8" w:rsidRPr="00024E20">
        <w:rPr>
          <w:rFonts w:ascii="Times New Roman" w:hAnsi="Times New Roman" w:cs="Times New Roman"/>
          <w:i/>
          <w:iCs/>
          <w:color w:val="000000" w:themeColor="text1"/>
          <w:sz w:val="24"/>
          <w:szCs w:val="24"/>
        </w:rPr>
        <w:t xml:space="preserve"> J S</w:t>
      </w:r>
      <w:r w:rsidRPr="00024E20">
        <w:rPr>
          <w:rFonts w:ascii="Times New Roman" w:hAnsi="Times New Roman" w:cs="Times New Roman"/>
          <w:i/>
          <w:iCs/>
          <w:color w:val="000000" w:themeColor="text1"/>
          <w:sz w:val="24"/>
          <w:szCs w:val="24"/>
        </w:rPr>
        <w:t xml:space="preserve">port </w:t>
      </w:r>
      <w:r w:rsidR="002C0BB8"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ci</w:t>
      </w:r>
      <w:r w:rsidRPr="00024E20">
        <w:rPr>
          <w:rFonts w:ascii="Times New Roman" w:hAnsi="Times New Roman" w:cs="Times New Roman"/>
          <w:color w:val="000000" w:themeColor="text1"/>
          <w:sz w:val="24"/>
          <w:szCs w:val="24"/>
        </w:rPr>
        <w:t>. 202</w:t>
      </w:r>
      <w:r w:rsidR="002C0BB8" w:rsidRPr="00024E20">
        <w:rPr>
          <w:rFonts w:ascii="Times New Roman" w:hAnsi="Times New Roman" w:cs="Times New Roman"/>
          <w:color w:val="000000" w:themeColor="text1"/>
          <w:sz w:val="24"/>
          <w:szCs w:val="24"/>
        </w:rPr>
        <w:t>2;22(1):4-15</w:t>
      </w:r>
      <w:r w:rsidRPr="00024E20">
        <w:rPr>
          <w:rFonts w:ascii="Times New Roman" w:hAnsi="Times New Roman" w:cs="Times New Roman"/>
          <w:color w:val="000000" w:themeColor="text1"/>
          <w:sz w:val="24"/>
          <w:szCs w:val="24"/>
        </w:rPr>
        <w:t>.</w:t>
      </w:r>
    </w:p>
    <w:p w14:paraId="6AFA1BA2" w14:textId="0A81C7F3"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33. </w:t>
      </w:r>
      <w:r w:rsidRPr="00024E20">
        <w:rPr>
          <w:rFonts w:ascii="Times New Roman" w:hAnsi="Times New Roman" w:cs="Times New Roman"/>
          <w:color w:val="000000" w:themeColor="text1"/>
          <w:sz w:val="24"/>
          <w:szCs w:val="24"/>
        </w:rPr>
        <w:tab/>
        <w:t xml:space="preserve">Ricker EA, Koltun KJ, De La Motte SJ. Hormonal Contraception and Medical Readiness for Female Service Members. </w:t>
      </w:r>
      <w:r w:rsidRPr="00024E20">
        <w:rPr>
          <w:rFonts w:ascii="Times New Roman" w:hAnsi="Times New Roman" w:cs="Times New Roman"/>
          <w:i/>
          <w:iCs/>
          <w:color w:val="000000" w:themeColor="text1"/>
          <w:sz w:val="24"/>
          <w:szCs w:val="24"/>
        </w:rPr>
        <w:t>Am</w:t>
      </w:r>
      <w:r w:rsidR="007F5EFF" w:rsidRPr="00024E20">
        <w:rPr>
          <w:rFonts w:ascii="Times New Roman" w:hAnsi="Times New Roman" w:cs="Times New Roman"/>
          <w:i/>
          <w:iCs/>
          <w:color w:val="000000" w:themeColor="text1"/>
          <w:sz w:val="24"/>
          <w:szCs w:val="24"/>
        </w:rPr>
        <w:t xml:space="preserve"> J </w:t>
      </w:r>
      <w:r w:rsidRPr="00024E20">
        <w:rPr>
          <w:rFonts w:ascii="Times New Roman" w:hAnsi="Times New Roman" w:cs="Times New Roman"/>
          <w:i/>
          <w:iCs/>
          <w:color w:val="000000" w:themeColor="text1"/>
          <w:sz w:val="24"/>
          <w:szCs w:val="24"/>
        </w:rPr>
        <w:t>Obstet Gynecol</w:t>
      </w:r>
      <w:r w:rsidRPr="00024E20">
        <w:rPr>
          <w:rFonts w:ascii="Times New Roman" w:hAnsi="Times New Roman" w:cs="Times New Roman"/>
          <w:color w:val="000000" w:themeColor="text1"/>
          <w:sz w:val="24"/>
          <w:szCs w:val="24"/>
        </w:rPr>
        <w:t>. 2024;</w:t>
      </w:r>
      <w:r w:rsidR="007F5EFF" w:rsidRPr="00024E20">
        <w:rPr>
          <w:rFonts w:ascii="Times New Roman" w:hAnsi="Times New Roman" w:cs="Times New Roman"/>
          <w:color w:val="000000" w:themeColor="text1"/>
          <w:sz w:val="24"/>
          <w:szCs w:val="24"/>
        </w:rPr>
        <w:t>doi:10.1016/j.a</w:t>
      </w:r>
      <w:r w:rsidR="00C23627" w:rsidRPr="00024E20">
        <w:rPr>
          <w:rFonts w:ascii="Times New Roman" w:hAnsi="Times New Roman" w:cs="Times New Roman"/>
          <w:color w:val="000000" w:themeColor="text1"/>
          <w:sz w:val="24"/>
          <w:szCs w:val="24"/>
        </w:rPr>
        <w:t>jog.2024.05.044.</w:t>
      </w:r>
      <w:r w:rsidRPr="00024E20">
        <w:rPr>
          <w:rFonts w:ascii="Times New Roman" w:hAnsi="Times New Roman" w:cs="Times New Roman"/>
          <w:color w:val="000000" w:themeColor="text1"/>
          <w:sz w:val="24"/>
          <w:szCs w:val="24"/>
        </w:rPr>
        <w:t>.</w:t>
      </w:r>
    </w:p>
    <w:p w14:paraId="18030D84" w14:textId="375A458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34. </w:t>
      </w:r>
      <w:r w:rsidRPr="00024E20">
        <w:rPr>
          <w:rFonts w:ascii="Times New Roman" w:hAnsi="Times New Roman" w:cs="Times New Roman"/>
          <w:color w:val="000000" w:themeColor="text1"/>
          <w:sz w:val="24"/>
          <w:szCs w:val="24"/>
        </w:rPr>
        <w:tab/>
        <w:t xml:space="preserve">Double RL, Wardle SL, O’Leary TJ, Weaden N, Bailey G, Greeves JP. Hormonal contraceptive prescriptions in the UK Armed Forces. </w:t>
      </w:r>
      <w:r w:rsidRPr="00024E20">
        <w:rPr>
          <w:rFonts w:ascii="Times New Roman" w:hAnsi="Times New Roman" w:cs="Times New Roman"/>
          <w:i/>
          <w:iCs/>
          <w:color w:val="000000" w:themeColor="text1"/>
          <w:sz w:val="24"/>
          <w:szCs w:val="24"/>
        </w:rPr>
        <w:t>BMJ Mil Health</w:t>
      </w:r>
      <w:r w:rsidR="00C23627" w:rsidRPr="00024E20">
        <w:rPr>
          <w:rFonts w:ascii="Times New Roman" w:hAnsi="Times New Roman" w:cs="Times New Roman"/>
          <w:i/>
          <w:iCs/>
          <w:color w:val="000000" w:themeColor="text1"/>
          <w:sz w:val="24"/>
          <w:szCs w:val="24"/>
        </w:rPr>
        <w:t xml:space="preserve">. </w:t>
      </w:r>
      <w:r w:rsidR="00C23627" w:rsidRPr="00024E20">
        <w:rPr>
          <w:rFonts w:ascii="Times New Roman" w:hAnsi="Times New Roman" w:cs="Times New Roman"/>
          <w:color w:val="000000" w:themeColor="text1"/>
          <w:sz w:val="24"/>
          <w:szCs w:val="24"/>
        </w:rPr>
        <w:t>2023;169(1):23-6</w:t>
      </w:r>
      <w:r w:rsidR="00DB3467" w:rsidRPr="00024E20">
        <w:rPr>
          <w:rFonts w:ascii="Times New Roman" w:hAnsi="Times New Roman" w:cs="Times New Roman"/>
          <w:color w:val="000000" w:themeColor="text1"/>
          <w:sz w:val="24"/>
          <w:szCs w:val="24"/>
        </w:rPr>
        <w:t xml:space="preserve">. </w:t>
      </w:r>
    </w:p>
    <w:p w14:paraId="482A3793"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lang w:val="fr-CH"/>
        </w:rPr>
      </w:pPr>
      <w:r w:rsidRPr="00024E20">
        <w:rPr>
          <w:rFonts w:ascii="Times New Roman" w:hAnsi="Times New Roman" w:cs="Times New Roman"/>
          <w:color w:val="000000" w:themeColor="text1"/>
          <w:sz w:val="24"/>
          <w:szCs w:val="24"/>
        </w:rPr>
        <w:t xml:space="preserve">35. </w:t>
      </w:r>
      <w:r w:rsidRPr="00024E20">
        <w:rPr>
          <w:rFonts w:ascii="Times New Roman" w:hAnsi="Times New Roman" w:cs="Times New Roman"/>
          <w:color w:val="000000" w:themeColor="text1"/>
          <w:sz w:val="24"/>
          <w:szCs w:val="24"/>
        </w:rPr>
        <w:tab/>
        <w:t xml:space="preserve">Kashi DS, Oliver SJ, Wentz LM, et al. Vitamin D and the hepatitis B vaccine response: a prospective cohort study and a randomized, placebo-controlled oral vitamin D3 and simulated sunlight supplementation trial in healthy adults. </w:t>
      </w:r>
      <w:r w:rsidRPr="00024E20">
        <w:rPr>
          <w:rFonts w:ascii="Times New Roman" w:hAnsi="Times New Roman" w:cs="Times New Roman"/>
          <w:i/>
          <w:iCs/>
          <w:color w:val="000000" w:themeColor="text1"/>
          <w:sz w:val="24"/>
          <w:szCs w:val="24"/>
          <w:lang w:val="fr-CH"/>
        </w:rPr>
        <w:t>Eur J Nutr</w:t>
      </w:r>
      <w:r w:rsidRPr="00024E20">
        <w:rPr>
          <w:rFonts w:ascii="Times New Roman" w:hAnsi="Times New Roman" w:cs="Times New Roman"/>
          <w:color w:val="000000" w:themeColor="text1"/>
          <w:sz w:val="24"/>
          <w:szCs w:val="24"/>
          <w:lang w:val="fr-CH"/>
        </w:rPr>
        <w:t>. 2021;60(1):475–91.</w:t>
      </w:r>
    </w:p>
    <w:p w14:paraId="16A2EC34" w14:textId="424514DC"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lang w:val="fr-CH"/>
        </w:rPr>
        <w:t xml:space="preserve">36. </w:t>
      </w:r>
      <w:r w:rsidRPr="00024E20">
        <w:rPr>
          <w:rFonts w:ascii="Times New Roman" w:hAnsi="Times New Roman" w:cs="Times New Roman"/>
          <w:color w:val="000000" w:themeColor="text1"/>
          <w:sz w:val="24"/>
          <w:szCs w:val="24"/>
          <w:lang w:val="fr-CH"/>
        </w:rPr>
        <w:tab/>
        <w:t xml:space="preserve">Harrison SE, Oliver SJ, Kashi DS, et al. </w:t>
      </w:r>
      <w:r w:rsidRPr="00024E20">
        <w:rPr>
          <w:rFonts w:ascii="Times New Roman" w:hAnsi="Times New Roman" w:cs="Times New Roman"/>
          <w:color w:val="000000" w:themeColor="text1"/>
          <w:sz w:val="24"/>
          <w:szCs w:val="24"/>
        </w:rPr>
        <w:t xml:space="preserve">Influence of Vitamin D Supplementation by Simulated Sunlight or Oral D3 on Respiratory Infection during Military Training. </w:t>
      </w:r>
      <w:r w:rsidRPr="00024E20">
        <w:rPr>
          <w:rFonts w:ascii="Times New Roman" w:hAnsi="Times New Roman" w:cs="Times New Roman"/>
          <w:i/>
          <w:iCs/>
          <w:color w:val="000000" w:themeColor="text1"/>
          <w:sz w:val="24"/>
          <w:szCs w:val="24"/>
        </w:rPr>
        <w:t>Med</w:t>
      </w:r>
      <w:r w:rsidR="00DB3467"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ci Sports Exerc</w:t>
      </w:r>
      <w:r w:rsidRPr="00024E20">
        <w:rPr>
          <w:rFonts w:ascii="Times New Roman" w:hAnsi="Times New Roman" w:cs="Times New Roman"/>
          <w:color w:val="000000" w:themeColor="text1"/>
          <w:sz w:val="24"/>
          <w:szCs w:val="24"/>
        </w:rPr>
        <w:t>. 2021;53(7):1505–16.</w:t>
      </w:r>
    </w:p>
    <w:p w14:paraId="034C4CA7" w14:textId="1488B7FA"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37. </w:t>
      </w:r>
      <w:r w:rsidRPr="00024E20">
        <w:rPr>
          <w:rFonts w:ascii="Times New Roman" w:hAnsi="Times New Roman" w:cs="Times New Roman"/>
          <w:color w:val="000000" w:themeColor="text1"/>
          <w:sz w:val="24"/>
          <w:szCs w:val="24"/>
        </w:rPr>
        <w:tab/>
        <w:t xml:space="preserve">Gifford RM, O’Leary TJ, Wardle SL, et al. Reproductive and metabolic adaptation to multistressor training in women. </w:t>
      </w:r>
      <w:r w:rsidRPr="00024E20">
        <w:rPr>
          <w:rFonts w:ascii="Times New Roman" w:hAnsi="Times New Roman" w:cs="Times New Roman"/>
          <w:i/>
          <w:iCs/>
          <w:color w:val="000000" w:themeColor="text1"/>
          <w:sz w:val="24"/>
          <w:szCs w:val="24"/>
        </w:rPr>
        <w:t>Am</w:t>
      </w:r>
      <w:r w:rsidR="00C93547" w:rsidRPr="00024E20">
        <w:rPr>
          <w:rFonts w:ascii="Times New Roman" w:hAnsi="Times New Roman" w:cs="Times New Roman"/>
          <w:i/>
          <w:iCs/>
          <w:color w:val="000000" w:themeColor="text1"/>
          <w:sz w:val="24"/>
          <w:szCs w:val="24"/>
        </w:rPr>
        <w:t xml:space="preserve"> J </w:t>
      </w:r>
      <w:r w:rsidRPr="00024E20">
        <w:rPr>
          <w:rFonts w:ascii="Times New Roman" w:hAnsi="Times New Roman" w:cs="Times New Roman"/>
          <w:i/>
          <w:iCs/>
          <w:color w:val="000000" w:themeColor="text1"/>
          <w:sz w:val="24"/>
          <w:szCs w:val="24"/>
        </w:rPr>
        <w:t>Physiol</w:t>
      </w:r>
      <w:r w:rsidR="00C93547"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Endocrinol Metab</w:t>
      </w:r>
      <w:r w:rsidRPr="00024E20">
        <w:rPr>
          <w:rFonts w:ascii="Times New Roman" w:hAnsi="Times New Roman" w:cs="Times New Roman"/>
          <w:color w:val="000000" w:themeColor="text1"/>
          <w:sz w:val="24"/>
          <w:szCs w:val="24"/>
        </w:rPr>
        <w:t>. 2021;321(2):E281–91.</w:t>
      </w:r>
    </w:p>
    <w:p w14:paraId="21255A44" w14:textId="13815A21"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38. </w:t>
      </w:r>
      <w:r w:rsidRPr="00024E20">
        <w:rPr>
          <w:rFonts w:ascii="Times New Roman" w:hAnsi="Times New Roman" w:cs="Times New Roman"/>
          <w:color w:val="000000" w:themeColor="text1"/>
          <w:sz w:val="24"/>
          <w:szCs w:val="24"/>
        </w:rPr>
        <w:tab/>
        <w:t xml:space="preserve">Carswell AT, O’Leary TJ, Swinton P, et al. Vitamin D Metabolites Are Associated With Musculoskeletal Injury in Young Adults: A Prospective Cohort Study. </w:t>
      </w:r>
      <w:r w:rsidRPr="00024E20">
        <w:rPr>
          <w:rFonts w:ascii="Times New Roman" w:hAnsi="Times New Roman" w:cs="Times New Roman"/>
          <w:i/>
          <w:iCs/>
          <w:color w:val="000000" w:themeColor="text1"/>
          <w:sz w:val="24"/>
          <w:szCs w:val="24"/>
        </w:rPr>
        <w:t>J Bone Min Res</w:t>
      </w:r>
      <w:r w:rsidRPr="00024E20">
        <w:rPr>
          <w:rFonts w:ascii="Times New Roman" w:hAnsi="Times New Roman" w:cs="Times New Roman"/>
          <w:color w:val="000000" w:themeColor="text1"/>
          <w:sz w:val="24"/>
          <w:szCs w:val="24"/>
        </w:rPr>
        <w:t>. 2023;</w:t>
      </w:r>
      <w:r w:rsidR="00F41223" w:rsidRPr="00024E20">
        <w:rPr>
          <w:rFonts w:ascii="Times New Roman" w:hAnsi="Times New Roman" w:cs="Times New Roman"/>
          <w:color w:val="000000" w:themeColor="text1"/>
          <w:sz w:val="24"/>
          <w:szCs w:val="24"/>
        </w:rPr>
        <w:t>38(10):1453-64</w:t>
      </w:r>
      <w:r w:rsidRPr="00024E20">
        <w:rPr>
          <w:rFonts w:ascii="Times New Roman" w:hAnsi="Times New Roman" w:cs="Times New Roman"/>
          <w:color w:val="000000" w:themeColor="text1"/>
          <w:sz w:val="24"/>
          <w:szCs w:val="24"/>
        </w:rPr>
        <w:t>.</w:t>
      </w:r>
    </w:p>
    <w:p w14:paraId="3104B401"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39. </w:t>
      </w:r>
      <w:r w:rsidRPr="00024E20">
        <w:rPr>
          <w:rFonts w:ascii="Times New Roman" w:hAnsi="Times New Roman" w:cs="Times New Roman"/>
          <w:color w:val="000000" w:themeColor="text1"/>
          <w:sz w:val="24"/>
          <w:szCs w:val="24"/>
        </w:rPr>
        <w:tab/>
        <w:t xml:space="preserve">Burger SC, Bertram SR, Stewart RI. Assessment of the 2.4 km run as a predictor of aerobic capacity. </w:t>
      </w:r>
      <w:r w:rsidRPr="00024E20">
        <w:rPr>
          <w:rFonts w:ascii="Times New Roman" w:hAnsi="Times New Roman" w:cs="Times New Roman"/>
          <w:i/>
          <w:iCs/>
          <w:color w:val="000000" w:themeColor="text1"/>
          <w:sz w:val="24"/>
          <w:szCs w:val="24"/>
        </w:rPr>
        <w:t>S Afr Med J</w:t>
      </w:r>
      <w:r w:rsidRPr="00024E20">
        <w:rPr>
          <w:rFonts w:ascii="Times New Roman" w:hAnsi="Times New Roman" w:cs="Times New Roman"/>
          <w:color w:val="000000" w:themeColor="text1"/>
          <w:sz w:val="24"/>
          <w:szCs w:val="24"/>
        </w:rPr>
        <w:t>. 1990;78(6):327–9.</w:t>
      </w:r>
    </w:p>
    <w:p w14:paraId="1C7A57EB" w14:textId="667F6618"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40. </w:t>
      </w:r>
      <w:r w:rsidRPr="00024E20">
        <w:rPr>
          <w:rFonts w:ascii="Times New Roman" w:hAnsi="Times New Roman" w:cs="Times New Roman"/>
          <w:color w:val="000000" w:themeColor="text1"/>
          <w:sz w:val="24"/>
          <w:szCs w:val="24"/>
        </w:rPr>
        <w:tab/>
        <w:t xml:space="preserve">Friedl KE, Knapik JJ, Hakkinen K, et al. Perspectives on Aerobic and Strength Influences on Military Physical Readiness: Report of an International Military Physiology Roundtable. </w:t>
      </w:r>
      <w:r w:rsidRPr="00024E20">
        <w:rPr>
          <w:rFonts w:ascii="Times New Roman" w:hAnsi="Times New Roman" w:cs="Times New Roman"/>
          <w:i/>
          <w:iCs/>
          <w:color w:val="000000" w:themeColor="text1"/>
          <w:sz w:val="24"/>
          <w:szCs w:val="24"/>
        </w:rPr>
        <w:t>J</w:t>
      </w:r>
      <w:r w:rsidR="0030653F"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trength </w:t>
      </w:r>
      <w:r w:rsidR="0030653F" w:rsidRPr="00024E20">
        <w:rPr>
          <w:rFonts w:ascii="Times New Roman" w:hAnsi="Times New Roman" w:cs="Times New Roman"/>
          <w:i/>
          <w:iCs/>
          <w:color w:val="000000" w:themeColor="text1"/>
          <w:sz w:val="24"/>
          <w:szCs w:val="24"/>
        </w:rPr>
        <w:t>C</w:t>
      </w:r>
      <w:r w:rsidRPr="00024E20">
        <w:rPr>
          <w:rFonts w:ascii="Times New Roman" w:hAnsi="Times New Roman" w:cs="Times New Roman"/>
          <w:i/>
          <w:iCs/>
          <w:color w:val="000000" w:themeColor="text1"/>
          <w:sz w:val="24"/>
          <w:szCs w:val="24"/>
        </w:rPr>
        <w:t xml:space="preserve">ond </w:t>
      </w:r>
      <w:r w:rsidR="0030653F" w:rsidRPr="00024E20">
        <w:rPr>
          <w:rFonts w:ascii="Times New Roman" w:hAnsi="Times New Roman" w:cs="Times New Roman"/>
          <w:i/>
          <w:iCs/>
          <w:color w:val="000000" w:themeColor="text1"/>
          <w:sz w:val="24"/>
          <w:szCs w:val="24"/>
        </w:rPr>
        <w:t>R</w:t>
      </w:r>
      <w:r w:rsidRPr="00024E20">
        <w:rPr>
          <w:rFonts w:ascii="Times New Roman" w:hAnsi="Times New Roman" w:cs="Times New Roman"/>
          <w:i/>
          <w:iCs/>
          <w:color w:val="000000" w:themeColor="text1"/>
          <w:sz w:val="24"/>
          <w:szCs w:val="24"/>
        </w:rPr>
        <w:t>es</w:t>
      </w:r>
      <w:r w:rsidRPr="00024E20">
        <w:rPr>
          <w:rFonts w:ascii="Times New Roman" w:hAnsi="Times New Roman" w:cs="Times New Roman"/>
          <w:color w:val="000000" w:themeColor="text1"/>
          <w:sz w:val="24"/>
          <w:szCs w:val="24"/>
        </w:rPr>
        <w:t>. 2015;29 Suppl 11:S10-23.</w:t>
      </w:r>
    </w:p>
    <w:p w14:paraId="1C8B85C6" w14:textId="5F495174"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41. </w:t>
      </w:r>
      <w:r w:rsidRPr="00024E20">
        <w:rPr>
          <w:rFonts w:ascii="Times New Roman" w:hAnsi="Times New Roman" w:cs="Times New Roman"/>
          <w:color w:val="000000" w:themeColor="text1"/>
          <w:sz w:val="24"/>
          <w:szCs w:val="24"/>
        </w:rPr>
        <w:tab/>
        <w:t xml:space="preserve">Sayers SP, Harackiewicz DV, Harman EA, Frykman PN, Rosenstein MT. Cross-validation of three jump power equations. </w:t>
      </w:r>
      <w:r w:rsidRPr="00024E20">
        <w:rPr>
          <w:rFonts w:ascii="Times New Roman" w:hAnsi="Times New Roman" w:cs="Times New Roman"/>
          <w:i/>
          <w:iCs/>
          <w:color w:val="000000" w:themeColor="text1"/>
          <w:sz w:val="24"/>
          <w:szCs w:val="24"/>
        </w:rPr>
        <w:t>Med</w:t>
      </w:r>
      <w:r w:rsidR="000402DF"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ci </w:t>
      </w:r>
      <w:r w:rsidR="000402DF"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 xml:space="preserve">ports </w:t>
      </w:r>
      <w:r w:rsidR="000402DF" w:rsidRPr="00024E20">
        <w:rPr>
          <w:rFonts w:ascii="Times New Roman" w:hAnsi="Times New Roman" w:cs="Times New Roman"/>
          <w:i/>
          <w:iCs/>
          <w:color w:val="000000" w:themeColor="text1"/>
          <w:sz w:val="24"/>
          <w:szCs w:val="24"/>
        </w:rPr>
        <w:t>E</w:t>
      </w:r>
      <w:r w:rsidRPr="00024E20">
        <w:rPr>
          <w:rFonts w:ascii="Times New Roman" w:hAnsi="Times New Roman" w:cs="Times New Roman"/>
          <w:i/>
          <w:iCs/>
          <w:color w:val="000000" w:themeColor="text1"/>
          <w:sz w:val="24"/>
          <w:szCs w:val="24"/>
        </w:rPr>
        <w:t>xerc</w:t>
      </w:r>
      <w:r w:rsidRPr="00024E20">
        <w:rPr>
          <w:rFonts w:ascii="Times New Roman" w:hAnsi="Times New Roman" w:cs="Times New Roman"/>
          <w:color w:val="000000" w:themeColor="text1"/>
          <w:sz w:val="24"/>
          <w:szCs w:val="24"/>
        </w:rPr>
        <w:t>. 1999;31(4):572–7.</w:t>
      </w:r>
    </w:p>
    <w:p w14:paraId="2F97C7A2" w14:textId="568A5D41"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42. </w:t>
      </w:r>
      <w:r w:rsidRPr="00024E20">
        <w:rPr>
          <w:rFonts w:ascii="Times New Roman" w:hAnsi="Times New Roman" w:cs="Times New Roman"/>
          <w:color w:val="000000" w:themeColor="text1"/>
          <w:sz w:val="24"/>
          <w:szCs w:val="24"/>
        </w:rPr>
        <w:tab/>
        <w:t xml:space="preserve">Tang JCY, Nicholls H, Piec I, et al. Reference intervals for serum 24,25-dihydroxyvitamin D and the ratio with 25-hydroxyvitamin D established using a newly developed LC-MS/MS method. </w:t>
      </w:r>
      <w:r w:rsidRPr="00024E20">
        <w:rPr>
          <w:rFonts w:ascii="Times New Roman" w:hAnsi="Times New Roman" w:cs="Times New Roman"/>
          <w:i/>
          <w:iCs/>
          <w:color w:val="000000" w:themeColor="text1"/>
          <w:sz w:val="24"/>
          <w:szCs w:val="24"/>
        </w:rPr>
        <w:t>J</w:t>
      </w:r>
      <w:r w:rsidR="000402DF" w:rsidRPr="00024E20">
        <w:rPr>
          <w:rFonts w:ascii="Times New Roman" w:hAnsi="Times New Roman" w:cs="Times New Roman"/>
          <w:i/>
          <w:iCs/>
          <w:color w:val="000000" w:themeColor="text1"/>
          <w:sz w:val="24"/>
          <w:szCs w:val="24"/>
        </w:rPr>
        <w:t xml:space="preserve"> N</w:t>
      </w:r>
      <w:r w:rsidRPr="00024E20">
        <w:rPr>
          <w:rFonts w:ascii="Times New Roman" w:hAnsi="Times New Roman" w:cs="Times New Roman"/>
          <w:i/>
          <w:iCs/>
          <w:color w:val="000000" w:themeColor="text1"/>
          <w:sz w:val="24"/>
          <w:szCs w:val="24"/>
        </w:rPr>
        <w:t xml:space="preserve">utr </w:t>
      </w:r>
      <w:r w:rsidR="000402DF" w:rsidRPr="00024E20">
        <w:rPr>
          <w:rFonts w:ascii="Times New Roman" w:hAnsi="Times New Roman" w:cs="Times New Roman"/>
          <w:i/>
          <w:iCs/>
          <w:color w:val="000000" w:themeColor="text1"/>
          <w:sz w:val="24"/>
          <w:szCs w:val="24"/>
        </w:rPr>
        <w:t>B</w:t>
      </w:r>
      <w:r w:rsidRPr="00024E20">
        <w:rPr>
          <w:rFonts w:ascii="Times New Roman" w:hAnsi="Times New Roman" w:cs="Times New Roman"/>
          <w:i/>
          <w:iCs/>
          <w:color w:val="000000" w:themeColor="text1"/>
          <w:sz w:val="24"/>
          <w:szCs w:val="24"/>
        </w:rPr>
        <w:t>iochem</w:t>
      </w:r>
      <w:r w:rsidRPr="00024E20">
        <w:rPr>
          <w:rFonts w:ascii="Times New Roman" w:hAnsi="Times New Roman" w:cs="Times New Roman"/>
          <w:color w:val="000000" w:themeColor="text1"/>
          <w:sz w:val="24"/>
          <w:szCs w:val="24"/>
        </w:rPr>
        <w:t>. 2017;46:21–9.</w:t>
      </w:r>
    </w:p>
    <w:p w14:paraId="6CD26F5C"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43. </w:t>
      </w:r>
      <w:r w:rsidRPr="00024E20">
        <w:rPr>
          <w:rFonts w:ascii="Times New Roman" w:hAnsi="Times New Roman" w:cs="Times New Roman"/>
          <w:color w:val="000000" w:themeColor="text1"/>
          <w:sz w:val="24"/>
          <w:szCs w:val="24"/>
        </w:rPr>
        <w:tab/>
        <w:t xml:space="preserve">Greenland S, Mansournia MA, Altman DG. Sparse data bias: a problem hiding in plain sight. </w:t>
      </w:r>
      <w:r w:rsidRPr="00024E20">
        <w:rPr>
          <w:rFonts w:ascii="Times New Roman" w:hAnsi="Times New Roman" w:cs="Times New Roman"/>
          <w:i/>
          <w:iCs/>
          <w:color w:val="000000" w:themeColor="text1"/>
          <w:sz w:val="24"/>
          <w:szCs w:val="24"/>
        </w:rPr>
        <w:t>BMJ</w:t>
      </w:r>
      <w:r w:rsidRPr="00024E20">
        <w:rPr>
          <w:rFonts w:ascii="Times New Roman" w:hAnsi="Times New Roman" w:cs="Times New Roman"/>
          <w:color w:val="000000" w:themeColor="text1"/>
          <w:sz w:val="24"/>
          <w:szCs w:val="24"/>
        </w:rPr>
        <w:t>. 2016;i1981.</w:t>
      </w:r>
    </w:p>
    <w:p w14:paraId="600710A2" w14:textId="5D464D5C"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44. </w:t>
      </w:r>
      <w:r w:rsidRPr="00024E20">
        <w:rPr>
          <w:rFonts w:ascii="Times New Roman" w:hAnsi="Times New Roman" w:cs="Times New Roman"/>
          <w:color w:val="000000" w:themeColor="text1"/>
          <w:sz w:val="24"/>
          <w:szCs w:val="24"/>
        </w:rPr>
        <w:tab/>
        <w:t xml:space="preserve">Mansournia MA, Geroldinger A, Greenland S, Heinze G. Separation in Logistic Regression: Causes, Consequences, and Control. </w:t>
      </w:r>
      <w:r w:rsidRPr="00024E20">
        <w:rPr>
          <w:rFonts w:ascii="Times New Roman" w:hAnsi="Times New Roman" w:cs="Times New Roman"/>
          <w:i/>
          <w:iCs/>
          <w:color w:val="000000" w:themeColor="text1"/>
          <w:sz w:val="24"/>
          <w:szCs w:val="24"/>
        </w:rPr>
        <w:t>Am</w:t>
      </w:r>
      <w:r w:rsidR="008026CD" w:rsidRPr="00024E20">
        <w:rPr>
          <w:rFonts w:ascii="Times New Roman" w:hAnsi="Times New Roman" w:cs="Times New Roman"/>
          <w:i/>
          <w:iCs/>
          <w:color w:val="000000" w:themeColor="text1"/>
          <w:sz w:val="24"/>
          <w:szCs w:val="24"/>
        </w:rPr>
        <w:t xml:space="preserve"> J </w:t>
      </w:r>
      <w:r w:rsidRPr="00024E20">
        <w:rPr>
          <w:rFonts w:ascii="Times New Roman" w:hAnsi="Times New Roman" w:cs="Times New Roman"/>
          <w:i/>
          <w:iCs/>
          <w:color w:val="000000" w:themeColor="text1"/>
          <w:sz w:val="24"/>
          <w:szCs w:val="24"/>
        </w:rPr>
        <w:t>Epidemiol</w:t>
      </w:r>
      <w:r w:rsidRPr="00024E20">
        <w:rPr>
          <w:rFonts w:ascii="Times New Roman" w:hAnsi="Times New Roman" w:cs="Times New Roman"/>
          <w:color w:val="000000" w:themeColor="text1"/>
          <w:sz w:val="24"/>
          <w:szCs w:val="24"/>
        </w:rPr>
        <w:t>. 2018;187(4):864–70.</w:t>
      </w:r>
    </w:p>
    <w:p w14:paraId="0A160C91"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45. </w:t>
      </w:r>
      <w:r w:rsidRPr="00024E20">
        <w:rPr>
          <w:rFonts w:ascii="Times New Roman" w:hAnsi="Times New Roman" w:cs="Times New Roman"/>
          <w:color w:val="000000" w:themeColor="text1"/>
          <w:sz w:val="24"/>
          <w:szCs w:val="24"/>
        </w:rPr>
        <w:tab/>
        <w:t xml:space="preserve">Firth D. Bias reduction of maximum likelihood estimates. </w:t>
      </w:r>
      <w:r w:rsidRPr="00024E20">
        <w:rPr>
          <w:rFonts w:ascii="Times New Roman" w:hAnsi="Times New Roman" w:cs="Times New Roman"/>
          <w:i/>
          <w:iCs/>
          <w:color w:val="000000" w:themeColor="text1"/>
          <w:sz w:val="24"/>
          <w:szCs w:val="24"/>
        </w:rPr>
        <w:t>Biometrika</w:t>
      </w:r>
      <w:r w:rsidRPr="00024E20">
        <w:rPr>
          <w:rFonts w:ascii="Times New Roman" w:hAnsi="Times New Roman" w:cs="Times New Roman"/>
          <w:color w:val="000000" w:themeColor="text1"/>
          <w:sz w:val="24"/>
          <w:szCs w:val="24"/>
        </w:rPr>
        <w:t>. 1993;80(1):27–38.</w:t>
      </w:r>
    </w:p>
    <w:p w14:paraId="0AECD7DE"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46. </w:t>
      </w:r>
      <w:r w:rsidRPr="00024E20">
        <w:rPr>
          <w:rFonts w:ascii="Times New Roman" w:hAnsi="Times New Roman" w:cs="Times New Roman"/>
          <w:color w:val="000000" w:themeColor="text1"/>
          <w:sz w:val="24"/>
          <w:szCs w:val="24"/>
        </w:rPr>
        <w:tab/>
        <w:t xml:space="preserve">Bryner RW, Toffle RC, Ullrich IH, Yeater RA. Effect of low dose oral contraceptives on exercise performance. </w:t>
      </w:r>
      <w:r w:rsidRPr="00024E20">
        <w:rPr>
          <w:rFonts w:ascii="Times New Roman" w:hAnsi="Times New Roman" w:cs="Times New Roman"/>
          <w:i/>
          <w:iCs/>
          <w:color w:val="000000" w:themeColor="text1"/>
          <w:sz w:val="24"/>
          <w:szCs w:val="24"/>
        </w:rPr>
        <w:t>Br J Sports Med</w:t>
      </w:r>
      <w:r w:rsidRPr="00024E20">
        <w:rPr>
          <w:rFonts w:ascii="Times New Roman" w:hAnsi="Times New Roman" w:cs="Times New Roman"/>
          <w:color w:val="000000" w:themeColor="text1"/>
          <w:sz w:val="24"/>
          <w:szCs w:val="24"/>
        </w:rPr>
        <w:t>. 1996;30(1):36–40.</w:t>
      </w:r>
    </w:p>
    <w:p w14:paraId="3B22142C"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47. </w:t>
      </w:r>
      <w:r w:rsidRPr="00024E20">
        <w:rPr>
          <w:rFonts w:ascii="Times New Roman" w:hAnsi="Times New Roman" w:cs="Times New Roman"/>
          <w:color w:val="000000" w:themeColor="text1"/>
          <w:sz w:val="24"/>
          <w:szCs w:val="24"/>
        </w:rPr>
        <w:tab/>
        <w:t xml:space="preserve">Rebelo ACS, Zuttin RS, Verlengia R, Cesar M de C, de Sá MFS, da Silva E. Effect of low-dose combined oral contraceptive on aerobic capacity and anaerobic threshold level in active and sedentary young women. </w:t>
      </w:r>
      <w:r w:rsidRPr="00024E20">
        <w:rPr>
          <w:rFonts w:ascii="Times New Roman" w:hAnsi="Times New Roman" w:cs="Times New Roman"/>
          <w:i/>
          <w:iCs/>
          <w:color w:val="000000" w:themeColor="text1"/>
          <w:sz w:val="24"/>
          <w:szCs w:val="24"/>
        </w:rPr>
        <w:t>Contraception</w:t>
      </w:r>
      <w:r w:rsidRPr="00024E20">
        <w:rPr>
          <w:rFonts w:ascii="Times New Roman" w:hAnsi="Times New Roman" w:cs="Times New Roman"/>
          <w:color w:val="000000" w:themeColor="text1"/>
          <w:sz w:val="24"/>
          <w:szCs w:val="24"/>
        </w:rPr>
        <w:t>. 2010;81(4):309–15.</w:t>
      </w:r>
    </w:p>
    <w:p w14:paraId="256CC27D"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48. </w:t>
      </w:r>
      <w:r w:rsidRPr="00024E20">
        <w:rPr>
          <w:rFonts w:ascii="Times New Roman" w:hAnsi="Times New Roman" w:cs="Times New Roman"/>
          <w:color w:val="000000" w:themeColor="text1"/>
          <w:sz w:val="24"/>
          <w:szCs w:val="24"/>
        </w:rPr>
        <w:tab/>
        <w:t xml:space="preserve">Joyce S, Sabapathy S, Bulmer A, Minahan C. Effect of long-term oral contraceptive use on determinants of endurance performance. </w:t>
      </w:r>
      <w:r w:rsidRPr="00024E20">
        <w:rPr>
          <w:rFonts w:ascii="Times New Roman" w:hAnsi="Times New Roman" w:cs="Times New Roman"/>
          <w:i/>
          <w:iCs/>
          <w:color w:val="000000" w:themeColor="text1"/>
          <w:sz w:val="24"/>
          <w:szCs w:val="24"/>
        </w:rPr>
        <w:t>J Strength Cond Res</w:t>
      </w:r>
      <w:r w:rsidRPr="00024E20">
        <w:rPr>
          <w:rFonts w:ascii="Times New Roman" w:hAnsi="Times New Roman" w:cs="Times New Roman"/>
          <w:color w:val="000000" w:themeColor="text1"/>
          <w:sz w:val="24"/>
          <w:szCs w:val="24"/>
        </w:rPr>
        <w:t>. 2013;27(7):1891–6.</w:t>
      </w:r>
    </w:p>
    <w:p w14:paraId="586DFB78" w14:textId="5079A8C3"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49. </w:t>
      </w:r>
      <w:r w:rsidRPr="00024E20">
        <w:rPr>
          <w:rFonts w:ascii="Times New Roman" w:hAnsi="Times New Roman" w:cs="Times New Roman"/>
          <w:color w:val="000000" w:themeColor="text1"/>
          <w:sz w:val="24"/>
          <w:szCs w:val="24"/>
        </w:rPr>
        <w:tab/>
        <w:t xml:space="preserve">Rickenlund A, Carlström K, Ekblom B, Brismar TB, Von Schoultz B, Hirschberg AL. Effects of Oral Contraceptives on Body Composition and Physical Performance in Female Athletes. </w:t>
      </w:r>
      <w:r w:rsidRPr="00024E20">
        <w:rPr>
          <w:rFonts w:ascii="Times New Roman" w:hAnsi="Times New Roman" w:cs="Times New Roman"/>
          <w:i/>
          <w:iCs/>
          <w:color w:val="000000" w:themeColor="text1"/>
          <w:sz w:val="24"/>
          <w:szCs w:val="24"/>
        </w:rPr>
        <w:t>J Clin Endocrinol Metab</w:t>
      </w:r>
      <w:r w:rsidRPr="00024E20">
        <w:rPr>
          <w:rFonts w:ascii="Times New Roman" w:hAnsi="Times New Roman" w:cs="Times New Roman"/>
          <w:color w:val="000000" w:themeColor="text1"/>
          <w:sz w:val="24"/>
          <w:szCs w:val="24"/>
        </w:rPr>
        <w:t>. 2004;89(9):4364–70.</w:t>
      </w:r>
    </w:p>
    <w:p w14:paraId="0E54FE11" w14:textId="6F898D5D"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50. </w:t>
      </w:r>
      <w:r w:rsidRPr="00024E20">
        <w:rPr>
          <w:rFonts w:ascii="Times New Roman" w:hAnsi="Times New Roman" w:cs="Times New Roman"/>
          <w:color w:val="000000" w:themeColor="text1"/>
          <w:sz w:val="24"/>
          <w:szCs w:val="24"/>
        </w:rPr>
        <w:tab/>
        <w:t xml:space="preserve">Procter-Gray E, Cobb KL, Crawford SL, et al. Effect of Oral Contraceptives on Weight and Body Composition in Young Female Runners. </w:t>
      </w:r>
      <w:r w:rsidRPr="00024E20">
        <w:rPr>
          <w:rFonts w:ascii="Times New Roman" w:hAnsi="Times New Roman" w:cs="Times New Roman"/>
          <w:i/>
          <w:iCs/>
          <w:color w:val="000000" w:themeColor="text1"/>
          <w:sz w:val="24"/>
          <w:szCs w:val="24"/>
        </w:rPr>
        <w:t>Med</w:t>
      </w:r>
      <w:r w:rsidR="00F03690"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Sci Sports Exerc</w:t>
      </w:r>
      <w:r w:rsidRPr="00024E20">
        <w:rPr>
          <w:rFonts w:ascii="Times New Roman" w:hAnsi="Times New Roman" w:cs="Times New Roman"/>
          <w:color w:val="000000" w:themeColor="text1"/>
          <w:sz w:val="24"/>
          <w:szCs w:val="24"/>
        </w:rPr>
        <w:t>. 2008;40(7):1205–12.</w:t>
      </w:r>
    </w:p>
    <w:p w14:paraId="6DA392FC" w14:textId="742AB048"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51. </w:t>
      </w:r>
      <w:r w:rsidRPr="00024E20">
        <w:rPr>
          <w:rFonts w:ascii="Times New Roman" w:hAnsi="Times New Roman" w:cs="Times New Roman"/>
          <w:color w:val="000000" w:themeColor="text1"/>
          <w:sz w:val="24"/>
          <w:szCs w:val="24"/>
        </w:rPr>
        <w:tab/>
        <w:t xml:space="preserve">Dugan C, Peeling P, Davies A, et al. The relationship between menorrhagia, iron deficiency, and anaemia in recreationally active females: An exploratory population based screening study. </w:t>
      </w:r>
      <w:r w:rsidRPr="00024E20">
        <w:rPr>
          <w:rFonts w:ascii="Times New Roman" w:hAnsi="Times New Roman" w:cs="Times New Roman"/>
          <w:i/>
          <w:iCs/>
          <w:color w:val="000000" w:themeColor="text1"/>
          <w:sz w:val="24"/>
          <w:szCs w:val="24"/>
        </w:rPr>
        <w:t>J</w:t>
      </w:r>
      <w:r w:rsidR="00F03690"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Sci Med Sport</w:t>
      </w:r>
      <w:r w:rsidRPr="00024E20">
        <w:rPr>
          <w:rFonts w:ascii="Times New Roman" w:hAnsi="Times New Roman" w:cs="Times New Roman"/>
          <w:color w:val="000000" w:themeColor="text1"/>
          <w:sz w:val="24"/>
          <w:szCs w:val="24"/>
        </w:rPr>
        <w:t>. 2024;S1440244024001427.</w:t>
      </w:r>
    </w:p>
    <w:p w14:paraId="374AD252"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52. </w:t>
      </w:r>
      <w:r w:rsidRPr="00024E20">
        <w:rPr>
          <w:rFonts w:ascii="Times New Roman" w:hAnsi="Times New Roman" w:cs="Times New Roman"/>
          <w:color w:val="000000" w:themeColor="text1"/>
          <w:sz w:val="24"/>
          <w:szCs w:val="24"/>
        </w:rPr>
        <w:tab/>
        <w:t xml:space="preserve">Todd T, Caroe T. Newly diagnosed iron deficiency anaemia in a premenopausal woman. </w:t>
      </w:r>
      <w:r w:rsidRPr="00024E20">
        <w:rPr>
          <w:rFonts w:ascii="Times New Roman" w:hAnsi="Times New Roman" w:cs="Times New Roman"/>
          <w:i/>
          <w:iCs/>
          <w:color w:val="000000" w:themeColor="text1"/>
          <w:sz w:val="24"/>
          <w:szCs w:val="24"/>
        </w:rPr>
        <w:t>BMJ</w:t>
      </w:r>
      <w:r w:rsidRPr="00024E20">
        <w:rPr>
          <w:rFonts w:ascii="Times New Roman" w:hAnsi="Times New Roman" w:cs="Times New Roman"/>
          <w:color w:val="000000" w:themeColor="text1"/>
          <w:sz w:val="24"/>
          <w:szCs w:val="24"/>
        </w:rPr>
        <w:t>. 2007;334(7587):259.</w:t>
      </w:r>
    </w:p>
    <w:p w14:paraId="4C736888"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53. </w:t>
      </w:r>
      <w:r w:rsidRPr="00024E20">
        <w:rPr>
          <w:rFonts w:ascii="Times New Roman" w:hAnsi="Times New Roman" w:cs="Times New Roman"/>
          <w:color w:val="000000" w:themeColor="text1"/>
          <w:sz w:val="24"/>
          <w:szCs w:val="24"/>
        </w:rPr>
        <w:tab/>
        <w:t xml:space="preserve">O’Leary TJ, Wardle SL, Greeves JP. Energy Deficiency in Soldiers: The Risk of the Athlete Triad and Relative Energy Deficiency in Sport Syndromes in the Military. </w:t>
      </w:r>
      <w:r w:rsidRPr="00024E20">
        <w:rPr>
          <w:rFonts w:ascii="Times New Roman" w:hAnsi="Times New Roman" w:cs="Times New Roman"/>
          <w:i/>
          <w:iCs/>
          <w:color w:val="000000" w:themeColor="text1"/>
          <w:sz w:val="24"/>
          <w:szCs w:val="24"/>
        </w:rPr>
        <w:t>Front Nutr</w:t>
      </w:r>
      <w:r w:rsidRPr="00024E20">
        <w:rPr>
          <w:rFonts w:ascii="Times New Roman" w:hAnsi="Times New Roman" w:cs="Times New Roman"/>
          <w:color w:val="000000" w:themeColor="text1"/>
          <w:sz w:val="24"/>
          <w:szCs w:val="24"/>
        </w:rPr>
        <w:t>. 2020;7:142.</w:t>
      </w:r>
    </w:p>
    <w:p w14:paraId="027E13F5"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54. </w:t>
      </w:r>
      <w:r w:rsidRPr="00024E20">
        <w:rPr>
          <w:rFonts w:ascii="Times New Roman" w:hAnsi="Times New Roman" w:cs="Times New Roman"/>
          <w:color w:val="000000" w:themeColor="text1"/>
          <w:sz w:val="24"/>
          <w:szCs w:val="24"/>
        </w:rPr>
        <w:tab/>
        <w:t xml:space="preserve">Wiegratz I, Kuhl H. Metabolic and clinical effects of progestogens. </w:t>
      </w:r>
      <w:r w:rsidRPr="00024E20">
        <w:rPr>
          <w:rFonts w:ascii="Times New Roman" w:hAnsi="Times New Roman" w:cs="Times New Roman"/>
          <w:i/>
          <w:iCs/>
          <w:color w:val="000000" w:themeColor="text1"/>
          <w:sz w:val="24"/>
          <w:szCs w:val="24"/>
        </w:rPr>
        <w:t>Eur J Contracept Reprod Health Care</w:t>
      </w:r>
      <w:r w:rsidRPr="00024E20">
        <w:rPr>
          <w:rFonts w:ascii="Times New Roman" w:hAnsi="Times New Roman" w:cs="Times New Roman"/>
          <w:color w:val="000000" w:themeColor="text1"/>
          <w:sz w:val="24"/>
          <w:szCs w:val="24"/>
        </w:rPr>
        <w:t>. 2006;11(3):153–61.</w:t>
      </w:r>
    </w:p>
    <w:p w14:paraId="39D05CB8"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55. </w:t>
      </w:r>
      <w:r w:rsidRPr="00024E20">
        <w:rPr>
          <w:rFonts w:ascii="Times New Roman" w:hAnsi="Times New Roman" w:cs="Times New Roman"/>
          <w:color w:val="000000" w:themeColor="text1"/>
          <w:sz w:val="24"/>
          <w:szCs w:val="24"/>
        </w:rPr>
        <w:tab/>
        <w:t xml:space="preserve">Ruzić L, Matković BR, Leko G. Antiandrogens in hormonal contraception limit muscle strength gain in strength training: comparison study. </w:t>
      </w:r>
      <w:r w:rsidRPr="00024E20">
        <w:rPr>
          <w:rFonts w:ascii="Times New Roman" w:hAnsi="Times New Roman" w:cs="Times New Roman"/>
          <w:i/>
          <w:iCs/>
          <w:color w:val="000000" w:themeColor="text1"/>
          <w:sz w:val="24"/>
          <w:szCs w:val="24"/>
        </w:rPr>
        <w:t>Croat Med J</w:t>
      </w:r>
      <w:r w:rsidRPr="00024E20">
        <w:rPr>
          <w:rFonts w:ascii="Times New Roman" w:hAnsi="Times New Roman" w:cs="Times New Roman"/>
          <w:color w:val="000000" w:themeColor="text1"/>
          <w:sz w:val="24"/>
          <w:szCs w:val="24"/>
        </w:rPr>
        <w:t>. 2003;44(1):65–8.</w:t>
      </w:r>
    </w:p>
    <w:p w14:paraId="0981D9F6" w14:textId="023BE32C"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56. </w:t>
      </w:r>
      <w:r w:rsidRPr="00024E20">
        <w:rPr>
          <w:rFonts w:ascii="Times New Roman" w:hAnsi="Times New Roman" w:cs="Times New Roman"/>
          <w:color w:val="000000" w:themeColor="text1"/>
          <w:sz w:val="24"/>
          <w:szCs w:val="24"/>
        </w:rPr>
        <w:tab/>
        <w:t xml:space="preserve">Riechman SE, Lee CW. Oral Contraceptive Use Impairs Muscle Gains in Young Women. </w:t>
      </w:r>
      <w:r w:rsidRPr="00024E20">
        <w:rPr>
          <w:rFonts w:ascii="Times New Roman" w:hAnsi="Times New Roman" w:cs="Times New Roman"/>
          <w:i/>
          <w:iCs/>
          <w:color w:val="000000" w:themeColor="text1"/>
          <w:sz w:val="24"/>
          <w:szCs w:val="24"/>
        </w:rPr>
        <w:t>J</w:t>
      </w:r>
      <w:r w:rsidR="00590BBC" w:rsidRPr="00024E20">
        <w:rPr>
          <w:rFonts w:ascii="Times New Roman" w:hAnsi="Times New Roman" w:cs="Times New Roman"/>
          <w:i/>
          <w:iCs/>
          <w:color w:val="000000" w:themeColor="text1"/>
          <w:sz w:val="24"/>
          <w:szCs w:val="24"/>
        </w:rPr>
        <w:t xml:space="preserve"> </w:t>
      </w:r>
      <w:r w:rsidRPr="00024E20">
        <w:rPr>
          <w:rFonts w:ascii="Times New Roman" w:hAnsi="Times New Roman" w:cs="Times New Roman"/>
          <w:i/>
          <w:iCs/>
          <w:color w:val="000000" w:themeColor="text1"/>
          <w:sz w:val="24"/>
          <w:szCs w:val="24"/>
        </w:rPr>
        <w:t>Strength Cond Res</w:t>
      </w:r>
      <w:r w:rsidRPr="00024E20">
        <w:rPr>
          <w:rFonts w:ascii="Times New Roman" w:hAnsi="Times New Roman" w:cs="Times New Roman"/>
          <w:color w:val="000000" w:themeColor="text1"/>
          <w:sz w:val="24"/>
          <w:szCs w:val="24"/>
        </w:rPr>
        <w:t>. 2022;36(11):3074–80.</w:t>
      </w:r>
    </w:p>
    <w:p w14:paraId="5593780D"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57. </w:t>
      </w:r>
      <w:r w:rsidRPr="00024E20">
        <w:rPr>
          <w:rFonts w:ascii="Times New Roman" w:hAnsi="Times New Roman" w:cs="Times New Roman"/>
          <w:color w:val="000000" w:themeColor="text1"/>
          <w:sz w:val="24"/>
          <w:szCs w:val="24"/>
        </w:rPr>
        <w:tab/>
        <w:t xml:space="preserve">O’Leary TJ, Izard RM, Walsh NP, Tang JCY, Fraser WD, Greeves JP. Skeletal macro- and microstructure adaptations in men undergoing arduous military training. </w:t>
      </w:r>
      <w:r w:rsidRPr="00024E20">
        <w:rPr>
          <w:rFonts w:ascii="Times New Roman" w:hAnsi="Times New Roman" w:cs="Times New Roman"/>
          <w:i/>
          <w:iCs/>
          <w:color w:val="000000" w:themeColor="text1"/>
          <w:sz w:val="24"/>
          <w:szCs w:val="24"/>
        </w:rPr>
        <w:t>Bone</w:t>
      </w:r>
      <w:r w:rsidRPr="00024E20">
        <w:rPr>
          <w:rFonts w:ascii="Times New Roman" w:hAnsi="Times New Roman" w:cs="Times New Roman"/>
          <w:color w:val="000000" w:themeColor="text1"/>
          <w:sz w:val="24"/>
          <w:szCs w:val="24"/>
        </w:rPr>
        <w:t>. 2019;125:54–60.</w:t>
      </w:r>
    </w:p>
    <w:p w14:paraId="157161B8" w14:textId="44CD960C"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58. </w:t>
      </w:r>
      <w:r w:rsidRPr="00024E20">
        <w:rPr>
          <w:rFonts w:ascii="Times New Roman" w:hAnsi="Times New Roman" w:cs="Times New Roman"/>
          <w:color w:val="000000" w:themeColor="text1"/>
          <w:sz w:val="24"/>
          <w:szCs w:val="24"/>
        </w:rPr>
        <w:tab/>
        <w:t xml:space="preserve">O’Leary TJ, Walsh NP, Casey A, et al. Supplementary Energy Increases Bone Formation during Arduous Military Training. </w:t>
      </w:r>
      <w:r w:rsidRPr="00024E20">
        <w:rPr>
          <w:rFonts w:ascii="Times New Roman" w:hAnsi="Times New Roman" w:cs="Times New Roman"/>
          <w:i/>
          <w:iCs/>
          <w:color w:val="000000" w:themeColor="text1"/>
          <w:sz w:val="24"/>
          <w:szCs w:val="24"/>
        </w:rPr>
        <w:t>Med</w:t>
      </w:r>
      <w:r w:rsidR="00F21CA1"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ci </w:t>
      </w:r>
      <w:r w:rsidR="00F21CA1"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 xml:space="preserve">ports </w:t>
      </w:r>
      <w:r w:rsidR="00F21CA1" w:rsidRPr="00024E20">
        <w:rPr>
          <w:rFonts w:ascii="Times New Roman" w:hAnsi="Times New Roman" w:cs="Times New Roman"/>
          <w:i/>
          <w:iCs/>
          <w:color w:val="000000" w:themeColor="text1"/>
          <w:sz w:val="24"/>
          <w:szCs w:val="24"/>
        </w:rPr>
        <w:t>E</w:t>
      </w:r>
      <w:r w:rsidRPr="00024E20">
        <w:rPr>
          <w:rFonts w:ascii="Times New Roman" w:hAnsi="Times New Roman" w:cs="Times New Roman"/>
          <w:i/>
          <w:iCs/>
          <w:color w:val="000000" w:themeColor="text1"/>
          <w:sz w:val="24"/>
          <w:szCs w:val="24"/>
        </w:rPr>
        <w:t>xerc</w:t>
      </w:r>
      <w:r w:rsidRPr="00024E20">
        <w:rPr>
          <w:rFonts w:ascii="Times New Roman" w:hAnsi="Times New Roman" w:cs="Times New Roman"/>
          <w:color w:val="000000" w:themeColor="text1"/>
          <w:sz w:val="24"/>
          <w:szCs w:val="24"/>
        </w:rPr>
        <w:t>. 2021;53(2):394–403.</w:t>
      </w:r>
    </w:p>
    <w:p w14:paraId="39BE7EE6"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59. </w:t>
      </w:r>
      <w:r w:rsidRPr="00024E20">
        <w:rPr>
          <w:rFonts w:ascii="Times New Roman" w:hAnsi="Times New Roman" w:cs="Times New Roman"/>
          <w:color w:val="000000" w:themeColor="text1"/>
          <w:sz w:val="24"/>
          <w:szCs w:val="24"/>
        </w:rPr>
        <w:tab/>
        <w:t xml:space="preserve">Hughes JM, Gaffney-Stomberg E, Guerriere KI, et al. Changes in tibial bone microarchitecture in female recruits in response to 8weeks of U.S. Army Basic Combat Training. </w:t>
      </w:r>
      <w:r w:rsidRPr="00024E20">
        <w:rPr>
          <w:rFonts w:ascii="Times New Roman" w:hAnsi="Times New Roman" w:cs="Times New Roman"/>
          <w:i/>
          <w:iCs/>
          <w:color w:val="000000" w:themeColor="text1"/>
          <w:sz w:val="24"/>
          <w:szCs w:val="24"/>
        </w:rPr>
        <w:t>Bone</w:t>
      </w:r>
      <w:r w:rsidRPr="00024E20">
        <w:rPr>
          <w:rFonts w:ascii="Times New Roman" w:hAnsi="Times New Roman" w:cs="Times New Roman"/>
          <w:color w:val="000000" w:themeColor="text1"/>
          <w:sz w:val="24"/>
          <w:szCs w:val="24"/>
        </w:rPr>
        <w:t>. 2018;113:9–16.</w:t>
      </w:r>
    </w:p>
    <w:p w14:paraId="5C171A17"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60. </w:t>
      </w:r>
      <w:r w:rsidRPr="00024E20">
        <w:rPr>
          <w:rFonts w:ascii="Times New Roman" w:hAnsi="Times New Roman" w:cs="Times New Roman"/>
          <w:color w:val="000000" w:themeColor="text1"/>
          <w:sz w:val="24"/>
          <w:szCs w:val="24"/>
        </w:rPr>
        <w:tab/>
        <w:t xml:space="preserve">Ruffing JA, Nieves JW, Zion M, et al. The influence of lifestyle, menstrual function and oral contraceptive use on bone mass and size in female military cadets. </w:t>
      </w:r>
      <w:r w:rsidRPr="00024E20">
        <w:rPr>
          <w:rFonts w:ascii="Times New Roman" w:hAnsi="Times New Roman" w:cs="Times New Roman"/>
          <w:i/>
          <w:iCs/>
          <w:color w:val="000000" w:themeColor="text1"/>
          <w:sz w:val="24"/>
          <w:szCs w:val="24"/>
        </w:rPr>
        <w:t>Nutr Metab (Lond)</w:t>
      </w:r>
      <w:r w:rsidRPr="00024E20">
        <w:rPr>
          <w:rFonts w:ascii="Times New Roman" w:hAnsi="Times New Roman" w:cs="Times New Roman"/>
          <w:color w:val="000000" w:themeColor="text1"/>
          <w:sz w:val="24"/>
          <w:szCs w:val="24"/>
        </w:rPr>
        <w:t>. 2007;4:17.</w:t>
      </w:r>
    </w:p>
    <w:p w14:paraId="7D50CAB4" w14:textId="7EBBD74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61. </w:t>
      </w:r>
      <w:r w:rsidRPr="00024E20">
        <w:rPr>
          <w:rFonts w:ascii="Times New Roman" w:hAnsi="Times New Roman" w:cs="Times New Roman"/>
          <w:color w:val="000000" w:themeColor="text1"/>
          <w:sz w:val="24"/>
          <w:szCs w:val="24"/>
        </w:rPr>
        <w:tab/>
        <w:t xml:space="preserve">Lombardi G, Ziemann E, Banfi G, Corbetta S. Physical Activity-Dependent Regulation of Parathyroid Hormone and Calcium-Phosphorous Metabolism. </w:t>
      </w:r>
      <w:r w:rsidRPr="00024E20">
        <w:rPr>
          <w:rFonts w:ascii="Times New Roman" w:hAnsi="Times New Roman" w:cs="Times New Roman"/>
          <w:i/>
          <w:iCs/>
          <w:color w:val="000000" w:themeColor="text1"/>
          <w:sz w:val="24"/>
          <w:szCs w:val="24"/>
        </w:rPr>
        <w:t>Int</w:t>
      </w:r>
      <w:r w:rsidR="00F21CA1" w:rsidRPr="00024E20">
        <w:rPr>
          <w:rFonts w:ascii="Times New Roman" w:hAnsi="Times New Roman" w:cs="Times New Roman"/>
          <w:i/>
          <w:iCs/>
          <w:color w:val="000000" w:themeColor="text1"/>
          <w:sz w:val="24"/>
          <w:szCs w:val="24"/>
        </w:rPr>
        <w:t xml:space="preserve"> J M</w:t>
      </w:r>
      <w:r w:rsidRPr="00024E20">
        <w:rPr>
          <w:rFonts w:ascii="Times New Roman" w:hAnsi="Times New Roman" w:cs="Times New Roman"/>
          <w:i/>
          <w:iCs/>
          <w:color w:val="000000" w:themeColor="text1"/>
          <w:sz w:val="24"/>
          <w:szCs w:val="24"/>
        </w:rPr>
        <w:t xml:space="preserve">ol </w:t>
      </w:r>
      <w:r w:rsidR="00F21CA1"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ci</w:t>
      </w:r>
      <w:r w:rsidRPr="00024E20">
        <w:rPr>
          <w:rFonts w:ascii="Times New Roman" w:hAnsi="Times New Roman" w:cs="Times New Roman"/>
          <w:color w:val="000000" w:themeColor="text1"/>
          <w:sz w:val="24"/>
          <w:szCs w:val="24"/>
        </w:rPr>
        <w:t>. 2020;21(15)</w:t>
      </w:r>
      <w:r w:rsidR="00CA036D" w:rsidRPr="00024E20">
        <w:rPr>
          <w:rFonts w:ascii="Times New Roman" w:hAnsi="Times New Roman" w:cs="Times New Roman"/>
          <w:color w:val="000000" w:themeColor="text1"/>
          <w:sz w:val="24"/>
          <w:szCs w:val="24"/>
        </w:rPr>
        <w:t>:5388</w:t>
      </w:r>
      <w:r w:rsidRPr="00024E20">
        <w:rPr>
          <w:rFonts w:ascii="Times New Roman" w:hAnsi="Times New Roman" w:cs="Times New Roman"/>
          <w:color w:val="000000" w:themeColor="text1"/>
          <w:sz w:val="24"/>
          <w:szCs w:val="24"/>
        </w:rPr>
        <w:t>.</w:t>
      </w:r>
    </w:p>
    <w:p w14:paraId="1F7D603E"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62. </w:t>
      </w:r>
      <w:r w:rsidRPr="00024E20">
        <w:rPr>
          <w:rFonts w:ascii="Times New Roman" w:hAnsi="Times New Roman" w:cs="Times New Roman"/>
          <w:color w:val="000000" w:themeColor="text1"/>
          <w:sz w:val="24"/>
          <w:szCs w:val="24"/>
        </w:rPr>
        <w:tab/>
        <w:t xml:space="preserve">Pop LC, Shapses SA, Chang B, Sun W, Wang X. Vitamin D-Binding Protein in Healthy Pre- and Postmenopausal Women: Relationship with Estradiol Concentrations. </w:t>
      </w:r>
      <w:r w:rsidRPr="00024E20">
        <w:rPr>
          <w:rFonts w:ascii="Times New Roman" w:hAnsi="Times New Roman" w:cs="Times New Roman"/>
          <w:i/>
          <w:iCs/>
          <w:color w:val="000000" w:themeColor="text1"/>
          <w:sz w:val="24"/>
          <w:szCs w:val="24"/>
        </w:rPr>
        <w:t>Endocrine Practice</w:t>
      </w:r>
      <w:r w:rsidRPr="00024E20">
        <w:rPr>
          <w:rFonts w:ascii="Times New Roman" w:hAnsi="Times New Roman" w:cs="Times New Roman"/>
          <w:color w:val="000000" w:themeColor="text1"/>
          <w:sz w:val="24"/>
          <w:szCs w:val="24"/>
        </w:rPr>
        <w:t>. 2015;21(8):936–42.</w:t>
      </w:r>
    </w:p>
    <w:p w14:paraId="27E1DFF3" w14:textId="7401924F"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lastRenderedPageBreak/>
        <w:t xml:space="preserve">63. </w:t>
      </w:r>
      <w:r w:rsidRPr="00024E20">
        <w:rPr>
          <w:rFonts w:ascii="Times New Roman" w:hAnsi="Times New Roman" w:cs="Times New Roman"/>
          <w:color w:val="000000" w:themeColor="text1"/>
          <w:sz w:val="24"/>
          <w:szCs w:val="24"/>
        </w:rPr>
        <w:tab/>
        <w:t xml:space="preserve">O’Leary TJ, Rice HM, Greeves JP. Biomechanical Basis of Predicting and Preventing Lower Limb Stress Fractures During Arduous Training. </w:t>
      </w:r>
      <w:r w:rsidRPr="00024E20">
        <w:rPr>
          <w:rFonts w:ascii="Times New Roman" w:hAnsi="Times New Roman" w:cs="Times New Roman"/>
          <w:i/>
          <w:iCs/>
          <w:color w:val="000000" w:themeColor="text1"/>
          <w:sz w:val="24"/>
          <w:szCs w:val="24"/>
        </w:rPr>
        <w:t>Curr Osteoporos Rep</w:t>
      </w:r>
      <w:r w:rsidRPr="00024E20">
        <w:rPr>
          <w:rFonts w:ascii="Times New Roman" w:hAnsi="Times New Roman" w:cs="Times New Roman"/>
          <w:color w:val="000000" w:themeColor="text1"/>
          <w:sz w:val="24"/>
          <w:szCs w:val="24"/>
        </w:rPr>
        <w:t>. 2021;</w:t>
      </w:r>
      <w:r w:rsidR="00CA036D" w:rsidRPr="00024E20">
        <w:rPr>
          <w:rFonts w:ascii="Times New Roman" w:hAnsi="Times New Roman" w:cs="Times New Roman"/>
          <w:color w:val="000000" w:themeColor="text1"/>
          <w:sz w:val="24"/>
          <w:szCs w:val="24"/>
        </w:rPr>
        <w:t>19(3):308-17</w:t>
      </w:r>
      <w:r w:rsidRPr="00024E20">
        <w:rPr>
          <w:rFonts w:ascii="Times New Roman" w:hAnsi="Times New Roman" w:cs="Times New Roman"/>
          <w:color w:val="000000" w:themeColor="text1"/>
          <w:sz w:val="24"/>
          <w:szCs w:val="24"/>
        </w:rPr>
        <w:t>.</w:t>
      </w:r>
    </w:p>
    <w:p w14:paraId="1F593450"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64. </w:t>
      </w:r>
      <w:r w:rsidRPr="00024E20">
        <w:rPr>
          <w:rFonts w:ascii="Times New Roman" w:hAnsi="Times New Roman" w:cs="Times New Roman"/>
          <w:color w:val="000000" w:themeColor="text1"/>
          <w:sz w:val="24"/>
          <w:szCs w:val="24"/>
        </w:rPr>
        <w:tab/>
        <w:t xml:space="preserve">Cosman F, Ruffing J, Zion M, et al. Determinants of stress fracture risk in United States Military Academy cadets. </w:t>
      </w:r>
      <w:r w:rsidRPr="00024E20">
        <w:rPr>
          <w:rFonts w:ascii="Times New Roman" w:hAnsi="Times New Roman" w:cs="Times New Roman"/>
          <w:i/>
          <w:iCs/>
          <w:color w:val="000000" w:themeColor="text1"/>
          <w:sz w:val="24"/>
          <w:szCs w:val="24"/>
        </w:rPr>
        <w:t>Bone</w:t>
      </w:r>
      <w:r w:rsidRPr="00024E20">
        <w:rPr>
          <w:rFonts w:ascii="Times New Roman" w:hAnsi="Times New Roman" w:cs="Times New Roman"/>
          <w:color w:val="000000" w:themeColor="text1"/>
          <w:sz w:val="24"/>
          <w:szCs w:val="24"/>
        </w:rPr>
        <w:t>. 2013;55(2):359–66.</w:t>
      </w:r>
    </w:p>
    <w:p w14:paraId="3C389C08" w14:textId="4DC3A450"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65. </w:t>
      </w:r>
      <w:r w:rsidRPr="00024E20">
        <w:rPr>
          <w:rFonts w:ascii="Times New Roman" w:hAnsi="Times New Roman" w:cs="Times New Roman"/>
          <w:color w:val="000000" w:themeColor="text1"/>
          <w:sz w:val="24"/>
          <w:szCs w:val="24"/>
        </w:rPr>
        <w:tab/>
        <w:t xml:space="preserve">Rauh MJ, Macera CA, Trone DW, Shaffer RA, Brodine SK. Epidemiology of stress fracture and lower-extremity overuse injury in female recruits. </w:t>
      </w:r>
      <w:r w:rsidRPr="00024E20">
        <w:rPr>
          <w:rFonts w:ascii="Times New Roman" w:hAnsi="Times New Roman" w:cs="Times New Roman"/>
          <w:i/>
          <w:iCs/>
          <w:color w:val="000000" w:themeColor="text1"/>
          <w:sz w:val="24"/>
          <w:szCs w:val="24"/>
        </w:rPr>
        <w:t>Med</w:t>
      </w:r>
      <w:r w:rsidR="00AA1366" w:rsidRPr="00024E20">
        <w:rPr>
          <w:rFonts w:ascii="Times New Roman" w:hAnsi="Times New Roman" w:cs="Times New Roman"/>
          <w:i/>
          <w:iCs/>
          <w:color w:val="000000" w:themeColor="text1"/>
          <w:sz w:val="24"/>
          <w:szCs w:val="24"/>
        </w:rPr>
        <w:t xml:space="preserve"> S</w:t>
      </w:r>
      <w:r w:rsidRPr="00024E20">
        <w:rPr>
          <w:rFonts w:ascii="Times New Roman" w:hAnsi="Times New Roman" w:cs="Times New Roman"/>
          <w:i/>
          <w:iCs/>
          <w:color w:val="000000" w:themeColor="text1"/>
          <w:sz w:val="24"/>
          <w:szCs w:val="24"/>
        </w:rPr>
        <w:t xml:space="preserve">ci </w:t>
      </w:r>
      <w:r w:rsidR="00AA1366" w:rsidRPr="00024E20">
        <w:rPr>
          <w:rFonts w:ascii="Times New Roman" w:hAnsi="Times New Roman" w:cs="Times New Roman"/>
          <w:i/>
          <w:iCs/>
          <w:color w:val="000000" w:themeColor="text1"/>
          <w:sz w:val="24"/>
          <w:szCs w:val="24"/>
        </w:rPr>
        <w:t>S</w:t>
      </w:r>
      <w:r w:rsidRPr="00024E20">
        <w:rPr>
          <w:rFonts w:ascii="Times New Roman" w:hAnsi="Times New Roman" w:cs="Times New Roman"/>
          <w:i/>
          <w:iCs/>
          <w:color w:val="000000" w:themeColor="text1"/>
          <w:sz w:val="24"/>
          <w:szCs w:val="24"/>
        </w:rPr>
        <w:t xml:space="preserve">ports </w:t>
      </w:r>
      <w:r w:rsidR="00AA1366" w:rsidRPr="00024E20">
        <w:rPr>
          <w:rFonts w:ascii="Times New Roman" w:hAnsi="Times New Roman" w:cs="Times New Roman"/>
          <w:i/>
          <w:iCs/>
          <w:color w:val="000000" w:themeColor="text1"/>
          <w:sz w:val="24"/>
          <w:szCs w:val="24"/>
        </w:rPr>
        <w:t>E</w:t>
      </w:r>
      <w:r w:rsidRPr="00024E20">
        <w:rPr>
          <w:rFonts w:ascii="Times New Roman" w:hAnsi="Times New Roman" w:cs="Times New Roman"/>
          <w:i/>
          <w:iCs/>
          <w:color w:val="000000" w:themeColor="text1"/>
          <w:sz w:val="24"/>
          <w:szCs w:val="24"/>
        </w:rPr>
        <w:t>xerc</w:t>
      </w:r>
      <w:r w:rsidRPr="00024E20">
        <w:rPr>
          <w:rFonts w:ascii="Times New Roman" w:hAnsi="Times New Roman" w:cs="Times New Roman"/>
          <w:color w:val="000000" w:themeColor="text1"/>
          <w:sz w:val="24"/>
          <w:szCs w:val="24"/>
        </w:rPr>
        <w:t>. 2006;38(9):1571–7.</w:t>
      </w:r>
    </w:p>
    <w:p w14:paraId="62C6B6DF"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66. </w:t>
      </w:r>
      <w:r w:rsidRPr="00024E20">
        <w:rPr>
          <w:rFonts w:ascii="Times New Roman" w:hAnsi="Times New Roman" w:cs="Times New Roman"/>
          <w:color w:val="000000" w:themeColor="text1"/>
          <w:sz w:val="24"/>
          <w:szCs w:val="24"/>
        </w:rPr>
        <w:tab/>
        <w:t xml:space="preserve">Shaffer RA, Rauh MJ, Brodine SK, Trone DW, Macera CA. Predictors of stress fracture susceptibility in young female recruits. </w:t>
      </w:r>
      <w:r w:rsidRPr="00024E20">
        <w:rPr>
          <w:rFonts w:ascii="Times New Roman" w:hAnsi="Times New Roman" w:cs="Times New Roman"/>
          <w:i/>
          <w:iCs/>
          <w:color w:val="000000" w:themeColor="text1"/>
          <w:sz w:val="24"/>
          <w:szCs w:val="24"/>
        </w:rPr>
        <w:t>Am J Sports Med</w:t>
      </w:r>
      <w:r w:rsidRPr="00024E20">
        <w:rPr>
          <w:rFonts w:ascii="Times New Roman" w:hAnsi="Times New Roman" w:cs="Times New Roman"/>
          <w:color w:val="000000" w:themeColor="text1"/>
          <w:sz w:val="24"/>
          <w:szCs w:val="24"/>
        </w:rPr>
        <w:t>. 2006;34(1):108–15.</w:t>
      </w:r>
    </w:p>
    <w:p w14:paraId="7C626C4A" w14:textId="77777777" w:rsidR="00091081" w:rsidRPr="00024E20" w:rsidRDefault="00091081" w:rsidP="00CC7E53">
      <w:pPr>
        <w:pStyle w:val="Bibliography"/>
        <w:spacing w:line="360" w:lineRule="auto"/>
        <w:jc w:val="both"/>
        <w:rPr>
          <w:rFonts w:ascii="Times New Roman" w:hAnsi="Times New Roman" w:cs="Times New Roman"/>
          <w:color w:val="000000" w:themeColor="text1"/>
          <w:sz w:val="24"/>
          <w:szCs w:val="24"/>
        </w:rPr>
      </w:pPr>
      <w:r w:rsidRPr="00024E20">
        <w:rPr>
          <w:rFonts w:ascii="Times New Roman" w:hAnsi="Times New Roman" w:cs="Times New Roman"/>
          <w:color w:val="000000" w:themeColor="text1"/>
          <w:sz w:val="24"/>
          <w:szCs w:val="24"/>
        </w:rPr>
        <w:t xml:space="preserve">67. </w:t>
      </w:r>
      <w:r w:rsidRPr="00024E20">
        <w:rPr>
          <w:rFonts w:ascii="Times New Roman" w:hAnsi="Times New Roman" w:cs="Times New Roman"/>
          <w:color w:val="000000" w:themeColor="text1"/>
          <w:sz w:val="24"/>
          <w:szCs w:val="24"/>
        </w:rPr>
        <w:tab/>
        <w:t xml:space="preserve">McNulty KL, Elliott-Sale KJ, Dolan E, et al. The Effects of Menstrual Cycle Phase on Exercise Performance in Eumenorrheic Women: A Systematic Review and Meta-Analysis. </w:t>
      </w:r>
      <w:r w:rsidRPr="00024E20">
        <w:rPr>
          <w:rFonts w:ascii="Times New Roman" w:hAnsi="Times New Roman" w:cs="Times New Roman"/>
          <w:i/>
          <w:iCs/>
          <w:color w:val="000000" w:themeColor="text1"/>
          <w:sz w:val="24"/>
          <w:szCs w:val="24"/>
        </w:rPr>
        <w:t>Sports Med</w:t>
      </w:r>
      <w:r w:rsidRPr="00024E20">
        <w:rPr>
          <w:rFonts w:ascii="Times New Roman" w:hAnsi="Times New Roman" w:cs="Times New Roman"/>
          <w:color w:val="000000" w:themeColor="text1"/>
          <w:sz w:val="24"/>
          <w:szCs w:val="24"/>
        </w:rPr>
        <w:t>. 2020;50(10):1813–27.</w:t>
      </w:r>
    </w:p>
    <w:p w14:paraId="011E6EC5" w14:textId="19F391C3" w:rsidR="00C23C71" w:rsidRPr="00024E20" w:rsidRDefault="00465C87" w:rsidP="00CC7E53">
      <w:pPr>
        <w:spacing w:after="0" w:line="360" w:lineRule="auto"/>
        <w:jc w:val="both"/>
        <w:rPr>
          <w:rFonts w:ascii="Times New Roman" w:eastAsia="Times New Roman" w:hAnsi="Times New Roman" w:cs="Times New Roman"/>
          <w:color w:val="000000" w:themeColor="text1"/>
          <w:sz w:val="24"/>
          <w:szCs w:val="24"/>
        </w:rPr>
        <w:sectPr w:rsidR="00C23C71" w:rsidRPr="00024E20" w:rsidSect="007D1510">
          <w:pgSz w:w="11906" w:h="16838"/>
          <w:pgMar w:top="1440" w:right="1440" w:bottom="1440" w:left="1440" w:header="708" w:footer="708" w:gutter="0"/>
          <w:lnNumType w:countBy="1" w:restart="continuous"/>
          <w:cols w:space="720"/>
          <w:docGrid w:linePitch="299"/>
        </w:sectPr>
      </w:pPr>
      <w:r w:rsidRPr="00024E20">
        <w:rPr>
          <w:rFonts w:ascii="Times New Roman" w:hAnsi="Times New Roman" w:cs="Times New Roman"/>
          <w:color w:val="000000" w:themeColor="text1"/>
          <w:sz w:val="24"/>
          <w:szCs w:val="24"/>
        </w:rPr>
        <w:fldChar w:fldCharType="end"/>
      </w:r>
    </w:p>
    <w:p w14:paraId="3A2C0195" w14:textId="77777777" w:rsidR="006F5BFE" w:rsidRDefault="006F5BFE" w:rsidP="0088605D">
      <w:pPr>
        <w:spacing w:after="0" w:line="480" w:lineRule="auto"/>
        <w:jc w:val="both"/>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lastRenderedPageBreak/>
        <w:t>Tables</w:t>
      </w:r>
    </w:p>
    <w:p w14:paraId="028AEE8C" w14:textId="77777777" w:rsidR="006F5BFE" w:rsidRDefault="006F5BFE" w:rsidP="0088605D">
      <w:pPr>
        <w:spacing w:after="0" w:line="480" w:lineRule="auto"/>
        <w:jc w:val="both"/>
        <w:rPr>
          <w:rFonts w:ascii="Times New Roman" w:eastAsia="Times New Roman" w:hAnsi="Times New Roman" w:cs="Times New Roman"/>
          <w:b/>
          <w:bCs/>
          <w:color w:val="000000" w:themeColor="text1"/>
          <w:sz w:val="24"/>
          <w:szCs w:val="24"/>
        </w:rPr>
      </w:pPr>
    </w:p>
    <w:p w14:paraId="15677AFF" w14:textId="77777777" w:rsidR="006F5BFE" w:rsidRPr="00C80470" w:rsidRDefault="006F5BFE" w:rsidP="006F5BFE">
      <w:pPr>
        <w:spacing w:after="0" w:line="480" w:lineRule="auto"/>
        <w:jc w:val="both"/>
        <w:rPr>
          <w:rFonts w:ascii="Times New Roman" w:eastAsia="Times New Roman" w:hAnsi="Times New Roman" w:cs="Times New Roman"/>
          <w:sz w:val="24"/>
          <w:szCs w:val="24"/>
        </w:rPr>
      </w:pPr>
      <w:r w:rsidRPr="00C80470">
        <w:rPr>
          <w:rFonts w:ascii="Times New Roman" w:eastAsia="Times New Roman" w:hAnsi="Times New Roman" w:cs="Times New Roman"/>
          <w:b/>
          <w:sz w:val="24"/>
          <w:szCs w:val="24"/>
        </w:rPr>
        <w:t>Table 1.</w:t>
      </w:r>
      <w:r w:rsidRPr="00C80470">
        <w:rPr>
          <w:rFonts w:ascii="Times New Roman" w:eastAsia="Times New Roman" w:hAnsi="Times New Roman" w:cs="Times New Roman"/>
          <w:sz w:val="24"/>
          <w:szCs w:val="24"/>
        </w:rPr>
        <w:t xml:space="preserve"> Participant demographics. Data are mean ± SD.</w:t>
      </w:r>
    </w:p>
    <w:tbl>
      <w:tblPr>
        <w:tblStyle w:val="4"/>
        <w:tblW w:w="9026" w:type="dxa"/>
        <w:jc w:val="center"/>
        <w:tblLayout w:type="fixed"/>
        <w:tblLook w:val="0400" w:firstRow="0" w:lastRow="0" w:firstColumn="0" w:lastColumn="0" w:noHBand="0" w:noVBand="1"/>
      </w:tblPr>
      <w:tblGrid>
        <w:gridCol w:w="2926"/>
        <w:gridCol w:w="1997"/>
        <w:gridCol w:w="1997"/>
        <w:gridCol w:w="2106"/>
      </w:tblGrid>
      <w:tr w:rsidR="006F5BFE" w:rsidRPr="00C80470" w14:paraId="0E33EC68" w14:textId="77777777" w:rsidTr="00F57DEE">
        <w:trPr>
          <w:trHeight w:val="329"/>
          <w:tblHeader/>
          <w:jc w:val="center"/>
        </w:trPr>
        <w:tc>
          <w:tcPr>
            <w:tcW w:w="2926" w:type="dxa"/>
            <w:tcBorders>
              <w:top w:val="single" w:sz="8" w:space="0" w:color="000000"/>
              <w:left w:val="nil"/>
              <w:bottom w:val="single" w:sz="8" w:space="0" w:color="000000"/>
              <w:right w:val="nil"/>
            </w:tcBorders>
            <w:shd w:val="clear" w:color="auto" w:fill="FFFFFF"/>
            <w:tcMar>
              <w:top w:w="0" w:type="dxa"/>
              <w:left w:w="0" w:type="dxa"/>
              <w:bottom w:w="0" w:type="dxa"/>
              <w:right w:w="0" w:type="dxa"/>
            </w:tcMar>
            <w:vAlign w:val="center"/>
          </w:tcPr>
          <w:p w14:paraId="3DE6464E"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right="100"/>
              <w:rPr>
                <w:rFonts w:ascii="Times New Roman" w:eastAsia="Times New Roman" w:hAnsi="Times New Roman" w:cs="Times New Roman"/>
                <w:sz w:val="24"/>
                <w:szCs w:val="24"/>
              </w:rPr>
            </w:pPr>
          </w:p>
        </w:tc>
        <w:tc>
          <w:tcPr>
            <w:tcW w:w="1997" w:type="dxa"/>
            <w:tcBorders>
              <w:top w:val="single" w:sz="8" w:space="0" w:color="000000"/>
              <w:left w:val="nil"/>
              <w:bottom w:val="single" w:sz="8" w:space="0" w:color="000000"/>
              <w:right w:val="nil"/>
            </w:tcBorders>
            <w:shd w:val="clear" w:color="auto" w:fill="FFFFFF"/>
            <w:tcMar>
              <w:top w:w="0" w:type="dxa"/>
              <w:left w:w="0" w:type="dxa"/>
              <w:bottom w:w="0" w:type="dxa"/>
              <w:right w:w="0" w:type="dxa"/>
            </w:tcMar>
            <w:vAlign w:val="center"/>
          </w:tcPr>
          <w:p w14:paraId="4623E49E"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sidRPr="00C80470">
              <w:rPr>
                <w:rFonts w:ascii="Times New Roman" w:eastAsia="Times New Roman" w:hAnsi="Times New Roman" w:cs="Times New Roman"/>
                <w:color w:val="000000"/>
                <w:sz w:val="24"/>
                <w:szCs w:val="24"/>
              </w:rPr>
              <w:t xml:space="preserve">Non-users </w:t>
            </w:r>
          </w:p>
          <w:p w14:paraId="6A0669C5"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 = 182)</w:t>
            </w:r>
          </w:p>
        </w:tc>
        <w:tc>
          <w:tcPr>
            <w:tcW w:w="1997" w:type="dxa"/>
            <w:tcBorders>
              <w:top w:val="single" w:sz="8" w:space="0" w:color="000000"/>
              <w:left w:val="nil"/>
              <w:bottom w:val="single" w:sz="8" w:space="0" w:color="000000"/>
              <w:right w:val="nil"/>
            </w:tcBorders>
            <w:shd w:val="clear" w:color="auto" w:fill="FFFFFF"/>
            <w:tcMar>
              <w:top w:w="0" w:type="dxa"/>
              <w:left w:w="0" w:type="dxa"/>
              <w:bottom w:w="0" w:type="dxa"/>
              <w:right w:w="0" w:type="dxa"/>
            </w:tcMar>
            <w:vAlign w:val="center"/>
          </w:tcPr>
          <w:p w14:paraId="1314ABBF"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sidRPr="00C80470">
              <w:rPr>
                <w:rFonts w:ascii="Times New Roman" w:eastAsia="Times New Roman" w:hAnsi="Times New Roman" w:cs="Times New Roman"/>
                <w:color w:val="000000"/>
                <w:sz w:val="24"/>
                <w:szCs w:val="24"/>
              </w:rPr>
              <w:t>COCP</w:t>
            </w:r>
          </w:p>
          <w:p w14:paraId="1B0D778F"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 = 124)</w:t>
            </w:r>
          </w:p>
        </w:tc>
        <w:tc>
          <w:tcPr>
            <w:tcW w:w="2106" w:type="dxa"/>
            <w:tcBorders>
              <w:top w:val="single" w:sz="8" w:space="0" w:color="000000"/>
              <w:left w:val="nil"/>
              <w:bottom w:val="single" w:sz="8" w:space="0" w:color="000000"/>
              <w:right w:val="nil"/>
            </w:tcBorders>
            <w:shd w:val="clear" w:color="auto" w:fill="FFFFFF"/>
            <w:tcMar>
              <w:top w:w="0" w:type="dxa"/>
              <w:left w:w="0" w:type="dxa"/>
              <w:bottom w:w="0" w:type="dxa"/>
              <w:right w:w="0" w:type="dxa"/>
            </w:tcMar>
            <w:vAlign w:val="center"/>
          </w:tcPr>
          <w:p w14:paraId="6EB07320"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sidRPr="00C80470">
              <w:rPr>
                <w:rFonts w:ascii="Times New Roman" w:eastAsia="Times New Roman" w:hAnsi="Times New Roman" w:cs="Times New Roman"/>
                <w:color w:val="000000"/>
                <w:sz w:val="24"/>
                <w:szCs w:val="24"/>
              </w:rPr>
              <w:t>POC</w:t>
            </w:r>
          </w:p>
          <w:p w14:paraId="023D8C16"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 = 144)</w:t>
            </w:r>
          </w:p>
        </w:tc>
      </w:tr>
      <w:tr w:rsidR="006F5BFE" w:rsidRPr="00C80470" w14:paraId="1AE58235" w14:textId="77777777" w:rsidTr="00F57DEE">
        <w:trPr>
          <w:trHeight w:val="418"/>
          <w:jc w:val="center"/>
        </w:trPr>
        <w:tc>
          <w:tcPr>
            <w:tcW w:w="2926" w:type="dxa"/>
            <w:tcBorders>
              <w:top w:val="single" w:sz="8" w:space="0" w:color="000000"/>
              <w:left w:val="nil"/>
              <w:bottom w:val="nil"/>
              <w:right w:val="nil"/>
            </w:tcBorders>
            <w:shd w:val="clear" w:color="auto" w:fill="FFFFFF"/>
            <w:tcMar>
              <w:top w:w="0" w:type="dxa"/>
              <w:left w:w="0" w:type="dxa"/>
              <w:bottom w:w="0" w:type="dxa"/>
              <w:right w:w="0" w:type="dxa"/>
            </w:tcMar>
          </w:tcPr>
          <w:p w14:paraId="7900FF0A"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Age (y)</w:t>
            </w:r>
          </w:p>
        </w:tc>
        <w:tc>
          <w:tcPr>
            <w:tcW w:w="1997" w:type="dxa"/>
            <w:tcBorders>
              <w:top w:val="single" w:sz="8" w:space="0" w:color="000000"/>
              <w:left w:val="nil"/>
              <w:bottom w:val="nil"/>
              <w:right w:val="nil"/>
            </w:tcBorders>
            <w:shd w:val="clear" w:color="auto" w:fill="FFFFFF"/>
            <w:tcMar>
              <w:top w:w="0" w:type="dxa"/>
              <w:left w:w="0" w:type="dxa"/>
              <w:bottom w:w="0" w:type="dxa"/>
              <w:right w:w="0" w:type="dxa"/>
            </w:tcMar>
          </w:tcPr>
          <w:p w14:paraId="36450863"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22.9 ± 3.7</w:t>
            </w:r>
          </w:p>
        </w:tc>
        <w:tc>
          <w:tcPr>
            <w:tcW w:w="1997" w:type="dxa"/>
            <w:tcBorders>
              <w:top w:val="single" w:sz="8" w:space="0" w:color="000000"/>
              <w:left w:val="nil"/>
              <w:bottom w:val="nil"/>
              <w:right w:val="nil"/>
            </w:tcBorders>
            <w:shd w:val="clear" w:color="auto" w:fill="FFFFFF"/>
            <w:tcMar>
              <w:top w:w="0" w:type="dxa"/>
              <w:left w:w="0" w:type="dxa"/>
              <w:bottom w:w="0" w:type="dxa"/>
              <w:right w:w="0" w:type="dxa"/>
            </w:tcMar>
          </w:tcPr>
          <w:p w14:paraId="115F8B12"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22.3 ± 3.3</w:t>
            </w:r>
          </w:p>
        </w:tc>
        <w:tc>
          <w:tcPr>
            <w:tcW w:w="2106" w:type="dxa"/>
            <w:tcBorders>
              <w:top w:val="single" w:sz="8" w:space="0" w:color="000000"/>
              <w:left w:val="nil"/>
              <w:bottom w:val="nil"/>
              <w:right w:val="nil"/>
            </w:tcBorders>
            <w:shd w:val="clear" w:color="auto" w:fill="FFFFFF"/>
            <w:tcMar>
              <w:top w:w="0" w:type="dxa"/>
              <w:left w:w="0" w:type="dxa"/>
              <w:bottom w:w="0" w:type="dxa"/>
              <w:right w:w="0" w:type="dxa"/>
            </w:tcMar>
          </w:tcPr>
          <w:p w14:paraId="1966E17F"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 xml:space="preserve">21.5 ± </w:t>
            </w:r>
            <w:proofErr w:type="gramStart"/>
            <w:r w:rsidRPr="00C80470">
              <w:rPr>
                <w:rFonts w:ascii="Times New Roman" w:eastAsia="Times New Roman" w:hAnsi="Times New Roman" w:cs="Times New Roman"/>
                <w:color w:val="000000"/>
                <w:sz w:val="24"/>
                <w:szCs w:val="24"/>
              </w:rPr>
              <w:t>3.1</w:t>
            </w:r>
            <w:r w:rsidRPr="00C80470">
              <w:rPr>
                <w:rFonts w:ascii="Times New Roman" w:eastAsia="Times New Roman" w:hAnsi="Times New Roman" w:cs="Times New Roman"/>
                <w:color w:val="000000"/>
                <w:sz w:val="24"/>
                <w:szCs w:val="24"/>
                <w:vertAlign w:val="superscript"/>
              </w:rPr>
              <w:t>a,b</w:t>
            </w:r>
            <w:proofErr w:type="gramEnd"/>
          </w:p>
        </w:tc>
      </w:tr>
      <w:tr w:rsidR="006F5BFE" w:rsidRPr="00C80470" w14:paraId="417DC845" w14:textId="77777777" w:rsidTr="00F57DEE">
        <w:trPr>
          <w:trHeight w:val="427"/>
          <w:jc w:val="center"/>
        </w:trPr>
        <w:tc>
          <w:tcPr>
            <w:tcW w:w="2926" w:type="dxa"/>
            <w:tcBorders>
              <w:top w:val="nil"/>
              <w:left w:val="nil"/>
              <w:bottom w:val="nil"/>
              <w:right w:val="nil"/>
            </w:tcBorders>
            <w:shd w:val="clear" w:color="auto" w:fill="FFFFFF"/>
            <w:tcMar>
              <w:top w:w="0" w:type="dxa"/>
              <w:left w:w="0" w:type="dxa"/>
              <w:bottom w:w="0" w:type="dxa"/>
              <w:right w:w="0" w:type="dxa"/>
            </w:tcMar>
          </w:tcPr>
          <w:p w14:paraId="71C0E027"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Height (m)</w:t>
            </w:r>
          </w:p>
        </w:tc>
        <w:tc>
          <w:tcPr>
            <w:tcW w:w="1997" w:type="dxa"/>
            <w:tcBorders>
              <w:top w:val="nil"/>
              <w:left w:val="nil"/>
              <w:bottom w:val="nil"/>
              <w:right w:val="nil"/>
            </w:tcBorders>
            <w:shd w:val="clear" w:color="auto" w:fill="FFFFFF"/>
            <w:tcMar>
              <w:top w:w="0" w:type="dxa"/>
              <w:left w:w="0" w:type="dxa"/>
              <w:bottom w:w="0" w:type="dxa"/>
              <w:right w:w="0" w:type="dxa"/>
            </w:tcMar>
          </w:tcPr>
          <w:p w14:paraId="0F641B27"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1.65 ± 0.06</w:t>
            </w:r>
          </w:p>
        </w:tc>
        <w:tc>
          <w:tcPr>
            <w:tcW w:w="1997" w:type="dxa"/>
            <w:tcBorders>
              <w:top w:val="nil"/>
              <w:left w:val="nil"/>
              <w:bottom w:val="nil"/>
              <w:right w:val="nil"/>
            </w:tcBorders>
            <w:shd w:val="clear" w:color="auto" w:fill="FFFFFF"/>
            <w:tcMar>
              <w:top w:w="0" w:type="dxa"/>
              <w:left w:w="0" w:type="dxa"/>
              <w:bottom w:w="0" w:type="dxa"/>
              <w:right w:w="0" w:type="dxa"/>
            </w:tcMar>
          </w:tcPr>
          <w:p w14:paraId="0E7258B3"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1.66 ± 0.06</w:t>
            </w:r>
          </w:p>
        </w:tc>
        <w:tc>
          <w:tcPr>
            <w:tcW w:w="2106" w:type="dxa"/>
            <w:tcBorders>
              <w:top w:val="nil"/>
              <w:left w:val="nil"/>
              <w:bottom w:val="nil"/>
              <w:right w:val="nil"/>
            </w:tcBorders>
            <w:shd w:val="clear" w:color="auto" w:fill="FFFFFF"/>
            <w:tcMar>
              <w:top w:w="0" w:type="dxa"/>
              <w:left w:w="0" w:type="dxa"/>
              <w:bottom w:w="0" w:type="dxa"/>
              <w:right w:w="0" w:type="dxa"/>
            </w:tcMar>
          </w:tcPr>
          <w:p w14:paraId="53C180FA"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1.65 ± 0.06</w:t>
            </w:r>
          </w:p>
        </w:tc>
      </w:tr>
      <w:tr w:rsidR="006F5BFE" w:rsidRPr="00C80470" w14:paraId="7332F7F0" w14:textId="77777777" w:rsidTr="00F57DEE">
        <w:trPr>
          <w:trHeight w:val="427"/>
          <w:jc w:val="center"/>
        </w:trPr>
        <w:tc>
          <w:tcPr>
            <w:tcW w:w="2926" w:type="dxa"/>
            <w:tcBorders>
              <w:top w:val="nil"/>
              <w:left w:val="nil"/>
              <w:right w:val="nil"/>
            </w:tcBorders>
            <w:shd w:val="clear" w:color="auto" w:fill="FFFFFF"/>
            <w:tcMar>
              <w:top w:w="0" w:type="dxa"/>
              <w:left w:w="0" w:type="dxa"/>
              <w:bottom w:w="0" w:type="dxa"/>
              <w:right w:w="0" w:type="dxa"/>
            </w:tcMar>
          </w:tcPr>
          <w:p w14:paraId="1178C38E"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Body Mass (kg)</w:t>
            </w:r>
          </w:p>
        </w:tc>
        <w:tc>
          <w:tcPr>
            <w:tcW w:w="1997" w:type="dxa"/>
            <w:tcBorders>
              <w:top w:val="nil"/>
              <w:left w:val="nil"/>
              <w:right w:val="nil"/>
            </w:tcBorders>
            <w:shd w:val="clear" w:color="auto" w:fill="FFFFFF"/>
            <w:tcMar>
              <w:top w:w="0" w:type="dxa"/>
              <w:left w:w="0" w:type="dxa"/>
              <w:bottom w:w="0" w:type="dxa"/>
              <w:right w:w="0" w:type="dxa"/>
            </w:tcMar>
          </w:tcPr>
          <w:p w14:paraId="60F2D2CF"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64.8 ± 8.0</w:t>
            </w:r>
          </w:p>
        </w:tc>
        <w:tc>
          <w:tcPr>
            <w:tcW w:w="1997" w:type="dxa"/>
            <w:tcBorders>
              <w:top w:val="nil"/>
              <w:left w:val="nil"/>
              <w:right w:val="nil"/>
            </w:tcBorders>
            <w:shd w:val="clear" w:color="auto" w:fill="FFFFFF"/>
            <w:tcMar>
              <w:top w:w="0" w:type="dxa"/>
              <w:left w:w="0" w:type="dxa"/>
              <w:bottom w:w="0" w:type="dxa"/>
              <w:right w:w="0" w:type="dxa"/>
            </w:tcMar>
          </w:tcPr>
          <w:p w14:paraId="5E8E4031"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65.8 ± 8.1</w:t>
            </w:r>
          </w:p>
        </w:tc>
        <w:tc>
          <w:tcPr>
            <w:tcW w:w="2106" w:type="dxa"/>
            <w:tcBorders>
              <w:top w:val="nil"/>
              <w:left w:val="nil"/>
              <w:right w:val="nil"/>
            </w:tcBorders>
            <w:shd w:val="clear" w:color="auto" w:fill="FFFFFF"/>
            <w:tcMar>
              <w:top w:w="0" w:type="dxa"/>
              <w:left w:w="0" w:type="dxa"/>
              <w:bottom w:w="0" w:type="dxa"/>
              <w:right w:w="0" w:type="dxa"/>
            </w:tcMar>
          </w:tcPr>
          <w:p w14:paraId="12416E59"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 xml:space="preserve">63.6 ± </w:t>
            </w:r>
            <w:proofErr w:type="gramStart"/>
            <w:r w:rsidRPr="00C80470">
              <w:rPr>
                <w:rFonts w:ascii="Times New Roman" w:eastAsia="Times New Roman" w:hAnsi="Times New Roman" w:cs="Times New Roman"/>
                <w:color w:val="000000"/>
                <w:sz w:val="24"/>
                <w:szCs w:val="24"/>
              </w:rPr>
              <w:t>8.3</w:t>
            </w:r>
            <w:r w:rsidRPr="00C80470">
              <w:rPr>
                <w:rFonts w:ascii="Times New Roman" w:eastAsia="Times New Roman" w:hAnsi="Times New Roman" w:cs="Times New Roman"/>
                <w:color w:val="000000"/>
                <w:sz w:val="24"/>
                <w:szCs w:val="24"/>
                <w:vertAlign w:val="superscript"/>
              </w:rPr>
              <w:t>a,b</w:t>
            </w:r>
            <w:proofErr w:type="gramEnd"/>
          </w:p>
        </w:tc>
      </w:tr>
      <w:tr w:rsidR="006F5BFE" w:rsidRPr="00C80470" w14:paraId="367BAAAB" w14:textId="77777777" w:rsidTr="00F57DEE">
        <w:trPr>
          <w:trHeight w:val="427"/>
          <w:jc w:val="center"/>
        </w:trPr>
        <w:tc>
          <w:tcPr>
            <w:tcW w:w="2926" w:type="dxa"/>
            <w:tcBorders>
              <w:bottom w:val="single" w:sz="4" w:space="0" w:color="000000"/>
            </w:tcBorders>
            <w:shd w:val="clear" w:color="auto" w:fill="FFFFFF"/>
            <w:tcMar>
              <w:top w:w="0" w:type="dxa"/>
              <w:left w:w="0" w:type="dxa"/>
              <w:bottom w:w="0" w:type="dxa"/>
              <w:right w:w="0" w:type="dxa"/>
            </w:tcMar>
          </w:tcPr>
          <w:p w14:paraId="055EA774"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Body Mass Index</w:t>
            </w:r>
            <w:r>
              <w:rPr>
                <w:rFonts w:ascii="Times New Roman" w:eastAsia="Times New Roman" w:hAnsi="Times New Roman" w:cs="Times New Roman"/>
                <w:color w:val="000000"/>
                <w:sz w:val="24"/>
                <w:szCs w:val="24"/>
              </w:rPr>
              <w:t xml:space="preserve"> (k</w:t>
            </w:r>
            <w:r w:rsidRPr="00520DF4">
              <w:rPr>
                <w:rFonts w:ascii="Times New Roman" w:eastAsia="Times New Roman" w:hAnsi="Times New Roman" w:cs="Times New Roman"/>
                <w:color w:val="000000"/>
                <w:sz w:val="24"/>
                <w:szCs w:val="24"/>
              </w:rPr>
              <w:t>g·m</w:t>
            </w:r>
            <w:r w:rsidRPr="00520DF4">
              <w:rPr>
                <w:rFonts w:ascii="Times New Roman" w:eastAsia="Times New Roman" w:hAnsi="Times New Roman" w:cs="Times New Roman"/>
                <w:color w:val="000000"/>
                <w:sz w:val="24"/>
                <w:szCs w:val="24"/>
                <w:vertAlign w:val="superscript"/>
              </w:rPr>
              <w:t>2</w:t>
            </w:r>
            <w:r w:rsidRPr="00520DF4">
              <w:rPr>
                <w:rFonts w:ascii="Times New Roman" w:eastAsia="Times New Roman" w:hAnsi="Times New Roman" w:cs="Times New Roman"/>
                <w:color w:val="000000"/>
                <w:sz w:val="24"/>
                <w:szCs w:val="24"/>
              </w:rPr>
              <w:t>)</w:t>
            </w:r>
          </w:p>
        </w:tc>
        <w:tc>
          <w:tcPr>
            <w:tcW w:w="1997" w:type="dxa"/>
            <w:tcBorders>
              <w:bottom w:val="single" w:sz="4" w:space="0" w:color="000000"/>
            </w:tcBorders>
            <w:shd w:val="clear" w:color="auto" w:fill="FFFFFF"/>
            <w:tcMar>
              <w:top w:w="0" w:type="dxa"/>
              <w:left w:w="0" w:type="dxa"/>
              <w:bottom w:w="0" w:type="dxa"/>
              <w:right w:w="0" w:type="dxa"/>
            </w:tcMar>
          </w:tcPr>
          <w:p w14:paraId="1B4ACAF6"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23.8 ± 2.4</w:t>
            </w:r>
          </w:p>
        </w:tc>
        <w:tc>
          <w:tcPr>
            <w:tcW w:w="1997" w:type="dxa"/>
            <w:tcBorders>
              <w:bottom w:val="single" w:sz="4" w:space="0" w:color="000000"/>
            </w:tcBorders>
            <w:shd w:val="clear" w:color="auto" w:fill="FFFFFF"/>
            <w:tcMar>
              <w:top w:w="0" w:type="dxa"/>
              <w:left w:w="0" w:type="dxa"/>
              <w:bottom w:w="0" w:type="dxa"/>
              <w:right w:w="0" w:type="dxa"/>
            </w:tcMar>
          </w:tcPr>
          <w:p w14:paraId="1F58ED3A"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23.9 ± 2.3</w:t>
            </w:r>
          </w:p>
        </w:tc>
        <w:tc>
          <w:tcPr>
            <w:tcW w:w="2106" w:type="dxa"/>
            <w:tcBorders>
              <w:bottom w:val="single" w:sz="4" w:space="0" w:color="000000"/>
            </w:tcBorders>
            <w:shd w:val="clear" w:color="auto" w:fill="FFFFFF"/>
            <w:tcMar>
              <w:top w:w="0" w:type="dxa"/>
              <w:left w:w="0" w:type="dxa"/>
              <w:bottom w:w="0" w:type="dxa"/>
              <w:right w:w="0" w:type="dxa"/>
            </w:tcMar>
          </w:tcPr>
          <w:p w14:paraId="319183D7" w14:textId="77777777" w:rsidR="006F5BFE" w:rsidRPr="00C80470"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 xml:space="preserve">23.4 ± </w:t>
            </w:r>
            <w:proofErr w:type="gramStart"/>
            <w:r w:rsidRPr="00C80470">
              <w:rPr>
                <w:rFonts w:ascii="Times New Roman" w:eastAsia="Times New Roman" w:hAnsi="Times New Roman" w:cs="Times New Roman"/>
                <w:color w:val="000000"/>
                <w:sz w:val="24"/>
                <w:szCs w:val="24"/>
              </w:rPr>
              <w:t>2.5</w:t>
            </w:r>
            <w:r w:rsidRPr="00C80470">
              <w:rPr>
                <w:rFonts w:ascii="Times New Roman" w:eastAsia="Times New Roman" w:hAnsi="Times New Roman" w:cs="Times New Roman"/>
                <w:color w:val="000000"/>
                <w:sz w:val="24"/>
                <w:szCs w:val="24"/>
                <w:vertAlign w:val="superscript"/>
              </w:rPr>
              <w:t>a,b</w:t>
            </w:r>
            <w:proofErr w:type="gramEnd"/>
          </w:p>
        </w:tc>
      </w:tr>
    </w:tbl>
    <w:p w14:paraId="414F3A9D" w14:textId="77777777" w:rsidR="006F5BFE" w:rsidRPr="00C80470" w:rsidRDefault="006F5BFE" w:rsidP="006F5BF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pPr>
      <w:r w:rsidRPr="00C80470">
        <w:rPr>
          <w:rFonts w:ascii="Times New Roman" w:eastAsia="Times New Roman" w:hAnsi="Times New Roman" w:cs="Times New Roman"/>
          <w:sz w:val="21"/>
          <w:szCs w:val="21"/>
        </w:rPr>
        <w:t xml:space="preserve">COCP, combined oral contraceptive pill; </w:t>
      </w:r>
      <w:r>
        <w:rPr>
          <w:rFonts w:ascii="Times New Roman" w:eastAsia="Times New Roman" w:hAnsi="Times New Roman" w:cs="Times New Roman"/>
          <w:sz w:val="21"/>
          <w:szCs w:val="21"/>
        </w:rPr>
        <w:t xml:space="preserve">POC, progestin-only contraceptive. </w:t>
      </w:r>
    </w:p>
    <w:p w14:paraId="2BB3CF2E" w14:textId="77777777" w:rsidR="006F5BFE" w:rsidRDefault="006F5BFE" w:rsidP="006F5BF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sectPr w:rsidR="006F5BFE" w:rsidSect="007D1510">
          <w:pgSz w:w="11906" w:h="16838"/>
          <w:pgMar w:top="1440" w:right="1440" w:bottom="1440" w:left="1440" w:header="708" w:footer="708" w:gutter="0"/>
          <w:lnNumType w:countBy="1" w:restart="continuous"/>
          <w:cols w:space="720"/>
          <w:docGrid w:linePitch="299"/>
        </w:sectPr>
      </w:pPr>
      <w:r w:rsidRPr="00C80470">
        <w:rPr>
          <w:rFonts w:ascii="Times New Roman" w:eastAsia="Times New Roman" w:hAnsi="Times New Roman" w:cs="Times New Roman"/>
          <w:sz w:val="21"/>
          <w:szCs w:val="21"/>
          <w:vertAlign w:val="superscript"/>
        </w:rPr>
        <w:t>a</w:t>
      </w:r>
      <w:r w:rsidRPr="00C80470">
        <w:rPr>
          <w:rFonts w:ascii="Times New Roman" w:eastAsia="Times New Roman" w:hAnsi="Times New Roman" w:cs="Times New Roman"/>
          <w:sz w:val="21"/>
          <w:szCs w:val="21"/>
        </w:rPr>
        <w:t xml:space="preserve">p &lt; 0.05 vs non-users; </w:t>
      </w:r>
      <w:r w:rsidRPr="00C80470">
        <w:rPr>
          <w:rFonts w:ascii="Times New Roman" w:eastAsia="Times New Roman" w:hAnsi="Times New Roman" w:cs="Times New Roman"/>
          <w:sz w:val="21"/>
          <w:szCs w:val="21"/>
          <w:vertAlign w:val="superscript"/>
        </w:rPr>
        <w:t>b</w:t>
      </w:r>
      <w:r w:rsidRPr="00C80470">
        <w:rPr>
          <w:rFonts w:ascii="Times New Roman" w:eastAsia="Times New Roman" w:hAnsi="Times New Roman" w:cs="Times New Roman"/>
          <w:sz w:val="21"/>
          <w:szCs w:val="21"/>
        </w:rPr>
        <w:t>p &lt; 0.05 vs COCP</w:t>
      </w:r>
    </w:p>
    <w:p w14:paraId="021917B9" w14:textId="77777777" w:rsidR="006F5BFE" w:rsidRPr="00C80470" w:rsidRDefault="006F5BFE" w:rsidP="006F5BFE">
      <w:pPr>
        <w:spacing w:after="0" w:line="480" w:lineRule="auto"/>
        <w:jc w:val="both"/>
        <w:rPr>
          <w:rFonts w:ascii="Times New Roman" w:eastAsia="Times New Roman" w:hAnsi="Times New Roman" w:cs="Times New Roman"/>
          <w:sz w:val="24"/>
          <w:szCs w:val="24"/>
        </w:rPr>
      </w:pPr>
      <w:r w:rsidRPr="00C80470">
        <w:rPr>
          <w:rFonts w:ascii="Times New Roman" w:eastAsia="Times New Roman" w:hAnsi="Times New Roman" w:cs="Times New Roman"/>
          <w:b/>
          <w:sz w:val="24"/>
          <w:szCs w:val="24"/>
        </w:rPr>
        <w:lastRenderedPageBreak/>
        <w:t xml:space="preserve">Table </w:t>
      </w:r>
      <w:r>
        <w:rPr>
          <w:rFonts w:ascii="Times New Roman" w:eastAsia="Times New Roman" w:hAnsi="Times New Roman" w:cs="Times New Roman"/>
          <w:b/>
          <w:sz w:val="24"/>
          <w:szCs w:val="24"/>
        </w:rPr>
        <w:t>2</w:t>
      </w:r>
      <w:r w:rsidRPr="00C80470">
        <w:rPr>
          <w:rFonts w:ascii="Times New Roman" w:eastAsia="Times New Roman" w:hAnsi="Times New Roman" w:cs="Times New Roman"/>
          <w:b/>
          <w:sz w:val="24"/>
          <w:szCs w:val="24"/>
        </w:rPr>
        <w:t>.</w:t>
      </w:r>
      <w:r w:rsidRPr="00C80470">
        <w:rPr>
          <w:rFonts w:ascii="Times New Roman" w:eastAsia="Times New Roman" w:hAnsi="Times New Roman" w:cs="Times New Roman"/>
          <w:sz w:val="24"/>
          <w:szCs w:val="24"/>
        </w:rPr>
        <w:t xml:space="preserve"> Mean absolute </w:t>
      </w:r>
      <w:r>
        <w:rPr>
          <w:rFonts w:ascii="Times New Roman" w:eastAsia="Times New Roman" w:hAnsi="Times New Roman" w:cs="Times New Roman"/>
          <w:sz w:val="24"/>
          <w:szCs w:val="24"/>
        </w:rPr>
        <w:t xml:space="preserve">unadjusted </w:t>
      </w:r>
      <w:r w:rsidRPr="00C80470">
        <w:rPr>
          <w:rFonts w:ascii="Times New Roman" w:eastAsia="Times New Roman" w:hAnsi="Times New Roman" w:cs="Times New Roman"/>
          <w:sz w:val="24"/>
          <w:szCs w:val="24"/>
        </w:rPr>
        <w:t xml:space="preserve">change and 95% confidence intervals (95% CI) in </w:t>
      </w:r>
      <w:r>
        <w:rPr>
          <w:rFonts w:ascii="Times New Roman" w:eastAsia="Times New Roman" w:hAnsi="Times New Roman" w:cs="Times New Roman"/>
          <w:sz w:val="24"/>
          <w:szCs w:val="24"/>
        </w:rPr>
        <w:t xml:space="preserve">physical </w:t>
      </w:r>
      <w:r w:rsidRPr="00C80470">
        <w:rPr>
          <w:rFonts w:ascii="Times New Roman" w:eastAsia="Times New Roman" w:hAnsi="Times New Roman" w:cs="Times New Roman"/>
          <w:sz w:val="24"/>
          <w:szCs w:val="24"/>
        </w:rPr>
        <w:t>performance, body composition, and circulating markers of iron status, vitamin D status, and bone metabolism in response to 13 weeks basic military training</w:t>
      </w:r>
      <w:r>
        <w:rPr>
          <w:rFonts w:ascii="Times New Roman" w:eastAsia="Times New Roman" w:hAnsi="Times New Roman" w:cs="Times New Roman"/>
          <w:sz w:val="24"/>
          <w:szCs w:val="24"/>
        </w:rPr>
        <w:t xml:space="preserve"> </w:t>
      </w:r>
      <w:r w:rsidRPr="00C80470">
        <w:rPr>
          <w:rFonts w:ascii="Times New Roman" w:eastAsia="Times New Roman" w:hAnsi="Times New Roman" w:cs="Times New Roman"/>
          <w:sz w:val="24"/>
          <w:szCs w:val="24"/>
        </w:rPr>
        <w:t>in non-users, combined oral contraceptive pill (COCP) users, and progest</w:t>
      </w:r>
      <w:r>
        <w:rPr>
          <w:rFonts w:ascii="Times New Roman" w:eastAsia="Times New Roman" w:hAnsi="Times New Roman" w:cs="Times New Roman"/>
          <w:sz w:val="24"/>
          <w:szCs w:val="24"/>
        </w:rPr>
        <w:t>in-</w:t>
      </w:r>
      <w:r w:rsidRPr="00C80470">
        <w:rPr>
          <w:rFonts w:ascii="Times New Roman" w:eastAsia="Times New Roman" w:hAnsi="Times New Roman" w:cs="Times New Roman"/>
          <w:sz w:val="24"/>
          <w:szCs w:val="24"/>
        </w:rPr>
        <w:t>only contraceptive (POC) users.</w:t>
      </w:r>
    </w:p>
    <w:tbl>
      <w:tblPr>
        <w:tblStyle w:val="3"/>
        <w:tblW w:w="13958" w:type="dxa"/>
        <w:jc w:val="center"/>
        <w:tblLayout w:type="fixed"/>
        <w:tblLook w:val="0400" w:firstRow="0" w:lastRow="0" w:firstColumn="0" w:lastColumn="0" w:noHBand="0" w:noVBand="1"/>
      </w:tblPr>
      <w:tblGrid>
        <w:gridCol w:w="4778"/>
        <w:gridCol w:w="1236"/>
        <w:gridCol w:w="1841"/>
        <w:gridCol w:w="1236"/>
        <w:gridCol w:w="1841"/>
        <w:gridCol w:w="1236"/>
        <w:gridCol w:w="1790"/>
      </w:tblGrid>
      <w:tr w:rsidR="006F5BFE" w:rsidRPr="00F82C61" w14:paraId="59E70BC2" w14:textId="77777777" w:rsidTr="00F57DEE">
        <w:trPr>
          <w:tblHeader/>
          <w:jc w:val="center"/>
        </w:trPr>
        <w:tc>
          <w:tcPr>
            <w:tcW w:w="4778" w:type="dxa"/>
            <w:tcBorders>
              <w:top w:val="single" w:sz="8" w:space="0" w:color="000000"/>
              <w:left w:val="nil"/>
              <w:right w:val="nil"/>
            </w:tcBorders>
            <w:shd w:val="clear" w:color="auto" w:fill="FFFFFF"/>
            <w:tcMar>
              <w:top w:w="0" w:type="dxa"/>
              <w:left w:w="0" w:type="dxa"/>
              <w:bottom w:w="0" w:type="dxa"/>
              <w:right w:w="0" w:type="dxa"/>
            </w:tcMar>
            <w:vAlign w:val="center"/>
          </w:tcPr>
          <w:p w14:paraId="17AFD0F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p>
        </w:tc>
        <w:tc>
          <w:tcPr>
            <w:tcW w:w="3077" w:type="dxa"/>
            <w:gridSpan w:val="2"/>
            <w:tcBorders>
              <w:top w:val="single" w:sz="8" w:space="0" w:color="000000"/>
              <w:left w:val="nil"/>
              <w:right w:val="nil"/>
            </w:tcBorders>
            <w:shd w:val="clear" w:color="auto" w:fill="FFFFFF"/>
            <w:tcMar>
              <w:top w:w="0" w:type="dxa"/>
              <w:left w:w="0" w:type="dxa"/>
              <w:bottom w:w="0" w:type="dxa"/>
              <w:right w:w="0" w:type="dxa"/>
            </w:tcMar>
            <w:vAlign w:val="center"/>
          </w:tcPr>
          <w:p w14:paraId="4EF0C63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Non-user</w:t>
            </w:r>
          </w:p>
        </w:tc>
        <w:tc>
          <w:tcPr>
            <w:tcW w:w="3077" w:type="dxa"/>
            <w:gridSpan w:val="2"/>
            <w:tcBorders>
              <w:top w:val="single" w:sz="8" w:space="0" w:color="000000"/>
              <w:left w:val="nil"/>
              <w:right w:val="nil"/>
            </w:tcBorders>
            <w:shd w:val="clear" w:color="auto" w:fill="FFFFFF"/>
            <w:tcMar>
              <w:top w:w="0" w:type="dxa"/>
              <w:left w:w="0" w:type="dxa"/>
              <w:bottom w:w="0" w:type="dxa"/>
              <w:right w:w="0" w:type="dxa"/>
            </w:tcMar>
            <w:vAlign w:val="center"/>
          </w:tcPr>
          <w:p w14:paraId="05F0E9B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COCP</w:t>
            </w:r>
          </w:p>
        </w:tc>
        <w:tc>
          <w:tcPr>
            <w:tcW w:w="3026" w:type="dxa"/>
            <w:gridSpan w:val="2"/>
            <w:tcBorders>
              <w:top w:val="single" w:sz="8" w:space="0" w:color="000000"/>
              <w:left w:val="nil"/>
              <w:right w:val="nil"/>
            </w:tcBorders>
            <w:shd w:val="clear" w:color="auto" w:fill="FFFFFF"/>
            <w:tcMar>
              <w:top w:w="0" w:type="dxa"/>
              <w:left w:w="0" w:type="dxa"/>
              <w:bottom w:w="0" w:type="dxa"/>
              <w:right w:w="0" w:type="dxa"/>
            </w:tcMar>
            <w:vAlign w:val="center"/>
          </w:tcPr>
          <w:p w14:paraId="06432B7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POC</w:t>
            </w:r>
          </w:p>
        </w:tc>
      </w:tr>
      <w:tr w:rsidR="006F5BFE" w:rsidRPr="00F82C61" w14:paraId="3B7DA2AB" w14:textId="77777777" w:rsidTr="00F57DEE">
        <w:trPr>
          <w:tblHeader/>
          <w:jc w:val="center"/>
        </w:trPr>
        <w:tc>
          <w:tcPr>
            <w:tcW w:w="4778" w:type="dxa"/>
            <w:tcBorders>
              <w:bottom w:val="single" w:sz="8" w:space="0" w:color="000000"/>
            </w:tcBorders>
            <w:shd w:val="clear" w:color="auto" w:fill="FFFFFF"/>
            <w:tcMar>
              <w:top w:w="0" w:type="dxa"/>
              <w:left w:w="0" w:type="dxa"/>
              <w:bottom w:w="0" w:type="dxa"/>
              <w:right w:w="0" w:type="dxa"/>
            </w:tcMar>
            <w:vAlign w:val="center"/>
          </w:tcPr>
          <w:p w14:paraId="0FBAECA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p>
        </w:tc>
        <w:tc>
          <w:tcPr>
            <w:tcW w:w="1236" w:type="dxa"/>
            <w:tcBorders>
              <w:bottom w:val="single" w:sz="8" w:space="0" w:color="000000"/>
            </w:tcBorders>
            <w:shd w:val="clear" w:color="auto" w:fill="FFFFFF"/>
            <w:tcMar>
              <w:top w:w="0" w:type="dxa"/>
              <w:left w:w="0" w:type="dxa"/>
              <w:bottom w:w="0" w:type="dxa"/>
              <w:right w:w="0" w:type="dxa"/>
            </w:tcMar>
            <w:vAlign w:val="center"/>
          </w:tcPr>
          <w:p w14:paraId="111611C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Change</w:t>
            </w:r>
          </w:p>
        </w:tc>
        <w:tc>
          <w:tcPr>
            <w:tcW w:w="1841" w:type="dxa"/>
            <w:tcBorders>
              <w:bottom w:val="single" w:sz="8" w:space="0" w:color="000000"/>
            </w:tcBorders>
            <w:shd w:val="clear" w:color="auto" w:fill="FFFFFF"/>
            <w:tcMar>
              <w:top w:w="0" w:type="dxa"/>
              <w:left w:w="0" w:type="dxa"/>
              <w:bottom w:w="0" w:type="dxa"/>
              <w:right w:w="0" w:type="dxa"/>
            </w:tcMar>
            <w:vAlign w:val="center"/>
          </w:tcPr>
          <w:p w14:paraId="16B48E82"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95% CI</w:t>
            </w:r>
          </w:p>
        </w:tc>
        <w:tc>
          <w:tcPr>
            <w:tcW w:w="1236" w:type="dxa"/>
            <w:tcBorders>
              <w:bottom w:val="single" w:sz="8" w:space="0" w:color="000000"/>
            </w:tcBorders>
            <w:shd w:val="clear" w:color="auto" w:fill="FFFFFF"/>
            <w:tcMar>
              <w:top w:w="0" w:type="dxa"/>
              <w:left w:w="0" w:type="dxa"/>
              <w:bottom w:w="0" w:type="dxa"/>
              <w:right w:w="0" w:type="dxa"/>
            </w:tcMar>
            <w:vAlign w:val="center"/>
          </w:tcPr>
          <w:p w14:paraId="27CBBFD5"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Change</w:t>
            </w:r>
          </w:p>
        </w:tc>
        <w:tc>
          <w:tcPr>
            <w:tcW w:w="1841" w:type="dxa"/>
            <w:tcBorders>
              <w:bottom w:val="single" w:sz="8" w:space="0" w:color="000000"/>
            </w:tcBorders>
            <w:shd w:val="clear" w:color="auto" w:fill="FFFFFF"/>
            <w:tcMar>
              <w:top w:w="0" w:type="dxa"/>
              <w:left w:w="0" w:type="dxa"/>
              <w:bottom w:w="0" w:type="dxa"/>
              <w:right w:w="0" w:type="dxa"/>
            </w:tcMar>
            <w:vAlign w:val="center"/>
          </w:tcPr>
          <w:p w14:paraId="4E8B277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95% CI</w:t>
            </w:r>
          </w:p>
        </w:tc>
        <w:tc>
          <w:tcPr>
            <w:tcW w:w="1236" w:type="dxa"/>
            <w:tcBorders>
              <w:bottom w:val="single" w:sz="8" w:space="0" w:color="000000"/>
            </w:tcBorders>
            <w:shd w:val="clear" w:color="auto" w:fill="FFFFFF"/>
            <w:tcMar>
              <w:top w:w="0" w:type="dxa"/>
              <w:left w:w="0" w:type="dxa"/>
              <w:bottom w:w="0" w:type="dxa"/>
              <w:right w:w="0" w:type="dxa"/>
            </w:tcMar>
            <w:vAlign w:val="center"/>
          </w:tcPr>
          <w:p w14:paraId="4B75FF4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Change</w:t>
            </w:r>
          </w:p>
        </w:tc>
        <w:tc>
          <w:tcPr>
            <w:tcW w:w="1790" w:type="dxa"/>
            <w:tcBorders>
              <w:bottom w:val="single" w:sz="8" w:space="0" w:color="000000"/>
            </w:tcBorders>
            <w:shd w:val="clear" w:color="auto" w:fill="FFFFFF"/>
            <w:tcMar>
              <w:top w:w="0" w:type="dxa"/>
              <w:left w:w="0" w:type="dxa"/>
              <w:bottom w:w="0" w:type="dxa"/>
              <w:right w:w="0" w:type="dxa"/>
            </w:tcMar>
            <w:vAlign w:val="center"/>
          </w:tcPr>
          <w:p w14:paraId="08D055F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95% CI</w:t>
            </w:r>
          </w:p>
        </w:tc>
      </w:tr>
      <w:tr w:rsidR="006F5BFE" w:rsidRPr="00F82C61" w14:paraId="27F975A4" w14:textId="77777777" w:rsidTr="00F57DEE">
        <w:trPr>
          <w:jc w:val="center"/>
        </w:trPr>
        <w:tc>
          <w:tcPr>
            <w:tcW w:w="4778" w:type="dxa"/>
            <w:tcBorders>
              <w:top w:val="single" w:sz="8" w:space="0" w:color="000000"/>
              <w:left w:val="nil"/>
              <w:bottom w:val="nil"/>
              <w:right w:val="nil"/>
            </w:tcBorders>
            <w:shd w:val="clear" w:color="auto" w:fill="FFFFFF"/>
            <w:tcMar>
              <w:top w:w="0" w:type="dxa"/>
              <w:left w:w="0" w:type="dxa"/>
              <w:bottom w:w="0" w:type="dxa"/>
              <w:right w:w="0" w:type="dxa"/>
            </w:tcMar>
          </w:tcPr>
          <w:p w14:paraId="5DD642B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2.4 km Run Time (s)</w:t>
            </w:r>
          </w:p>
        </w:tc>
        <w:tc>
          <w:tcPr>
            <w:tcW w:w="1236" w:type="dxa"/>
            <w:tcBorders>
              <w:top w:val="single" w:sz="8" w:space="0" w:color="000000"/>
              <w:left w:val="nil"/>
              <w:bottom w:val="nil"/>
              <w:right w:val="nil"/>
            </w:tcBorders>
            <w:shd w:val="clear" w:color="auto" w:fill="FFFFFF"/>
            <w:tcMar>
              <w:top w:w="0" w:type="dxa"/>
              <w:left w:w="0" w:type="dxa"/>
              <w:bottom w:w="0" w:type="dxa"/>
              <w:right w:w="0" w:type="dxa"/>
            </w:tcMar>
          </w:tcPr>
          <w:p w14:paraId="7FCAB3C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–25</w:t>
            </w:r>
          </w:p>
        </w:tc>
        <w:tc>
          <w:tcPr>
            <w:tcW w:w="1841" w:type="dxa"/>
            <w:tcBorders>
              <w:top w:val="single" w:sz="8" w:space="0" w:color="000000"/>
              <w:left w:val="nil"/>
              <w:bottom w:val="nil"/>
              <w:right w:val="nil"/>
            </w:tcBorders>
            <w:shd w:val="clear" w:color="auto" w:fill="FFFFFF"/>
            <w:tcMar>
              <w:top w:w="0" w:type="dxa"/>
              <w:left w:w="0" w:type="dxa"/>
              <w:bottom w:w="0" w:type="dxa"/>
              <w:right w:w="0" w:type="dxa"/>
            </w:tcMar>
          </w:tcPr>
          <w:p w14:paraId="1E5FF42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–33, –17</w:t>
            </w:r>
          </w:p>
        </w:tc>
        <w:tc>
          <w:tcPr>
            <w:tcW w:w="1236" w:type="dxa"/>
            <w:tcBorders>
              <w:top w:val="single" w:sz="8" w:space="0" w:color="000000"/>
              <w:left w:val="nil"/>
              <w:bottom w:val="nil"/>
              <w:right w:val="nil"/>
            </w:tcBorders>
            <w:shd w:val="clear" w:color="auto" w:fill="FFFFFF"/>
            <w:tcMar>
              <w:top w:w="0" w:type="dxa"/>
              <w:left w:w="0" w:type="dxa"/>
              <w:bottom w:w="0" w:type="dxa"/>
              <w:right w:w="0" w:type="dxa"/>
            </w:tcMar>
          </w:tcPr>
          <w:p w14:paraId="622700D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–30</w:t>
            </w:r>
          </w:p>
        </w:tc>
        <w:tc>
          <w:tcPr>
            <w:tcW w:w="1841" w:type="dxa"/>
            <w:tcBorders>
              <w:top w:val="single" w:sz="8" w:space="0" w:color="000000"/>
              <w:left w:val="nil"/>
              <w:bottom w:val="nil"/>
              <w:right w:val="nil"/>
            </w:tcBorders>
            <w:shd w:val="clear" w:color="auto" w:fill="FFFFFF"/>
            <w:tcMar>
              <w:top w:w="0" w:type="dxa"/>
              <w:left w:w="0" w:type="dxa"/>
              <w:bottom w:w="0" w:type="dxa"/>
              <w:right w:w="0" w:type="dxa"/>
            </w:tcMar>
          </w:tcPr>
          <w:p w14:paraId="0D58358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–42, –19</w:t>
            </w:r>
          </w:p>
        </w:tc>
        <w:tc>
          <w:tcPr>
            <w:tcW w:w="1236" w:type="dxa"/>
            <w:tcBorders>
              <w:top w:val="single" w:sz="8" w:space="0" w:color="000000"/>
              <w:left w:val="nil"/>
              <w:bottom w:val="nil"/>
              <w:right w:val="nil"/>
            </w:tcBorders>
            <w:shd w:val="clear" w:color="auto" w:fill="FFFFFF"/>
            <w:tcMar>
              <w:top w:w="0" w:type="dxa"/>
              <w:left w:w="0" w:type="dxa"/>
              <w:bottom w:w="0" w:type="dxa"/>
              <w:right w:w="0" w:type="dxa"/>
            </w:tcMar>
          </w:tcPr>
          <w:p w14:paraId="0C0AA52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–27</w:t>
            </w:r>
          </w:p>
        </w:tc>
        <w:tc>
          <w:tcPr>
            <w:tcW w:w="1790" w:type="dxa"/>
            <w:tcBorders>
              <w:top w:val="single" w:sz="8" w:space="0" w:color="000000"/>
              <w:left w:val="nil"/>
              <w:bottom w:val="nil"/>
              <w:right w:val="nil"/>
            </w:tcBorders>
            <w:shd w:val="clear" w:color="auto" w:fill="FFFFFF"/>
            <w:tcMar>
              <w:top w:w="0" w:type="dxa"/>
              <w:left w:w="0" w:type="dxa"/>
              <w:bottom w:w="0" w:type="dxa"/>
              <w:right w:w="0" w:type="dxa"/>
            </w:tcMar>
          </w:tcPr>
          <w:p w14:paraId="0F6EC7F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–39, –15</w:t>
            </w:r>
          </w:p>
        </w:tc>
      </w:tr>
      <w:tr w:rsidR="006F5BFE" w:rsidRPr="00F82C61" w14:paraId="2ACBE308"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2822EF8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Maximal Lift Strength (kg)</w:t>
            </w:r>
          </w:p>
        </w:tc>
        <w:tc>
          <w:tcPr>
            <w:tcW w:w="1236" w:type="dxa"/>
            <w:tcBorders>
              <w:top w:val="nil"/>
              <w:left w:val="nil"/>
              <w:bottom w:val="nil"/>
              <w:right w:val="nil"/>
            </w:tcBorders>
            <w:shd w:val="clear" w:color="auto" w:fill="FFFFFF"/>
            <w:tcMar>
              <w:top w:w="0" w:type="dxa"/>
              <w:left w:w="0" w:type="dxa"/>
              <w:bottom w:w="0" w:type="dxa"/>
              <w:right w:w="0" w:type="dxa"/>
            </w:tcMar>
          </w:tcPr>
          <w:p w14:paraId="5F4C6E9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1.5</w:t>
            </w:r>
          </w:p>
        </w:tc>
        <w:tc>
          <w:tcPr>
            <w:tcW w:w="1841" w:type="dxa"/>
            <w:tcBorders>
              <w:top w:val="nil"/>
              <w:left w:val="nil"/>
              <w:bottom w:val="nil"/>
              <w:right w:val="nil"/>
            </w:tcBorders>
            <w:shd w:val="clear" w:color="auto" w:fill="FFFFFF"/>
            <w:tcMar>
              <w:top w:w="0" w:type="dxa"/>
              <w:left w:w="0" w:type="dxa"/>
              <w:bottom w:w="0" w:type="dxa"/>
              <w:right w:w="0" w:type="dxa"/>
            </w:tcMar>
          </w:tcPr>
          <w:p w14:paraId="123BF24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–0.2, 3.1</w:t>
            </w:r>
          </w:p>
        </w:tc>
        <w:tc>
          <w:tcPr>
            <w:tcW w:w="1236" w:type="dxa"/>
            <w:tcBorders>
              <w:top w:val="nil"/>
              <w:left w:val="nil"/>
              <w:bottom w:val="nil"/>
              <w:right w:val="nil"/>
            </w:tcBorders>
            <w:shd w:val="clear" w:color="auto" w:fill="FFFFFF"/>
            <w:tcMar>
              <w:top w:w="0" w:type="dxa"/>
              <w:left w:w="0" w:type="dxa"/>
              <w:bottom w:w="0" w:type="dxa"/>
              <w:right w:w="0" w:type="dxa"/>
            </w:tcMar>
          </w:tcPr>
          <w:p w14:paraId="20C92EB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1.2</w:t>
            </w:r>
          </w:p>
        </w:tc>
        <w:tc>
          <w:tcPr>
            <w:tcW w:w="1841" w:type="dxa"/>
            <w:tcBorders>
              <w:top w:val="nil"/>
              <w:left w:val="nil"/>
              <w:bottom w:val="nil"/>
              <w:right w:val="nil"/>
            </w:tcBorders>
            <w:shd w:val="clear" w:color="auto" w:fill="FFFFFF"/>
            <w:tcMar>
              <w:top w:w="0" w:type="dxa"/>
              <w:left w:w="0" w:type="dxa"/>
              <w:bottom w:w="0" w:type="dxa"/>
              <w:right w:w="0" w:type="dxa"/>
            </w:tcMar>
          </w:tcPr>
          <w:p w14:paraId="61129F9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–0.8, 3.1</w:t>
            </w:r>
          </w:p>
        </w:tc>
        <w:tc>
          <w:tcPr>
            <w:tcW w:w="1236" w:type="dxa"/>
            <w:tcBorders>
              <w:top w:val="nil"/>
              <w:left w:val="nil"/>
              <w:bottom w:val="nil"/>
              <w:right w:val="nil"/>
            </w:tcBorders>
            <w:shd w:val="clear" w:color="auto" w:fill="FFFFFF"/>
            <w:tcMar>
              <w:top w:w="0" w:type="dxa"/>
              <w:left w:w="0" w:type="dxa"/>
              <w:bottom w:w="0" w:type="dxa"/>
              <w:right w:w="0" w:type="dxa"/>
            </w:tcMar>
          </w:tcPr>
          <w:p w14:paraId="22812DA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1.9</w:t>
            </w:r>
          </w:p>
        </w:tc>
        <w:tc>
          <w:tcPr>
            <w:tcW w:w="1790" w:type="dxa"/>
            <w:tcBorders>
              <w:top w:val="nil"/>
              <w:left w:val="nil"/>
              <w:bottom w:val="nil"/>
              <w:right w:val="nil"/>
            </w:tcBorders>
            <w:shd w:val="clear" w:color="auto" w:fill="FFFFFF"/>
            <w:tcMar>
              <w:top w:w="0" w:type="dxa"/>
              <w:left w:w="0" w:type="dxa"/>
              <w:bottom w:w="0" w:type="dxa"/>
              <w:right w:w="0" w:type="dxa"/>
            </w:tcMar>
          </w:tcPr>
          <w:p w14:paraId="50C1830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–0.5, 4.2</w:t>
            </w:r>
          </w:p>
        </w:tc>
      </w:tr>
      <w:tr w:rsidR="006F5BFE" w:rsidRPr="00F82C61" w14:paraId="0CFB5977"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6AD174A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Peak Power Output (W)</w:t>
            </w:r>
          </w:p>
        </w:tc>
        <w:tc>
          <w:tcPr>
            <w:tcW w:w="1236" w:type="dxa"/>
            <w:tcBorders>
              <w:top w:val="nil"/>
              <w:left w:val="nil"/>
              <w:bottom w:val="nil"/>
              <w:right w:val="nil"/>
            </w:tcBorders>
            <w:shd w:val="clear" w:color="auto" w:fill="FFFFFF"/>
            <w:tcMar>
              <w:top w:w="0" w:type="dxa"/>
              <w:left w:w="0" w:type="dxa"/>
              <w:bottom w:w="0" w:type="dxa"/>
              <w:right w:w="0" w:type="dxa"/>
            </w:tcMar>
          </w:tcPr>
          <w:p w14:paraId="0076420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55</w:t>
            </w:r>
          </w:p>
        </w:tc>
        <w:tc>
          <w:tcPr>
            <w:tcW w:w="1841" w:type="dxa"/>
            <w:tcBorders>
              <w:top w:val="nil"/>
              <w:left w:val="nil"/>
              <w:bottom w:val="nil"/>
              <w:right w:val="nil"/>
            </w:tcBorders>
            <w:shd w:val="clear" w:color="auto" w:fill="FFFFFF"/>
            <w:tcMar>
              <w:top w:w="0" w:type="dxa"/>
              <w:left w:w="0" w:type="dxa"/>
              <w:bottom w:w="0" w:type="dxa"/>
              <w:right w:w="0" w:type="dxa"/>
            </w:tcMar>
          </w:tcPr>
          <w:p w14:paraId="53D0DCE4"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–5, 114</w:t>
            </w:r>
          </w:p>
        </w:tc>
        <w:tc>
          <w:tcPr>
            <w:tcW w:w="1236" w:type="dxa"/>
            <w:tcBorders>
              <w:top w:val="nil"/>
              <w:left w:val="nil"/>
              <w:bottom w:val="nil"/>
              <w:right w:val="nil"/>
            </w:tcBorders>
            <w:shd w:val="clear" w:color="auto" w:fill="FFFFFF"/>
            <w:tcMar>
              <w:top w:w="0" w:type="dxa"/>
              <w:left w:w="0" w:type="dxa"/>
              <w:bottom w:w="0" w:type="dxa"/>
              <w:right w:w="0" w:type="dxa"/>
            </w:tcMar>
          </w:tcPr>
          <w:p w14:paraId="0EB6ED7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27</w:t>
            </w:r>
          </w:p>
        </w:tc>
        <w:tc>
          <w:tcPr>
            <w:tcW w:w="1841" w:type="dxa"/>
            <w:tcBorders>
              <w:top w:val="nil"/>
              <w:left w:val="nil"/>
              <w:bottom w:val="nil"/>
              <w:right w:val="nil"/>
            </w:tcBorders>
            <w:shd w:val="clear" w:color="auto" w:fill="FFFFFF"/>
            <w:tcMar>
              <w:top w:w="0" w:type="dxa"/>
              <w:left w:w="0" w:type="dxa"/>
              <w:bottom w:w="0" w:type="dxa"/>
              <w:right w:w="0" w:type="dxa"/>
            </w:tcMar>
          </w:tcPr>
          <w:p w14:paraId="1AC012D2"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–65, 119</w:t>
            </w:r>
          </w:p>
        </w:tc>
        <w:tc>
          <w:tcPr>
            <w:tcW w:w="1236" w:type="dxa"/>
            <w:tcBorders>
              <w:top w:val="nil"/>
              <w:left w:val="nil"/>
              <w:bottom w:val="nil"/>
              <w:right w:val="nil"/>
            </w:tcBorders>
            <w:shd w:val="clear" w:color="auto" w:fill="FFFFFF"/>
            <w:tcMar>
              <w:top w:w="0" w:type="dxa"/>
              <w:left w:w="0" w:type="dxa"/>
              <w:bottom w:w="0" w:type="dxa"/>
              <w:right w:w="0" w:type="dxa"/>
            </w:tcMar>
          </w:tcPr>
          <w:p w14:paraId="559EC50D"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2</w:t>
            </w:r>
          </w:p>
        </w:tc>
        <w:tc>
          <w:tcPr>
            <w:tcW w:w="1790" w:type="dxa"/>
            <w:tcBorders>
              <w:top w:val="nil"/>
              <w:left w:val="nil"/>
              <w:bottom w:val="nil"/>
              <w:right w:val="nil"/>
            </w:tcBorders>
            <w:shd w:val="clear" w:color="auto" w:fill="FFFFFF"/>
            <w:tcMar>
              <w:top w:w="0" w:type="dxa"/>
              <w:left w:w="0" w:type="dxa"/>
              <w:bottom w:w="0" w:type="dxa"/>
              <w:right w:w="0" w:type="dxa"/>
            </w:tcMar>
          </w:tcPr>
          <w:p w14:paraId="46FA577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–74, 77</w:t>
            </w:r>
          </w:p>
        </w:tc>
      </w:tr>
      <w:tr w:rsidR="006F5BFE" w:rsidRPr="00F82C61" w14:paraId="6692B159"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21A3D1C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Fat Mass (kg)</w:t>
            </w:r>
          </w:p>
        </w:tc>
        <w:tc>
          <w:tcPr>
            <w:tcW w:w="1236" w:type="dxa"/>
            <w:tcBorders>
              <w:top w:val="nil"/>
              <w:left w:val="nil"/>
              <w:bottom w:val="nil"/>
              <w:right w:val="nil"/>
            </w:tcBorders>
            <w:shd w:val="clear" w:color="auto" w:fill="FFFFFF"/>
            <w:tcMar>
              <w:top w:w="0" w:type="dxa"/>
              <w:left w:w="0" w:type="dxa"/>
              <w:bottom w:w="0" w:type="dxa"/>
              <w:right w:w="0" w:type="dxa"/>
            </w:tcMar>
          </w:tcPr>
          <w:p w14:paraId="24B42EF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–2.1</w:t>
            </w:r>
          </w:p>
        </w:tc>
        <w:tc>
          <w:tcPr>
            <w:tcW w:w="1841" w:type="dxa"/>
            <w:tcBorders>
              <w:top w:val="nil"/>
              <w:left w:val="nil"/>
              <w:bottom w:val="nil"/>
              <w:right w:val="nil"/>
            </w:tcBorders>
            <w:shd w:val="clear" w:color="auto" w:fill="FFFFFF"/>
            <w:tcMar>
              <w:top w:w="0" w:type="dxa"/>
              <w:left w:w="0" w:type="dxa"/>
              <w:bottom w:w="0" w:type="dxa"/>
              <w:right w:w="0" w:type="dxa"/>
            </w:tcMar>
          </w:tcPr>
          <w:p w14:paraId="2F7B7C5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–2.6, –1.5</w:t>
            </w:r>
          </w:p>
        </w:tc>
        <w:tc>
          <w:tcPr>
            <w:tcW w:w="1236" w:type="dxa"/>
            <w:tcBorders>
              <w:top w:val="nil"/>
              <w:left w:val="nil"/>
              <w:bottom w:val="nil"/>
              <w:right w:val="nil"/>
            </w:tcBorders>
            <w:shd w:val="clear" w:color="auto" w:fill="FFFFFF"/>
            <w:tcMar>
              <w:top w:w="0" w:type="dxa"/>
              <w:left w:w="0" w:type="dxa"/>
              <w:bottom w:w="0" w:type="dxa"/>
              <w:right w:w="0" w:type="dxa"/>
            </w:tcMar>
          </w:tcPr>
          <w:p w14:paraId="2F5F27E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–2.2</w:t>
            </w:r>
          </w:p>
        </w:tc>
        <w:tc>
          <w:tcPr>
            <w:tcW w:w="1841" w:type="dxa"/>
            <w:tcBorders>
              <w:top w:val="nil"/>
              <w:left w:val="nil"/>
              <w:bottom w:val="nil"/>
              <w:right w:val="nil"/>
            </w:tcBorders>
            <w:shd w:val="clear" w:color="auto" w:fill="FFFFFF"/>
            <w:tcMar>
              <w:top w:w="0" w:type="dxa"/>
              <w:left w:w="0" w:type="dxa"/>
              <w:bottom w:w="0" w:type="dxa"/>
              <w:right w:w="0" w:type="dxa"/>
            </w:tcMar>
          </w:tcPr>
          <w:p w14:paraId="708A5EC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–3.0, –1.4</w:t>
            </w:r>
          </w:p>
        </w:tc>
        <w:tc>
          <w:tcPr>
            <w:tcW w:w="1236" w:type="dxa"/>
            <w:tcBorders>
              <w:top w:val="nil"/>
              <w:left w:val="nil"/>
              <w:bottom w:val="nil"/>
              <w:right w:val="nil"/>
            </w:tcBorders>
            <w:shd w:val="clear" w:color="auto" w:fill="FFFFFF"/>
            <w:tcMar>
              <w:top w:w="0" w:type="dxa"/>
              <w:left w:w="0" w:type="dxa"/>
              <w:bottom w:w="0" w:type="dxa"/>
              <w:right w:w="0" w:type="dxa"/>
            </w:tcMar>
          </w:tcPr>
          <w:p w14:paraId="0763937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–2.0</w:t>
            </w:r>
          </w:p>
        </w:tc>
        <w:tc>
          <w:tcPr>
            <w:tcW w:w="1790" w:type="dxa"/>
            <w:tcBorders>
              <w:top w:val="nil"/>
              <w:left w:val="nil"/>
              <w:bottom w:val="nil"/>
              <w:right w:val="nil"/>
            </w:tcBorders>
            <w:shd w:val="clear" w:color="auto" w:fill="FFFFFF"/>
            <w:tcMar>
              <w:top w:w="0" w:type="dxa"/>
              <w:left w:w="0" w:type="dxa"/>
              <w:bottom w:w="0" w:type="dxa"/>
              <w:right w:w="0" w:type="dxa"/>
            </w:tcMar>
          </w:tcPr>
          <w:p w14:paraId="121C667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–2.6, –1.5</w:t>
            </w:r>
          </w:p>
        </w:tc>
      </w:tr>
      <w:tr w:rsidR="006F5BFE" w:rsidRPr="00F82C61" w14:paraId="792A912D"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24AA9B4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Lean Mass (kg)</w:t>
            </w:r>
          </w:p>
        </w:tc>
        <w:tc>
          <w:tcPr>
            <w:tcW w:w="1236" w:type="dxa"/>
            <w:tcBorders>
              <w:top w:val="nil"/>
              <w:left w:val="nil"/>
              <w:bottom w:val="nil"/>
              <w:right w:val="nil"/>
            </w:tcBorders>
            <w:shd w:val="clear" w:color="auto" w:fill="FFFFFF"/>
            <w:tcMar>
              <w:top w:w="0" w:type="dxa"/>
              <w:left w:w="0" w:type="dxa"/>
              <w:bottom w:w="0" w:type="dxa"/>
              <w:right w:w="0" w:type="dxa"/>
            </w:tcMar>
          </w:tcPr>
          <w:p w14:paraId="40145EA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2.1</w:t>
            </w:r>
          </w:p>
        </w:tc>
        <w:tc>
          <w:tcPr>
            <w:tcW w:w="1841" w:type="dxa"/>
            <w:tcBorders>
              <w:top w:val="nil"/>
              <w:left w:val="nil"/>
              <w:bottom w:val="nil"/>
              <w:right w:val="nil"/>
            </w:tcBorders>
            <w:shd w:val="clear" w:color="auto" w:fill="FFFFFF"/>
            <w:tcMar>
              <w:top w:w="0" w:type="dxa"/>
              <w:left w:w="0" w:type="dxa"/>
              <w:bottom w:w="0" w:type="dxa"/>
              <w:right w:w="0" w:type="dxa"/>
            </w:tcMar>
          </w:tcPr>
          <w:p w14:paraId="6880987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1.8, 2.5</w:t>
            </w:r>
          </w:p>
        </w:tc>
        <w:tc>
          <w:tcPr>
            <w:tcW w:w="1236" w:type="dxa"/>
            <w:tcBorders>
              <w:top w:val="nil"/>
              <w:left w:val="nil"/>
              <w:bottom w:val="nil"/>
              <w:right w:val="nil"/>
            </w:tcBorders>
            <w:shd w:val="clear" w:color="auto" w:fill="FFFFFF"/>
            <w:tcMar>
              <w:top w:w="0" w:type="dxa"/>
              <w:left w:w="0" w:type="dxa"/>
              <w:bottom w:w="0" w:type="dxa"/>
              <w:right w:w="0" w:type="dxa"/>
            </w:tcMar>
          </w:tcPr>
          <w:p w14:paraId="2865FEF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2.1</w:t>
            </w:r>
          </w:p>
        </w:tc>
        <w:tc>
          <w:tcPr>
            <w:tcW w:w="1841" w:type="dxa"/>
            <w:tcBorders>
              <w:top w:val="nil"/>
              <w:left w:val="nil"/>
              <w:bottom w:val="nil"/>
              <w:right w:val="nil"/>
            </w:tcBorders>
            <w:shd w:val="clear" w:color="auto" w:fill="FFFFFF"/>
            <w:tcMar>
              <w:top w:w="0" w:type="dxa"/>
              <w:left w:w="0" w:type="dxa"/>
              <w:bottom w:w="0" w:type="dxa"/>
              <w:right w:w="0" w:type="dxa"/>
            </w:tcMar>
          </w:tcPr>
          <w:p w14:paraId="6BF365F4"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1,7, 2.6</w:t>
            </w:r>
          </w:p>
        </w:tc>
        <w:tc>
          <w:tcPr>
            <w:tcW w:w="1236" w:type="dxa"/>
            <w:tcBorders>
              <w:top w:val="nil"/>
              <w:left w:val="nil"/>
              <w:bottom w:val="nil"/>
              <w:right w:val="nil"/>
            </w:tcBorders>
            <w:shd w:val="clear" w:color="auto" w:fill="FFFFFF"/>
            <w:tcMar>
              <w:top w:w="0" w:type="dxa"/>
              <w:left w:w="0" w:type="dxa"/>
              <w:bottom w:w="0" w:type="dxa"/>
              <w:right w:w="0" w:type="dxa"/>
            </w:tcMar>
          </w:tcPr>
          <w:p w14:paraId="739B372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2.4</w:t>
            </w:r>
          </w:p>
        </w:tc>
        <w:tc>
          <w:tcPr>
            <w:tcW w:w="1790" w:type="dxa"/>
            <w:tcBorders>
              <w:top w:val="nil"/>
              <w:left w:val="nil"/>
              <w:bottom w:val="nil"/>
              <w:right w:val="nil"/>
            </w:tcBorders>
            <w:shd w:val="clear" w:color="auto" w:fill="FFFFFF"/>
            <w:tcMar>
              <w:top w:w="0" w:type="dxa"/>
              <w:left w:w="0" w:type="dxa"/>
              <w:bottom w:w="0" w:type="dxa"/>
              <w:right w:w="0" w:type="dxa"/>
            </w:tcMar>
          </w:tcPr>
          <w:p w14:paraId="249EBFA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2.1, 2.8</w:t>
            </w:r>
          </w:p>
        </w:tc>
      </w:tr>
      <w:tr w:rsidR="006F5BFE" w:rsidRPr="00F82C61" w14:paraId="2225C542"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711057B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 xml:space="preserve">Whole-body </w:t>
            </w:r>
            <w:proofErr w:type="spellStart"/>
            <w:r w:rsidRPr="00F82C61">
              <w:rPr>
                <w:rFonts w:ascii="Times New Roman" w:eastAsia="Times New Roman" w:hAnsi="Times New Roman" w:cs="Times New Roman"/>
                <w:color w:val="000000" w:themeColor="text1"/>
              </w:rPr>
              <w:t>aBMD</w:t>
            </w:r>
            <w:proofErr w:type="spellEnd"/>
            <w:r w:rsidRPr="00F82C61">
              <w:rPr>
                <w:rFonts w:ascii="Times New Roman" w:eastAsia="Times New Roman" w:hAnsi="Times New Roman" w:cs="Times New Roman"/>
                <w:color w:val="000000" w:themeColor="text1"/>
              </w:rPr>
              <w:t xml:space="preserve"> (mg·cm</w:t>
            </w:r>
            <w:sdt>
              <w:sdtPr>
                <w:rPr>
                  <w:rFonts w:ascii="Times New Roman" w:hAnsi="Times New Roman" w:cs="Times New Roman"/>
                  <w:color w:val="000000" w:themeColor="text1"/>
                </w:rPr>
                <w:tag w:val="goog_rdk_4"/>
                <w:id w:val="1167510607"/>
              </w:sdtPr>
              <w:sdtContent>
                <w:r w:rsidRPr="00F82C61">
                  <w:rPr>
                    <w:rFonts w:ascii="Times New Roman" w:eastAsia="Gungsuh" w:hAnsi="Times New Roman" w:cs="Times New Roman"/>
                    <w:color w:val="000000" w:themeColor="text1"/>
                    <w:vertAlign w:val="superscript"/>
                  </w:rPr>
                  <w:t>−2</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1B01142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w:t>
            </w:r>
          </w:p>
        </w:tc>
        <w:tc>
          <w:tcPr>
            <w:tcW w:w="1841" w:type="dxa"/>
            <w:tcBorders>
              <w:top w:val="nil"/>
              <w:left w:val="nil"/>
              <w:bottom w:val="nil"/>
              <w:right w:val="nil"/>
            </w:tcBorders>
            <w:shd w:val="clear" w:color="auto" w:fill="FFFFFF"/>
            <w:tcMar>
              <w:top w:w="0" w:type="dxa"/>
              <w:left w:w="0" w:type="dxa"/>
              <w:bottom w:w="0" w:type="dxa"/>
              <w:right w:w="0" w:type="dxa"/>
            </w:tcMar>
          </w:tcPr>
          <w:p w14:paraId="136F7AA2"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0.01, 0.01</w:t>
            </w:r>
          </w:p>
        </w:tc>
        <w:tc>
          <w:tcPr>
            <w:tcW w:w="1236" w:type="dxa"/>
            <w:tcBorders>
              <w:top w:val="nil"/>
              <w:left w:val="nil"/>
              <w:bottom w:val="nil"/>
              <w:right w:val="nil"/>
            </w:tcBorders>
            <w:shd w:val="clear" w:color="auto" w:fill="FFFFFF"/>
            <w:tcMar>
              <w:top w:w="0" w:type="dxa"/>
              <w:left w:w="0" w:type="dxa"/>
              <w:bottom w:w="0" w:type="dxa"/>
              <w:right w:w="0" w:type="dxa"/>
            </w:tcMar>
          </w:tcPr>
          <w:p w14:paraId="36C0577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w:t>
            </w:r>
          </w:p>
        </w:tc>
        <w:tc>
          <w:tcPr>
            <w:tcW w:w="1841" w:type="dxa"/>
            <w:tcBorders>
              <w:top w:val="nil"/>
              <w:left w:val="nil"/>
              <w:bottom w:val="nil"/>
              <w:right w:val="nil"/>
            </w:tcBorders>
            <w:shd w:val="clear" w:color="auto" w:fill="FFFFFF"/>
            <w:tcMar>
              <w:top w:w="0" w:type="dxa"/>
              <w:left w:w="0" w:type="dxa"/>
              <w:bottom w:w="0" w:type="dxa"/>
              <w:right w:w="0" w:type="dxa"/>
            </w:tcMar>
          </w:tcPr>
          <w:p w14:paraId="0BE950E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–0.00, 0.02</w:t>
            </w:r>
          </w:p>
        </w:tc>
        <w:tc>
          <w:tcPr>
            <w:tcW w:w="1236" w:type="dxa"/>
            <w:tcBorders>
              <w:top w:val="nil"/>
              <w:left w:val="nil"/>
              <w:bottom w:val="nil"/>
              <w:right w:val="nil"/>
            </w:tcBorders>
            <w:shd w:val="clear" w:color="auto" w:fill="FFFFFF"/>
            <w:tcMar>
              <w:top w:w="0" w:type="dxa"/>
              <w:left w:w="0" w:type="dxa"/>
              <w:bottom w:w="0" w:type="dxa"/>
              <w:right w:w="0" w:type="dxa"/>
            </w:tcMar>
          </w:tcPr>
          <w:p w14:paraId="10D2208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w:t>
            </w:r>
          </w:p>
        </w:tc>
        <w:tc>
          <w:tcPr>
            <w:tcW w:w="1790" w:type="dxa"/>
            <w:tcBorders>
              <w:top w:val="nil"/>
              <w:left w:val="nil"/>
              <w:bottom w:val="nil"/>
              <w:right w:val="nil"/>
            </w:tcBorders>
            <w:shd w:val="clear" w:color="auto" w:fill="FFFFFF"/>
            <w:tcMar>
              <w:top w:w="0" w:type="dxa"/>
              <w:left w:w="0" w:type="dxa"/>
              <w:bottom w:w="0" w:type="dxa"/>
              <w:right w:w="0" w:type="dxa"/>
            </w:tcMar>
          </w:tcPr>
          <w:p w14:paraId="6837077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–0.00, 0.01</w:t>
            </w:r>
          </w:p>
        </w:tc>
      </w:tr>
      <w:tr w:rsidR="006F5BFE" w:rsidRPr="00F82C61" w14:paraId="35416E9D"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1E0D3FD5"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 xml:space="preserve">Trunk </w:t>
            </w:r>
            <w:proofErr w:type="spellStart"/>
            <w:r w:rsidRPr="00F82C61">
              <w:rPr>
                <w:rFonts w:ascii="Times New Roman" w:eastAsia="Times New Roman" w:hAnsi="Times New Roman" w:cs="Times New Roman"/>
                <w:color w:val="000000" w:themeColor="text1"/>
              </w:rPr>
              <w:t>aBMD</w:t>
            </w:r>
            <w:proofErr w:type="spellEnd"/>
            <w:r w:rsidRPr="00F82C61">
              <w:rPr>
                <w:rFonts w:ascii="Times New Roman" w:eastAsia="Times New Roman" w:hAnsi="Times New Roman" w:cs="Times New Roman"/>
                <w:color w:val="000000" w:themeColor="text1"/>
              </w:rPr>
              <w:t xml:space="preserve"> (mg·cm</w:t>
            </w:r>
            <w:sdt>
              <w:sdtPr>
                <w:rPr>
                  <w:rFonts w:ascii="Times New Roman" w:hAnsi="Times New Roman" w:cs="Times New Roman"/>
                  <w:color w:val="000000" w:themeColor="text1"/>
                </w:rPr>
                <w:tag w:val="goog_rdk_5"/>
                <w:id w:val="1777981241"/>
              </w:sdtPr>
              <w:sdtContent>
                <w:r w:rsidRPr="00F82C61">
                  <w:rPr>
                    <w:rFonts w:ascii="Times New Roman" w:eastAsia="Gungsuh" w:hAnsi="Times New Roman" w:cs="Times New Roman"/>
                    <w:color w:val="000000" w:themeColor="text1"/>
                    <w:vertAlign w:val="superscript"/>
                  </w:rPr>
                  <w:t>−2</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7D56937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0.00</w:t>
            </w:r>
          </w:p>
        </w:tc>
        <w:tc>
          <w:tcPr>
            <w:tcW w:w="1841" w:type="dxa"/>
            <w:tcBorders>
              <w:top w:val="nil"/>
              <w:left w:val="nil"/>
              <w:bottom w:val="nil"/>
              <w:right w:val="nil"/>
            </w:tcBorders>
            <w:shd w:val="clear" w:color="auto" w:fill="FFFFFF"/>
            <w:tcMar>
              <w:top w:w="0" w:type="dxa"/>
              <w:left w:w="0" w:type="dxa"/>
              <w:bottom w:w="0" w:type="dxa"/>
              <w:right w:w="0" w:type="dxa"/>
            </w:tcMar>
          </w:tcPr>
          <w:p w14:paraId="7D6401D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 0.00</w:t>
            </w:r>
          </w:p>
        </w:tc>
        <w:tc>
          <w:tcPr>
            <w:tcW w:w="1236" w:type="dxa"/>
            <w:tcBorders>
              <w:top w:val="nil"/>
              <w:left w:val="nil"/>
              <w:bottom w:val="nil"/>
              <w:right w:val="nil"/>
            </w:tcBorders>
            <w:shd w:val="clear" w:color="auto" w:fill="FFFFFF"/>
            <w:tcMar>
              <w:top w:w="0" w:type="dxa"/>
              <w:left w:w="0" w:type="dxa"/>
              <w:bottom w:w="0" w:type="dxa"/>
              <w:right w:w="0" w:type="dxa"/>
            </w:tcMar>
          </w:tcPr>
          <w:p w14:paraId="00A76535"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0.00</w:t>
            </w:r>
          </w:p>
        </w:tc>
        <w:tc>
          <w:tcPr>
            <w:tcW w:w="1841" w:type="dxa"/>
            <w:tcBorders>
              <w:top w:val="nil"/>
              <w:left w:val="nil"/>
              <w:bottom w:val="nil"/>
              <w:right w:val="nil"/>
            </w:tcBorders>
            <w:shd w:val="clear" w:color="auto" w:fill="FFFFFF"/>
            <w:tcMar>
              <w:top w:w="0" w:type="dxa"/>
              <w:left w:w="0" w:type="dxa"/>
              <w:bottom w:w="0" w:type="dxa"/>
              <w:right w:w="0" w:type="dxa"/>
            </w:tcMar>
          </w:tcPr>
          <w:p w14:paraId="30E25C7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 0.00</w:t>
            </w:r>
          </w:p>
        </w:tc>
        <w:tc>
          <w:tcPr>
            <w:tcW w:w="1236" w:type="dxa"/>
            <w:tcBorders>
              <w:top w:val="nil"/>
              <w:left w:val="nil"/>
              <w:bottom w:val="nil"/>
              <w:right w:val="nil"/>
            </w:tcBorders>
            <w:shd w:val="clear" w:color="auto" w:fill="FFFFFF"/>
            <w:tcMar>
              <w:top w:w="0" w:type="dxa"/>
              <w:left w:w="0" w:type="dxa"/>
              <w:bottom w:w="0" w:type="dxa"/>
              <w:right w:w="0" w:type="dxa"/>
            </w:tcMar>
          </w:tcPr>
          <w:p w14:paraId="77026CF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0.00</w:t>
            </w:r>
          </w:p>
        </w:tc>
        <w:tc>
          <w:tcPr>
            <w:tcW w:w="1790" w:type="dxa"/>
            <w:tcBorders>
              <w:top w:val="nil"/>
              <w:left w:val="nil"/>
              <w:bottom w:val="nil"/>
              <w:right w:val="nil"/>
            </w:tcBorders>
            <w:shd w:val="clear" w:color="auto" w:fill="FFFFFF"/>
            <w:tcMar>
              <w:top w:w="0" w:type="dxa"/>
              <w:left w:w="0" w:type="dxa"/>
              <w:bottom w:w="0" w:type="dxa"/>
              <w:right w:w="0" w:type="dxa"/>
            </w:tcMar>
          </w:tcPr>
          <w:p w14:paraId="331B315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 0.01</w:t>
            </w:r>
          </w:p>
        </w:tc>
      </w:tr>
      <w:tr w:rsidR="006F5BFE" w:rsidRPr="00F82C61" w14:paraId="2F3A2703"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2A3D4ED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 xml:space="preserve">Arms </w:t>
            </w:r>
            <w:proofErr w:type="spellStart"/>
            <w:r w:rsidRPr="00F82C61">
              <w:rPr>
                <w:rFonts w:ascii="Times New Roman" w:eastAsia="Times New Roman" w:hAnsi="Times New Roman" w:cs="Times New Roman"/>
                <w:color w:val="000000" w:themeColor="text1"/>
              </w:rPr>
              <w:t>aBMD</w:t>
            </w:r>
            <w:proofErr w:type="spellEnd"/>
            <w:r w:rsidRPr="00F82C61">
              <w:rPr>
                <w:rFonts w:ascii="Times New Roman" w:eastAsia="Times New Roman" w:hAnsi="Times New Roman" w:cs="Times New Roman"/>
                <w:color w:val="000000" w:themeColor="text1"/>
              </w:rPr>
              <w:t xml:space="preserve"> (mg·cm</w:t>
            </w:r>
            <w:sdt>
              <w:sdtPr>
                <w:rPr>
                  <w:rFonts w:ascii="Times New Roman" w:hAnsi="Times New Roman" w:cs="Times New Roman"/>
                  <w:color w:val="000000" w:themeColor="text1"/>
                </w:rPr>
                <w:tag w:val="goog_rdk_6"/>
                <w:id w:val="200682182"/>
              </w:sdtPr>
              <w:sdtContent>
                <w:r w:rsidRPr="00F82C61">
                  <w:rPr>
                    <w:rFonts w:ascii="Times New Roman" w:eastAsia="Gungsuh" w:hAnsi="Times New Roman" w:cs="Times New Roman"/>
                    <w:color w:val="000000" w:themeColor="text1"/>
                    <w:vertAlign w:val="superscript"/>
                  </w:rPr>
                  <w:t>−2</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0D070EE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w:t>
            </w:r>
          </w:p>
        </w:tc>
        <w:tc>
          <w:tcPr>
            <w:tcW w:w="1841" w:type="dxa"/>
            <w:tcBorders>
              <w:top w:val="nil"/>
              <w:left w:val="nil"/>
              <w:bottom w:val="nil"/>
              <w:right w:val="nil"/>
            </w:tcBorders>
            <w:shd w:val="clear" w:color="auto" w:fill="FFFFFF"/>
            <w:tcMar>
              <w:top w:w="0" w:type="dxa"/>
              <w:left w:w="0" w:type="dxa"/>
              <w:bottom w:w="0" w:type="dxa"/>
              <w:right w:w="0" w:type="dxa"/>
            </w:tcMar>
          </w:tcPr>
          <w:p w14:paraId="62D2E072"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0.00, 0.02</w:t>
            </w:r>
          </w:p>
        </w:tc>
        <w:tc>
          <w:tcPr>
            <w:tcW w:w="1236" w:type="dxa"/>
            <w:tcBorders>
              <w:top w:val="nil"/>
              <w:left w:val="nil"/>
              <w:bottom w:val="nil"/>
              <w:right w:val="nil"/>
            </w:tcBorders>
            <w:shd w:val="clear" w:color="auto" w:fill="FFFFFF"/>
            <w:tcMar>
              <w:top w:w="0" w:type="dxa"/>
              <w:left w:w="0" w:type="dxa"/>
              <w:bottom w:w="0" w:type="dxa"/>
              <w:right w:w="0" w:type="dxa"/>
            </w:tcMar>
          </w:tcPr>
          <w:p w14:paraId="4EF9684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w:t>
            </w:r>
          </w:p>
        </w:tc>
        <w:tc>
          <w:tcPr>
            <w:tcW w:w="1841" w:type="dxa"/>
            <w:tcBorders>
              <w:top w:val="nil"/>
              <w:left w:val="nil"/>
              <w:bottom w:val="nil"/>
              <w:right w:val="nil"/>
            </w:tcBorders>
            <w:shd w:val="clear" w:color="auto" w:fill="FFFFFF"/>
            <w:tcMar>
              <w:top w:w="0" w:type="dxa"/>
              <w:left w:w="0" w:type="dxa"/>
              <w:bottom w:w="0" w:type="dxa"/>
              <w:right w:w="0" w:type="dxa"/>
            </w:tcMar>
          </w:tcPr>
          <w:p w14:paraId="5122571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0.00, 0.03</w:t>
            </w:r>
          </w:p>
        </w:tc>
        <w:tc>
          <w:tcPr>
            <w:tcW w:w="1236" w:type="dxa"/>
            <w:tcBorders>
              <w:top w:val="nil"/>
              <w:left w:val="nil"/>
              <w:bottom w:val="nil"/>
              <w:right w:val="nil"/>
            </w:tcBorders>
            <w:shd w:val="clear" w:color="auto" w:fill="FFFFFF"/>
            <w:tcMar>
              <w:top w:w="0" w:type="dxa"/>
              <w:left w:w="0" w:type="dxa"/>
              <w:bottom w:w="0" w:type="dxa"/>
              <w:right w:w="0" w:type="dxa"/>
            </w:tcMar>
          </w:tcPr>
          <w:p w14:paraId="2D73EB64"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w:t>
            </w:r>
          </w:p>
        </w:tc>
        <w:tc>
          <w:tcPr>
            <w:tcW w:w="1790" w:type="dxa"/>
            <w:tcBorders>
              <w:top w:val="nil"/>
              <w:left w:val="nil"/>
              <w:bottom w:val="nil"/>
              <w:right w:val="nil"/>
            </w:tcBorders>
            <w:shd w:val="clear" w:color="auto" w:fill="FFFFFF"/>
            <w:tcMar>
              <w:top w:w="0" w:type="dxa"/>
              <w:left w:w="0" w:type="dxa"/>
              <w:bottom w:w="0" w:type="dxa"/>
              <w:right w:w="0" w:type="dxa"/>
            </w:tcMar>
          </w:tcPr>
          <w:p w14:paraId="531A339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0.00, 0.03</w:t>
            </w:r>
          </w:p>
        </w:tc>
      </w:tr>
      <w:tr w:rsidR="006F5BFE" w:rsidRPr="00F82C61" w14:paraId="15C9339F"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64F75AE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 xml:space="preserve">Legs </w:t>
            </w:r>
            <w:proofErr w:type="spellStart"/>
            <w:r w:rsidRPr="00F82C61">
              <w:rPr>
                <w:rFonts w:ascii="Times New Roman" w:eastAsia="Times New Roman" w:hAnsi="Times New Roman" w:cs="Times New Roman"/>
                <w:color w:val="000000" w:themeColor="text1"/>
              </w:rPr>
              <w:t>aBMD</w:t>
            </w:r>
            <w:proofErr w:type="spellEnd"/>
            <w:r w:rsidRPr="00F82C61">
              <w:rPr>
                <w:rFonts w:ascii="Times New Roman" w:eastAsia="Times New Roman" w:hAnsi="Times New Roman" w:cs="Times New Roman"/>
                <w:color w:val="000000" w:themeColor="text1"/>
              </w:rPr>
              <w:t xml:space="preserve"> (mg·cm</w:t>
            </w:r>
            <w:sdt>
              <w:sdtPr>
                <w:rPr>
                  <w:rFonts w:ascii="Times New Roman" w:hAnsi="Times New Roman" w:cs="Times New Roman"/>
                  <w:color w:val="000000" w:themeColor="text1"/>
                </w:rPr>
                <w:tag w:val="goog_rdk_7"/>
                <w:id w:val="1112010646"/>
              </w:sdtPr>
              <w:sdtContent>
                <w:r w:rsidRPr="00F82C61">
                  <w:rPr>
                    <w:rFonts w:ascii="Times New Roman" w:eastAsia="Gungsuh" w:hAnsi="Times New Roman" w:cs="Times New Roman"/>
                    <w:color w:val="000000" w:themeColor="text1"/>
                    <w:vertAlign w:val="superscript"/>
                  </w:rPr>
                  <w:t>−2</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0068493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0.02</w:t>
            </w:r>
          </w:p>
        </w:tc>
        <w:tc>
          <w:tcPr>
            <w:tcW w:w="1841" w:type="dxa"/>
            <w:tcBorders>
              <w:top w:val="nil"/>
              <w:left w:val="nil"/>
              <w:bottom w:val="nil"/>
              <w:right w:val="nil"/>
            </w:tcBorders>
            <w:shd w:val="clear" w:color="auto" w:fill="FFFFFF"/>
            <w:tcMar>
              <w:top w:w="0" w:type="dxa"/>
              <w:left w:w="0" w:type="dxa"/>
              <w:bottom w:w="0" w:type="dxa"/>
              <w:right w:w="0" w:type="dxa"/>
            </w:tcMar>
          </w:tcPr>
          <w:p w14:paraId="3BCC590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0.01, 0.02</w:t>
            </w:r>
          </w:p>
        </w:tc>
        <w:tc>
          <w:tcPr>
            <w:tcW w:w="1236" w:type="dxa"/>
            <w:tcBorders>
              <w:top w:val="nil"/>
              <w:left w:val="nil"/>
              <w:bottom w:val="nil"/>
              <w:right w:val="nil"/>
            </w:tcBorders>
            <w:shd w:val="clear" w:color="auto" w:fill="FFFFFF"/>
            <w:tcMar>
              <w:top w:w="0" w:type="dxa"/>
              <w:left w:w="0" w:type="dxa"/>
              <w:bottom w:w="0" w:type="dxa"/>
              <w:right w:w="0" w:type="dxa"/>
            </w:tcMar>
          </w:tcPr>
          <w:p w14:paraId="298144C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0.02</w:t>
            </w:r>
          </w:p>
        </w:tc>
        <w:tc>
          <w:tcPr>
            <w:tcW w:w="1841" w:type="dxa"/>
            <w:tcBorders>
              <w:top w:val="nil"/>
              <w:left w:val="nil"/>
              <w:bottom w:val="nil"/>
              <w:right w:val="nil"/>
            </w:tcBorders>
            <w:shd w:val="clear" w:color="auto" w:fill="FFFFFF"/>
            <w:tcMar>
              <w:top w:w="0" w:type="dxa"/>
              <w:left w:w="0" w:type="dxa"/>
              <w:bottom w:w="0" w:type="dxa"/>
              <w:right w:w="0" w:type="dxa"/>
            </w:tcMar>
          </w:tcPr>
          <w:p w14:paraId="5F38749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0.01, 0.03</w:t>
            </w:r>
          </w:p>
        </w:tc>
        <w:tc>
          <w:tcPr>
            <w:tcW w:w="1236" w:type="dxa"/>
            <w:tcBorders>
              <w:top w:val="nil"/>
              <w:left w:val="nil"/>
              <w:bottom w:val="nil"/>
              <w:right w:val="nil"/>
            </w:tcBorders>
            <w:shd w:val="clear" w:color="auto" w:fill="FFFFFF"/>
            <w:tcMar>
              <w:top w:w="0" w:type="dxa"/>
              <w:left w:w="0" w:type="dxa"/>
              <w:bottom w:w="0" w:type="dxa"/>
              <w:right w:w="0" w:type="dxa"/>
            </w:tcMar>
          </w:tcPr>
          <w:p w14:paraId="13DD86B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w:t>
            </w:r>
          </w:p>
        </w:tc>
        <w:tc>
          <w:tcPr>
            <w:tcW w:w="1790" w:type="dxa"/>
            <w:tcBorders>
              <w:top w:val="nil"/>
              <w:left w:val="nil"/>
              <w:bottom w:val="nil"/>
              <w:right w:val="nil"/>
            </w:tcBorders>
            <w:shd w:val="clear" w:color="auto" w:fill="FFFFFF"/>
            <w:tcMar>
              <w:top w:w="0" w:type="dxa"/>
              <w:left w:w="0" w:type="dxa"/>
              <w:bottom w:w="0" w:type="dxa"/>
              <w:right w:w="0" w:type="dxa"/>
            </w:tcMar>
          </w:tcPr>
          <w:p w14:paraId="34860DB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0.01, 0.02</w:t>
            </w:r>
          </w:p>
        </w:tc>
      </w:tr>
      <w:tr w:rsidR="006F5BFE" w:rsidRPr="00F82C61" w14:paraId="57AD15E1"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62CE243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Ferritin (μg·L</w:t>
            </w:r>
            <w:sdt>
              <w:sdtPr>
                <w:rPr>
                  <w:rFonts w:ascii="Times New Roman" w:hAnsi="Times New Roman" w:cs="Times New Roman"/>
                  <w:color w:val="000000" w:themeColor="text1"/>
                </w:rPr>
                <w:tag w:val="goog_rdk_8"/>
                <w:id w:val="-897897615"/>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194F45F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–4.2</w:t>
            </w:r>
          </w:p>
        </w:tc>
        <w:tc>
          <w:tcPr>
            <w:tcW w:w="1841" w:type="dxa"/>
            <w:tcBorders>
              <w:top w:val="nil"/>
              <w:left w:val="nil"/>
              <w:bottom w:val="nil"/>
              <w:right w:val="nil"/>
            </w:tcBorders>
            <w:shd w:val="clear" w:color="auto" w:fill="FFFFFF"/>
            <w:tcMar>
              <w:top w:w="0" w:type="dxa"/>
              <w:left w:w="0" w:type="dxa"/>
              <w:bottom w:w="0" w:type="dxa"/>
              <w:right w:w="0" w:type="dxa"/>
            </w:tcMar>
          </w:tcPr>
          <w:p w14:paraId="113AF5B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–12.0, 3.4</w:t>
            </w:r>
          </w:p>
        </w:tc>
        <w:tc>
          <w:tcPr>
            <w:tcW w:w="1236" w:type="dxa"/>
            <w:tcBorders>
              <w:top w:val="nil"/>
              <w:left w:val="nil"/>
              <w:bottom w:val="nil"/>
              <w:right w:val="nil"/>
            </w:tcBorders>
            <w:shd w:val="clear" w:color="auto" w:fill="FFFFFF"/>
            <w:tcMar>
              <w:top w:w="0" w:type="dxa"/>
              <w:left w:w="0" w:type="dxa"/>
              <w:bottom w:w="0" w:type="dxa"/>
              <w:right w:w="0" w:type="dxa"/>
            </w:tcMar>
          </w:tcPr>
          <w:p w14:paraId="1DF1F634"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1.8</w:t>
            </w:r>
          </w:p>
        </w:tc>
        <w:tc>
          <w:tcPr>
            <w:tcW w:w="1841" w:type="dxa"/>
            <w:tcBorders>
              <w:top w:val="nil"/>
              <w:left w:val="nil"/>
              <w:bottom w:val="nil"/>
              <w:right w:val="nil"/>
            </w:tcBorders>
            <w:shd w:val="clear" w:color="auto" w:fill="FFFFFF"/>
            <w:tcMar>
              <w:top w:w="0" w:type="dxa"/>
              <w:left w:w="0" w:type="dxa"/>
              <w:bottom w:w="0" w:type="dxa"/>
              <w:right w:w="0" w:type="dxa"/>
            </w:tcMar>
          </w:tcPr>
          <w:p w14:paraId="667EF89D"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–5.6, 9.3</w:t>
            </w:r>
          </w:p>
        </w:tc>
        <w:tc>
          <w:tcPr>
            <w:tcW w:w="1236" w:type="dxa"/>
            <w:tcBorders>
              <w:top w:val="nil"/>
              <w:left w:val="nil"/>
              <w:bottom w:val="nil"/>
              <w:right w:val="nil"/>
            </w:tcBorders>
            <w:shd w:val="clear" w:color="auto" w:fill="FFFFFF"/>
            <w:tcMar>
              <w:top w:w="0" w:type="dxa"/>
              <w:left w:w="0" w:type="dxa"/>
              <w:bottom w:w="0" w:type="dxa"/>
              <w:right w:w="0" w:type="dxa"/>
            </w:tcMar>
          </w:tcPr>
          <w:p w14:paraId="3014831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–1.2</w:t>
            </w:r>
          </w:p>
        </w:tc>
        <w:tc>
          <w:tcPr>
            <w:tcW w:w="1790" w:type="dxa"/>
            <w:tcBorders>
              <w:top w:val="nil"/>
              <w:left w:val="nil"/>
              <w:bottom w:val="nil"/>
              <w:right w:val="nil"/>
            </w:tcBorders>
            <w:shd w:val="clear" w:color="auto" w:fill="FFFFFF"/>
            <w:tcMar>
              <w:top w:w="0" w:type="dxa"/>
              <w:left w:w="0" w:type="dxa"/>
              <w:bottom w:w="0" w:type="dxa"/>
              <w:right w:w="0" w:type="dxa"/>
            </w:tcMar>
          </w:tcPr>
          <w:p w14:paraId="1DF4E97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–6.3, 3.9</w:t>
            </w:r>
          </w:p>
        </w:tc>
      </w:tr>
      <w:tr w:rsidR="006F5BFE" w:rsidRPr="00F82C61" w14:paraId="3C0CC78C"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262D338E"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Haemoglobin (g·dL</w:t>
            </w:r>
            <w:sdt>
              <w:sdtPr>
                <w:rPr>
                  <w:rFonts w:ascii="Times New Roman" w:hAnsi="Times New Roman" w:cs="Times New Roman"/>
                  <w:color w:val="000000" w:themeColor="text1"/>
                </w:rPr>
                <w:tag w:val="goog_rdk_9"/>
                <w:id w:val="-560333981"/>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2F1F87C2"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–0.9</w:t>
            </w:r>
          </w:p>
        </w:tc>
        <w:tc>
          <w:tcPr>
            <w:tcW w:w="1841" w:type="dxa"/>
            <w:tcBorders>
              <w:top w:val="nil"/>
              <w:left w:val="nil"/>
              <w:bottom w:val="nil"/>
              <w:right w:val="nil"/>
            </w:tcBorders>
            <w:shd w:val="clear" w:color="auto" w:fill="FFFFFF"/>
            <w:tcMar>
              <w:top w:w="0" w:type="dxa"/>
              <w:left w:w="0" w:type="dxa"/>
              <w:bottom w:w="0" w:type="dxa"/>
              <w:right w:w="0" w:type="dxa"/>
            </w:tcMar>
          </w:tcPr>
          <w:p w14:paraId="67A7E7A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–1.2, 0.6</w:t>
            </w:r>
          </w:p>
        </w:tc>
        <w:tc>
          <w:tcPr>
            <w:tcW w:w="1236" w:type="dxa"/>
            <w:tcBorders>
              <w:top w:val="nil"/>
              <w:left w:val="nil"/>
              <w:bottom w:val="nil"/>
              <w:right w:val="nil"/>
            </w:tcBorders>
            <w:shd w:val="clear" w:color="auto" w:fill="FFFFFF"/>
            <w:tcMar>
              <w:top w:w="0" w:type="dxa"/>
              <w:left w:w="0" w:type="dxa"/>
              <w:bottom w:w="0" w:type="dxa"/>
              <w:right w:w="0" w:type="dxa"/>
            </w:tcMar>
          </w:tcPr>
          <w:p w14:paraId="2F6EEB21"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–0.8</w:t>
            </w:r>
          </w:p>
        </w:tc>
        <w:tc>
          <w:tcPr>
            <w:tcW w:w="1841" w:type="dxa"/>
            <w:tcBorders>
              <w:top w:val="nil"/>
              <w:left w:val="nil"/>
              <w:bottom w:val="nil"/>
              <w:right w:val="nil"/>
            </w:tcBorders>
            <w:shd w:val="clear" w:color="auto" w:fill="FFFFFF"/>
            <w:tcMar>
              <w:top w:w="0" w:type="dxa"/>
              <w:left w:w="0" w:type="dxa"/>
              <w:bottom w:w="0" w:type="dxa"/>
              <w:right w:w="0" w:type="dxa"/>
            </w:tcMar>
          </w:tcPr>
          <w:p w14:paraId="4D3F155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–1.2, 0.5</w:t>
            </w:r>
          </w:p>
        </w:tc>
        <w:tc>
          <w:tcPr>
            <w:tcW w:w="1236" w:type="dxa"/>
            <w:tcBorders>
              <w:top w:val="nil"/>
              <w:left w:val="nil"/>
              <w:bottom w:val="nil"/>
              <w:right w:val="nil"/>
            </w:tcBorders>
            <w:shd w:val="clear" w:color="auto" w:fill="FFFFFF"/>
            <w:tcMar>
              <w:top w:w="0" w:type="dxa"/>
              <w:left w:w="0" w:type="dxa"/>
              <w:bottom w:w="0" w:type="dxa"/>
              <w:right w:w="0" w:type="dxa"/>
            </w:tcMar>
          </w:tcPr>
          <w:p w14:paraId="0821DDC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–1.1</w:t>
            </w:r>
          </w:p>
        </w:tc>
        <w:tc>
          <w:tcPr>
            <w:tcW w:w="1790" w:type="dxa"/>
            <w:tcBorders>
              <w:top w:val="nil"/>
              <w:left w:val="nil"/>
              <w:bottom w:val="nil"/>
              <w:right w:val="nil"/>
            </w:tcBorders>
            <w:shd w:val="clear" w:color="auto" w:fill="FFFFFF"/>
            <w:tcMar>
              <w:top w:w="0" w:type="dxa"/>
              <w:left w:w="0" w:type="dxa"/>
              <w:bottom w:w="0" w:type="dxa"/>
              <w:right w:w="0" w:type="dxa"/>
            </w:tcMar>
          </w:tcPr>
          <w:p w14:paraId="1646FAB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–1.3, –0.8</w:t>
            </w:r>
          </w:p>
        </w:tc>
      </w:tr>
      <w:tr w:rsidR="006F5BFE" w:rsidRPr="00F82C61" w14:paraId="0A1E95F0"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51501EE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Total 25(OH)D (nmol·L</w:t>
            </w:r>
            <w:sdt>
              <w:sdtPr>
                <w:rPr>
                  <w:rFonts w:ascii="Times New Roman" w:hAnsi="Times New Roman" w:cs="Times New Roman"/>
                  <w:color w:val="000000" w:themeColor="text1"/>
                </w:rPr>
                <w:tag w:val="goog_rdk_10"/>
                <w:id w:val="1796176642"/>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09BD492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–9.6</w:t>
            </w:r>
          </w:p>
        </w:tc>
        <w:tc>
          <w:tcPr>
            <w:tcW w:w="1841" w:type="dxa"/>
            <w:tcBorders>
              <w:top w:val="nil"/>
              <w:left w:val="nil"/>
              <w:bottom w:val="nil"/>
              <w:right w:val="nil"/>
            </w:tcBorders>
            <w:shd w:val="clear" w:color="auto" w:fill="FFFFFF"/>
            <w:tcMar>
              <w:top w:w="0" w:type="dxa"/>
              <w:left w:w="0" w:type="dxa"/>
              <w:bottom w:w="0" w:type="dxa"/>
              <w:right w:w="0" w:type="dxa"/>
            </w:tcMar>
          </w:tcPr>
          <w:p w14:paraId="3DAB0A9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–15.0, –4.1</w:t>
            </w:r>
          </w:p>
        </w:tc>
        <w:tc>
          <w:tcPr>
            <w:tcW w:w="1236" w:type="dxa"/>
            <w:tcBorders>
              <w:top w:val="nil"/>
              <w:left w:val="nil"/>
              <w:bottom w:val="nil"/>
              <w:right w:val="nil"/>
            </w:tcBorders>
            <w:shd w:val="clear" w:color="auto" w:fill="FFFFFF"/>
            <w:tcMar>
              <w:top w:w="0" w:type="dxa"/>
              <w:left w:w="0" w:type="dxa"/>
              <w:bottom w:w="0" w:type="dxa"/>
              <w:right w:w="0" w:type="dxa"/>
            </w:tcMar>
          </w:tcPr>
          <w:p w14:paraId="65C33FDD"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–15.0</w:t>
            </w:r>
          </w:p>
        </w:tc>
        <w:tc>
          <w:tcPr>
            <w:tcW w:w="1841" w:type="dxa"/>
            <w:tcBorders>
              <w:top w:val="nil"/>
              <w:left w:val="nil"/>
              <w:bottom w:val="nil"/>
              <w:right w:val="nil"/>
            </w:tcBorders>
            <w:shd w:val="clear" w:color="auto" w:fill="FFFFFF"/>
            <w:tcMar>
              <w:top w:w="0" w:type="dxa"/>
              <w:left w:w="0" w:type="dxa"/>
              <w:bottom w:w="0" w:type="dxa"/>
              <w:right w:w="0" w:type="dxa"/>
            </w:tcMar>
          </w:tcPr>
          <w:p w14:paraId="0E75F3C7"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–22.0, –7.2</w:t>
            </w:r>
          </w:p>
        </w:tc>
        <w:tc>
          <w:tcPr>
            <w:tcW w:w="1236" w:type="dxa"/>
            <w:tcBorders>
              <w:top w:val="nil"/>
              <w:left w:val="nil"/>
              <w:bottom w:val="nil"/>
              <w:right w:val="nil"/>
            </w:tcBorders>
            <w:shd w:val="clear" w:color="auto" w:fill="FFFFFF"/>
            <w:tcMar>
              <w:top w:w="0" w:type="dxa"/>
              <w:left w:w="0" w:type="dxa"/>
              <w:bottom w:w="0" w:type="dxa"/>
              <w:right w:w="0" w:type="dxa"/>
            </w:tcMar>
          </w:tcPr>
          <w:p w14:paraId="5E15E1B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–8.6</w:t>
            </w:r>
          </w:p>
        </w:tc>
        <w:tc>
          <w:tcPr>
            <w:tcW w:w="1790" w:type="dxa"/>
            <w:tcBorders>
              <w:top w:val="nil"/>
              <w:left w:val="nil"/>
              <w:bottom w:val="nil"/>
              <w:right w:val="nil"/>
            </w:tcBorders>
            <w:shd w:val="clear" w:color="auto" w:fill="FFFFFF"/>
            <w:tcMar>
              <w:top w:w="0" w:type="dxa"/>
              <w:left w:w="0" w:type="dxa"/>
              <w:bottom w:w="0" w:type="dxa"/>
              <w:right w:w="0" w:type="dxa"/>
            </w:tcMar>
          </w:tcPr>
          <w:p w14:paraId="08824F0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–14.0, –2.7</w:t>
            </w:r>
          </w:p>
        </w:tc>
      </w:tr>
      <w:tr w:rsidR="006F5BFE" w:rsidRPr="00F82C61" w14:paraId="6D14A05B" w14:textId="77777777" w:rsidTr="00F57DEE">
        <w:trPr>
          <w:jc w:val="center"/>
        </w:trPr>
        <w:tc>
          <w:tcPr>
            <w:tcW w:w="4778" w:type="dxa"/>
            <w:tcBorders>
              <w:top w:val="nil"/>
              <w:left w:val="nil"/>
              <w:bottom w:val="nil"/>
              <w:right w:val="nil"/>
            </w:tcBorders>
            <w:shd w:val="clear" w:color="auto" w:fill="FFFFFF"/>
            <w:tcMar>
              <w:top w:w="0" w:type="dxa"/>
              <w:left w:w="0" w:type="dxa"/>
              <w:bottom w:w="0" w:type="dxa"/>
              <w:right w:w="0" w:type="dxa"/>
            </w:tcMar>
          </w:tcPr>
          <w:p w14:paraId="526ADC3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Parathyroid Hormone (pmol·L</w:t>
            </w:r>
            <w:sdt>
              <w:sdtPr>
                <w:rPr>
                  <w:rFonts w:ascii="Times New Roman" w:hAnsi="Times New Roman" w:cs="Times New Roman"/>
                  <w:color w:val="000000" w:themeColor="text1"/>
                </w:rPr>
                <w:tag w:val="goog_rdk_11"/>
                <w:id w:val="1748298189"/>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top w:val="nil"/>
              <w:left w:val="nil"/>
              <w:bottom w:val="nil"/>
              <w:right w:val="nil"/>
            </w:tcBorders>
            <w:shd w:val="clear" w:color="auto" w:fill="FFFFFF"/>
            <w:tcMar>
              <w:top w:w="0" w:type="dxa"/>
              <w:left w:w="0" w:type="dxa"/>
              <w:bottom w:w="0" w:type="dxa"/>
              <w:right w:w="0" w:type="dxa"/>
            </w:tcMar>
          </w:tcPr>
          <w:p w14:paraId="688F4DD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–0.21</w:t>
            </w:r>
          </w:p>
        </w:tc>
        <w:tc>
          <w:tcPr>
            <w:tcW w:w="1841" w:type="dxa"/>
            <w:tcBorders>
              <w:top w:val="nil"/>
              <w:left w:val="nil"/>
              <w:bottom w:val="nil"/>
              <w:right w:val="nil"/>
            </w:tcBorders>
            <w:shd w:val="clear" w:color="auto" w:fill="FFFFFF"/>
            <w:tcMar>
              <w:top w:w="0" w:type="dxa"/>
              <w:left w:w="0" w:type="dxa"/>
              <w:bottom w:w="0" w:type="dxa"/>
              <w:right w:w="0" w:type="dxa"/>
            </w:tcMar>
          </w:tcPr>
          <w:p w14:paraId="5CAA612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–0.43, 0.01</w:t>
            </w:r>
          </w:p>
        </w:tc>
        <w:tc>
          <w:tcPr>
            <w:tcW w:w="1236" w:type="dxa"/>
            <w:tcBorders>
              <w:top w:val="nil"/>
              <w:left w:val="nil"/>
              <w:bottom w:val="nil"/>
              <w:right w:val="nil"/>
            </w:tcBorders>
            <w:shd w:val="clear" w:color="auto" w:fill="FFFFFF"/>
            <w:tcMar>
              <w:top w:w="0" w:type="dxa"/>
              <w:left w:w="0" w:type="dxa"/>
              <w:bottom w:w="0" w:type="dxa"/>
              <w:right w:w="0" w:type="dxa"/>
            </w:tcMar>
          </w:tcPr>
          <w:p w14:paraId="0F5F42B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–0.03</w:t>
            </w:r>
          </w:p>
        </w:tc>
        <w:tc>
          <w:tcPr>
            <w:tcW w:w="1841" w:type="dxa"/>
            <w:tcBorders>
              <w:top w:val="nil"/>
              <w:left w:val="nil"/>
              <w:bottom w:val="nil"/>
              <w:right w:val="nil"/>
            </w:tcBorders>
            <w:shd w:val="clear" w:color="auto" w:fill="FFFFFF"/>
            <w:tcMar>
              <w:top w:w="0" w:type="dxa"/>
              <w:left w:w="0" w:type="dxa"/>
              <w:bottom w:w="0" w:type="dxa"/>
              <w:right w:w="0" w:type="dxa"/>
            </w:tcMar>
          </w:tcPr>
          <w:p w14:paraId="548FE70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–0.24, 0.19</w:t>
            </w:r>
          </w:p>
        </w:tc>
        <w:tc>
          <w:tcPr>
            <w:tcW w:w="1236" w:type="dxa"/>
            <w:tcBorders>
              <w:top w:val="nil"/>
              <w:left w:val="nil"/>
              <w:bottom w:val="nil"/>
              <w:right w:val="nil"/>
            </w:tcBorders>
            <w:shd w:val="clear" w:color="auto" w:fill="FFFFFF"/>
            <w:tcMar>
              <w:top w:w="0" w:type="dxa"/>
              <w:left w:w="0" w:type="dxa"/>
              <w:bottom w:w="0" w:type="dxa"/>
              <w:right w:w="0" w:type="dxa"/>
            </w:tcMar>
          </w:tcPr>
          <w:p w14:paraId="2F9F1BB6"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–0.16</w:t>
            </w:r>
          </w:p>
        </w:tc>
        <w:tc>
          <w:tcPr>
            <w:tcW w:w="1790" w:type="dxa"/>
            <w:tcBorders>
              <w:top w:val="nil"/>
              <w:left w:val="nil"/>
              <w:bottom w:val="nil"/>
              <w:right w:val="nil"/>
            </w:tcBorders>
            <w:shd w:val="clear" w:color="auto" w:fill="FFFFFF"/>
            <w:tcMar>
              <w:top w:w="0" w:type="dxa"/>
              <w:left w:w="0" w:type="dxa"/>
              <w:bottom w:w="0" w:type="dxa"/>
              <w:right w:w="0" w:type="dxa"/>
            </w:tcMar>
          </w:tcPr>
          <w:p w14:paraId="05F6EDF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–0.37, 0.05</w:t>
            </w:r>
          </w:p>
        </w:tc>
      </w:tr>
      <w:tr w:rsidR="006F5BFE" w:rsidRPr="00F82C61" w14:paraId="6CB0181F" w14:textId="77777777" w:rsidTr="00F57DEE">
        <w:trPr>
          <w:jc w:val="center"/>
        </w:trPr>
        <w:tc>
          <w:tcPr>
            <w:tcW w:w="4778" w:type="dxa"/>
            <w:tcBorders>
              <w:top w:val="nil"/>
              <w:left w:val="nil"/>
              <w:right w:val="nil"/>
            </w:tcBorders>
            <w:shd w:val="clear" w:color="auto" w:fill="FFFFFF"/>
            <w:tcMar>
              <w:top w:w="0" w:type="dxa"/>
              <w:left w:w="0" w:type="dxa"/>
              <w:bottom w:w="0" w:type="dxa"/>
              <w:right w:w="0" w:type="dxa"/>
            </w:tcMar>
          </w:tcPr>
          <w:p w14:paraId="4B58ABA8"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βCTX (μg·L</w:t>
            </w:r>
            <w:sdt>
              <w:sdtPr>
                <w:rPr>
                  <w:rFonts w:ascii="Times New Roman" w:hAnsi="Times New Roman" w:cs="Times New Roman"/>
                  <w:color w:val="000000" w:themeColor="text1"/>
                </w:rPr>
                <w:tag w:val="goog_rdk_12"/>
                <w:id w:val="-760670534"/>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top w:val="nil"/>
              <w:left w:val="nil"/>
              <w:right w:val="nil"/>
            </w:tcBorders>
            <w:shd w:val="clear" w:color="auto" w:fill="FFFFFF"/>
            <w:tcMar>
              <w:top w:w="0" w:type="dxa"/>
              <w:left w:w="0" w:type="dxa"/>
              <w:bottom w:w="0" w:type="dxa"/>
              <w:right w:w="0" w:type="dxa"/>
            </w:tcMar>
          </w:tcPr>
          <w:p w14:paraId="23BE3BC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0.02</w:t>
            </w:r>
          </w:p>
        </w:tc>
        <w:tc>
          <w:tcPr>
            <w:tcW w:w="1841" w:type="dxa"/>
            <w:tcBorders>
              <w:top w:val="nil"/>
              <w:left w:val="nil"/>
              <w:right w:val="nil"/>
            </w:tcBorders>
            <w:shd w:val="clear" w:color="auto" w:fill="FFFFFF"/>
            <w:tcMar>
              <w:top w:w="0" w:type="dxa"/>
              <w:left w:w="0" w:type="dxa"/>
              <w:bottom w:w="0" w:type="dxa"/>
              <w:right w:w="0" w:type="dxa"/>
            </w:tcMar>
          </w:tcPr>
          <w:p w14:paraId="540707E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–0.01, 0.05</w:t>
            </w:r>
          </w:p>
        </w:tc>
        <w:tc>
          <w:tcPr>
            <w:tcW w:w="1236" w:type="dxa"/>
            <w:tcBorders>
              <w:top w:val="nil"/>
              <w:left w:val="nil"/>
              <w:right w:val="nil"/>
            </w:tcBorders>
            <w:shd w:val="clear" w:color="auto" w:fill="FFFFFF"/>
            <w:tcMar>
              <w:top w:w="0" w:type="dxa"/>
              <w:left w:w="0" w:type="dxa"/>
              <w:bottom w:w="0" w:type="dxa"/>
              <w:right w:w="0" w:type="dxa"/>
            </w:tcMar>
          </w:tcPr>
          <w:p w14:paraId="2CC7B40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0.05</w:t>
            </w:r>
          </w:p>
        </w:tc>
        <w:tc>
          <w:tcPr>
            <w:tcW w:w="1841" w:type="dxa"/>
            <w:tcBorders>
              <w:top w:val="nil"/>
              <w:left w:val="nil"/>
              <w:right w:val="nil"/>
            </w:tcBorders>
            <w:shd w:val="clear" w:color="auto" w:fill="FFFFFF"/>
            <w:tcMar>
              <w:top w:w="0" w:type="dxa"/>
              <w:left w:w="0" w:type="dxa"/>
              <w:bottom w:w="0" w:type="dxa"/>
              <w:right w:w="0" w:type="dxa"/>
            </w:tcMar>
          </w:tcPr>
          <w:p w14:paraId="0452AC2B"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0.02, 0.08</w:t>
            </w:r>
          </w:p>
        </w:tc>
        <w:tc>
          <w:tcPr>
            <w:tcW w:w="1236" w:type="dxa"/>
            <w:tcBorders>
              <w:top w:val="nil"/>
              <w:left w:val="nil"/>
              <w:right w:val="nil"/>
            </w:tcBorders>
            <w:shd w:val="clear" w:color="auto" w:fill="FFFFFF"/>
            <w:tcMar>
              <w:top w:w="0" w:type="dxa"/>
              <w:left w:w="0" w:type="dxa"/>
              <w:bottom w:w="0" w:type="dxa"/>
              <w:right w:w="0" w:type="dxa"/>
            </w:tcMar>
          </w:tcPr>
          <w:p w14:paraId="72A39A8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0.06</w:t>
            </w:r>
          </w:p>
        </w:tc>
        <w:tc>
          <w:tcPr>
            <w:tcW w:w="1790" w:type="dxa"/>
            <w:tcBorders>
              <w:top w:val="nil"/>
              <w:left w:val="nil"/>
              <w:right w:val="nil"/>
            </w:tcBorders>
            <w:shd w:val="clear" w:color="auto" w:fill="FFFFFF"/>
            <w:tcMar>
              <w:top w:w="0" w:type="dxa"/>
              <w:left w:w="0" w:type="dxa"/>
              <w:bottom w:w="0" w:type="dxa"/>
              <w:right w:w="0" w:type="dxa"/>
            </w:tcMar>
          </w:tcPr>
          <w:p w14:paraId="096B192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0.02, 0.09</w:t>
            </w:r>
          </w:p>
        </w:tc>
      </w:tr>
      <w:tr w:rsidR="006F5BFE" w:rsidRPr="00F82C61" w14:paraId="3FDC8EF0" w14:textId="77777777" w:rsidTr="00F57DEE">
        <w:trPr>
          <w:jc w:val="center"/>
        </w:trPr>
        <w:tc>
          <w:tcPr>
            <w:tcW w:w="4778" w:type="dxa"/>
            <w:tcBorders>
              <w:bottom w:val="single" w:sz="4" w:space="0" w:color="000000"/>
            </w:tcBorders>
            <w:shd w:val="clear" w:color="auto" w:fill="FFFFFF"/>
            <w:tcMar>
              <w:top w:w="0" w:type="dxa"/>
              <w:left w:w="0" w:type="dxa"/>
              <w:bottom w:w="0" w:type="dxa"/>
              <w:right w:w="0" w:type="dxa"/>
            </w:tcMar>
          </w:tcPr>
          <w:p w14:paraId="3A9A573F"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rPr>
            </w:pPr>
            <w:r w:rsidRPr="00F82C61">
              <w:rPr>
                <w:rFonts w:ascii="Times New Roman" w:eastAsia="Times New Roman" w:hAnsi="Times New Roman" w:cs="Times New Roman"/>
                <w:color w:val="000000" w:themeColor="text1"/>
              </w:rPr>
              <w:t>PINP (μg·L</w:t>
            </w:r>
            <w:sdt>
              <w:sdtPr>
                <w:rPr>
                  <w:rFonts w:ascii="Times New Roman" w:hAnsi="Times New Roman" w:cs="Times New Roman"/>
                  <w:color w:val="000000" w:themeColor="text1"/>
                </w:rPr>
                <w:tag w:val="goog_rdk_13"/>
                <w:id w:val="733284743"/>
              </w:sdtPr>
              <w:sdtContent>
                <w:r w:rsidRPr="00F82C61">
                  <w:rPr>
                    <w:rFonts w:ascii="Times New Roman" w:eastAsia="Gungsuh" w:hAnsi="Times New Roman" w:cs="Times New Roman"/>
                    <w:color w:val="000000" w:themeColor="text1"/>
                    <w:vertAlign w:val="superscript"/>
                  </w:rPr>
                  <w:t>−1</w:t>
                </w:r>
              </w:sdtContent>
            </w:sdt>
            <w:r w:rsidRPr="00F82C61">
              <w:rPr>
                <w:rFonts w:ascii="Times New Roman" w:eastAsia="Times New Roman" w:hAnsi="Times New Roman" w:cs="Times New Roman"/>
                <w:color w:val="000000" w:themeColor="text1"/>
              </w:rPr>
              <w:t>)</w:t>
            </w:r>
          </w:p>
        </w:tc>
        <w:tc>
          <w:tcPr>
            <w:tcW w:w="1236" w:type="dxa"/>
            <w:tcBorders>
              <w:bottom w:val="single" w:sz="4" w:space="0" w:color="000000"/>
            </w:tcBorders>
            <w:shd w:val="clear" w:color="auto" w:fill="FFFFFF"/>
            <w:tcMar>
              <w:top w:w="0" w:type="dxa"/>
              <w:left w:w="0" w:type="dxa"/>
              <w:bottom w:w="0" w:type="dxa"/>
              <w:right w:w="0" w:type="dxa"/>
            </w:tcMar>
          </w:tcPr>
          <w:p w14:paraId="4E11DAA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6.1</w:t>
            </w:r>
          </w:p>
        </w:tc>
        <w:tc>
          <w:tcPr>
            <w:tcW w:w="1841" w:type="dxa"/>
            <w:tcBorders>
              <w:bottom w:val="single" w:sz="4" w:space="0" w:color="000000"/>
            </w:tcBorders>
            <w:shd w:val="clear" w:color="auto" w:fill="FFFFFF"/>
            <w:tcMar>
              <w:top w:w="0" w:type="dxa"/>
              <w:left w:w="0" w:type="dxa"/>
              <w:bottom w:w="0" w:type="dxa"/>
              <w:right w:w="0" w:type="dxa"/>
            </w:tcMar>
          </w:tcPr>
          <w:p w14:paraId="1DFD7563"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2.3, 9.8</w:t>
            </w:r>
          </w:p>
        </w:tc>
        <w:tc>
          <w:tcPr>
            <w:tcW w:w="1236" w:type="dxa"/>
            <w:tcBorders>
              <w:bottom w:val="single" w:sz="4" w:space="0" w:color="000000"/>
            </w:tcBorders>
            <w:shd w:val="clear" w:color="auto" w:fill="FFFFFF"/>
            <w:tcMar>
              <w:top w:w="0" w:type="dxa"/>
              <w:left w:w="0" w:type="dxa"/>
              <w:bottom w:w="0" w:type="dxa"/>
              <w:right w:w="0" w:type="dxa"/>
            </w:tcMar>
          </w:tcPr>
          <w:p w14:paraId="1F8D0619"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13.0</w:t>
            </w:r>
          </w:p>
        </w:tc>
        <w:tc>
          <w:tcPr>
            <w:tcW w:w="1841" w:type="dxa"/>
            <w:tcBorders>
              <w:bottom w:val="single" w:sz="4" w:space="0" w:color="000000"/>
            </w:tcBorders>
            <w:shd w:val="clear" w:color="auto" w:fill="FFFFFF"/>
            <w:tcMar>
              <w:top w:w="0" w:type="dxa"/>
              <w:left w:w="0" w:type="dxa"/>
              <w:bottom w:w="0" w:type="dxa"/>
              <w:right w:w="0" w:type="dxa"/>
            </w:tcMar>
          </w:tcPr>
          <w:p w14:paraId="002FAA3A"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8.2, 19.0</w:t>
            </w:r>
          </w:p>
        </w:tc>
        <w:tc>
          <w:tcPr>
            <w:tcW w:w="1236" w:type="dxa"/>
            <w:tcBorders>
              <w:bottom w:val="single" w:sz="4" w:space="0" w:color="000000"/>
            </w:tcBorders>
            <w:shd w:val="clear" w:color="auto" w:fill="FFFFFF"/>
            <w:tcMar>
              <w:top w:w="0" w:type="dxa"/>
              <w:left w:w="0" w:type="dxa"/>
              <w:bottom w:w="0" w:type="dxa"/>
              <w:right w:w="0" w:type="dxa"/>
            </w:tcMar>
          </w:tcPr>
          <w:p w14:paraId="3FA22EF0"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17.0</w:t>
            </w:r>
          </w:p>
        </w:tc>
        <w:tc>
          <w:tcPr>
            <w:tcW w:w="1790" w:type="dxa"/>
            <w:tcBorders>
              <w:bottom w:val="single" w:sz="4" w:space="0" w:color="000000"/>
            </w:tcBorders>
            <w:shd w:val="clear" w:color="auto" w:fill="FFFFFF"/>
            <w:tcMar>
              <w:top w:w="0" w:type="dxa"/>
              <w:left w:w="0" w:type="dxa"/>
              <w:bottom w:w="0" w:type="dxa"/>
              <w:right w:w="0" w:type="dxa"/>
            </w:tcMar>
          </w:tcPr>
          <w:p w14:paraId="4BEF8C0C" w14:textId="77777777" w:rsidR="006F5BFE" w:rsidRPr="00F82C61"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b/>
                <w:bCs/>
                <w:color w:val="000000" w:themeColor="text1"/>
              </w:rPr>
            </w:pPr>
            <w:r w:rsidRPr="00F82C61">
              <w:rPr>
                <w:rFonts w:ascii="Times New Roman" w:eastAsia="Times New Roman" w:hAnsi="Times New Roman" w:cs="Times New Roman"/>
                <w:b/>
                <w:bCs/>
                <w:color w:val="000000" w:themeColor="text1"/>
              </w:rPr>
              <w:t>12, 23</w:t>
            </w:r>
          </w:p>
        </w:tc>
      </w:tr>
    </w:tbl>
    <w:p w14:paraId="23E5BF55" w14:textId="7CB1CDED" w:rsidR="006F5BFE" w:rsidRPr="006F5BFE" w:rsidRDefault="006F5BFE" w:rsidP="006F5BF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pPr>
      <w:proofErr w:type="spellStart"/>
      <w:r>
        <w:rPr>
          <w:rFonts w:ascii="Times New Roman" w:eastAsia="Times New Roman" w:hAnsi="Times New Roman" w:cs="Times New Roman"/>
          <w:sz w:val="21"/>
          <w:szCs w:val="21"/>
        </w:rPr>
        <w:t>a</w:t>
      </w:r>
      <w:r w:rsidRPr="00C80470">
        <w:rPr>
          <w:rFonts w:ascii="Times New Roman" w:eastAsia="Times New Roman" w:hAnsi="Times New Roman" w:cs="Times New Roman"/>
          <w:sz w:val="21"/>
          <w:szCs w:val="21"/>
        </w:rPr>
        <w:t>BMD</w:t>
      </w:r>
      <w:proofErr w:type="spellEnd"/>
      <w:r w:rsidRPr="00C80470">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areal</w:t>
      </w:r>
      <w:r w:rsidRPr="00C80470">
        <w:rPr>
          <w:rFonts w:ascii="Times New Roman" w:eastAsia="Times New Roman" w:hAnsi="Times New Roman" w:cs="Times New Roman"/>
          <w:sz w:val="21"/>
          <w:szCs w:val="21"/>
        </w:rPr>
        <w:t xml:space="preserve"> bone mineral density; βCTX, c-telopeptide cross-links of type 1 collagen; COCP, combined oral contraceptive pill;</w:t>
      </w:r>
      <w:r>
        <w:rPr>
          <w:rFonts w:ascii="Times New Roman" w:eastAsia="Times New Roman" w:hAnsi="Times New Roman" w:cs="Times New Roman"/>
          <w:sz w:val="21"/>
          <w:szCs w:val="21"/>
        </w:rPr>
        <w:t xml:space="preserve"> </w:t>
      </w:r>
      <w:r w:rsidRPr="00C80470">
        <w:rPr>
          <w:rFonts w:ascii="Times New Roman" w:eastAsia="Times New Roman" w:hAnsi="Times New Roman" w:cs="Times New Roman"/>
          <w:sz w:val="21"/>
          <w:szCs w:val="21"/>
        </w:rPr>
        <w:t xml:space="preserve">PINP, procollagen type 1 N-terminal </w:t>
      </w:r>
      <w:proofErr w:type="spellStart"/>
      <w:r w:rsidRPr="00C80470">
        <w:rPr>
          <w:rFonts w:ascii="Times New Roman" w:eastAsia="Times New Roman" w:hAnsi="Times New Roman" w:cs="Times New Roman"/>
          <w:sz w:val="21"/>
          <w:szCs w:val="21"/>
        </w:rPr>
        <w:t>propeptide</w:t>
      </w:r>
      <w:proofErr w:type="spellEnd"/>
      <w:r w:rsidRPr="00C80470">
        <w:rPr>
          <w:rFonts w:ascii="Times New Roman" w:eastAsia="Times New Roman" w:hAnsi="Times New Roman" w:cs="Times New Roman"/>
          <w:sz w:val="21"/>
          <w:szCs w:val="21"/>
        </w:rPr>
        <w:t>; PO</w:t>
      </w:r>
      <w:r>
        <w:rPr>
          <w:rFonts w:ascii="Times New Roman" w:eastAsia="Times New Roman" w:hAnsi="Times New Roman" w:cs="Times New Roman"/>
          <w:sz w:val="21"/>
          <w:szCs w:val="21"/>
        </w:rPr>
        <w:t>C</w:t>
      </w:r>
      <w:r w:rsidRPr="00C80470">
        <w:rPr>
          <w:rFonts w:ascii="Times New Roman" w:eastAsia="Times New Roman" w:hAnsi="Times New Roman" w:cs="Times New Roman"/>
          <w:sz w:val="21"/>
          <w:szCs w:val="21"/>
        </w:rPr>
        <w:t>, progest</w:t>
      </w:r>
      <w:r>
        <w:rPr>
          <w:rFonts w:ascii="Times New Roman" w:eastAsia="Times New Roman" w:hAnsi="Times New Roman" w:cs="Times New Roman"/>
          <w:sz w:val="21"/>
          <w:szCs w:val="21"/>
        </w:rPr>
        <w:t>in-</w:t>
      </w:r>
      <w:r w:rsidRPr="00C80470">
        <w:rPr>
          <w:rFonts w:ascii="Times New Roman" w:eastAsia="Times New Roman" w:hAnsi="Times New Roman" w:cs="Times New Roman"/>
          <w:sz w:val="21"/>
          <w:szCs w:val="21"/>
        </w:rPr>
        <w:t xml:space="preserve">only </w:t>
      </w:r>
      <w:r>
        <w:rPr>
          <w:rFonts w:ascii="Times New Roman" w:eastAsia="Times New Roman" w:hAnsi="Times New Roman" w:cs="Times New Roman"/>
          <w:sz w:val="21"/>
          <w:szCs w:val="21"/>
        </w:rPr>
        <w:t>contraceptives;</w:t>
      </w:r>
      <w:r w:rsidRPr="00C80470">
        <w:rPr>
          <w:rFonts w:ascii="Times New Roman" w:eastAsia="Times New Roman" w:hAnsi="Times New Roman" w:cs="Times New Roman"/>
          <w:sz w:val="21"/>
          <w:szCs w:val="21"/>
        </w:rPr>
        <w:t xml:space="preserve"> PTH, parathyroid hormone</w:t>
      </w:r>
      <w:r>
        <w:rPr>
          <w:rFonts w:ascii="Times New Roman" w:eastAsia="Times New Roman" w:hAnsi="Times New Roman" w:cs="Times New Roman"/>
          <w:sz w:val="21"/>
          <w:szCs w:val="21"/>
        </w:rPr>
        <w:t>.</w:t>
      </w:r>
      <w:r>
        <w:rPr>
          <w:rFonts w:ascii="Times New Roman" w:eastAsia="Times New Roman" w:hAnsi="Times New Roman" w:cs="Times New Roman"/>
          <w:sz w:val="21"/>
          <w:szCs w:val="21"/>
        </w:rPr>
        <w:t xml:space="preserve"> </w:t>
      </w:r>
      <w:r w:rsidRPr="00F82C61">
        <w:rPr>
          <w:rFonts w:ascii="Times New Roman" w:eastAsia="Times New Roman" w:hAnsi="Times New Roman" w:cs="Times New Roman"/>
          <w:color w:val="000000" w:themeColor="text1"/>
          <w:sz w:val="21"/>
          <w:szCs w:val="21"/>
        </w:rPr>
        <w:t>Bold values indicate the 95% confidence interval does not contain 0.</w:t>
      </w:r>
    </w:p>
    <w:p w14:paraId="5E98ADB5" w14:textId="77777777" w:rsidR="006F5BFE" w:rsidRDefault="006F5BFE" w:rsidP="006F5BF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sectPr w:rsidR="006F5BFE" w:rsidSect="006F5BFE">
          <w:pgSz w:w="16838" w:h="11906" w:orient="landscape"/>
          <w:pgMar w:top="1440" w:right="1440" w:bottom="1440" w:left="1440" w:header="708" w:footer="708" w:gutter="0"/>
          <w:lnNumType w:countBy="1" w:restart="continuous"/>
          <w:cols w:space="720"/>
          <w:docGrid w:linePitch="299"/>
        </w:sectPr>
      </w:pPr>
    </w:p>
    <w:p w14:paraId="33BD3019" w14:textId="77777777" w:rsidR="006F5BFE" w:rsidRPr="00C80470" w:rsidRDefault="006F5BFE" w:rsidP="006F5BFE">
      <w:pPr>
        <w:spacing w:after="0" w:line="480" w:lineRule="auto"/>
        <w:jc w:val="both"/>
        <w:rPr>
          <w:rFonts w:ascii="Times New Roman" w:eastAsia="Times New Roman" w:hAnsi="Times New Roman" w:cs="Times New Roman"/>
          <w:sz w:val="24"/>
          <w:szCs w:val="24"/>
        </w:rPr>
      </w:pPr>
      <w:r w:rsidRPr="00C80470">
        <w:rPr>
          <w:rFonts w:ascii="Times New Roman" w:eastAsia="Times New Roman" w:hAnsi="Times New Roman" w:cs="Times New Roman"/>
          <w:b/>
          <w:sz w:val="24"/>
          <w:szCs w:val="24"/>
        </w:rPr>
        <w:lastRenderedPageBreak/>
        <w:t xml:space="preserve">Table </w:t>
      </w:r>
      <w:r>
        <w:rPr>
          <w:rFonts w:ascii="Times New Roman" w:eastAsia="Times New Roman" w:hAnsi="Times New Roman" w:cs="Times New Roman"/>
          <w:b/>
          <w:sz w:val="24"/>
          <w:szCs w:val="24"/>
        </w:rPr>
        <w:t>3</w:t>
      </w:r>
      <w:r w:rsidRPr="00C80470">
        <w:rPr>
          <w:rFonts w:ascii="Times New Roman" w:eastAsia="Times New Roman" w:hAnsi="Times New Roman" w:cs="Times New Roman"/>
          <w:b/>
          <w:sz w:val="24"/>
          <w:szCs w:val="24"/>
        </w:rPr>
        <w:t xml:space="preserve">. </w:t>
      </w:r>
      <w:r w:rsidRPr="00C80470">
        <w:rPr>
          <w:rFonts w:ascii="Times New Roman" w:eastAsia="Times New Roman" w:hAnsi="Times New Roman" w:cs="Times New Roman"/>
          <w:sz w:val="24"/>
          <w:szCs w:val="24"/>
        </w:rPr>
        <w:t>Associations between hormonal contraceptive</w:t>
      </w:r>
      <w:r>
        <w:rPr>
          <w:rFonts w:ascii="Times New Roman" w:eastAsia="Times New Roman" w:hAnsi="Times New Roman" w:cs="Times New Roman"/>
          <w:sz w:val="24"/>
          <w:szCs w:val="24"/>
        </w:rPr>
        <w:t>s</w:t>
      </w:r>
      <w:r w:rsidRPr="00C80470">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 xml:space="preserve">lower body overuse </w:t>
      </w:r>
      <w:r w:rsidRPr="00C80470">
        <w:rPr>
          <w:rFonts w:ascii="Times New Roman" w:eastAsia="Times New Roman" w:hAnsi="Times New Roman" w:cs="Times New Roman"/>
          <w:sz w:val="24"/>
          <w:szCs w:val="24"/>
        </w:rPr>
        <w:t>musculoskeletal injury incidence.</w:t>
      </w:r>
    </w:p>
    <w:tbl>
      <w:tblPr>
        <w:tblStyle w:val="2"/>
        <w:tblW w:w="9026" w:type="dxa"/>
        <w:jc w:val="center"/>
        <w:tblLayout w:type="fixed"/>
        <w:tblLook w:val="0400" w:firstRow="0" w:lastRow="0" w:firstColumn="0" w:lastColumn="0" w:noHBand="0" w:noVBand="1"/>
      </w:tblPr>
      <w:tblGrid>
        <w:gridCol w:w="2756"/>
        <w:gridCol w:w="2278"/>
        <w:gridCol w:w="929"/>
        <w:gridCol w:w="2278"/>
        <w:gridCol w:w="785"/>
      </w:tblGrid>
      <w:tr w:rsidR="006F5BFE" w:rsidRPr="003617F8" w14:paraId="3214FC9D" w14:textId="77777777" w:rsidTr="00F57DEE">
        <w:trPr>
          <w:tblHeader/>
          <w:jc w:val="center"/>
        </w:trPr>
        <w:tc>
          <w:tcPr>
            <w:tcW w:w="2756" w:type="dxa"/>
            <w:tcBorders>
              <w:top w:val="single" w:sz="8" w:space="0" w:color="000000"/>
            </w:tcBorders>
            <w:shd w:val="clear" w:color="auto" w:fill="FFFFFF"/>
            <w:tcMar>
              <w:top w:w="0" w:type="dxa"/>
              <w:left w:w="0" w:type="dxa"/>
              <w:bottom w:w="0" w:type="dxa"/>
              <w:right w:w="0" w:type="dxa"/>
            </w:tcMar>
            <w:vAlign w:val="center"/>
          </w:tcPr>
          <w:p w14:paraId="7BEAF85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p>
        </w:tc>
        <w:tc>
          <w:tcPr>
            <w:tcW w:w="3207" w:type="dxa"/>
            <w:gridSpan w:val="2"/>
            <w:tcBorders>
              <w:top w:val="single" w:sz="8" w:space="0" w:color="000000"/>
            </w:tcBorders>
            <w:shd w:val="clear" w:color="auto" w:fill="FFFFFF"/>
            <w:tcMar>
              <w:top w:w="0" w:type="dxa"/>
              <w:left w:w="0" w:type="dxa"/>
              <w:bottom w:w="0" w:type="dxa"/>
              <w:right w:w="0" w:type="dxa"/>
            </w:tcMar>
            <w:vAlign w:val="center"/>
          </w:tcPr>
          <w:p w14:paraId="0046D3FE"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Lower Body Overuse Musculoskeletal Injury</w:t>
            </w:r>
          </w:p>
          <w:p w14:paraId="383F6069"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(n = 268)</w:t>
            </w:r>
          </w:p>
        </w:tc>
        <w:tc>
          <w:tcPr>
            <w:tcW w:w="3063" w:type="dxa"/>
            <w:gridSpan w:val="2"/>
            <w:tcBorders>
              <w:top w:val="single" w:sz="8" w:space="0" w:color="000000"/>
            </w:tcBorders>
            <w:shd w:val="clear" w:color="auto" w:fill="FFFFFF"/>
            <w:tcMar>
              <w:top w:w="0" w:type="dxa"/>
              <w:left w:w="0" w:type="dxa"/>
              <w:bottom w:w="0" w:type="dxa"/>
              <w:right w:w="0" w:type="dxa"/>
            </w:tcMar>
            <w:vAlign w:val="center"/>
          </w:tcPr>
          <w:p w14:paraId="72626B4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Lower Body Bone Stress Injury</w:t>
            </w:r>
          </w:p>
          <w:p w14:paraId="44BA1719"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(n = 268)</w:t>
            </w:r>
          </w:p>
        </w:tc>
      </w:tr>
      <w:tr w:rsidR="006F5BFE" w:rsidRPr="003617F8" w14:paraId="2511AC36" w14:textId="77777777" w:rsidTr="00F57DEE">
        <w:trPr>
          <w:tblHeader/>
          <w:jc w:val="center"/>
        </w:trPr>
        <w:tc>
          <w:tcPr>
            <w:tcW w:w="2756" w:type="dxa"/>
            <w:tcBorders>
              <w:left w:val="nil"/>
              <w:bottom w:val="single" w:sz="8" w:space="0" w:color="000000"/>
              <w:right w:val="nil"/>
            </w:tcBorders>
            <w:shd w:val="clear" w:color="auto" w:fill="FFFFFF"/>
            <w:tcMar>
              <w:top w:w="0" w:type="dxa"/>
              <w:left w:w="0" w:type="dxa"/>
              <w:bottom w:w="0" w:type="dxa"/>
              <w:right w:w="0" w:type="dxa"/>
            </w:tcMar>
            <w:vAlign w:val="center"/>
          </w:tcPr>
          <w:p w14:paraId="6A2BE767"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p>
        </w:tc>
        <w:tc>
          <w:tcPr>
            <w:tcW w:w="2278" w:type="dxa"/>
            <w:tcBorders>
              <w:left w:val="nil"/>
              <w:bottom w:val="single" w:sz="8" w:space="0" w:color="000000"/>
              <w:right w:val="nil"/>
            </w:tcBorders>
            <w:shd w:val="clear" w:color="auto" w:fill="FFFFFF"/>
            <w:tcMar>
              <w:top w:w="0" w:type="dxa"/>
              <w:left w:w="0" w:type="dxa"/>
              <w:bottom w:w="0" w:type="dxa"/>
              <w:right w:w="0" w:type="dxa"/>
            </w:tcMar>
            <w:vAlign w:val="center"/>
          </w:tcPr>
          <w:p w14:paraId="3159487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Odds Ratio (95% CI)</w:t>
            </w:r>
          </w:p>
        </w:tc>
        <w:tc>
          <w:tcPr>
            <w:tcW w:w="929" w:type="dxa"/>
            <w:tcBorders>
              <w:left w:val="nil"/>
              <w:bottom w:val="single" w:sz="8" w:space="0" w:color="000000"/>
              <w:right w:val="nil"/>
            </w:tcBorders>
            <w:shd w:val="clear" w:color="auto" w:fill="FFFFFF"/>
            <w:tcMar>
              <w:top w:w="0" w:type="dxa"/>
              <w:left w:w="0" w:type="dxa"/>
              <w:bottom w:w="0" w:type="dxa"/>
              <w:right w:w="0" w:type="dxa"/>
            </w:tcMar>
            <w:vAlign w:val="center"/>
          </w:tcPr>
          <w:p w14:paraId="493EB6B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p</w:t>
            </w:r>
          </w:p>
        </w:tc>
        <w:tc>
          <w:tcPr>
            <w:tcW w:w="2278" w:type="dxa"/>
            <w:tcBorders>
              <w:left w:val="nil"/>
              <w:bottom w:val="single" w:sz="8" w:space="0" w:color="000000"/>
              <w:right w:val="nil"/>
            </w:tcBorders>
            <w:shd w:val="clear" w:color="auto" w:fill="FFFFFF"/>
            <w:tcMar>
              <w:top w:w="0" w:type="dxa"/>
              <w:left w:w="0" w:type="dxa"/>
              <w:bottom w:w="0" w:type="dxa"/>
              <w:right w:w="0" w:type="dxa"/>
            </w:tcMar>
            <w:vAlign w:val="center"/>
          </w:tcPr>
          <w:p w14:paraId="05F4FD2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Odds Ratio (95% CI)</w:t>
            </w:r>
          </w:p>
        </w:tc>
        <w:tc>
          <w:tcPr>
            <w:tcW w:w="785" w:type="dxa"/>
            <w:tcBorders>
              <w:left w:val="nil"/>
              <w:bottom w:val="single" w:sz="8" w:space="0" w:color="000000"/>
              <w:right w:val="nil"/>
            </w:tcBorders>
            <w:shd w:val="clear" w:color="auto" w:fill="FFFFFF"/>
            <w:tcMar>
              <w:top w:w="0" w:type="dxa"/>
              <w:left w:w="0" w:type="dxa"/>
              <w:bottom w:w="0" w:type="dxa"/>
              <w:right w:w="0" w:type="dxa"/>
            </w:tcMar>
            <w:vAlign w:val="center"/>
          </w:tcPr>
          <w:p w14:paraId="22A167A3"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p</w:t>
            </w:r>
          </w:p>
        </w:tc>
      </w:tr>
      <w:tr w:rsidR="006F5BFE" w:rsidRPr="003617F8" w14:paraId="542C3F90" w14:textId="77777777" w:rsidTr="00F57DEE">
        <w:trPr>
          <w:jc w:val="center"/>
        </w:trPr>
        <w:tc>
          <w:tcPr>
            <w:tcW w:w="2756" w:type="dxa"/>
            <w:tcBorders>
              <w:top w:val="single" w:sz="8" w:space="0" w:color="000000"/>
              <w:left w:val="nil"/>
              <w:bottom w:val="nil"/>
              <w:right w:val="nil"/>
            </w:tcBorders>
            <w:shd w:val="clear" w:color="auto" w:fill="FFFFFF"/>
            <w:tcMar>
              <w:top w:w="0" w:type="dxa"/>
              <w:left w:w="0" w:type="dxa"/>
              <w:bottom w:w="0" w:type="dxa"/>
              <w:right w:w="0" w:type="dxa"/>
            </w:tcMar>
          </w:tcPr>
          <w:p w14:paraId="32085ED9"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Height (m)</w:t>
            </w:r>
          </w:p>
        </w:tc>
        <w:tc>
          <w:tcPr>
            <w:tcW w:w="2278" w:type="dxa"/>
            <w:tcBorders>
              <w:top w:val="single" w:sz="8" w:space="0" w:color="000000"/>
              <w:left w:val="nil"/>
              <w:bottom w:val="nil"/>
              <w:right w:val="nil"/>
            </w:tcBorders>
            <w:shd w:val="clear" w:color="auto" w:fill="FFFFFF"/>
            <w:tcMar>
              <w:top w:w="0" w:type="dxa"/>
              <w:left w:w="0" w:type="dxa"/>
              <w:bottom w:w="0" w:type="dxa"/>
              <w:right w:w="0" w:type="dxa"/>
            </w:tcMar>
          </w:tcPr>
          <w:p w14:paraId="062B6C66"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1.015 (0.965, 1.067)</w:t>
            </w:r>
          </w:p>
        </w:tc>
        <w:tc>
          <w:tcPr>
            <w:tcW w:w="929" w:type="dxa"/>
            <w:tcBorders>
              <w:top w:val="single" w:sz="8" w:space="0" w:color="000000"/>
              <w:left w:val="nil"/>
              <w:bottom w:val="nil"/>
              <w:right w:val="nil"/>
            </w:tcBorders>
            <w:shd w:val="clear" w:color="auto" w:fill="FFFFFF"/>
            <w:tcMar>
              <w:top w:w="0" w:type="dxa"/>
              <w:left w:w="0" w:type="dxa"/>
              <w:bottom w:w="0" w:type="dxa"/>
              <w:right w:w="0" w:type="dxa"/>
            </w:tcMar>
          </w:tcPr>
          <w:p w14:paraId="4AEA360F"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0.554</w:t>
            </w:r>
          </w:p>
        </w:tc>
        <w:tc>
          <w:tcPr>
            <w:tcW w:w="2278" w:type="dxa"/>
            <w:tcBorders>
              <w:top w:val="single" w:sz="8" w:space="0" w:color="000000"/>
              <w:left w:val="nil"/>
              <w:bottom w:val="nil"/>
              <w:right w:val="nil"/>
            </w:tcBorders>
            <w:shd w:val="clear" w:color="auto" w:fill="FFFFFF"/>
            <w:tcMar>
              <w:top w:w="0" w:type="dxa"/>
              <w:left w:w="0" w:type="dxa"/>
              <w:bottom w:w="0" w:type="dxa"/>
              <w:right w:w="0" w:type="dxa"/>
            </w:tcMar>
          </w:tcPr>
          <w:p w14:paraId="1628AF59"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0.999 (0.886, 1.125)</w:t>
            </w:r>
          </w:p>
        </w:tc>
        <w:tc>
          <w:tcPr>
            <w:tcW w:w="785" w:type="dxa"/>
            <w:tcBorders>
              <w:top w:val="single" w:sz="8" w:space="0" w:color="000000"/>
              <w:left w:val="nil"/>
              <w:bottom w:val="nil"/>
              <w:right w:val="nil"/>
            </w:tcBorders>
            <w:shd w:val="clear" w:color="auto" w:fill="FFFFFF"/>
            <w:tcMar>
              <w:top w:w="0" w:type="dxa"/>
              <w:left w:w="0" w:type="dxa"/>
              <w:bottom w:w="0" w:type="dxa"/>
              <w:right w:w="0" w:type="dxa"/>
            </w:tcMar>
          </w:tcPr>
          <w:p w14:paraId="31DBB14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0.981</w:t>
            </w:r>
          </w:p>
        </w:tc>
      </w:tr>
      <w:tr w:rsidR="006F5BFE" w:rsidRPr="003617F8" w14:paraId="508F5365"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408F6A8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Body Mass (kg)</w:t>
            </w:r>
          </w:p>
        </w:tc>
        <w:tc>
          <w:tcPr>
            <w:tcW w:w="2278" w:type="dxa"/>
            <w:tcBorders>
              <w:top w:val="nil"/>
              <w:left w:val="nil"/>
              <w:bottom w:val="nil"/>
              <w:right w:val="nil"/>
            </w:tcBorders>
            <w:shd w:val="clear" w:color="auto" w:fill="FFFFFF"/>
            <w:tcMar>
              <w:top w:w="0" w:type="dxa"/>
              <w:left w:w="0" w:type="dxa"/>
              <w:bottom w:w="0" w:type="dxa"/>
              <w:right w:w="0" w:type="dxa"/>
            </w:tcMar>
          </w:tcPr>
          <w:p w14:paraId="58F78AFF"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0.971 (0.931, 1.011)</w:t>
            </w:r>
          </w:p>
        </w:tc>
        <w:tc>
          <w:tcPr>
            <w:tcW w:w="929" w:type="dxa"/>
            <w:tcBorders>
              <w:top w:val="nil"/>
              <w:left w:val="nil"/>
              <w:bottom w:val="nil"/>
              <w:right w:val="nil"/>
            </w:tcBorders>
            <w:shd w:val="clear" w:color="auto" w:fill="FFFFFF"/>
            <w:tcMar>
              <w:top w:w="0" w:type="dxa"/>
              <w:left w:w="0" w:type="dxa"/>
              <w:bottom w:w="0" w:type="dxa"/>
              <w:right w:w="0" w:type="dxa"/>
            </w:tcMar>
          </w:tcPr>
          <w:p w14:paraId="2B9C486E"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0.153</w:t>
            </w:r>
          </w:p>
        </w:tc>
        <w:tc>
          <w:tcPr>
            <w:tcW w:w="2278" w:type="dxa"/>
            <w:tcBorders>
              <w:top w:val="nil"/>
              <w:left w:val="nil"/>
              <w:bottom w:val="nil"/>
              <w:right w:val="nil"/>
            </w:tcBorders>
            <w:shd w:val="clear" w:color="auto" w:fill="FFFFFF"/>
            <w:tcMar>
              <w:top w:w="0" w:type="dxa"/>
              <w:left w:w="0" w:type="dxa"/>
              <w:bottom w:w="0" w:type="dxa"/>
              <w:right w:w="0" w:type="dxa"/>
            </w:tcMar>
          </w:tcPr>
          <w:p w14:paraId="25937E1A"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1.034 (0.942, 1.134)</w:t>
            </w:r>
          </w:p>
        </w:tc>
        <w:tc>
          <w:tcPr>
            <w:tcW w:w="785" w:type="dxa"/>
            <w:tcBorders>
              <w:top w:val="nil"/>
              <w:left w:val="nil"/>
              <w:bottom w:val="nil"/>
              <w:right w:val="nil"/>
            </w:tcBorders>
            <w:shd w:val="clear" w:color="auto" w:fill="FFFFFF"/>
            <w:tcMar>
              <w:top w:w="0" w:type="dxa"/>
              <w:left w:w="0" w:type="dxa"/>
              <w:bottom w:w="0" w:type="dxa"/>
              <w:right w:w="0" w:type="dxa"/>
            </w:tcMar>
          </w:tcPr>
          <w:p w14:paraId="265972A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0.483</w:t>
            </w:r>
          </w:p>
        </w:tc>
      </w:tr>
      <w:tr w:rsidR="006F5BFE" w:rsidRPr="003617F8" w14:paraId="72AA718A"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257F196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Age (y)</w:t>
            </w:r>
          </w:p>
        </w:tc>
        <w:tc>
          <w:tcPr>
            <w:tcW w:w="2278" w:type="dxa"/>
            <w:tcBorders>
              <w:top w:val="nil"/>
              <w:left w:val="nil"/>
              <w:bottom w:val="nil"/>
              <w:right w:val="nil"/>
            </w:tcBorders>
            <w:shd w:val="clear" w:color="auto" w:fill="FFFFFF"/>
            <w:tcMar>
              <w:top w:w="0" w:type="dxa"/>
              <w:left w:w="0" w:type="dxa"/>
              <w:bottom w:w="0" w:type="dxa"/>
              <w:right w:w="0" w:type="dxa"/>
            </w:tcMar>
          </w:tcPr>
          <w:p w14:paraId="17FEDB8A"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0.981 (0.908, 1.058)</w:t>
            </w:r>
          </w:p>
        </w:tc>
        <w:tc>
          <w:tcPr>
            <w:tcW w:w="929" w:type="dxa"/>
            <w:tcBorders>
              <w:top w:val="nil"/>
              <w:left w:val="nil"/>
              <w:bottom w:val="nil"/>
              <w:right w:val="nil"/>
            </w:tcBorders>
            <w:shd w:val="clear" w:color="auto" w:fill="FFFFFF"/>
            <w:tcMar>
              <w:top w:w="0" w:type="dxa"/>
              <w:left w:w="0" w:type="dxa"/>
              <w:bottom w:w="0" w:type="dxa"/>
              <w:right w:w="0" w:type="dxa"/>
            </w:tcMar>
          </w:tcPr>
          <w:p w14:paraId="2739036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0.616</w:t>
            </w:r>
          </w:p>
        </w:tc>
        <w:tc>
          <w:tcPr>
            <w:tcW w:w="2278" w:type="dxa"/>
            <w:tcBorders>
              <w:top w:val="nil"/>
              <w:left w:val="nil"/>
              <w:bottom w:val="nil"/>
              <w:right w:val="nil"/>
            </w:tcBorders>
            <w:shd w:val="clear" w:color="auto" w:fill="FFFFFF"/>
            <w:tcMar>
              <w:top w:w="0" w:type="dxa"/>
              <w:left w:w="0" w:type="dxa"/>
              <w:bottom w:w="0" w:type="dxa"/>
              <w:right w:w="0" w:type="dxa"/>
            </w:tcMar>
          </w:tcPr>
          <w:p w14:paraId="5144E1E2"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1.058 (0.903, 1.239)</w:t>
            </w:r>
          </w:p>
        </w:tc>
        <w:tc>
          <w:tcPr>
            <w:tcW w:w="785" w:type="dxa"/>
            <w:tcBorders>
              <w:top w:val="nil"/>
              <w:left w:val="nil"/>
              <w:bottom w:val="nil"/>
              <w:right w:val="nil"/>
            </w:tcBorders>
            <w:shd w:val="clear" w:color="auto" w:fill="FFFFFF"/>
            <w:tcMar>
              <w:top w:w="0" w:type="dxa"/>
              <w:left w:w="0" w:type="dxa"/>
              <w:bottom w:w="0" w:type="dxa"/>
              <w:right w:w="0" w:type="dxa"/>
            </w:tcMar>
          </w:tcPr>
          <w:p w14:paraId="5A9A75EA"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0.485</w:t>
            </w:r>
          </w:p>
        </w:tc>
      </w:tr>
      <w:tr w:rsidR="006F5BFE" w:rsidRPr="003617F8" w14:paraId="53FDEC2D"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0FD2ABAE"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2.4 km Run Time (s)</w:t>
            </w:r>
          </w:p>
        </w:tc>
        <w:tc>
          <w:tcPr>
            <w:tcW w:w="2278" w:type="dxa"/>
            <w:tcBorders>
              <w:top w:val="nil"/>
              <w:left w:val="nil"/>
              <w:bottom w:val="nil"/>
              <w:right w:val="nil"/>
            </w:tcBorders>
            <w:shd w:val="clear" w:color="auto" w:fill="FFFFFF"/>
            <w:tcMar>
              <w:top w:w="0" w:type="dxa"/>
              <w:left w:w="0" w:type="dxa"/>
              <w:bottom w:w="0" w:type="dxa"/>
              <w:right w:w="0" w:type="dxa"/>
            </w:tcMar>
          </w:tcPr>
          <w:p w14:paraId="2010DEF2"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1.010 (1.005, 1.014)</w:t>
            </w:r>
          </w:p>
        </w:tc>
        <w:tc>
          <w:tcPr>
            <w:tcW w:w="929" w:type="dxa"/>
            <w:tcBorders>
              <w:top w:val="nil"/>
              <w:left w:val="nil"/>
              <w:bottom w:val="nil"/>
              <w:right w:val="nil"/>
            </w:tcBorders>
            <w:shd w:val="clear" w:color="auto" w:fill="FFFFFF"/>
            <w:tcMar>
              <w:top w:w="0" w:type="dxa"/>
              <w:left w:w="0" w:type="dxa"/>
              <w:bottom w:w="0" w:type="dxa"/>
              <w:right w:w="0" w:type="dxa"/>
            </w:tcMar>
          </w:tcPr>
          <w:p w14:paraId="4245AE40"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&lt;0.001</w:t>
            </w:r>
          </w:p>
        </w:tc>
        <w:tc>
          <w:tcPr>
            <w:tcW w:w="2278" w:type="dxa"/>
            <w:tcBorders>
              <w:top w:val="nil"/>
              <w:left w:val="nil"/>
              <w:bottom w:val="nil"/>
              <w:right w:val="nil"/>
            </w:tcBorders>
            <w:shd w:val="clear" w:color="auto" w:fill="FFFFFF"/>
            <w:tcMar>
              <w:top w:w="0" w:type="dxa"/>
              <w:left w:w="0" w:type="dxa"/>
              <w:bottom w:w="0" w:type="dxa"/>
              <w:right w:w="0" w:type="dxa"/>
            </w:tcMar>
          </w:tcPr>
          <w:p w14:paraId="063A99E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1.007 (0.998, 1.016)</w:t>
            </w:r>
          </w:p>
        </w:tc>
        <w:tc>
          <w:tcPr>
            <w:tcW w:w="785" w:type="dxa"/>
            <w:tcBorders>
              <w:top w:val="nil"/>
              <w:left w:val="nil"/>
              <w:bottom w:val="nil"/>
              <w:right w:val="nil"/>
            </w:tcBorders>
            <w:shd w:val="clear" w:color="auto" w:fill="FFFFFF"/>
            <w:tcMar>
              <w:top w:w="0" w:type="dxa"/>
              <w:left w:w="0" w:type="dxa"/>
              <w:bottom w:w="0" w:type="dxa"/>
              <w:right w:w="0" w:type="dxa"/>
            </w:tcMar>
          </w:tcPr>
          <w:p w14:paraId="112F05C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0.134</w:t>
            </w:r>
          </w:p>
        </w:tc>
      </w:tr>
      <w:tr w:rsidR="006F5BFE" w:rsidRPr="003617F8" w14:paraId="760A4578"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4F5A535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Smoking Status</w:t>
            </w:r>
          </w:p>
        </w:tc>
        <w:tc>
          <w:tcPr>
            <w:tcW w:w="2278" w:type="dxa"/>
            <w:tcBorders>
              <w:top w:val="nil"/>
              <w:left w:val="nil"/>
              <w:bottom w:val="nil"/>
              <w:right w:val="nil"/>
            </w:tcBorders>
            <w:shd w:val="clear" w:color="auto" w:fill="FFFFFF"/>
            <w:tcMar>
              <w:top w:w="0" w:type="dxa"/>
              <w:left w:w="0" w:type="dxa"/>
              <w:bottom w:w="0" w:type="dxa"/>
              <w:right w:w="0" w:type="dxa"/>
            </w:tcMar>
          </w:tcPr>
          <w:p w14:paraId="573CE88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929" w:type="dxa"/>
            <w:tcBorders>
              <w:top w:val="nil"/>
              <w:left w:val="nil"/>
              <w:bottom w:val="nil"/>
              <w:right w:val="nil"/>
            </w:tcBorders>
            <w:shd w:val="clear" w:color="auto" w:fill="FFFFFF"/>
            <w:tcMar>
              <w:top w:w="0" w:type="dxa"/>
              <w:left w:w="0" w:type="dxa"/>
              <w:bottom w:w="0" w:type="dxa"/>
              <w:right w:w="0" w:type="dxa"/>
            </w:tcMar>
          </w:tcPr>
          <w:p w14:paraId="56B189C3"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73FEEE4E"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785" w:type="dxa"/>
            <w:tcBorders>
              <w:top w:val="nil"/>
              <w:left w:val="nil"/>
              <w:bottom w:val="nil"/>
              <w:right w:val="nil"/>
            </w:tcBorders>
            <w:shd w:val="clear" w:color="auto" w:fill="FFFFFF"/>
            <w:tcMar>
              <w:top w:w="0" w:type="dxa"/>
              <w:left w:w="0" w:type="dxa"/>
              <w:bottom w:w="0" w:type="dxa"/>
              <w:right w:w="0" w:type="dxa"/>
            </w:tcMar>
          </w:tcPr>
          <w:p w14:paraId="160918D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70D14C4E"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0317FF3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No</w:t>
            </w:r>
          </w:p>
        </w:tc>
        <w:tc>
          <w:tcPr>
            <w:tcW w:w="2278" w:type="dxa"/>
            <w:tcBorders>
              <w:top w:val="nil"/>
              <w:left w:val="nil"/>
              <w:bottom w:val="nil"/>
              <w:right w:val="nil"/>
            </w:tcBorders>
            <w:shd w:val="clear" w:color="auto" w:fill="FFFFFF"/>
            <w:tcMar>
              <w:top w:w="0" w:type="dxa"/>
              <w:left w:w="0" w:type="dxa"/>
              <w:bottom w:w="0" w:type="dxa"/>
              <w:right w:w="0" w:type="dxa"/>
            </w:tcMar>
          </w:tcPr>
          <w:p w14:paraId="4AA77730"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929" w:type="dxa"/>
            <w:tcBorders>
              <w:top w:val="nil"/>
              <w:left w:val="nil"/>
              <w:bottom w:val="nil"/>
              <w:right w:val="nil"/>
            </w:tcBorders>
            <w:shd w:val="clear" w:color="auto" w:fill="FFFFFF"/>
            <w:tcMar>
              <w:top w:w="0" w:type="dxa"/>
              <w:left w:w="0" w:type="dxa"/>
              <w:bottom w:w="0" w:type="dxa"/>
              <w:right w:w="0" w:type="dxa"/>
            </w:tcMar>
          </w:tcPr>
          <w:p w14:paraId="159456D7"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76D43DE2"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785" w:type="dxa"/>
            <w:tcBorders>
              <w:top w:val="nil"/>
              <w:left w:val="nil"/>
              <w:bottom w:val="nil"/>
              <w:right w:val="nil"/>
            </w:tcBorders>
            <w:shd w:val="clear" w:color="auto" w:fill="FFFFFF"/>
            <w:tcMar>
              <w:top w:w="0" w:type="dxa"/>
              <w:left w:w="0" w:type="dxa"/>
              <w:bottom w:w="0" w:type="dxa"/>
              <w:right w:w="0" w:type="dxa"/>
            </w:tcMar>
          </w:tcPr>
          <w:p w14:paraId="475707C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71CA865E"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28693A5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Yes</w:t>
            </w:r>
          </w:p>
        </w:tc>
        <w:tc>
          <w:tcPr>
            <w:tcW w:w="2278" w:type="dxa"/>
            <w:tcBorders>
              <w:top w:val="nil"/>
              <w:left w:val="nil"/>
              <w:bottom w:val="nil"/>
              <w:right w:val="nil"/>
            </w:tcBorders>
            <w:shd w:val="clear" w:color="auto" w:fill="FFFFFF"/>
            <w:tcMar>
              <w:top w:w="0" w:type="dxa"/>
              <w:left w:w="0" w:type="dxa"/>
              <w:bottom w:w="0" w:type="dxa"/>
              <w:right w:w="0" w:type="dxa"/>
            </w:tcMar>
          </w:tcPr>
          <w:p w14:paraId="67EF9B3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2.105 (1.132, 3.930)</w:t>
            </w:r>
          </w:p>
        </w:tc>
        <w:tc>
          <w:tcPr>
            <w:tcW w:w="929" w:type="dxa"/>
            <w:tcBorders>
              <w:top w:val="nil"/>
              <w:left w:val="nil"/>
              <w:bottom w:val="nil"/>
              <w:right w:val="nil"/>
            </w:tcBorders>
            <w:shd w:val="clear" w:color="auto" w:fill="FFFFFF"/>
            <w:tcMar>
              <w:top w:w="0" w:type="dxa"/>
              <w:left w:w="0" w:type="dxa"/>
              <w:bottom w:w="0" w:type="dxa"/>
              <w:right w:w="0" w:type="dxa"/>
            </w:tcMar>
          </w:tcPr>
          <w:p w14:paraId="6E2303C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0.019</w:t>
            </w:r>
          </w:p>
        </w:tc>
        <w:tc>
          <w:tcPr>
            <w:tcW w:w="2278" w:type="dxa"/>
            <w:tcBorders>
              <w:top w:val="nil"/>
              <w:left w:val="nil"/>
              <w:bottom w:val="nil"/>
              <w:right w:val="nil"/>
            </w:tcBorders>
            <w:shd w:val="clear" w:color="auto" w:fill="FFFFFF"/>
            <w:tcMar>
              <w:top w:w="0" w:type="dxa"/>
              <w:left w:w="0" w:type="dxa"/>
              <w:bottom w:w="0" w:type="dxa"/>
              <w:right w:w="0" w:type="dxa"/>
            </w:tcMar>
          </w:tcPr>
          <w:p w14:paraId="50556906"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1.438 (0.328, 6.307)</w:t>
            </w:r>
          </w:p>
        </w:tc>
        <w:tc>
          <w:tcPr>
            <w:tcW w:w="785" w:type="dxa"/>
            <w:tcBorders>
              <w:top w:val="nil"/>
              <w:left w:val="nil"/>
              <w:bottom w:val="nil"/>
              <w:right w:val="nil"/>
            </w:tcBorders>
            <w:shd w:val="clear" w:color="auto" w:fill="FFFFFF"/>
            <w:tcMar>
              <w:top w:w="0" w:type="dxa"/>
              <w:left w:w="0" w:type="dxa"/>
              <w:bottom w:w="0" w:type="dxa"/>
              <w:right w:w="0" w:type="dxa"/>
            </w:tcMar>
          </w:tcPr>
          <w:p w14:paraId="77AAE2C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0.630</w:t>
            </w:r>
          </w:p>
        </w:tc>
      </w:tr>
      <w:tr w:rsidR="006F5BFE" w:rsidRPr="003617F8" w14:paraId="5A015EC3"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0191A61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Previous</w:t>
            </w:r>
          </w:p>
        </w:tc>
        <w:tc>
          <w:tcPr>
            <w:tcW w:w="2278" w:type="dxa"/>
            <w:tcBorders>
              <w:top w:val="nil"/>
              <w:left w:val="nil"/>
              <w:bottom w:val="nil"/>
              <w:right w:val="nil"/>
            </w:tcBorders>
            <w:shd w:val="clear" w:color="auto" w:fill="FFFFFF"/>
            <w:tcMar>
              <w:top w:w="0" w:type="dxa"/>
              <w:left w:w="0" w:type="dxa"/>
              <w:bottom w:w="0" w:type="dxa"/>
              <w:right w:w="0" w:type="dxa"/>
            </w:tcMar>
          </w:tcPr>
          <w:p w14:paraId="4B9D36B0"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1.270 (0.657, 2.421)</w:t>
            </w:r>
          </w:p>
        </w:tc>
        <w:tc>
          <w:tcPr>
            <w:tcW w:w="929" w:type="dxa"/>
            <w:tcBorders>
              <w:top w:val="nil"/>
              <w:left w:val="nil"/>
              <w:bottom w:val="nil"/>
              <w:right w:val="nil"/>
            </w:tcBorders>
            <w:shd w:val="clear" w:color="auto" w:fill="FFFFFF"/>
            <w:tcMar>
              <w:top w:w="0" w:type="dxa"/>
              <w:left w:w="0" w:type="dxa"/>
              <w:bottom w:w="0" w:type="dxa"/>
              <w:right w:w="0" w:type="dxa"/>
            </w:tcMar>
          </w:tcPr>
          <w:p w14:paraId="6947ED9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0.472</w:t>
            </w:r>
          </w:p>
        </w:tc>
        <w:tc>
          <w:tcPr>
            <w:tcW w:w="2278" w:type="dxa"/>
            <w:tcBorders>
              <w:top w:val="nil"/>
              <w:left w:val="nil"/>
              <w:bottom w:val="nil"/>
              <w:right w:val="nil"/>
            </w:tcBorders>
            <w:shd w:val="clear" w:color="auto" w:fill="FFFFFF"/>
            <w:tcMar>
              <w:top w:w="0" w:type="dxa"/>
              <w:left w:w="0" w:type="dxa"/>
              <w:bottom w:w="0" w:type="dxa"/>
              <w:right w:w="0" w:type="dxa"/>
            </w:tcMar>
          </w:tcPr>
          <w:p w14:paraId="077244C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1.890 (0.438, 8.159)</w:t>
            </w:r>
          </w:p>
        </w:tc>
        <w:tc>
          <w:tcPr>
            <w:tcW w:w="785" w:type="dxa"/>
            <w:tcBorders>
              <w:top w:val="nil"/>
              <w:left w:val="nil"/>
              <w:bottom w:val="nil"/>
              <w:right w:val="nil"/>
            </w:tcBorders>
            <w:shd w:val="clear" w:color="auto" w:fill="FFFFFF"/>
            <w:tcMar>
              <w:top w:w="0" w:type="dxa"/>
              <w:left w:w="0" w:type="dxa"/>
              <w:bottom w:w="0" w:type="dxa"/>
              <w:right w:w="0" w:type="dxa"/>
            </w:tcMar>
          </w:tcPr>
          <w:p w14:paraId="45C60D8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0.394</w:t>
            </w:r>
          </w:p>
        </w:tc>
      </w:tr>
      <w:tr w:rsidR="006F5BFE" w:rsidRPr="003617F8" w14:paraId="19B51C83"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019D489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Previous Bone Stress Injury</w:t>
            </w:r>
          </w:p>
        </w:tc>
        <w:tc>
          <w:tcPr>
            <w:tcW w:w="2278" w:type="dxa"/>
            <w:tcBorders>
              <w:top w:val="nil"/>
              <w:left w:val="nil"/>
              <w:bottom w:val="nil"/>
              <w:right w:val="nil"/>
            </w:tcBorders>
            <w:shd w:val="clear" w:color="auto" w:fill="FFFFFF"/>
            <w:tcMar>
              <w:top w:w="0" w:type="dxa"/>
              <w:left w:w="0" w:type="dxa"/>
              <w:bottom w:w="0" w:type="dxa"/>
              <w:right w:w="0" w:type="dxa"/>
            </w:tcMar>
          </w:tcPr>
          <w:p w14:paraId="09F5A17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929" w:type="dxa"/>
            <w:tcBorders>
              <w:top w:val="nil"/>
              <w:left w:val="nil"/>
              <w:bottom w:val="nil"/>
              <w:right w:val="nil"/>
            </w:tcBorders>
            <w:shd w:val="clear" w:color="auto" w:fill="FFFFFF"/>
            <w:tcMar>
              <w:top w:w="0" w:type="dxa"/>
              <w:left w:w="0" w:type="dxa"/>
              <w:bottom w:w="0" w:type="dxa"/>
              <w:right w:w="0" w:type="dxa"/>
            </w:tcMar>
          </w:tcPr>
          <w:p w14:paraId="2F403450"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4D23BD7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785" w:type="dxa"/>
            <w:tcBorders>
              <w:top w:val="nil"/>
              <w:left w:val="nil"/>
              <w:bottom w:val="nil"/>
              <w:right w:val="nil"/>
            </w:tcBorders>
            <w:shd w:val="clear" w:color="auto" w:fill="FFFFFF"/>
            <w:tcMar>
              <w:top w:w="0" w:type="dxa"/>
              <w:left w:w="0" w:type="dxa"/>
              <w:bottom w:w="0" w:type="dxa"/>
              <w:right w:w="0" w:type="dxa"/>
            </w:tcMar>
          </w:tcPr>
          <w:p w14:paraId="6F292D20"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10948FCF"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5413990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No</w:t>
            </w:r>
          </w:p>
        </w:tc>
        <w:tc>
          <w:tcPr>
            <w:tcW w:w="2278" w:type="dxa"/>
            <w:tcBorders>
              <w:top w:val="nil"/>
              <w:left w:val="nil"/>
              <w:bottom w:val="nil"/>
              <w:right w:val="nil"/>
            </w:tcBorders>
            <w:shd w:val="clear" w:color="auto" w:fill="FFFFFF"/>
            <w:tcMar>
              <w:top w:w="0" w:type="dxa"/>
              <w:left w:w="0" w:type="dxa"/>
              <w:bottom w:w="0" w:type="dxa"/>
              <w:right w:w="0" w:type="dxa"/>
            </w:tcMar>
          </w:tcPr>
          <w:p w14:paraId="0EE31177"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929" w:type="dxa"/>
            <w:tcBorders>
              <w:top w:val="nil"/>
              <w:left w:val="nil"/>
              <w:bottom w:val="nil"/>
              <w:right w:val="nil"/>
            </w:tcBorders>
            <w:shd w:val="clear" w:color="auto" w:fill="FFFFFF"/>
            <w:tcMar>
              <w:top w:w="0" w:type="dxa"/>
              <w:left w:w="0" w:type="dxa"/>
              <w:bottom w:w="0" w:type="dxa"/>
              <w:right w:w="0" w:type="dxa"/>
            </w:tcMar>
          </w:tcPr>
          <w:p w14:paraId="3821CD3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03CB49D2"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785" w:type="dxa"/>
            <w:tcBorders>
              <w:top w:val="nil"/>
              <w:left w:val="nil"/>
              <w:bottom w:val="nil"/>
              <w:right w:val="nil"/>
            </w:tcBorders>
            <w:shd w:val="clear" w:color="auto" w:fill="FFFFFF"/>
            <w:tcMar>
              <w:top w:w="0" w:type="dxa"/>
              <w:left w:w="0" w:type="dxa"/>
              <w:bottom w:w="0" w:type="dxa"/>
              <w:right w:w="0" w:type="dxa"/>
            </w:tcMar>
          </w:tcPr>
          <w:p w14:paraId="28DBBAA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79975355"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2E5DA45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Yes</w:t>
            </w:r>
          </w:p>
        </w:tc>
        <w:tc>
          <w:tcPr>
            <w:tcW w:w="2278" w:type="dxa"/>
            <w:tcBorders>
              <w:top w:val="nil"/>
              <w:left w:val="nil"/>
              <w:bottom w:val="nil"/>
              <w:right w:val="nil"/>
            </w:tcBorders>
            <w:shd w:val="clear" w:color="auto" w:fill="FFFFFF"/>
            <w:tcMar>
              <w:top w:w="0" w:type="dxa"/>
              <w:left w:w="0" w:type="dxa"/>
              <w:bottom w:w="0" w:type="dxa"/>
              <w:right w:w="0" w:type="dxa"/>
            </w:tcMar>
          </w:tcPr>
          <w:p w14:paraId="59762A3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0.973 (0.273, 3.147)</w:t>
            </w:r>
          </w:p>
        </w:tc>
        <w:tc>
          <w:tcPr>
            <w:tcW w:w="929" w:type="dxa"/>
            <w:tcBorders>
              <w:top w:val="nil"/>
              <w:left w:val="nil"/>
              <w:bottom w:val="nil"/>
              <w:right w:val="nil"/>
            </w:tcBorders>
            <w:shd w:val="clear" w:color="auto" w:fill="FFFFFF"/>
            <w:tcMar>
              <w:top w:w="0" w:type="dxa"/>
              <w:left w:w="0" w:type="dxa"/>
              <w:bottom w:w="0" w:type="dxa"/>
              <w:right w:w="0" w:type="dxa"/>
            </w:tcMar>
          </w:tcPr>
          <w:p w14:paraId="253D876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0.965</w:t>
            </w:r>
          </w:p>
        </w:tc>
        <w:tc>
          <w:tcPr>
            <w:tcW w:w="2278" w:type="dxa"/>
            <w:tcBorders>
              <w:top w:val="nil"/>
              <w:left w:val="nil"/>
              <w:bottom w:val="nil"/>
              <w:right w:val="nil"/>
            </w:tcBorders>
            <w:shd w:val="clear" w:color="auto" w:fill="FFFFFF"/>
            <w:tcMar>
              <w:top w:w="0" w:type="dxa"/>
              <w:left w:w="0" w:type="dxa"/>
              <w:bottom w:w="0" w:type="dxa"/>
              <w:right w:w="0" w:type="dxa"/>
            </w:tcMar>
          </w:tcPr>
          <w:p w14:paraId="44810A1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0.937 (0.062, 14.20)</w:t>
            </w:r>
          </w:p>
        </w:tc>
        <w:tc>
          <w:tcPr>
            <w:tcW w:w="785" w:type="dxa"/>
            <w:tcBorders>
              <w:top w:val="nil"/>
              <w:left w:val="nil"/>
              <w:bottom w:val="nil"/>
              <w:right w:val="nil"/>
            </w:tcBorders>
            <w:shd w:val="clear" w:color="auto" w:fill="FFFFFF"/>
            <w:tcMar>
              <w:top w:w="0" w:type="dxa"/>
              <w:left w:w="0" w:type="dxa"/>
              <w:bottom w:w="0" w:type="dxa"/>
              <w:right w:w="0" w:type="dxa"/>
            </w:tcMar>
          </w:tcPr>
          <w:p w14:paraId="256D9FC7"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0.962</w:t>
            </w:r>
          </w:p>
        </w:tc>
      </w:tr>
      <w:tr w:rsidR="006F5BFE" w:rsidRPr="003617F8" w14:paraId="1223C081"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3D64CD0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Unknown</w:t>
            </w:r>
          </w:p>
        </w:tc>
        <w:tc>
          <w:tcPr>
            <w:tcW w:w="2278" w:type="dxa"/>
            <w:tcBorders>
              <w:top w:val="nil"/>
              <w:left w:val="nil"/>
              <w:bottom w:val="nil"/>
              <w:right w:val="nil"/>
            </w:tcBorders>
            <w:shd w:val="clear" w:color="auto" w:fill="FFFFFF"/>
            <w:tcMar>
              <w:top w:w="0" w:type="dxa"/>
              <w:left w:w="0" w:type="dxa"/>
              <w:bottom w:w="0" w:type="dxa"/>
              <w:right w:w="0" w:type="dxa"/>
            </w:tcMar>
          </w:tcPr>
          <w:p w14:paraId="5F19733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1.877 (0.193, 17.46)</w:t>
            </w:r>
          </w:p>
        </w:tc>
        <w:tc>
          <w:tcPr>
            <w:tcW w:w="929" w:type="dxa"/>
            <w:tcBorders>
              <w:top w:val="nil"/>
              <w:left w:val="nil"/>
              <w:bottom w:val="nil"/>
              <w:right w:val="nil"/>
            </w:tcBorders>
            <w:shd w:val="clear" w:color="auto" w:fill="FFFFFF"/>
            <w:tcMar>
              <w:top w:w="0" w:type="dxa"/>
              <w:left w:w="0" w:type="dxa"/>
              <w:bottom w:w="0" w:type="dxa"/>
              <w:right w:w="0" w:type="dxa"/>
            </w:tcMar>
          </w:tcPr>
          <w:p w14:paraId="6E659BE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0.560</w:t>
            </w:r>
          </w:p>
        </w:tc>
        <w:tc>
          <w:tcPr>
            <w:tcW w:w="2278" w:type="dxa"/>
            <w:tcBorders>
              <w:top w:val="nil"/>
              <w:left w:val="nil"/>
              <w:bottom w:val="nil"/>
              <w:right w:val="nil"/>
            </w:tcBorders>
            <w:shd w:val="clear" w:color="auto" w:fill="FFFFFF"/>
            <w:tcMar>
              <w:top w:w="0" w:type="dxa"/>
              <w:left w:w="0" w:type="dxa"/>
              <w:bottom w:w="0" w:type="dxa"/>
              <w:right w:w="0" w:type="dxa"/>
            </w:tcMar>
          </w:tcPr>
          <w:p w14:paraId="4B1B0373"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5.846 (0.233, 146.6)</w:t>
            </w:r>
          </w:p>
        </w:tc>
        <w:tc>
          <w:tcPr>
            <w:tcW w:w="785" w:type="dxa"/>
            <w:tcBorders>
              <w:top w:val="nil"/>
              <w:left w:val="nil"/>
              <w:bottom w:val="nil"/>
              <w:right w:val="nil"/>
            </w:tcBorders>
            <w:shd w:val="clear" w:color="auto" w:fill="FFFFFF"/>
            <w:tcMar>
              <w:top w:w="0" w:type="dxa"/>
              <w:left w:w="0" w:type="dxa"/>
              <w:bottom w:w="0" w:type="dxa"/>
              <w:right w:w="0" w:type="dxa"/>
            </w:tcMar>
          </w:tcPr>
          <w:p w14:paraId="66602978"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0.283</w:t>
            </w:r>
          </w:p>
        </w:tc>
      </w:tr>
      <w:tr w:rsidR="006F5BFE" w:rsidRPr="003617F8" w14:paraId="593ECEC7"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009CDB86"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Hormonal Contraceptives</w:t>
            </w:r>
          </w:p>
        </w:tc>
        <w:tc>
          <w:tcPr>
            <w:tcW w:w="2278" w:type="dxa"/>
            <w:tcBorders>
              <w:top w:val="nil"/>
              <w:left w:val="nil"/>
              <w:bottom w:val="nil"/>
              <w:right w:val="nil"/>
            </w:tcBorders>
            <w:shd w:val="clear" w:color="auto" w:fill="FFFFFF"/>
            <w:tcMar>
              <w:top w:w="0" w:type="dxa"/>
              <w:left w:w="0" w:type="dxa"/>
              <w:bottom w:w="0" w:type="dxa"/>
              <w:right w:w="0" w:type="dxa"/>
            </w:tcMar>
          </w:tcPr>
          <w:p w14:paraId="1C9E622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929" w:type="dxa"/>
            <w:tcBorders>
              <w:top w:val="nil"/>
              <w:left w:val="nil"/>
              <w:bottom w:val="nil"/>
              <w:right w:val="nil"/>
            </w:tcBorders>
            <w:shd w:val="clear" w:color="auto" w:fill="FFFFFF"/>
            <w:tcMar>
              <w:top w:w="0" w:type="dxa"/>
              <w:left w:w="0" w:type="dxa"/>
              <w:bottom w:w="0" w:type="dxa"/>
              <w:right w:w="0" w:type="dxa"/>
            </w:tcMar>
          </w:tcPr>
          <w:p w14:paraId="0328F833"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55C65CB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785" w:type="dxa"/>
            <w:tcBorders>
              <w:top w:val="nil"/>
              <w:left w:val="nil"/>
              <w:bottom w:val="nil"/>
              <w:right w:val="nil"/>
            </w:tcBorders>
            <w:shd w:val="clear" w:color="auto" w:fill="FFFFFF"/>
            <w:tcMar>
              <w:top w:w="0" w:type="dxa"/>
              <w:left w:w="0" w:type="dxa"/>
              <w:bottom w:w="0" w:type="dxa"/>
              <w:right w:w="0" w:type="dxa"/>
            </w:tcMar>
          </w:tcPr>
          <w:p w14:paraId="35DF7957"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26DE6159"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598F8FC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Non-users</w:t>
            </w:r>
          </w:p>
        </w:tc>
        <w:tc>
          <w:tcPr>
            <w:tcW w:w="2278" w:type="dxa"/>
            <w:tcBorders>
              <w:top w:val="nil"/>
              <w:left w:val="nil"/>
              <w:bottom w:val="nil"/>
              <w:right w:val="nil"/>
            </w:tcBorders>
            <w:shd w:val="clear" w:color="auto" w:fill="FFFFFF"/>
            <w:tcMar>
              <w:top w:w="0" w:type="dxa"/>
              <w:left w:w="0" w:type="dxa"/>
              <w:bottom w:w="0" w:type="dxa"/>
              <w:right w:w="0" w:type="dxa"/>
            </w:tcMar>
          </w:tcPr>
          <w:p w14:paraId="738B4C7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929" w:type="dxa"/>
            <w:tcBorders>
              <w:top w:val="nil"/>
              <w:left w:val="nil"/>
              <w:bottom w:val="nil"/>
              <w:right w:val="nil"/>
            </w:tcBorders>
            <w:shd w:val="clear" w:color="auto" w:fill="FFFFFF"/>
            <w:tcMar>
              <w:top w:w="0" w:type="dxa"/>
              <w:left w:w="0" w:type="dxa"/>
              <w:bottom w:w="0" w:type="dxa"/>
              <w:right w:w="0" w:type="dxa"/>
            </w:tcMar>
          </w:tcPr>
          <w:p w14:paraId="42021BA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c>
          <w:tcPr>
            <w:tcW w:w="2278" w:type="dxa"/>
            <w:tcBorders>
              <w:top w:val="nil"/>
              <w:left w:val="nil"/>
              <w:bottom w:val="nil"/>
              <w:right w:val="nil"/>
            </w:tcBorders>
            <w:shd w:val="clear" w:color="auto" w:fill="FFFFFF"/>
            <w:tcMar>
              <w:top w:w="0" w:type="dxa"/>
              <w:left w:w="0" w:type="dxa"/>
              <w:bottom w:w="0" w:type="dxa"/>
              <w:right w:w="0" w:type="dxa"/>
            </w:tcMar>
          </w:tcPr>
          <w:p w14:paraId="65EC5B3E"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w:t>
            </w:r>
          </w:p>
        </w:tc>
        <w:tc>
          <w:tcPr>
            <w:tcW w:w="785" w:type="dxa"/>
            <w:tcBorders>
              <w:top w:val="nil"/>
              <w:left w:val="nil"/>
              <w:bottom w:val="nil"/>
              <w:right w:val="nil"/>
            </w:tcBorders>
            <w:shd w:val="clear" w:color="auto" w:fill="FFFFFF"/>
            <w:tcMar>
              <w:top w:w="0" w:type="dxa"/>
              <w:left w:w="0" w:type="dxa"/>
              <w:bottom w:w="0" w:type="dxa"/>
              <w:right w:w="0" w:type="dxa"/>
            </w:tcMar>
          </w:tcPr>
          <w:p w14:paraId="3775377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p>
        </w:tc>
      </w:tr>
      <w:tr w:rsidR="006F5BFE" w:rsidRPr="003617F8" w14:paraId="45453DCE" w14:textId="77777777" w:rsidTr="00F57DEE">
        <w:trPr>
          <w:jc w:val="center"/>
        </w:trPr>
        <w:tc>
          <w:tcPr>
            <w:tcW w:w="2756" w:type="dxa"/>
            <w:tcBorders>
              <w:top w:val="nil"/>
              <w:left w:val="nil"/>
              <w:bottom w:val="nil"/>
              <w:right w:val="nil"/>
            </w:tcBorders>
            <w:shd w:val="clear" w:color="auto" w:fill="FFFFFF"/>
            <w:tcMar>
              <w:top w:w="0" w:type="dxa"/>
              <w:left w:w="0" w:type="dxa"/>
              <w:bottom w:w="0" w:type="dxa"/>
              <w:right w:w="0" w:type="dxa"/>
            </w:tcMar>
          </w:tcPr>
          <w:p w14:paraId="3C4949E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COCP</w:t>
            </w:r>
          </w:p>
        </w:tc>
        <w:tc>
          <w:tcPr>
            <w:tcW w:w="2278" w:type="dxa"/>
            <w:tcBorders>
              <w:top w:val="nil"/>
              <w:left w:val="nil"/>
              <w:bottom w:val="nil"/>
              <w:right w:val="nil"/>
            </w:tcBorders>
            <w:shd w:val="clear" w:color="auto" w:fill="FFFFFF"/>
            <w:tcMar>
              <w:top w:w="0" w:type="dxa"/>
              <w:left w:w="0" w:type="dxa"/>
              <w:bottom w:w="0" w:type="dxa"/>
              <w:right w:w="0" w:type="dxa"/>
            </w:tcMar>
          </w:tcPr>
          <w:p w14:paraId="62A41F91"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1.272 (0.682, 2.369)</w:t>
            </w:r>
          </w:p>
        </w:tc>
        <w:tc>
          <w:tcPr>
            <w:tcW w:w="929" w:type="dxa"/>
            <w:tcBorders>
              <w:top w:val="nil"/>
              <w:left w:val="nil"/>
              <w:bottom w:val="nil"/>
              <w:right w:val="nil"/>
            </w:tcBorders>
            <w:shd w:val="clear" w:color="auto" w:fill="FFFFFF"/>
            <w:tcMar>
              <w:top w:w="0" w:type="dxa"/>
              <w:left w:w="0" w:type="dxa"/>
              <w:bottom w:w="0" w:type="dxa"/>
              <w:right w:w="0" w:type="dxa"/>
            </w:tcMar>
          </w:tcPr>
          <w:p w14:paraId="4D5BEDE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0.448</w:t>
            </w:r>
          </w:p>
        </w:tc>
        <w:tc>
          <w:tcPr>
            <w:tcW w:w="2278" w:type="dxa"/>
            <w:tcBorders>
              <w:top w:val="nil"/>
              <w:left w:val="nil"/>
              <w:bottom w:val="nil"/>
              <w:right w:val="nil"/>
            </w:tcBorders>
            <w:shd w:val="clear" w:color="auto" w:fill="FFFFFF"/>
            <w:tcMar>
              <w:top w:w="0" w:type="dxa"/>
              <w:left w:w="0" w:type="dxa"/>
              <w:bottom w:w="0" w:type="dxa"/>
              <w:right w:w="0" w:type="dxa"/>
            </w:tcMar>
          </w:tcPr>
          <w:p w14:paraId="5AC32DF5"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1.632 (0.383, 6.953)</w:t>
            </w:r>
          </w:p>
        </w:tc>
        <w:tc>
          <w:tcPr>
            <w:tcW w:w="785" w:type="dxa"/>
            <w:tcBorders>
              <w:top w:val="nil"/>
              <w:left w:val="nil"/>
              <w:bottom w:val="nil"/>
              <w:right w:val="nil"/>
            </w:tcBorders>
            <w:shd w:val="clear" w:color="auto" w:fill="FFFFFF"/>
            <w:tcMar>
              <w:top w:w="0" w:type="dxa"/>
              <w:left w:w="0" w:type="dxa"/>
              <w:bottom w:w="0" w:type="dxa"/>
              <w:right w:w="0" w:type="dxa"/>
            </w:tcMar>
          </w:tcPr>
          <w:p w14:paraId="0CC6E4D4"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0.508</w:t>
            </w:r>
          </w:p>
        </w:tc>
      </w:tr>
      <w:tr w:rsidR="006F5BFE" w:rsidRPr="003617F8" w14:paraId="2750C247" w14:textId="77777777" w:rsidTr="00F57DEE">
        <w:trPr>
          <w:jc w:val="center"/>
        </w:trPr>
        <w:tc>
          <w:tcPr>
            <w:tcW w:w="2756" w:type="dxa"/>
            <w:tcBorders>
              <w:top w:val="nil"/>
              <w:left w:val="nil"/>
              <w:bottom w:val="single" w:sz="8" w:space="0" w:color="000000"/>
              <w:right w:val="nil"/>
            </w:tcBorders>
            <w:shd w:val="clear" w:color="auto" w:fill="FFFFFF"/>
            <w:tcMar>
              <w:top w:w="0" w:type="dxa"/>
              <w:left w:w="0" w:type="dxa"/>
              <w:bottom w:w="0" w:type="dxa"/>
              <w:right w:w="0" w:type="dxa"/>
            </w:tcMar>
          </w:tcPr>
          <w:p w14:paraId="0C60E8CC"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POC</w:t>
            </w:r>
          </w:p>
        </w:tc>
        <w:tc>
          <w:tcPr>
            <w:tcW w:w="2278" w:type="dxa"/>
            <w:tcBorders>
              <w:top w:val="nil"/>
              <w:left w:val="nil"/>
              <w:bottom w:val="single" w:sz="8" w:space="0" w:color="000000"/>
              <w:right w:val="nil"/>
            </w:tcBorders>
            <w:shd w:val="clear" w:color="auto" w:fill="FFFFFF"/>
            <w:tcMar>
              <w:top w:w="0" w:type="dxa"/>
              <w:left w:w="0" w:type="dxa"/>
              <w:bottom w:w="0" w:type="dxa"/>
              <w:right w:w="0" w:type="dxa"/>
            </w:tcMar>
          </w:tcPr>
          <w:p w14:paraId="7CCF8F3B"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0.964 (0.507, 1.820)</w:t>
            </w:r>
          </w:p>
        </w:tc>
        <w:tc>
          <w:tcPr>
            <w:tcW w:w="929" w:type="dxa"/>
            <w:tcBorders>
              <w:top w:val="nil"/>
              <w:left w:val="nil"/>
              <w:bottom w:val="single" w:sz="8" w:space="0" w:color="000000"/>
              <w:right w:val="nil"/>
            </w:tcBorders>
            <w:shd w:val="clear" w:color="auto" w:fill="FFFFFF"/>
            <w:tcMar>
              <w:top w:w="0" w:type="dxa"/>
              <w:left w:w="0" w:type="dxa"/>
              <w:bottom w:w="0" w:type="dxa"/>
              <w:right w:w="0" w:type="dxa"/>
            </w:tcMar>
          </w:tcPr>
          <w:p w14:paraId="41B6C252"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0.910</w:t>
            </w:r>
          </w:p>
        </w:tc>
        <w:tc>
          <w:tcPr>
            <w:tcW w:w="2278" w:type="dxa"/>
            <w:tcBorders>
              <w:top w:val="nil"/>
              <w:left w:val="nil"/>
              <w:bottom w:val="single" w:sz="8" w:space="0" w:color="000000"/>
              <w:right w:val="nil"/>
            </w:tcBorders>
            <w:shd w:val="clear" w:color="auto" w:fill="FFFFFF"/>
            <w:tcMar>
              <w:top w:w="0" w:type="dxa"/>
              <w:left w:w="0" w:type="dxa"/>
              <w:bottom w:w="0" w:type="dxa"/>
              <w:right w:w="0" w:type="dxa"/>
            </w:tcMar>
          </w:tcPr>
          <w:p w14:paraId="1B498F3F"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1.479 (0.305, 7.167)</w:t>
            </w:r>
          </w:p>
        </w:tc>
        <w:tc>
          <w:tcPr>
            <w:tcW w:w="785" w:type="dxa"/>
            <w:tcBorders>
              <w:top w:val="nil"/>
              <w:left w:val="nil"/>
              <w:bottom w:val="single" w:sz="8" w:space="0" w:color="000000"/>
              <w:right w:val="nil"/>
            </w:tcBorders>
            <w:shd w:val="clear" w:color="auto" w:fill="FFFFFF"/>
            <w:tcMar>
              <w:top w:w="0" w:type="dxa"/>
              <w:left w:w="0" w:type="dxa"/>
              <w:bottom w:w="0" w:type="dxa"/>
              <w:right w:w="0" w:type="dxa"/>
            </w:tcMar>
          </w:tcPr>
          <w:p w14:paraId="700913FD"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3617F8">
              <w:rPr>
                <w:rFonts w:ascii="Times New Roman" w:eastAsia="Times New Roman" w:hAnsi="Times New Roman" w:cs="Times New Roman"/>
                <w:color w:val="000000" w:themeColor="text1"/>
                <w:sz w:val="24"/>
                <w:szCs w:val="24"/>
              </w:rPr>
              <w:t>0.627</w:t>
            </w:r>
          </w:p>
        </w:tc>
      </w:tr>
      <w:tr w:rsidR="006F5BFE" w:rsidRPr="003617F8" w14:paraId="56475AE9" w14:textId="77777777" w:rsidTr="00F57DEE">
        <w:trPr>
          <w:jc w:val="center"/>
        </w:trPr>
        <w:tc>
          <w:tcPr>
            <w:tcW w:w="9026" w:type="dxa"/>
            <w:gridSpan w:val="5"/>
            <w:tcBorders>
              <w:top w:val="single" w:sz="8" w:space="0" w:color="000000"/>
              <w:left w:val="nil"/>
              <w:bottom w:val="nil"/>
              <w:right w:val="nil"/>
            </w:tcBorders>
            <w:shd w:val="clear" w:color="auto" w:fill="FFFFFF"/>
            <w:tcMar>
              <w:top w:w="0" w:type="dxa"/>
              <w:left w:w="0" w:type="dxa"/>
              <w:bottom w:w="0" w:type="dxa"/>
              <w:right w:w="0" w:type="dxa"/>
            </w:tcMar>
            <w:vAlign w:val="center"/>
          </w:tcPr>
          <w:p w14:paraId="6039F0E3"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color w:val="000000" w:themeColor="text1"/>
                <w:sz w:val="20"/>
                <w:szCs w:val="20"/>
              </w:rPr>
            </w:pPr>
            <w:r w:rsidRPr="003617F8">
              <w:rPr>
                <w:rFonts w:ascii="Times New Roman" w:eastAsia="Times New Roman" w:hAnsi="Times New Roman" w:cs="Times New Roman"/>
                <w:color w:val="000000" w:themeColor="text1"/>
                <w:sz w:val="20"/>
                <w:szCs w:val="20"/>
              </w:rPr>
              <w:t>COCP, combined oral contraceptive pill; POC, progestin-only contraceptives.</w:t>
            </w:r>
          </w:p>
          <w:p w14:paraId="29DB1F2A" w14:textId="77777777" w:rsidR="006F5BFE" w:rsidRPr="003617F8" w:rsidRDefault="006F5BFE" w:rsidP="00F57DE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color w:val="000000" w:themeColor="text1"/>
                <w:sz w:val="21"/>
                <w:szCs w:val="21"/>
              </w:rPr>
            </w:pPr>
            <w:r w:rsidRPr="003617F8">
              <w:rPr>
                <w:rFonts w:ascii="Times New Roman" w:eastAsia="Times New Roman" w:hAnsi="Times New Roman" w:cs="Times New Roman"/>
                <w:color w:val="000000" w:themeColor="text1"/>
                <w:sz w:val="21"/>
                <w:szCs w:val="21"/>
              </w:rPr>
              <w:t>Odds ratios are controlling for all other factors in the table.</w:t>
            </w:r>
          </w:p>
        </w:tc>
      </w:tr>
    </w:tbl>
    <w:p w14:paraId="0A776F85" w14:textId="77777777" w:rsidR="006F5BFE" w:rsidRDefault="006F5BFE" w:rsidP="006F5BFE"/>
    <w:p w14:paraId="69219046" w14:textId="5D2ECEBB" w:rsidR="006F5BFE" w:rsidRPr="006F5BFE" w:rsidRDefault="006F5BFE" w:rsidP="006F5BFE">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sectPr w:rsidR="006F5BFE" w:rsidRPr="006F5BFE" w:rsidSect="006F5BFE">
          <w:pgSz w:w="11906" w:h="16838"/>
          <w:pgMar w:top="1440" w:right="1440" w:bottom="1440" w:left="1440" w:header="708" w:footer="708" w:gutter="0"/>
          <w:lnNumType w:countBy="1" w:restart="continuous"/>
          <w:cols w:space="720"/>
          <w:docGrid w:linePitch="299"/>
        </w:sectPr>
      </w:pPr>
    </w:p>
    <w:p w14:paraId="4A6561B5" w14:textId="43219D22" w:rsidR="00E3596F" w:rsidRDefault="009609C7" w:rsidP="0088605D">
      <w:pPr>
        <w:spacing w:after="0" w:line="480" w:lineRule="auto"/>
        <w:jc w:val="both"/>
        <w:rPr>
          <w:rFonts w:ascii="Times New Roman" w:eastAsia="Times New Roman" w:hAnsi="Times New Roman" w:cs="Times New Roman"/>
          <w:b/>
          <w:bCs/>
          <w:color w:val="000000" w:themeColor="text1"/>
          <w:sz w:val="24"/>
          <w:szCs w:val="24"/>
        </w:rPr>
      </w:pPr>
      <w:r w:rsidRPr="00024E20">
        <w:rPr>
          <w:rFonts w:ascii="Times New Roman" w:eastAsia="Times New Roman" w:hAnsi="Times New Roman" w:cs="Times New Roman"/>
          <w:b/>
          <w:bCs/>
          <w:color w:val="000000" w:themeColor="text1"/>
          <w:sz w:val="24"/>
          <w:szCs w:val="24"/>
        </w:rPr>
        <w:lastRenderedPageBreak/>
        <w:t>Figure</w:t>
      </w:r>
      <w:r w:rsidR="006F5BFE">
        <w:rPr>
          <w:rFonts w:ascii="Times New Roman" w:eastAsia="Times New Roman" w:hAnsi="Times New Roman" w:cs="Times New Roman"/>
          <w:b/>
          <w:bCs/>
          <w:color w:val="000000" w:themeColor="text1"/>
          <w:sz w:val="24"/>
          <w:szCs w:val="24"/>
        </w:rPr>
        <w:t>s</w:t>
      </w:r>
    </w:p>
    <w:p w14:paraId="39E88CF9" w14:textId="369E74AE" w:rsidR="00024E20" w:rsidRPr="00024E20" w:rsidRDefault="00024E20" w:rsidP="0088605D">
      <w:pPr>
        <w:spacing w:after="0" w:line="480" w:lineRule="auto"/>
        <w:jc w:val="both"/>
        <w:rPr>
          <w:rFonts w:ascii="Times New Roman" w:eastAsia="Times New Roman" w:hAnsi="Times New Roman" w:cs="Times New Roman"/>
          <w:b/>
          <w:bCs/>
          <w:color w:val="000000" w:themeColor="text1"/>
          <w:sz w:val="24"/>
          <w:szCs w:val="24"/>
        </w:rPr>
      </w:pPr>
      <w:r w:rsidRPr="00437A32">
        <w:rPr>
          <w:rFonts w:ascii="Times New Roman" w:eastAsia="Times New Roman" w:hAnsi="Times New Roman" w:cs="Times New Roman"/>
          <w:noProof/>
          <w:sz w:val="24"/>
          <w:szCs w:val="24"/>
        </w:rPr>
        <w:drawing>
          <wp:inline distT="0" distB="0" distL="0" distR="0" wp14:anchorId="77EF0C67" wp14:editId="5E420E1B">
            <wp:extent cx="5731510" cy="3733800"/>
            <wp:effectExtent l="0" t="0" r="0" b="0"/>
            <wp:docPr id="1730113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13189" name=""/>
                    <pic:cNvPicPr/>
                  </pic:nvPicPr>
                  <pic:blipFill>
                    <a:blip r:embed="rId9"/>
                    <a:stretch>
                      <a:fillRect/>
                    </a:stretch>
                  </pic:blipFill>
                  <pic:spPr>
                    <a:xfrm>
                      <a:off x="0" y="0"/>
                      <a:ext cx="5731510" cy="3733800"/>
                    </a:xfrm>
                    <a:prstGeom prst="rect">
                      <a:avLst/>
                    </a:prstGeom>
                  </pic:spPr>
                </pic:pic>
              </a:graphicData>
            </a:graphic>
          </wp:inline>
        </w:drawing>
      </w:r>
    </w:p>
    <w:p w14:paraId="3D973D10" w14:textId="77777777" w:rsidR="00024E20" w:rsidRDefault="00E3596F" w:rsidP="0088605D">
      <w:pPr>
        <w:spacing w:after="0" w:line="480" w:lineRule="auto"/>
        <w:jc w:val="both"/>
        <w:rPr>
          <w:rFonts w:ascii="Times New Roman" w:eastAsia="Times New Roman" w:hAnsi="Times New Roman" w:cs="Times New Roman"/>
          <w:color w:val="000000" w:themeColor="text1"/>
          <w:sz w:val="24"/>
          <w:szCs w:val="24"/>
        </w:rPr>
        <w:sectPr w:rsidR="00024E20" w:rsidSect="007D1510">
          <w:pgSz w:w="11906" w:h="16838"/>
          <w:pgMar w:top="1440" w:right="1440" w:bottom="1440" w:left="1440" w:header="708" w:footer="708" w:gutter="0"/>
          <w:lnNumType w:countBy="1" w:restart="continuous"/>
          <w:cols w:space="720"/>
          <w:docGrid w:linePitch="299"/>
        </w:sectPr>
      </w:pPr>
      <w:r w:rsidRPr="00024E20">
        <w:rPr>
          <w:rFonts w:ascii="Times New Roman" w:eastAsia="Times New Roman" w:hAnsi="Times New Roman" w:cs="Times New Roman"/>
          <w:b/>
          <w:color w:val="000000" w:themeColor="text1"/>
          <w:sz w:val="24"/>
          <w:szCs w:val="24"/>
        </w:rPr>
        <w:t>Figure 1.</w:t>
      </w:r>
      <w:r w:rsidRPr="00024E20">
        <w:rPr>
          <w:rFonts w:ascii="Times New Roman" w:eastAsia="Times New Roman" w:hAnsi="Times New Roman" w:cs="Times New Roman"/>
          <w:color w:val="000000" w:themeColor="text1"/>
          <w:sz w:val="24"/>
          <w:szCs w:val="24"/>
        </w:rPr>
        <w:t xml:space="preserve"> Participant flow through the study.</w:t>
      </w:r>
    </w:p>
    <w:p w14:paraId="4DF2DDCD" w14:textId="0387E82A" w:rsidR="00024E20" w:rsidRPr="00024E20" w:rsidRDefault="00024E20" w:rsidP="00024E20">
      <w:pPr>
        <w:spacing w:after="0" w:line="480" w:lineRule="auto"/>
        <w:jc w:val="center"/>
        <w:rPr>
          <w:rFonts w:ascii="Times New Roman" w:eastAsia="Times New Roman" w:hAnsi="Times New Roman" w:cs="Times New Roman"/>
          <w:b/>
          <w:bCs/>
          <w:color w:val="000000" w:themeColor="text1"/>
          <w:sz w:val="24"/>
          <w:szCs w:val="24"/>
        </w:rPr>
      </w:pPr>
      <w:r w:rsidRPr="00415BD3">
        <w:rPr>
          <w:noProof/>
        </w:rPr>
        <w:lastRenderedPageBreak/>
        <w:drawing>
          <wp:inline distT="0" distB="0" distL="0" distR="0" wp14:anchorId="0FE239A0" wp14:editId="7599ABE4">
            <wp:extent cx="4186518" cy="8373035"/>
            <wp:effectExtent l="0" t="0" r="5080" b="0"/>
            <wp:docPr id="1064462023" name="Picture 1" descr="A graph of a work gro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62023" name="Picture 1" descr="A graph of a work group&#10;&#10;Description automatically generated with medium confidence"/>
                    <pic:cNvPicPr/>
                  </pic:nvPicPr>
                  <pic:blipFill>
                    <a:blip r:embed="rId10"/>
                    <a:stretch>
                      <a:fillRect/>
                    </a:stretch>
                  </pic:blipFill>
                  <pic:spPr>
                    <a:xfrm>
                      <a:off x="0" y="0"/>
                      <a:ext cx="4223870" cy="8447740"/>
                    </a:xfrm>
                    <a:prstGeom prst="rect">
                      <a:avLst/>
                    </a:prstGeom>
                  </pic:spPr>
                </pic:pic>
              </a:graphicData>
            </a:graphic>
          </wp:inline>
        </w:drawing>
      </w:r>
    </w:p>
    <w:p w14:paraId="419F2A19" w14:textId="77777777" w:rsidR="009609C7" w:rsidRPr="00024E20" w:rsidRDefault="009609C7" w:rsidP="009609C7">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color w:val="000000" w:themeColor="text1"/>
          <w:sz w:val="24"/>
          <w:szCs w:val="24"/>
        </w:rPr>
        <w:t xml:space="preserve">Figure 2. </w:t>
      </w:r>
      <w:r w:rsidRPr="00024E20">
        <w:rPr>
          <w:rFonts w:ascii="Times New Roman" w:eastAsia="Times New Roman" w:hAnsi="Times New Roman" w:cs="Times New Roman"/>
          <w:color w:val="000000" w:themeColor="text1"/>
          <w:sz w:val="24"/>
          <w:szCs w:val="24"/>
        </w:rPr>
        <w:t xml:space="preserve">The effect of military training on physical performance in non-users, combined oral contraceptive pill (COCP) users, and progestin-only contraceptive (POC) users. </w:t>
      </w:r>
    </w:p>
    <w:p w14:paraId="755DB152" w14:textId="77777777" w:rsidR="00024E20" w:rsidRDefault="009609C7" w:rsidP="009609C7">
      <w:pPr>
        <w:spacing w:after="0" w:line="480" w:lineRule="auto"/>
        <w:jc w:val="both"/>
        <w:rPr>
          <w:rFonts w:ascii="Times New Roman" w:eastAsia="Times New Roman" w:hAnsi="Times New Roman" w:cs="Times New Roman"/>
          <w:color w:val="000000" w:themeColor="text1"/>
          <w:sz w:val="20"/>
          <w:szCs w:val="20"/>
        </w:rPr>
        <w:sectPr w:rsidR="00024E20" w:rsidSect="00024E20">
          <w:pgSz w:w="11906" w:h="16838"/>
          <w:pgMar w:top="720" w:right="720" w:bottom="720" w:left="720" w:header="708" w:footer="708" w:gutter="0"/>
          <w:lnNumType w:countBy="1" w:restart="continuous"/>
          <w:cols w:space="720"/>
          <w:docGrid w:linePitch="299"/>
        </w:sectPr>
      </w:pPr>
      <w:r w:rsidRPr="00024E20">
        <w:rPr>
          <w:rFonts w:ascii="Times New Roman" w:eastAsia="Times New Roman" w:hAnsi="Times New Roman" w:cs="Times New Roman"/>
          <w:color w:val="000000" w:themeColor="text1"/>
          <w:sz w:val="20"/>
          <w:szCs w:val="20"/>
          <w:vertAlign w:val="superscript"/>
        </w:rPr>
        <w:t>a</w:t>
      </w:r>
      <w:r w:rsidRPr="00024E20">
        <w:rPr>
          <w:rFonts w:ascii="Times New Roman" w:eastAsia="Times New Roman" w:hAnsi="Times New Roman" w:cs="Times New Roman"/>
          <w:color w:val="000000" w:themeColor="text1"/>
          <w:sz w:val="20"/>
          <w:szCs w:val="20"/>
        </w:rPr>
        <w:t xml:space="preserve">p &lt; 0.05 vs week 1 (main effect of time); </w:t>
      </w:r>
      <w:r w:rsidRPr="00024E20">
        <w:rPr>
          <w:rFonts w:ascii="Times New Roman" w:eastAsia="Times New Roman" w:hAnsi="Times New Roman" w:cs="Times New Roman"/>
          <w:color w:val="000000" w:themeColor="text1"/>
          <w:sz w:val="20"/>
          <w:szCs w:val="20"/>
          <w:vertAlign w:val="superscript"/>
        </w:rPr>
        <w:t>b</w:t>
      </w:r>
      <w:r w:rsidRPr="00024E20">
        <w:rPr>
          <w:rFonts w:ascii="Times New Roman" w:eastAsia="Times New Roman" w:hAnsi="Times New Roman" w:cs="Times New Roman"/>
          <w:color w:val="000000" w:themeColor="text1"/>
          <w:sz w:val="20"/>
          <w:szCs w:val="20"/>
        </w:rPr>
        <w:t>p &lt; 0.05 vs non-users (main effect of group).</w:t>
      </w:r>
    </w:p>
    <w:p w14:paraId="03881C7B" w14:textId="22A7C4A3" w:rsidR="009609C7" w:rsidRPr="00024E20" w:rsidRDefault="00024E20" w:rsidP="009609C7">
      <w:pPr>
        <w:spacing w:after="0" w:line="480" w:lineRule="auto"/>
        <w:jc w:val="both"/>
        <w:rPr>
          <w:rFonts w:ascii="Times New Roman" w:eastAsia="Times New Roman" w:hAnsi="Times New Roman" w:cs="Times New Roman"/>
          <w:color w:val="000000" w:themeColor="text1"/>
          <w:sz w:val="20"/>
          <w:szCs w:val="20"/>
        </w:rPr>
      </w:pPr>
      <w:r w:rsidRPr="00A3249C">
        <w:rPr>
          <w:noProof/>
        </w:rPr>
        <w:lastRenderedPageBreak/>
        <w:drawing>
          <wp:inline distT="0" distB="0" distL="0" distR="0" wp14:anchorId="4B626162" wp14:editId="07F8CBB6">
            <wp:extent cx="6645910" cy="6645910"/>
            <wp:effectExtent l="0" t="0" r="0" b="0"/>
            <wp:docPr id="1348195140" name="Picture 1" descr="A group of graphs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95140" name="Picture 1" descr="A group of graphs with different colored lines&#10;&#10;Description automatically generated"/>
                    <pic:cNvPicPr/>
                  </pic:nvPicPr>
                  <pic:blipFill>
                    <a:blip r:embed="rId11"/>
                    <a:stretch>
                      <a:fillRect/>
                    </a:stretch>
                  </pic:blipFill>
                  <pic:spPr>
                    <a:xfrm>
                      <a:off x="0" y="0"/>
                      <a:ext cx="6645910" cy="6645910"/>
                    </a:xfrm>
                    <a:prstGeom prst="rect">
                      <a:avLst/>
                    </a:prstGeom>
                  </pic:spPr>
                </pic:pic>
              </a:graphicData>
            </a:graphic>
          </wp:inline>
        </w:drawing>
      </w:r>
    </w:p>
    <w:p w14:paraId="315F9166" w14:textId="77777777" w:rsidR="009609C7" w:rsidRPr="00024E20" w:rsidRDefault="009609C7" w:rsidP="009609C7">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color w:val="000000" w:themeColor="text1"/>
          <w:sz w:val="24"/>
          <w:szCs w:val="24"/>
        </w:rPr>
        <w:t xml:space="preserve">Figure 3. </w:t>
      </w:r>
      <w:r w:rsidRPr="00024E20">
        <w:rPr>
          <w:rFonts w:ascii="Times New Roman" w:eastAsia="Times New Roman" w:hAnsi="Times New Roman" w:cs="Times New Roman"/>
          <w:color w:val="000000" w:themeColor="text1"/>
          <w:sz w:val="24"/>
          <w:szCs w:val="24"/>
        </w:rPr>
        <w:t xml:space="preserve">The effect of military training on body composition in non-users, combined oral contraceptive pill (COCP) users, and progestin-only contraceptive (POC) users. </w:t>
      </w:r>
    </w:p>
    <w:p w14:paraId="5AA475EC" w14:textId="77777777" w:rsidR="00024E20" w:rsidRDefault="009609C7" w:rsidP="009609C7">
      <w:pPr>
        <w:spacing w:after="0" w:line="480" w:lineRule="auto"/>
        <w:jc w:val="both"/>
        <w:rPr>
          <w:rFonts w:ascii="Times New Roman" w:eastAsia="Times New Roman" w:hAnsi="Times New Roman" w:cs="Times New Roman"/>
          <w:color w:val="000000" w:themeColor="text1"/>
          <w:sz w:val="20"/>
          <w:szCs w:val="20"/>
        </w:rPr>
        <w:sectPr w:rsidR="00024E20" w:rsidSect="00024E20">
          <w:pgSz w:w="11906" w:h="16838"/>
          <w:pgMar w:top="720" w:right="720" w:bottom="720" w:left="720" w:header="708" w:footer="708" w:gutter="0"/>
          <w:lnNumType w:countBy="1" w:restart="continuous"/>
          <w:cols w:space="720"/>
          <w:docGrid w:linePitch="299"/>
        </w:sectPr>
      </w:pPr>
      <w:r w:rsidRPr="00024E20">
        <w:rPr>
          <w:rFonts w:ascii="Times New Roman" w:eastAsia="Times New Roman" w:hAnsi="Times New Roman" w:cs="Times New Roman"/>
          <w:color w:val="000000" w:themeColor="text1"/>
          <w:sz w:val="20"/>
          <w:szCs w:val="20"/>
          <w:vertAlign w:val="superscript"/>
        </w:rPr>
        <w:t>a</w:t>
      </w:r>
      <w:r w:rsidRPr="00024E20">
        <w:rPr>
          <w:rFonts w:ascii="Times New Roman" w:eastAsia="Times New Roman" w:hAnsi="Times New Roman" w:cs="Times New Roman"/>
          <w:color w:val="000000" w:themeColor="text1"/>
          <w:sz w:val="20"/>
          <w:szCs w:val="20"/>
        </w:rPr>
        <w:t xml:space="preserve">p &lt; 0.05 vs week 1 (main effect of time); </w:t>
      </w:r>
      <w:r w:rsidRPr="00024E20">
        <w:rPr>
          <w:rFonts w:ascii="Times New Roman" w:eastAsia="Times New Roman" w:hAnsi="Times New Roman" w:cs="Times New Roman"/>
          <w:color w:val="000000" w:themeColor="text1"/>
          <w:sz w:val="20"/>
          <w:szCs w:val="20"/>
          <w:vertAlign w:val="superscript"/>
        </w:rPr>
        <w:t>b</w:t>
      </w:r>
      <w:r w:rsidRPr="00024E20">
        <w:rPr>
          <w:rFonts w:ascii="Times New Roman" w:eastAsia="Times New Roman" w:hAnsi="Times New Roman" w:cs="Times New Roman"/>
          <w:color w:val="000000" w:themeColor="text1"/>
          <w:sz w:val="20"/>
          <w:szCs w:val="20"/>
        </w:rPr>
        <w:t>p &lt; 0.05 vs non-users (main effect of group);</w:t>
      </w:r>
      <w:r w:rsidRPr="00024E20">
        <w:rPr>
          <w:rFonts w:ascii="Times New Roman" w:eastAsia="Times New Roman" w:hAnsi="Times New Roman" w:cs="Times New Roman"/>
          <w:color w:val="000000" w:themeColor="text1"/>
          <w:sz w:val="20"/>
          <w:szCs w:val="20"/>
          <w:vertAlign w:val="superscript"/>
        </w:rPr>
        <w:t xml:space="preserve"> c</w:t>
      </w:r>
      <w:r w:rsidRPr="00024E20">
        <w:rPr>
          <w:rFonts w:ascii="Times New Roman" w:eastAsia="Times New Roman" w:hAnsi="Times New Roman" w:cs="Times New Roman"/>
          <w:color w:val="000000" w:themeColor="text1"/>
          <w:sz w:val="20"/>
          <w:szCs w:val="20"/>
        </w:rPr>
        <w:t>p &lt; 0.05 vs COCP users (main effect of group).</w:t>
      </w:r>
    </w:p>
    <w:p w14:paraId="36003C3B" w14:textId="7C107BE1" w:rsidR="009609C7" w:rsidRPr="00024E20" w:rsidRDefault="00024E20" w:rsidP="009609C7">
      <w:pPr>
        <w:spacing w:after="0" w:line="480" w:lineRule="auto"/>
        <w:jc w:val="both"/>
        <w:rPr>
          <w:rFonts w:ascii="Times New Roman" w:eastAsia="Times New Roman" w:hAnsi="Times New Roman" w:cs="Times New Roman"/>
          <w:b/>
          <w:color w:val="000000" w:themeColor="text1"/>
          <w:sz w:val="24"/>
          <w:szCs w:val="24"/>
        </w:rPr>
      </w:pPr>
      <w:r w:rsidRPr="00945B8B">
        <w:rPr>
          <w:noProof/>
        </w:rPr>
        <w:lastRenderedPageBreak/>
        <w:drawing>
          <wp:inline distT="0" distB="0" distL="0" distR="0" wp14:anchorId="4822F22A" wp14:editId="482393B6">
            <wp:extent cx="6645910" cy="6645910"/>
            <wp:effectExtent l="0" t="0" r="0" b="0"/>
            <wp:docPr id="1584561702"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61702" name="Picture 1" descr="A graph of different colored lines&#10;&#10;Description automatically generated"/>
                    <pic:cNvPicPr/>
                  </pic:nvPicPr>
                  <pic:blipFill>
                    <a:blip r:embed="rId12"/>
                    <a:stretch>
                      <a:fillRect/>
                    </a:stretch>
                  </pic:blipFill>
                  <pic:spPr>
                    <a:xfrm>
                      <a:off x="0" y="0"/>
                      <a:ext cx="6645910" cy="6645910"/>
                    </a:xfrm>
                    <a:prstGeom prst="rect">
                      <a:avLst/>
                    </a:prstGeom>
                  </pic:spPr>
                </pic:pic>
              </a:graphicData>
            </a:graphic>
          </wp:inline>
        </w:drawing>
      </w:r>
    </w:p>
    <w:p w14:paraId="390D9508" w14:textId="23A4C78C" w:rsidR="009609C7" w:rsidRPr="00024E20" w:rsidRDefault="009609C7" w:rsidP="009609C7">
      <w:pPr>
        <w:spacing w:after="0" w:line="480" w:lineRule="auto"/>
        <w:jc w:val="both"/>
        <w:rPr>
          <w:rFonts w:ascii="Times New Roman" w:eastAsia="Times New Roman" w:hAnsi="Times New Roman" w:cs="Times New Roman"/>
          <w:color w:val="000000" w:themeColor="text1"/>
          <w:sz w:val="24"/>
          <w:szCs w:val="24"/>
        </w:rPr>
      </w:pPr>
      <w:r w:rsidRPr="00024E20">
        <w:rPr>
          <w:rFonts w:ascii="Times New Roman" w:eastAsia="Times New Roman" w:hAnsi="Times New Roman" w:cs="Times New Roman"/>
          <w:b/>
          <w:color w:val="000000" w:themeColor="text1"/>
          <w:sz w:val="24"/>
          <w:szCs w:val="24"/>
        </w:rPr>
        <w:t xml:space="preserve">Figure 4. </w:t>
      </w:r>
      <w:r w:rsidRPr="00024E20">
        <w:rPr>
          <w:rFonts w:ascii="Times New Roman" w:eastAsia="Times New Roman" w:hAnsi="Times New Roman" w:cs="Times New Roman"/>
          <w:color w:val="000000" w:themeColor="text1"/>
          <w:sz w:val="24"/>
          <w:szCs w:val="24"/>
        </w:rPr>
        <w:t xml:space="preserve">The effect of military training on iron status, vitamin D status, and bone metabolism in non-users, combined oral contraceptive pill (COCP) users, and progestin-only contraceptive (POC) users. </w:t>
      </w:r>
    </w:p>
    <w:p w14:paraId="591B2760" w14:textId="77777777" w:rsidR="009609C7" w:rsidRPr="00024E20" w:rsidRDefault="009609C7" w:rsidP="009609C7">
      <w:pPr>
        <w:spacing w:after="0" w:line="480" w:lineRule="auto"/>
        <w:jc w:val="both"/>
        <w:rPr>
          <w:rFonts w:ascii="Times New Roman" w:eastAsia="Times New Roman" w:hAnsi="Times New Roman" w:cs="Times New Roman"/>
          <w:color w:val="000000" w:themeColor="text1"/>
          <w:sz w:val="20"/>
          <w:szCs w:val="20"/>
        </w:rPr>
      </w:pPr>
      <w:r w:rsidRPr="00024E20">
        <w:rPr>
          <w:rFonts w:ascii="Times New Roman" w:eastAsia="Times New Roman" w:hAnsi="Times New Roman" w:cs="Times New Roman"/>
          <w:color w:val="000000" w:themeColor="text1"/>
          <w:sz w:val="20"/>
          <w:szCs w:val="20"/>
          <w:vertAlign w:val="superscript"/>
        </w:rPr>
        <w:t>a</w:t>
      </w:r>
      <w:r w:rsidRPr="00024E20">
        <w:rPr>
          <w:rFonts w:ascii="Times New Roman" w:eastAsia="Times New Roman" w:hAnsi="Times New Roman" w:cs="Times New Roman"/>
          <w:color w:val="000000" w:themeColor="text1"/>
          <w:sz w:val="20"/>
          <w:szCs w:val="20"/>
        </w:rPr>
        <w:t xml:space="preserve">p &lt; 0.05 vs week 1 (main effect of time); </w:t>
      </w:r>
      <w:r w:rsidRPr="00024E20">
        <w:rPr>
          <w:rFonts w:ascii="Times New Roman" w:eastAsia="Times New Roman" w:hAnsi="Times New Roman" w:cs="Times New Roman"/>
          <w:color w:val="000000" w:themeColor="text1"/>
          <w:sz w:val="20"/>
          <w:szCs w:val="20"/>
          <w:vertAlign w:val="superscript"/>
        </w:rPr>
        <w:t>b</w:t>
      </w:r>
      <w:r w:rsidRPr="00024E20">
        <w:rPr>
          <w:rFonts w:ascii="Times New Roman" w:eastAsia="Times New Roman" w:hAnsi="Times New Roman" w:cs="Times New Roman"/>
          <w:color w:val="000000" w:themeColor="text1"/>
          <w:sz w:val="20"/>
          <w:szCs w:val="20"/>
        </w:rPr>
        <w:t>p &lt; 0.05 vs week 1 (post-hoc after group</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 xml:space="preserve">time interaction); </w:t>
      </w:r>
      <w:r w:rsidRPr="00024E20">
        <w:rPr>
          <w:rFonts w:ascii="Times New Roman" w:eastAsia="Times New Roman" w:hAnsi="Times New Roman" w:cs="Times New Roman"/>
          <w:color w:val="000000" w:themeColor="text1"/>
          <w:sz w:val="20"/>
          <w:szCs w:val="20"/>
          <w:vertAlign w:val="superscript"/>
        </w:rPr>
        <w:t>c</w:t>
      </w:r>
      <w:r w:rsidRPr="00024E20">
        <w:rPr>
          <w:rFonts w:ascii="Times New Roman" w:eastAsia="Times New Roman" w:hAnsi="Times New Roman" w:cs="Times New Roman"/>
          <w:color w:val="000000" w:themeColor="text1"/>
          <w:sz w:val="20"/>
          <w:szCs w:val="20"/>
        </w:rPr>
        <w:t xml:space="preserve">p &lt; 0.05 vs non-users (main effect of group). </w:t>
      </w:r>
      <w:proofErr w:type="spellStart"/>
      <w:r w:rsidRPr="00024E20">
        <w:rPr>
          <w:rFonts w:ascii="Times New Roman" w:eastAsia="Times New Roman" w:hAnsi="Times New Roman" w:cs="Times New Roman"/>
          <w:color w:val="000000" w:themeColor="text1"/>
          <w:sz w:val="20"/>
          <w:szCs w:val="20"/>
          <w:vertAlign w:val="superscript"/>
        </w:rPr>
        <w:t>d</w:t>
      </w:r>
      <w:r w:rsidRPr="00024E20">
        <w:rPr>
          <w:rFonts w:ascii="Times New Roman" w:eastAsia="Times New Roman" w:hAnsi="Times New Roman" w:cs="Times New Roman"/>
          <w:color w:val="000000" w:themeColor="text1"/>
          <w:sz w:val="20"/>
          <w:szCs w:val="20"/>
        </w:rPr>
        <w:t>p</w:t>
      </w:r>
      <w:proofErr w:type="spellEnd"/>
      <w:r w:rsidRPr="00024E20">
        <w:rPr>
          <w:rFonts w:ascii="Times New Roman" w:eastAsia="Times New Roman" w:hAnsi="Times New Roman" w:cs="Times New Roman"/>
          <w:color w:val="000000" w:themeColor="text1"/>
          <w:sz w:val="20"/>
          <w:szCs w:val="20"/>
        </w:rPr>
        <w:t xml:space="preserve"> &lt; 0.05 vs POC (main effect of group); </w:t>
      </w:r>
      <w:r w:rsidRPr="00024E20">
        <w:rPr>
          <w:rFonts w:ascii="Times New Roman" w:eastAsia="Times New Roman" w:hAnsi="Times New Roman" w:cs="Times New Roman"/>
          <w:color w:val="000000" w:themeColor="text1"/>
          <w:sz w:val="20"/>
          <w:szCs w:val="20"/>
          <w:vertAlign w:val="superscript"/>
        </w:rPr>
        <w:t>e</w:t>
      </w:r>
      <w:r w:rsidRPr="00024E20">
        <w:rPr>
          <w:rFonts w:ascii="Times New Roman" w:eastAsia="Times New Roman" w:hAnsi="Times New Roman" w:cs="Times New Roman"/>
          <w:color w:val="000000" w:themeColor="text1"/>
          <w:sz w:val="20"/>
          <w:szCs w:val="20"/>
        </w:rPr>
        <w:t>p &lt; 0.05 vs non-users (post-hoc after group</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 xml:space="preserve">time interaction); </w:t>
      </w:r>
      <w:proofErr w:type="spellStart"/>
      <w:r w:rsidRPr="00024E20">
        <w:rPr>
          <w:rFonts w:ascii="Times New Roman" w:eastAsia="Times New Roman" w:hAnsi="Times New Roman" w:cs="Times New Roman"/>
          <w:color w:val="000000" w:themeColor="text1"/>
          <w:sz w:val="20"/>
          <w:szCs w:val="20"/>
          <w:vertAlign w:val="superscript"/>
        </w:rPr>
        <w:t>f</w:t>
      </w:r>
      <w:r w:rsidRPr="00024E20">
        <w:rPr>
          <w:rFonts w:ascii="Times New Roman" w:eastAsia="Times New Roman" w:hAnsi="Times New Roman" w:cs="Times New Roman"/>
          <w:color w:val="000000" w:themeColor="text1"/>
          <w:sz w:val="20"/>
          <w:szCs w:val="20"/>
        </w:rPr>
        <w:t>p</w:t>
      </w:r>
      <w:proofErr w:type="spellEnd"/>
      <w:r w:rsidRPr="00024E20">
        <w:rPr>
          <w:rFonts w:ascii="Times New Roman" w:eastAsia="Times New Roman" w:hAnsi="Times New Roman" w:cs="Times New Roman"/>
          <w:color w:val="000000" w:themeColor="text1"/>
          <w:sz w:val="20"/>
          <w:szCs w:val="20"/>
        </w:rPr>
        <w:t xml:space="preserve"> &lt; 0.05 vs POC (post-hoc after group</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w:t>
      </w:r>
      <w:r w:rsidRPr="00024E20">
        <w:rPr>
          <w:rFonts w:ascii="Times New Roman" w:eastAsia="Times New Roman" w:hAnsi="Times New Roman" w:cs="Times New Roman"/>
          <w:color w:val="000000" w:themeColor="text1"/>
          <w:sz w:val="18"/>
          <w:szCs w:val="18"/>
        </w:rPr>
        <w:t xml:space="preserve"> </w:t>
      </w:r>
      <w:r w:rsidRPr="00024E20">
        <w:rPr>
          <w:rFonts w:ascii="Times New Roman" w:eastAsia="Times New Roman" w:hAnsi="Times New Roman" w:cs="Times New Roman"/>
          <w:color w:val="000000" w:themeColor="text1"/>
          <w:sz w:val="20"/>
          <w:szCs w:val="20"/>
        </w:rPr>
        <w:t>time interaction).</w:t>
      </w:r>
    </w:p>
    <w:p w14:paraId="32F59287" w14:textId="77777777" w:rsidR="00F34599" w:rsidRPr="00024E20" w:rsidRDefault="009609C7" w:rsidP="0088605D">
      <w:pPr>
        <w:spacing w:after="0" w:line="480" w:lineRule="auto"/>
        <w:jc w:val="both"/>
        <w:rPr>
          <w:rFonts w:ascii="Times New Roman" w:eastAsia="Times New Roman" w:hAnsi="Times New Roman" w:cs="Times New Roman"/>
          <w:color w:val="000000" w:themeColor="text1"/>
          <w:sz w:val="20"/>
          <w:szCs w:val="20"/>
        </w:rPr>
        <w:sectPr w:rsidR="00F34599" w:rsidRPr="00024E20" w:rsidSect="00024E20">
          <w:pgSz w:w="11906" w:h="16838"/>
          <w:pgMar w:top="720" w:right="720" w:bottom="720" w:left="720" w:header="708" w:footer="708" w:gutter="0"/>
          <w:lnNumType w:countBy="1" w:restart="continuous"/>
          <w:cols w:space="720"/>
          <w:docGrid w:linePitch="299"/>
        </w:sectPr>
      </w:pPr>
      <w:r w:rsidRPr="00024E20">
        <w:rPr>
          <w:rFonts w:ascii="Times New Roman" w:eastAsia="Times New Roman" w:hAnsi="Times New Roman" w:cs="Times New Roman"/>
          <w:color w:val="000000" w:themeColor="text1"/>
          <w:sz w:val="20"/>
          <w:szCs w:val="20"/>
        </w:rPr>
        <w:t xml:space="preserve">βCTX, c-telopeptide cross-links of type 1 collagen; PINP, procollagen type 1 N-terminal </w:t>
      </w:r>
      <w:proofErr w:type="spellStart"/>
      <w:r w:rsidRPr="00024E20">
        <w:rPr>
          <w:rFonts w:ascii="Times New Roman" w:eastAsia="Times New Roman" w:hAnsi="Times New Roman" w:cs="Times New Roman"/>
          <w:color w:val="000000" w:themeColor="text1"/>
          <w:sz w:val="20"/>
          <w:szCs w:val="20"/>
        </w:rPr>
        <w:t>propeptide</w:t>
      </w:r>
      <w:proofErr w:type="spellEnd"/>
      <w:r w:rsidRPr="00024E20">
        <w:rPr>
          <w:rFonts w:ascii="Times New Roman" w:eastAsia="Times New Roman" w:hAnsi="Times New Roman" w:cs="Times New Roman"/>
          <w:color w:val="000000" w:themeColor="text1"/>
          <w:sz w:val="20"/>
          <w:szCs w:val="20"/>
        </w:rPr>
        <w:t>.</w:t>
      </w:r>
    </w:p>
    <w:p w14:paraId="417982B7" w14:textId="403CE09B" w:rsidR="009609C7" w:rsidRDefault="00F34599" w:rsidP="0088605D">
      <w:pPr>
        <w:spacing w:after="0" w:line="480" w:lineRule="auto"/>
        <w:jc w:val="both"/>
        <w:rPr>
          <w:rFonts w:ascii="Times New Roman" w:eastAsia="Times New Roman" w:hAnsi="Times New Roman" w:cs="Times New Roman"/>
          <w:b/>
          <w:bCs/>
          <w:color w:val="000000" w:themeColor="text1"/>
          <w:sz w:val="24"/>
          <w:szCs w:val="24"/>
        </w:rPr>
      </w:pPr>
      <w:r w:rsidRPr="00024E20">
        <w:rPr>
          <w:rFonts w:ascii="Times New Roman" w:eastAsia="Times New Roman" w:hAnsi="Times New Roman" w:cs="Times New Roman"/>
          <w:b/>
          <w:bCs/>
          <w:color w:val="000000" w:themeColor="text1"/>
          <w:sz w:val="24"/>
          <w:szCs w:val="24"/>
        </w:rPr>
        <w:lastRenderedPageBreak/>
        <w:t>Supplemental Digital Content</w:t>
      </w:r>
    </w:p>
    <w:p w14:paraId="7E3FBF3E" w14:textId="77777777" w:rsidR="00024E20" w:rsidRPr="00024E20" w:rsidRDefault="00024E20" w:rsidP="0088605D">
      <w:pPr>
        <w:spacing w:after="0" w:line="480" w:lineRule="auto"/>
        <w:jc w:val="both"/>
        <w:rPr>
          <w:rFonts w:ascii="Times New Roman" w:eastAsia="Times New Roman" w:hAnsi="Times New Roman" w:cs="Times New Roman"/>
          <w:b/>
          <w:bCs/>
          <w:color w:val="000000" w:themeColor="text1"/>
          <w:sz w:val="24"/>
          <w:szCs w:val="24"/>
        </w:rPr>
      </w:pPr>
    </w:p>
    <w:p w14:paraId="64BE17BA" w14:textId="77777777" w:rsidR="00024E20" w:rsidRPr="00C80470" w:rsidRDefault="00024E20" w:rsidP="00024E20">
      <w:pPr>
        <w:spacing w:after="0" w:line="480" w:lineRule="auto"/>
        <w:jc w:val="both"/>
        <w:rPr>
          <w:rFonts w:ascii="Times New Roman" w:eastAsia="Times New Roman" w:hAnsi="Times New Roman" w:cs="Times New Roman"/>
          <w:sz w:val="24"/>
          <w:szCs w:val="24"/>
        </w:rPr>
      </w:pPr>
      <w:r w:rsidRPr="00C80470">
        <w:rPr>
          <w:rFonts w:ascii="Times New Roman" w:eastAsia="Times New Roman" w:hAnsi="Times New Roman" w:cs="Times New Roman"/>
          <w:b/>
          <w:sz w:val="24"/>
          <w:szCs w:val="24"/>
        </w:rPr>
        <w:t xml:space="preserve">Supplementary Table 1. </w:t>
      </w:r>
      <w:r w:rsidRPr="00C80470">
        <w:rPr>
          <w:rFonts w:ascii="Times New Roman" w:eastAsia="Times New Roman" w:hAnsi="Times New Roman" w:cs="Times New Roman"/>
          <w:sz w:val="24"/>
          <w:szCs w:val="24"/>
        </w:rPr>
        <w:t xml:space="preserve">Associations between hormonal contraceptive use and </w:t>
      </w:r>
      <w:r>
        <w:rPr>
          <w:rFonts w:ascii="Times New Roman" w:eastAsia="Times New Roman" w:hAnsi="Times New Roman" w:cs="Times New Roman"/>
          <w:sz w:val="24"/>
          <w:szCs w:val="24"/>
        </w:rPr>
        <w:t xml:space="preserve">lower body overuse </w:t>
      </w:r>
      <w:r w:rsidRPr="00C80470">
        <w:rPr>
          <w:rFonts w:ascii="Times New Roman" w:eastAsia="Times New Roman" w:hAnsi="Times New Roman" w:cs="Times New Roman"/>
          <w:sz w:val="24"/>
          <w:szCs w:val="24"/>
        </w:rPr>
        <w:t>musculoske</w:t>
      </w:r>
      <w:r>
        <w:rPr>
          <w:rFonts w:ascii="Times New Roman" w:eastAsia="Times New Roman" w:hAnsi="Times New Roman" w:cs="Times New Roman"/>
          <w:sz w:val="24"/>
          <w:szCs w:val="24"/>
        </w:rPr>
        <w:t>le</w:t>
      </w:r>
      <w:r w:rsidRPr="00C80470">
        <w:rPr>
          <w:rFonts w:ascii="Times New Roman" w:eastAsia="Times New Roman" w:hAnsi="Times New Roman" w:cs="Times New Roman"/>
          <w:sz w:val="24"/>
          <w:szCs w:val="24"/>
        </w:rPr>
        <w:t>tal injury incidence with progest</w:t>
      </w:r>
      <w:r>
        <w:rPr>
          <w:rFonts w:ascii="Times New Roman" w:eastAsia="Times New Roman" w:hAnsi="Times New Roman" w:cs="Times New Roman"/>
          <w:sz w:val="24"/>
          <w:szCs w:val="24"/>
        </w:rPr>
        <w:t>in</w:t>
      </w:r>
      <w:r w:rsidRPr="00C80470">
        <w:rPr>
          <w:rFonts w:ascii="Times New Roman" w:eastAsia="Times New Roman" w:hAnsi="Times New Roman" w:cs="Times New Roman"/>
          <w:sz w:val="24"/>
          <w:szCs w:val="24"/>
        </w:rPr>
        <w:t xml:space="preserve"> only contraceptives separated into contraceptive type.</w:t>
      </w:r>
    </w:p>
    <w:tbl>
      <w:tblPr>
        <w:tblStyle w:val="1"/>
        <w:tblW w:w="8782" w:type="dxa"/>
        <w:jc w:val="center"/>
        <w:tblLayout w:type="fixed"/>
        <w:tblLook w:val="0400" w:firstRow="0" w:lastRow="0" w:firstColumn="0" w:lastColumn="0" w:noHBand="0" w:noVBand="1"/>
      </w:tblPr>
      <w:tblGrid>
        <w:gridCol w:w="2672"/>
        <w:gridCol w:w="2247"/>
        <w:gridCol w:w="876"/>
        <w:gridCol w:w="2247"/>
        <w:gridCol w:w="740"/>
      </w:tblGrid>
      <w:tr w:rsidR="00024E20" w:rsidRPr="00C80470" w14:paraId="030C00E9" w14:textId="77777777" w:rsidTr="00F57DEE">
        <w:trPr>
          <w:tblHeader/>
          <w:jc w:val="center"/>
        </w:trPr>
        <w:tc>
          <w:tcPr>
            <w:tcW w:w="2672" w:type="dxa"/>
            <w:tcBorders>
              <w:top w:val="single" w:sz="8" w:space="0" w:color="000000"/>
            </w:tcBorders>
            <w:shd w:val="clear" w:color="auto" w:fill="FFFFFF"/>
            <w:tcMar>
              <w:top w:w="0" w:type="dxa"/>
              <w:left w:w="0" w:type="dxa"/>
              <w:bottom w:w="0" w:type="dxa"/>
              <w:right w:w="0" w:type="dxa"/>
            </w:tcMar>
            <w:vAlign w:val="center"/>
          </w:tcPr>
          <w:p w14:paraId="6BA12F15" w14:textId="77777777" w:rsidR="00024E20" w:rsidRPr="00933A57"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themeColor="text1"/>
                <w:sz w:val="24"/>
                <w:szCs w:val="24"/>
              </w:rPr>
            </w:pPr>
          </w:p>
        </w:tc>
        <w:tc>
          <w:tcPr>
            <w:tcW w:w="3123" w:type="dxa"/>
            <w:gridSpan w:val="2"/>
            <w:tcBorders>
              <w:top w:val="single" w:sz="8" w:space="0" w:color="000000"/>
            </w:tcBorders>
            <w:shd w:val="clear" w:color="auto" w:fill="FFFFFF"/>
            <w:tcMar>
              <w:top w:w="0" w:type="dxa"/>
              <w:left w:w="0" w:type="dxa"/>
              <w:bottom w:w="0" w:type="dxa"/>
              <w:right w:w="0" w:type="dxa"/>
            </w:tcMar>
            <w:vAlign w:val="center"/>
          </w:tcPr>
          <w:p w14:paraId="219823C7" w14:textId="77777777" w:rsidR="00024E20" w:rsidRPr="00933A57"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933A57">
              <w:rPr>
                <w:rFonts w:ascii="Times New Roman" w:eastAsia="Times New Roman" w:hAnsi="Times New Roman" w:cs="Times New Roman"/>
                <w:color w:val="000000" w:themeColor="text1"/>
                <w:sz w:val="24"/>
                <w:szCs w:val="24"/>
              </w:rPr>
              <w:t>Lower Body Overuse Musculoskeletal Injury</w:t>
            </w:r>
          </w:p>
          <w:p w14:paraId="64A15964" w14:textId="77777777" w:rsidR="00024E20" w:rsidRPr="00933A57"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933A57">
              <w:rPr>
                <w:rFonts w:ascii="Times New Roman" w:eastAsia="Times New Roman" w:hAnsi="Times New Roman" w:cs="Times New Roman"/>
                <w:color w:val="000000" w:themeColor="text1"/>
                <w:sz w:val="24"/>
                <w:szCs w:val="24"/>
              </w:rPr>
              <w:t>(n = 268)</w:t>
            </w:r>
          </w:p>
        </w:tc>
        <w:tc>
          <w:tcPr>
            <w:tcW w:w="2987" w:type="dxa"/>
            <w:gridSpan w:val="2"/>
            <w:tcBorders>
              <w:top w:val="single" w:sz="8" w:space="0" w:color="000000"/>
            </w:tcBorders>
            <w:shd w:val="clear" w:color="auto" w:fill="FFFFFF"/>
            <w:tcMar>
              <w:top w:w="0" w:type="dxa"/>
              <w:left w:w="0" w:type="dxa"/>
              <w:bottom w:w="0" w:type="dxa"/>
              <w:right w:w="0" w:type="dxa"/>
            </w:tcMar>
            <w:vAlign w:val="center"/>
          </w:tcPr>
          <w:p w14:paraId="1CEF31D7" w14:textId="77777777" w:rsidR="00024E20" w:rsidRPr="00933A57"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933A57">
              <w:rPr>
                <w:rFonts w:ascii="Times New Roman" w:eastAsia="Times New Roman" w:hAnsi="Times New Roman" w:cs="Times New Roman"/>
                <w:color w:val="000000" w:themeColor="text1"/>
                <w:sz w:val="24"/>
                <w:szCs w:val="24"/>
              </w:rPr>
              <w:t>Lower Body Bone Stress Injury</w:t>
            </w:r>
          </w:p>
          <w:p w14:paraId="1F57B6C9" w14:textId="77777777" w:rsidR="00024E20" w:rsidRPr="00933A57"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themeColor="text1"/>
                <w:sz w:val="24"/>
                <w:szCs w:val="24"/>
              </w:rPr>
            </w:pPr>
            <w:r w:rsidRPr="00933A57">
              <w:rPr>
                <w:rFonts w:ascii="Times New Roman" w:eastAsia="Times New Roman" w:hAnsi="Times New Roman" w:cs="Times New Roman"/>
                <w:color w:val="000000" w:themeColor="text1"/>
                <w:sz w:val="24"/>
                <w:szCs w:val="24"/>
              </w:rPr>
              <w:t>(n = 268)</w:t>
            </w:r>
          </w:p>
        </w:tc>
      </w:tr>
      <w:tr w:rsidR="00024E20" w:rsidRPr="00C80470" w14:paraId="0D57F486" w14:textId="77777777" w:rsidTr="00F57DEE">
        <w:trPr>
          <w:tblHeader/>
          <w:jc w:val="center"/>
        </w:trPr>
        <w:tc>
          <w:tcPr>
            <w:tcW w:w="2672" w:type="dxa"/>
            <w:tcBorders>
              <w:bottom w:val="single" w:sz="8" w:space="0" w:color="000000"/>
            </w:tcBorders>
            <w:shd w:val="clear" w:color="auto" w:fill="FFFFFF"/>
            <w:tcMar>
              <w:top w:w="0" w:type="dxa"/>
              <w:left w:w="0" w:type="dxa"/>
              <w:bottom w:w="0" w:type="dxa"/>
              <w:right w:w="0" w:type="dxa"/>
            </w:tcMar>
            <w:vAlign w:val="center"/>
          </w:tcPr>
          <w:p w14:paraId="7E8B8D7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p>
        </w:tc>
        <w:tc>
          <w:tcPr>
            <w:tcW w:w="2247" w:type="dxa"/>
            <w:tcBorders>
              <w:bottom w:val="single" w:sz="8" w:space="0" w:color="000000"/>
            </w:tcBorders>
            <w:shd w:val="clear" w:color="auto" w:fill="FFFFFF"/>
            <w:tcMar>
              <w:top w:w="0" w:type="dxa"/>
              <w:left w:w="0" w:type="dxa"/>
              <w:bottom w:w="0" w:type="dxa"/>
              <w:right w:w="0" w:type="dxa"/>
            </w:tcMar>
            <w:vAlign w:val="center"/>
          </w:tcPr>
          <w:p w14:paraId="4ABFB9A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sidRPr="00C80470">
              <w:rPr>
                <w:rFonts w:ascii="Times New Roman" w:eastAsia="Times New Roman" w:hAnsi="Times New Roman" w:cs="Times New Roman"/>
                <w:color w:val="000000"/>
                <w:sz w:val="24"/>
                <w:szCs w:val="24"/>
              </w:rPr>
              <w:t>Odds Ratio (95% CI)</w:t>
            </w:r>
          </w:p>
        </w:tc>
        <w:tc>
          <w:tcPr>
            <w:tcW w:w="876" w:type="dxa"/>
            <w:tcBorders>
              <w:bottom w:val="single" w:sz="8" w:space="0" w:color="000000"/>
            </w:tcBorders>
            <w:shd w:val="clear" w:color="auto" w:fill="FFFFFF"/>
            <w:tcMar>
              <w:top w:w="0" w:type="dxa"/>
              <w:left w:w="0" w:type="dxa"/>
              <w:bottom w:w="0" w:type="dxa"/>
              <w:right w:w="0" w:type="dxa"/>
            </w:tcMar>
            <w:vAlign w:val="center"/>
          </w:tcPr>
          <w:p w14:paraId="3841D96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p</w:t>
            </w:r>
          </w:p>
        </w:tc>
        <w:tc>
          <w:tcPr>
            <w:tcW w:w="2247" w:type="dxa"/>
            <w:tcBorders>
              <w:bottom w:val="single" w:sz="8" w:space="0" w:color="000000"/>
            </w:tcBorders>
            <w:shd w:val="clear" w:color="auto" w:fill="FFFFFF"/>
            <w:tcMar>
              <w:top w:w="0" w:type="dxa"/>
              <w:left w:w="0" w:type="dxa"/>
              <w:bottom w:w="0" w:type="dxa"/>
              <w:right w:w="0" w:type="dxa"/>
            </w:tcMar>
            <w:vAlign w:val="center"/>
          </w:tcPr>
          <w:p w14:paraId="513E959E"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Odds Ratio (95% CI)</w:t>
            </w:r>
          </w:p>
        </w:tc>
        <w:tc>
          <w:tcPr>
            <w:tcW w:w="740" w:type="dxa"/>
            <w:tcBorders>
              <w:bottom w:val="single" w:sz="8" w:space="0" w:color="000000"/>
            </w:tcBorders>
            <w:shd w:val="clear" w:color="auto" w:fill="FFFFFF"/>
            <w:tcMar>
              <w:top w:w="0" w:type="dxa"/>
              <w:left w:w="0" w:type="dxa"/>
              <w:bottom w:w="0" w:type="dxa"/>
              <w:right w:w="0" w:type="dxa"/>
            </w:tcMar>
            <w:vAlign w:val="center"/>
          </w:tcPr>
          <w:p w14:paraId="68FEADA1"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p</w:t>
            </w:r>
          </w:p>
        </w:tc>
      </w:tr>
      <w:tr w:rsidR="00024E20" w:rsidRPr="00C80470" w14:paraId="4B186C4E" w14:textId="77777777" w:rsidTr="00F57DEE">
        <w:trPr>
          <w:jc w:val="center"/>
        </w:trPr>
        <w:tc>
          <w:tcPr>
            <w:tcW w:w="2672" w:type="dxa"/>
            <w:tcBorders>
              <w:top w:val="single" w:sz="8" w:space="0" w:color="000000"/>
              <w:left w:val="nil"/>
              <w:bottom w:val="nil"/>
              <w:right w:val="nil"/>
            </w:tcBorders>
            <w:shd w:val="clear" w:color="auto" w:fill="FFFFFF"/>
            <w:tcMar>
              <w:top w:w="0" w:type="dxa"/>
              <w:left w:w="0" w:type="dxa"/>
              <w:bottom w:w="0" w:type="dxa"/>
              <w:right w:w="0" w:type="dxa"/>
            </w:tcMar>
          </w:tcPr>
          <w:p w14:paraId="024C75E6"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Height (m)</w:t>
            </w:r>
          </w:p>
        </w:tc>
        <w:tc>
          <w:tcPr>
            <w:tcW w:w="2247" w:type="dxa"/>
            <w:tcBorders>
              <w:top w:val="single" w:sz="8" w:space="0" w:color="000000"/>
              <w:left w:val="nil"/>
              <w:bottom w:val="nil"/>
              <w:right w:val="nil"/>
            </w:tcBorders>
            <w:shd w:val="clear" w:color="auto" w:fill="FFFFFF"/>
            <w:tcMar>
              <w:top w:w="0" w:type="dxa"/>
              <w:left w:w="0" w:type="dxa"/>
              <w:bottom w:w="0" w:type="dxa"/>
              <w:right w:w="0" w:type="dxa"/>
            </w:tcMar>
          </w:tcPr>
          <w:p w14:paraId="4A53BB6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1.01</w:t>
            </w:r>
            <w:r>
              <w:rPr>
                <w:rFonts w:ascii="Times New Roman" w:eastAsia="Times New Roman" w:hAnsi="Times New Roman" w:cs="Times New Roman"/>
                <w:color w:val="000000"/>
                <w:sz w:val="24"/>
                <w:szCs w:val="24"/>
              </w:rPr>
              <w:t>5</w:t>
            </w:r>
            <w:r w:rsidRPr="00C80470">
              <w:rPr>
                <w:rFonts w:ascii="Times New Roman" w:eastAsia="Times New Roman" w:hAnsi="Times New Roman" w:cs="Times New Roman"/>
                <w:color w:val="000000"/>
                <w:sz w:val="24"/>
                <w:szCs w:val="24"/>
              </w:rPr>
              <w:t xml:space="preserve"> (0.96</w:t>
            </w:r>
            <w:r>
              <w:rPr>
                <w:rFonts w:ascii="Times New Roman" w:eastAsia="Times New Roman" w:hAnsi="Times New Roman" w:cs="Times New Roman"/>
                <w:color w:val="000000"/>
                <w:sz w:val="24"/>
                <w:szCs w:val="24"/>
              </w:rPr>
              <w:t>5</w:t>
            </w:r>
            <w:r w:rsidRPr="00C80470">
              <w:rPr>
                <w:rFonts w:ascii="Times New Roman" w:eastAsia="Times New Roman" w:hAnsi="Times New Roman" w:cs="Times New Roman"/>
                <w:color w:val="000000"/>
                <w:sz w:val="24"/>
                <w:szCs w:val="24"/>
              </w:rPr>
              <w:t>, 1.06</w:t>
            </w:r>
            <w:r>
              <w:rPr>
                <w:rFonts w:ascii="Times New Roman" w:eastAsia="Times New Roman" w:hAnsi="Times New Roman" w:cs="Times New Roman"/>
                <w:color w:val="000000"/>
                <w:sz w:val="24"/>
                <w:szCs w:val="24"/>
              </w:rPr>
              <w:t>8</w:t>
            </w:r>
            <w:r w:rsidRPr="00C80470">
              <w:rPr>
                <w:rFonts w:ascii="Times New Roman" w:eastAsia="Times New Roman" w:hAnsi="Times New Roman" w:cs="Times New Roman"/>
                <w:color w:val="000000"/>
                <w:sz w:val="24"/>
                <w:szCs w:val="24"/>
              </w:rPr>
              <w:t>)</w:t>
            </w:r>
          </w:p>
        </w:tc>
        <w:tc>
          <w:tcPr>
            <w:tcW w:w="876" w:type="dxa"/>
            <w:tcBorders>
              <w:top w:val="single" w:sz="8" w:space="0" w:color="000000"/>
              <w:left w:val="nil"/>
              <w:bottom w:val="nil"/>
              <w:right w:val="nil"/>
            </w:tcBorders>
            <w:shd w:val="clear" w:color="auto" w:fill="FFFFFF"/>
            <w:tcMar>
              <w:top w:w="0" w:type="dxa"/>
              <w:left w:w="0" w:type="dxa"/>
              <w:bottom w:w="0" w:type="dxa"/>
              <w:right w:w="0" w:type="dxa"/>
            </w:tcMar>
          </w:tcPr>
          <w:p w14:paraId="0948C61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60</w:t>
            </w:r>
          </w:p>
        </w:tc>
        <w:tc>
          <w:tcPr>
            <w:tcW w:w="2247" w:type="dxa"/>
            <w:tcBorders>
              <w:top w:val="single" w:sz="8" w:space="0" w:color="000000"/>
              <w:left w:val="nil"/>
              <w:bottom w:val="nil"/>
              <w:right w:val="nil"/>
            </w:tcBorders>
            <w:shd w:val="clear" w:color="auto" w:fill="FFFFFF"/>
            <w:tcMar>
              <w:top w:w="0" w:type="dxa"/>
              <w:left w:w="0" w:type="dxa"/>
              <w:bottom w:w="0" w:type="dxa"/>
              <w:right w:w="0" w:type="dxa"/>
            </w:tcMar>
          </w:tcPr>
          <w:p w14:paraId="47E369BE"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0.99</w:t>
            </w:r>
            <w:r>
              <w:rPr>
                <w:rFonts w:ascii="Times New Roman" w:eastAsia="Times New Roman" w:hAnsi="Times New Roman" w:cs="Times New Roman"/>
                <w:color w:val="000000"/>
                <w:sz w:val="24"/>
                <w:szCs w:val="24"/>
              </w:rPr>
              <w:t>9</w:t>
            </w:r>
            <w:r w:rsidRPr="00C80470">
              <w:rPr>
                <w:rFonts w:ascii="Times New Roman" w:eastAsia="Times New Roman" w:hAnsi="Times New Roman" w:cs="Times New Roman"/>
                <w:color w:val="000000"/>
                <w:sz w:val="24"/>
                <w:szCs w:val="24"/>
              </w:rPr>
              <w:t xml:space="preserve"> (0.88</w:t>
            </w:r>
            <w:r>
              <w:rPr>
                <w:rFonts w:ascii="Times New Roman" w:eastAsia="Times New Roman" w:hAnsi="Times New Roman" w:cs="Times New Roman"/>
                <w:color w:val="000000"/>
                <w:sz w:val="24"/>
                <w:szCs w:val="24"/>
              </w:rPr>
              <w:t>9</w:t>
            </w:r>
            <w:r w:rsidRPr="00C80470">
              <w:rPr>
                <w:rFonts w:ascii="Times New Roman" w:eastAsia="Times New Roman" w:hAnsi="Times New Roman" w:cs="Times New Roman"/>
                <w:color w:val="000000"/>
                <w:sz w:val="24"/>
                <w:szCs w:val="24"/>
              </w:rPr>
              <w:t>, 1.1</w:t>
            </w:r>
            <w:r>
              <w:rPr>
                <w:rFonts w:ascii="Times New Roman" w:eastAsia="Times New Roman" w:hAnsi="Times New Roman" w:cs="Times New Roman"/>
                <w:color w:val="000000"/>
                <w:sz w:val="24"/>
                <w:szCs w:val="24"/>
              </w:rPr>
              <w:t>22</w:t>
            </w:r>
            <w:r w:rsidRPr="00C80470">
              <w:rPr>
                <w:rFonts w:ascii="Times New Roman" w:eastAsia="Times New Roman" w:hAnsi="Times New Roman" w:cs="Times New Roman"/>
                <w:color w:val="000000"/>
                <w:sz w:val="24"/>
                <w:szCs w:val="24"/>
              </w:rPr>
              <w:t>)</w:t>
            </w:r>
          </w:p>
        </w:tc>
        <w:tc>
          <w:tcPr>
            <w:tcW w:w="740" w:type="dxa"/>
            <w:tcBorders>
              <w:top w:val="single" w:sz="8" w:space="0" w:color="000000"/>
              <w:left w:val="nil"/>
              <w:bottom w:val="nil"/>
              <w:right w:val="nil"/>
            </w:tcBorders>
            <w:shd w:val="clear" w:color="auto" w:fill="FFFFFF"/>
            <w:tcMar>
              <w:top w:w="0" w:type="dxa"/>
              <w:left w:w="0" w:type="dxa"/>
              <w:bottom w:w="0" w:type="dxa"/>
              <w:right w:w="0" w:type="dxa"/>
            </w:tcMar>
          </w:tcPr>
          <w:p w14:paraId="7A5C899E"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82</w:t>
            </w:r>
          </w:p>
        </w:tc>
      </w:tr>
      <w:tr w:rsidR="00024E20" w:rsidRPr="00C80470" w14:paraId="44606B85"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02FFDA8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Body Mass (kg)</w:t>
            </w:r>
          </w:p>
        </w:tc>
        <w:tc>
          <w:tcPr>
            <w:tcW w:w="2247" w:type="dxa"/>
            <w:tcBorders>
              <w:top w:val="nil"/>
              <w:left w:val="nil"/>
              <w:bottom w:val="nil"/>
              <w:right w:val="nil"/>
            </w:tcBorders>
            <w:shd w:val="clear" w:color="auto" w:fill="FFFFFF"/>
            <w:tcMar>
              <w:top w:w="0" w:type="dxa"/>
              <w:left w:w="0" w:type="dxa"/>
              <w:bottom w:w="0" w:type="dxa"/>
              <w:right w:w="0" w:type="dxa"/>
            </w:tcMar>
          </w:tcPr>
          <w:p w14:paraId="2C705AD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0.97</w:t>
            </w:r>
            <w:r>
              <w:rPr>
                <w:rFonts w:ascii="Times New Roman" w:eastAsia="Times New Roman" w:hAnsi="Times New Roman" w:cs="Times New Roman"/>
                <w:color w:val="000000"/>
                <w:sz w:val="24"/>
                <w:szCs w:val="24"/>
              </w:rPr>
              <w:t>1</w:t>
            </w:r>
            <w:r w:rsidRPr="00C80470">
              <w:rPr>
                <w:rFonts w:ascii="Times New Roman" w:eastAsia="Times New Roman" w:hAnsi="Times New Roman" w:cs="Times New Roman"/>
                <w:color w:val="000000"/>
                <w:sz w:val="24"/>
                <w:szCs w:val="24"/>
              </w:rPr>
              <w:t xml:space="preserve"> (0.931, 1.01</w:t>
            </w:r>
            <w:r>
              <w:rPr>
                <w:rFonts w:ascii="Times New Roman" w:eastAsia="Times New Roman" w:hAnsi="Times New Roman" w:cs="Times New Roman"/>
                <w:color w:val="000000"/>
                <w:sz w:val="24"/>
                <w:szCs w:val="24"/>
              </w:rPr>
              <w:t>1</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6D59E17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z w:val="24"/>
                <w:szCs w:val="24"/>
              </w:rPr>
              <w:t>56</w:t>
            </w:r>
          </w:p>
        </w:tc>
        <w:tc>
          <w:tcPr>
            <w:tcW w:w="2247" w:type="dxa"/>
            <w:tcBorders>
              <w:top w:val="nil"/>
              <w:left w:val="nil"/>
              <w:bottom w:val="nil"/>
              <w:right w:val="nil"/>
            </w:tcBorders>
            <w:shd w:val="clear" w:color="auto" w:fill="FFFFFF"/>
            <w:tcMar>
              <w:top w:w="0" w:type="dxa"/>
              <w:left w:w="0" w:type="dxa"/>
              <w:bottom w:w="0" w:type="dxa"/>
              <w:right w:w="0" w:type="dxa"/>
            </w:tcMar>
          </w:tcPr>
          <w:p w14:paraId="2C2B90A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29</w:t>
            </w:r>
            <w:r w:rsidRPr="00C80470">
              <w:rPr>
                <w:rFonts w:ascii="Times New Roman" w:eastAsia="Times New Roman" w:hAnsi="Times New Roman" w:cs="Times New Roman"/>
                <w:color w:val="000000"/>
                <w:sz w:val="24"/>
                <w:szCs w:val="24"/>
              </w:rPr>
              <w:t xml:space="preserve"> (0.94</w:t>
            </w:r>
            <w:r>
              <w:rPr>
                <w:rFonts w:ascii="Times New Roman" w:eastAsia="Times New Roman" w:hAnsi="Times New Roman" w:cs="Times New Roman"/>
                <w:color w:val="000000"/>
                <w:sz w:val="24"/>
                <w:szCs w:val="24"/>
              </w:rPr>
              <w:t>0</w:t>
            </w:r>
            <w:r w:rsidRPr="00C80470">
              <w:rPr>
                <w:rFonts w:ascii="Times New Roman" w:eastAsia="Times New Roman" w:hAnsi="Times New Roman" w:cs="Times New Roman"/>
                <w:color w:val="000000"/>
                <w:sz w:val="24"/>
                <w:szCs w:val="24"/>
              </w:rPr>
              <w:t>, 1.12</w:t>
            </w:r>
            <w:r>
              <w:rPr>
                <w:rFonts w:ascii="Times New Roman" w:eastAsia="Times New Roman" w:hAnsi="Times New Roman" w:cs="Times New Roman"/>
                <w:color w:val="000000"/>
                <w:sz w:val="24"/>
                <w:szCs w:val="24"/>
              </w:rPr>
              <w:t>5</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1E58812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538</w:t>
            </w:r>
          </w:p>
        </w:tc>
      </w:tr>
      <w:tr w:rsidR="00024E20" w:rsidRPr="00C80470" w14:paraId="54F0A602"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4209B4C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Age (y)</w:t>
            </w:r>
          </w:p>
        </w:tc>
        <w:tc>
          <w:tcPr>
            <w:tcW w:w="2247" w:type="dxa"/>
            <w:tcBorders>
              <w:top w:val="nil"/>
              <w:left w:val="nil"/>
              <w:bottom w:val="nil"/>
              <w:right w:val="nil"/>
            </w:tcBorders>
            <w:shd w:val="clear" w:color="auto" w:fill="FFFFFF"/>
            <w:tcMar>
              <w:top w:w="0" w:type="dxa"/>
              <w:left w:w="0" w:type="dxa"/>
              <w:bottom w:w="0" w:type="dxa"/>
              <w:right w:w="0" w:type="dxa"/>
            </w:tcMar>
          </w:tcPr>
          <w:p w14:paraId="0969A3A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0.981 (0.908, 1.058)</w:t>
            </w:r>
          </w:p>
        </w:tc>
        <w:tc>
          <w:tcPr>
            <w:tcW w:w="876" w:type="dxa"/>
            <w:tcBorders>
              <w:top w:val="nil"/>
              <w:left w:val="nil"/>
              <w:bottom w:val="nil"/>
              <w:right w:val="nil"/>
            </w:tcBorders>
            <w:shd w:val="clear" w:color="auto" w:fill="FFFFFF"/>
            <w:tcMar>
              <w:top w:w="0" w:type="dxa"/>
              <w:left w:w="0" w:type="dxa"/>
              <w:bottom w:w="0" w:type="dxa"/>
              <w:right w:w="0" w:type="dxa"/>
            </w:tcMar>
          </w:tcPr>
          <w:p w14:paraId="34B89B6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0.614</w:t>
            </w:r>
          </w:p>
        </w:tc>
        <w:tc>
          <w:tcPr>
            <w:tcW w:w="2247" w:type="dxa"/>
            <w:tcBorders>
              <w:top w:val="nil"/>
              <w:left w:val="nil"/>
              <w:bottom w:val="nil"/>
              <w:right w:val="nil"/>
            </w:tcBorders>
            <w:shd w:val="clear" w:color="auto" w:fill="FFFFFF"/>
            <w:tcMar>
              <w:top w:w="0" w:type="dxa"/>
              <w:left w:w="0" w:type="dxa"/>
              <w:bottom w:w="0" w:type="dxa"/>
              <w:right w:w="0" w:type="dxa"/>
            </w:tcMar>
          </w:tcPr>
          <w:p w14:paraId="292DC44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1.059 (0.906, 1.237)</w:t>
            </w:r>
          </w:p>
        </w:tc>
        <w:tc>
          <w:tcPr>
            <w:tcW w:w="740" w:type="dxa"/>
            <w:tcBorders>
              <w:top w:val="nil"/>
              <w:left w:val="nil"/>
              <w:bottom w:val="nil"/>
              <w:right w:val="nil"/>
            </w:tcBorders>
            <w:shd w:val="clear" w:color="auto" w:fill="FFFFFF"/>
            <w:tcMar>
              <w:top w:w="0" w:type="dxa"/>
              <w:left w:w="0" w:type="dxa"/>
              <w:bottom w:w="0" w:type="dxa"/>
              <w:right w:w="0" w:type="dxa"/>
            </w:tcMar>
          </w:tcPr>
          <w:p w14:paraId="5BCFFB8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0.472</w:t>
            </w:r>
          </w:p>
        </w:tc>
      </w:tr>
      <w:tr w:rsidR="00024E20" w:rsidRPr="00C80470" w14:paraId="572AC3E0"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2F1D774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2.4 km Run Time (s)</w:t>
            </w:r>
          </w:p>
        </w:tc>
        <w:tc>
          <w:tcPr>
            <w:tcW w:w="2247" w:type="dxa"/>
            <w:tcBorders>
              <w:top w:val="nil"/>
              <w:left w:val="nil"/>
              <w:bottom w:val="nil"/>
              <w:right w:val="nil"/>
            </w:tcBorders>
            <w:shd w:val="clear" w:color="auto" w:fill="FFFFFF"/>
            <w:tcMar>
              <w:top w:w="0" w:type="dxa"/>
              <w:left w:w="0" w:type="dxa"/>
              <w:bottom w:w="0" w:type="dxa"/>
              <w:right w:w="0" w:type="dxa"/>
            </w:tcMar>
          </w:tcPr>
          <w:p w14:paraId="18752BB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1.010 (1.005, 1.014)</w:t>
            </w:r>
          </w:p>
        </w:tc>
        <w:tc>
          <w:tcPr>
            <w:tcW w:w="876" w:type="dxa"/>
            <w:tcBorders>
              <w:top w:val="nil"/>
              <w:left w:val="nil"/>
              <w:bottom w:val="nil"/>
              <w:right w:val="nil"/>
            </w:tcBorders>
            <w:shd w:val="clear" w:color="auto" w:fill="FFFFFF"/>
            <w:tcMar>
              <w:top w:w="0" w:type="dxa"/>
              <w:left w:w="0" w:type="dxa"/>
              <w:bottom w:w="0" w:type="dxa"/>
              <w:right w:w="0" w:type="dxa"/>
            </w:tcMar>
          </w:tcPr>
          <w:p w14:paraId="621A03C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&lt;0.001</w:t>
            </w:r>
          </w:p>
        </w:tc>
        <w:tc>
          <w:tcPr>
            <w:tcW w:w="2247" w:type="dxa"/>
            <w:tcBorders>
              <w:top w:val="nil"/>
              <w:left w:val="nil"/>
              <w:bottom w:val="nil"/>
              <w:right w:val="nil"/>
            </w:tcBorders>
            <w:shd w:val="clear" w:color="auto" w:fill="FFFFFF"/>
            <w:tcMar>
              <w:top w:w="0" w:type="dxa"/>
              <w:left w:w="0" w:type="dxa"/>
              <w:bottom w:w="0" w:type="dxa"/>
              <w:right w:w="0" w:type="dxa"/>
            </w:tcMar>
          </w:tcPr>
          <w:p w14:paraId="1B1011B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1.007 (0.998, 1.015)</w:t>
            </w:r>
          </w:p>
        </w:tc>
        <w:tc>
          <w:tcPr>
            <w:tcW w:w="740" w:type="dxa"/>
            <w:tcBorders>
              <w:top w:val="nil"/>
              <w:left w:val="nil"/>
              <w:bottom w:val="nil"/>
              <w:right w:val="nil"/>
            </w:tcBorders>
            <w:shd w:val="clear" w:color="auto" w:fill="FFFFFF"/>
            <w:tcMar>
              <w:top w:w="0" w:type="dxa"/>
              <w:left w:w="0" w:type="dxa"/>
              <w:bottom w:w="0" w:type="dxa"/>
              <w:right w:w="0" w:type="dxa"/>
            </w:tcMar>
          </w:tcPr>
          <w:p w14:paraId="5285195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z w:val="24"/>
                <w:szCs w:val="24"/>
              </w:rPr>
              <w:t>38</w:t>
            </w:r>
          </w:p>
        </w:tc>
      </w:tr>
      <w:tr w:rsidR="00024E20" w:rsidRPr="00C80470" w14:paraId="0914CECF"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1EA93FF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Smoker</w:t>
            </w:r>
          </w:p>
        </w:tc>
        <w:tc>
          <w:tcPr>
            <w:tcW w:w="2247" w:type="dxa"/>
            <w:tcBorders>
              <w:top w:val="nil"/>
              <w:left w:val="nil"/>
              <w:bottom w:val="nil"/>
              <w:right w:val="nil"/>
            </w:tcBorders>
            <w:shd w:val="clear" w:color="auto" w:fill="FFFFFF"/>
            <w:tcMar>
              <w:top w:w="0" w:type="dxa"/>
              <w:left w:w="0" w:type="dxa"/>
              <w:bottom w:w="0" w:type="dxa"/>
              <w:right w:w="0" w:type="dxa"/>
            </w:tcMar>
          </w:tcPr>
          <w:p w14:paraId="5E07CD8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FFFFFF"/>
            <w:tcMar>
              <w:top w:w="0" w:type="dxa"/>
              <w:left w:w="0" w:type="dxa"/>
              <w:bottom w:w="0" w:type="dxa"/>
              <w:right w:w="0" w:type="dxa"/>
            </w:tcMar>
          </w:tcPr>
          <w:p w14:paraId="6C64BC56"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6F9A189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740" w:type="dxa"/>
            <w:tcBorders>
              <w:top w:val="nil"/>
              <w:left w:val="nil"/>
              <w:bottom w:val="nil"/>
              <w:right w:val="nil"/>
            </w:tcBorders>
            <w:shd w:val="clear" w:color="auto" w:fill="FFFFFF"/>
            <w:tcMar>
              <w:top w:w="0" w:type="dxa"/>
              <w:left w:w="0" w:type="dxa"/>
              <w:bottom w:w="0" w:type="dxa"/>
              <w:right w:w="0" w:type="dxa"/>
            </w:tcMar>
          </w:tcPr>
          <w:p w14:paraId="05AE418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7A601323"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7E4E8AD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No</w:t>
            </w:r>
          </w:p>
        </w:tc>
        <w:tc>
          <w:tcPr>
            <w:tcW w:w="2247" w:type="dxa"/>
            <w:tcBorders>
              <w:top w:val="nil"/>
              <w:left w:val="nil"/>
              <w:bottom w:val="nil"/>
              <w:right w:val="nil"/>
            </w:tcBorders>
            <w:shd w:val="clear" w:color="auto" w:fill="FFFFFF"/>
            <w:tcMar>
              <w:top w:w="0" w:type="dxa"/>
              <w:left w:w="0" w:type="dxa"/>
              <w:bottom w:w="0" w:type="dxa"/>
              <w:right w:w="0" w:type="dxa"/>
            </w:tcMar>
          </w:tcPr>
          <w:p w14:paraId="2631BB1E"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5CE4335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3993128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5A39E70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79242A04"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52CB16A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Yes</w:t>
            </w:r>
          </w:p>
        </w:tc>
        <w:tc>
          <w:tcPr>
            <w:tcW w:w="2247" w:type="dxa"/>
            <w:tcBorders>
              <w:top w:val="nil"/>
              <w:left w:val="nil"/>
              <w:bottom w:val="nil"/>
              <w:right w:val="nil"/>
            </w:tcBorders>
            <w:shd w:val="clear" w:color="auto" w:fill="FFFFFF"/>
            <w:tcMar>
              <w:top w:w="0" w:type="dxa"/>
              <w:left w:w="0" w:type="dxa"/>
              <w:bottom w:w="0" w:type="dxa"/>
              <w:right w:w="0" w:type="dxa"/>
            </w:tcMar>
          </w:tcPr>
          <w:p w14:paraId="54301480"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100</w:t>
            </w:r>
            <w:r w:rsidRPr="00C80470">
              <w:rPr>
                <w:rFonts w:ascii="Times New Roman" w:eastAsia="Times New Roman" w:hAnsi="Times New Roman" w:cs="Times New Roman"/>
                <w:color w:val="000000"/>
                <w:sz w:val="24"/>
                <w:szCs w:val="24"/>
              </w:rPr>
              <w:t xml:space="preserve"> (1.12</w:t>
            </w:r>
            <w:r>
              <w:rPr>
                <w:rFonts w:ascii="Times New Roman" w:eastAsia="Times New Roman" w:hAnsi="Times New Roman" w:cs="Times New Roman"/>
                <w:color w:val="000000"/>
                <w:sz w:val="24"/>
                <w:szCs w:val="24"/>
              </w:rPr>
              <w:t>4</w:t>
            </w:r>
            <w:r w:rsidRPr="00C80470">
              <w:rPr>
                <w:rFonts w:ascii="Times New Roman" w:eastAsia="Times New Roman" w:hAnsi="Times New Roman" w:cs="Times New Roman"/>
                <w:color w:val="000000"/>
                <w:sz w:val="24"/>
                <w:szCs w:val="24"/>
              </w:rPr>
              <w:t>, 3.9</w:t>
            </w:r>
            <w:r>
              <w:rPr>
                <w:rFonts w:ascii="Times New Roman" w:eastAsia="Times New Roman" w:hAnsi="Times New Roman" w:cs="Times New Roman"/>
                <w:color w:val="000000"/>
                <w:sz w:val="24"/>
                <w:szCs w:val="24"/>
              </w:rPr>
              <w:t>41</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538F4F8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0.020</w:t>
            </w:r>
          </w:p>
        </w:tc>
        <w:tc>
          <w:tcPr>
            <w:tcW w:w="2247" w:type="dxa"/>
            <w:tcBorders>
              <w:top w:val="nil"/>
              <w:left w:val="nil"/>
              <w:bottom w:val="nil"/>
              <w:right w:val="nil"/>
            </w:tcBorders>
            <w:shd w:val="clear" w:color="auto" w:fill="FFFFFF"/>
            <w:tcMar>
              <w:top w:w="0" w:type="dxa"/>
              <w:left w:w="0" w:type="dxa"/>
              <w:bottom w:w="0" w:type="dxa"/>
              <w:right w:w="0" w:type="dxa"/>
            </w:tcMar>
          </w:tcPr>
          <w:p w14:paraId="3BEC11B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rPr>
              <w:t>39</w:t>
            </w:r>
            <w:r w:rsidRPr="00C80470">
              <w:rPr>
                <w:rFonts w:ascii="Times New Roman" w:eastAsia="Times New Roman" w:hAnsi="Times New Roman" w:cs="Times New Roman"/>
                <w:color w:val="000000"/>
                <w:sz w:val="24"/>
                <w:szCs w:val="24"/>
              </w:rPr>
              <w:t xml:space="preserve"> (0.3</w:t>
            </w:r>
            <w:r>
              <w:rPr>
                <w:rFonts w:ascii="Times New Roman" w:eastAsia="Times New Roman" w:hAnsi="Times New Roman" w:cs="Times New Roman"/>
                <w:color w:val="000000"/>
                <w:sz w:val="24"/>
                <w:szCs w:val="24"/>
              </w:rPr>
              <w:t>46</w:t>
            </w:r>
            <w:r w:rsidRPr="00C80470">
              <w:rPr>
                <w:rFonts w:ascii="Times New Roman" w:eastAsia="Times New Roman" w:hAnsi="Times New Roman" w:cs="Times New Roman"/>
                <w:color w:val="000000"/>
                <w:sz w:val="24"/>
                <w:szCs w:val="24"/>
              </w:rPr>
              <w:t>, 5.993)</w:t>
            </w:r>
          </w:p>
        </w:tc>
        <w:tc>
          <w:tcPr>
            <w:tcW w:w="740" w:type="dxa"/>
            <w:tcBorders>
              <w:top w:val="nil"/>
              <w:left w:val="nil"/>
              <w:bottom w:val="nil"/>
              <w:right w:val="nil"/>
            </w:tcBorders>
            <w:shd w:val="clear" w:color="auto" w:fill="FFFFFF"/>
            <w:tcMar>
              <w:top w:w="0" w:type="dxa"/>
              <w:left w:w="0" w:type="dxa"/>
              <w:bottom w:w="0" w:type="dxa"/>
              <w:right w:w="0" w:type="dxa"/>
            </w:tcMar>
          </w:tcPr>
          <w:p w14:paraId="6A70817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17</w:t>
            </w:r>
          </w:p>
        </w:tc>
      </w:tr>
      <w:tr w:rsidR="00024E20" w:rsidRPr="00C80470" w14:paraId="019EEBCE"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7B6CCF9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Previous</w:t>
            </w:r>
          </w:p>
        </w:tc>
        <w:tc>
          <w:tcPr>
            <w:tcW w:w="2247" w:type="dxa"/>
            <w:tcBorders>
              <w:top w:val="nil"/>
              <w:left w:val="nil"/>
              <w:bottom w:val="nil"/>
              <w:right w:val="nil"/>
            </w:tcBorders>
            <w:shd w:val="clear" w:color="auto" w:fill="FFFFFF"/>
            <w:tcMar>
              <w:top w:w="0" w:type="dxa"/>
              <w:left w:w="0" w:type="dxa"/>
              <w:bottom w:w="0" w:type="dxa"/>
              <w:right w:w="0" w:type="dxa"/>
            </w:tcMar>
          </w:tcPr>
          <w:p w14:paraId="1864C28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z w:val="24"/>
                <w:szCs w:val="24"/>
              </w:rPr>
              <w:t>73</w:t>
            </w:r>
            <w:r w:rsidRPr="00C80470">
              <w:rPr>
                <w:rFonts w:ascii="Times New Roman" w:eastAsia="Times New Roman" w:hAnsi="Times New Roman" w:cs="Times New Roman"/>
                <w:color w:val="000000"/>
                <w:sz w:val="24"/>
                <w:szCs w:val="24"/>
              </w:rPr>
              <w:t xml:space="preserve"> (0.64</w:t>
            </w:r>
            <w:r>
              <w:rPr>
                <w:rFonts w:ascii="Times New Roman" w:eastAsia="Times New Roman" w:hAnsi="Times New Roman" w:cs="Times New Roman"/>
                <w:color w:val="000000"/>
                <w:sz w:val="24"/>
                <w:szCs w:val="24"/>
              </w:rPr>
              <w:t>5</w:t>
            </w:r>
            <w:r w:rsidRPr="00C80470">
              <w:rPr>
                <w:rFonts w:ascii="Times New Roman" w:eastAsia="Times New Roman" w:hAnsi="Times New Roman" w:cs="Times New Roman"/>
                <w:color w:val="000000"/>
                <w:sz w:val="24"/>
                <w:szCs w:val="24"/>
              </w:rPr>
              <w:t>, 2.</w:t>
            </w:r>
            <w:r>
              <w:rPr>
                <w:rFonts w:ascii="Times New Roman" w:eastAsia="Times New Roman" w:hAnsi="Times New Roman" w:cs="Times New Roman"/>
                <w:color w:val="000000"/>
                <w:sz w:val="24"/>
                <w:szCs w:val="24"/>
              </w:rPr>
              <w:t>437</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6C87737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470</w:t>
            </w:r>
          </w:p>
        </w:tc>
        <w:tc>
          <w:tcPr>
            <w:tcW w:w="2247" w:type="dxa"/>
            <w:tcBorders>
              <w:top w:val="nil"/>
              <w:left w:val="nil"/>
              <w:bottom w:val="nil"/>
              <w:right w:val="nil"/>
            </w:tcBorders>
            <w:shd w:val="clear" w:color="auto" w:fill="FFFFFF"/>
            <w:tcMar>
              <w:top w:w="0" w:type="dxa"/>
              <w:left w:w="0" w:type="dxa"/>
              <w:bottom w:w="0" w:type="dxa"/>
              <w:right w:w="0" w:type="dxa"/>
            </w:tcMar>
          </w:tcPr>
          <w:p w14:paraId="2365351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785</w:t>
            </w:r>
            <w:r w:rsidRPr="00C80470">
              <w:rPr>
                <w:rFonts w:ascii="Times New Roman" w:eastAsia="Times New Roman" w:hAnsi="Times New Roman" w:cs="Times New Roman"/>
                <w:color w:val="000000"/>
                <w:sz w:val="24"/>
                <w:szCs w:val="24"/>
              </w:rPr>
              <w:t xml:space="preserve"> (0.42</w:t>
            </w:r>
            <w:r>
              <w:rPr>
                <w:rFonts w:ascii="Times New Roman" w:eastAsia="Times New Roman" w:hAnsi="Times New Roman" w:cs="Times New Roman"/>
                <w:color w:val="000000"/>
                <w:sz w:val="24"/>
                <w:szCs w:val="24"/>
              </w:rPr>
              <w:t>6</w:t>
            </w:r>
            <w:r w:rsidRPr="00C804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7.483</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7CB3325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428</w:t>
            </w:r>
          </w:p>
        </w:tc>
      </w:tr>
      <w:tr w:rsidR="00024E20" w:rsidRPr="00C80470" w14:paraId="7CB8E20C"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48C8FA2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 xml:space="preserve">Previous </w:t>
            </w:r>
            <w:r>
              <w:rPr>
                <w:rFonts w:ascii="Times New Roman" w:eastAsia="Times New Roman" w:hAnsi="Times New Roman" w:cs="Times New Roman"/>
                <w:color w:val="000000"/>
                <w:sz w:val="24"/>
                <w:szCs w:val="24"/>
              </w:rPr>
              <w:t>Bone Stress Injury</w:t>
            </w:r>
          </w:p>
        </w:tc>
        <w:tc>
          <w:tcPr>
            <w:tcW w:w="2247" w:type="dxa"/>
            <w:tcBorders>
              <w:top w:val="nil"/>
              <w:left w:val="nil"/>
              <w:bottom w:val="nil"/>
              <w:right w:val="nil"/>
            </w:tcBorders>
            <w:shd w:val="clear" w:color="auto" w:fill="FFFFFF"/>
            <w:tcMar>
              <w:top w:w="0" w:type="dxa"/>
              <w:left w:w="0" w:type="dxa"/>
              <w:bottom w:w="0" w:type="dxa"/>
              <w:right w:w="0" w:type="dxa"/>
            </w:tcMar>
          </w:tcPr>
          <w:p w14:paraId="61318C7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FFFFFF"/>
            <w:tcMar>
              <w:top w:w="0" w:type="dxa"/>
              <w:left w:w="0" w:type="dxa"/>
              <w:bottom w:w="0" w:type="dxa"/>
              <w:right w:w="0" w:type="dxa"/>
            </w:tcMar>
          </w:tcPr>
          <w:p w14:paraId="44E6EF40"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6A75364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740" w:type="dxa"/>
            <w:tcBorders>
              <w:top w:val="nil"/>
              <w:left w:val="nil"/>
              <w:bottom w:val="nil"/>
              <w:right w:val="nil"/>
            </w:tcBorders>
            <w:shd w:val="clear" w:color="auto" w:fill="FFFFFF"/>
            <w:tcMar>
              <w:top w:w="0" w:type="dxa"/>
              <w:left w:w="0" w:type="dxa"/>
              <w:bottom w:w="0" w:type="dxa"/>
              <w:right w:w="0" w:type="dxa"/>
            </w:tcMar>
          </w:tcPr>
          <w:p w14:paraId="2DB10FD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4577D417"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5BC4E2B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No</w:t>
            </w:r>
          </w:p>
        </w:tc>
        <w:tc>
          <w:tcPr>
            <w:tcW w:w="2247" w:type="dxa"/>
            <w:tcBorders>
              <w:top w:val="nil"/>
              <w:left w:val="nil"/>
              <w:bottom w:val="nil"/>
              <w:right w:val="nil"/>
            </w:tcBorders>
            <w:shd w:val="clear" w:color="auto" w:fill="FFFFFF"/>
            <w:tcMar>
              <w:top w:w="0" w:type="dxa"/>
              <w:left w:w="0" w:type="dxa"/>
              <w:bottom w:w="0" w:type="dxa"/>
              <w:right w:w="0" w:type="dxa"/>
            </w:tcMar>
          </w:tcPr>
          <w:p w14:paraId="2B3B5A9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1F0ECB8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15A2421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0CCD9272"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419FE2FC"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2110446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Yes</w:t>
            </w:r>
          </w:p>
        </w:tc>
        <w:tc>
          <w:tcPr>
            <w:tcW w:w="2247" w:type="dxa"/>
            <w:tcBorders>
              <w:top w:val="nil"/>
              <w:left w:val="nil"/>
              <w:bottom w:val="nil"/>
              <w:right w:val="nil"/>
            </w:tcBorders>
            <w:shd w:val="clear" w:color="auto" w:fill="FFFFFF"/>
            <w:tcMar>
              <w:top w:w="0" w:type="dxa"/>
              <w:left w:w="0" w:type="dxa"/>
              <w:bottom w:w="0" w:type="dxa"/>
              <w:right w:w="0" w:type="dxa"/>
            </w:tcMar>
          </w:tcPr>
          <w:p w14:paraId="081E142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0.97</w:t>
            </w:r>
            <w:r>
              <w:rPr>
                <w:rFonts w:ascii="Times New Roman" w:eastAsia="Times New Roman" w:hAnsi="Times New Roman" w:cs="Times New Roman"/>
                <w:color w:val="000000"/>
                <w:sz w:val="24"/>
                <w:szCs w:val="24"/>
              </w:rPr>
              <w:t>6</w:t>
            </w:r>
            <w:r w:rsidRPr="00C80470">
              <w:rPr>
                <w:rFonts w:ascii="Times New Roman" w:eastAsia="Times New Roman" w:hAnsi="Times New Roman" w:cs="Times New Roman"/>
                <w:color w:val="000000"/>
                <w:sz w:val="24"/>
                <w:szCs w:val="24"/>
              </w:rPr>
              <w:t xml:space="preserve"> (0.27</w:t>
            </w:r>
            <w:r>
              <w:rPr>
                <w:rFonts w:ascii="Times New Roman" w:eastAsia="Times New Roman" w:hAnsi="Times New Roman" w:cs="Times New Roman"/>
                <w:color w:val="000000"/>
                <w:sz w:val="24"/>
                <w:szCs w:val="24"/>
              </w:rPr>
              <w:t>3</w:t>
            </w:r>
            <w:r w:rsidRPr="00C80470">
              <w:rPr>
                <w:rFonts w:ascii="Times New Roman" w:eastAsia="Times New Roman" w:hAnsi="Times New Roman" w:cs="Times New Roman"/>
                <w:color w:val="000000"/>
                <w:sz w:val="24"/>
                <w:szCs w:val="24"/>
              </w:rPr>
              <w:t>, 3.17</w:t>
            </w:r>
            <w:r>
              <w:rPr>
                <w:rFonts w:ascii="Times New Roman" w:eastAsia="Times New Roman" w:hAnsi="Times New Roman" w:cs="Times New Roman"/>
                <w:color w:val="000000"/>
                <w:sz w:val="24"/>
                <w:szCs w:val="24"/>
              </w:rPr>
              <w:t>4</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04F77D4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69</w:t>
            </w:r>
          </w:p>
        </w:tc>
        <w:tc>
          <w:tcPr>
            <w:tcW w:w="2247" w:type="dxa"/>
            <w:tcBorders>
              <w:top w:val="nil"/>
              <w:left w:val="nil"/>
              <w:bottom w:val="nil"/>
              <w:right w:val="nil"/>
            </w:tcBorders>
            <w:shd w:val="clear" w:color="auto" w:fill="FFFFFF"/>
            <w:tcMar>
              <w:top w:w="0" w:type="dxa"/>
              <w:left w:w="0" w:type="dxa"/>
              <w:bottom w:w="0" w:type="dxa"/>
              <w:right w:w="0" w:type="dxa"/>
            </w:tcMar>
          </w:tcPr>
          <w:p w14:paraId="258EACB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70</w:t>
            </w:r>
            <w:r w:rsidRPr="00C80470">
              <w:rPr>
                <w:rFonts w:ascii="Times New Roman" w:eastAsia="Times New Roman" w:hAnsi="Times New Roman" w:cs="Times New Roman"/>
                <w:color w:val="000000"/>
                <w:sz w:val="24"/>
                <w:szCs w:val="24"/>
              </w:rPr>
              <w:t xml:space="preserve"> (0.06</w:t>
            </w:r>
            <w:r>
              <w:rPr>
                <w:rFonts w:ascii="Times New Roman" w:eastAsia="Times New Roman" w:hAnsi="Times New Roman" w:cs="Times New Roman"/>
                <w:color w:val="000000"/>
                <w:sz w:val="24"/>
                <w:szCs w:val="24"/>
              </w:rPr>
              <w:t>1</w:t>
            </w:r>
            <w:r w:rsidRPr="00C80470">
              <w:rPr>
                <w:rFonts w:ascii="Times New Roman" w:eastAsia="Times New Roman" w:hAnsi="Times New Roman" w:cs="Times New Roman"/>
                <w:color w:val="000000"/>
                <w:sz w:val="24"/>
                <w:szCs w:val="24"/>
              </w:rPr>
              <w:t>, 12.</w:t>
            </w:r>
            <w:r>
              <w:rPr>
                <w:rFonts w:ascii="Times New Roman" w:eastAsia="Times New Roman" w:hAnsi="Times New Roman" w:cs="Times New Roman"/>
                <w:color w:val="000000"/>
                <w:sz w:val="24"/>
                <w:szCs w:val="24"/>
              </w:rPr>
              <w:t>30</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6D85D09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18</w:t>
            </w:r>
          </w:p>
        </w:tc>
      </w:tr>
      <w:tr w:rsidR="00024E20" w:rsidRPr="00C80470" w14:paraId="7B0F24AB"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2DD3A4F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Don’t Know</w:t>
            </w:r>
          </w:p>
        </w:tc>
        <w:tc>
          <w:tcPr>
            <w:tcW w:w="2247" w:type="dxa"/>
            <w:tcBorders>
              <w:top w:val="nil"/>
              <w:left w:val="nil"/>
              <w:bottom w:val="nil"/>
              <w:right w:val="nil"/>
            </w:tcBorders>
            <w:shd w:val="clear" w:color="auto" w:fill="FFFFFF"/>
            <w:tcMar>
              <w:top w:w="0" w:type="dxa"/>
              <w:left w:w="0" w:type="dxa"/>
              <w:bottom w:w="0" w:type="dxa"/>
              <w:right w:w="0" w:type="dxa"/>
            </w:tcMar>
          </w:tcPr>
          <w:p w14:paraId="2B6C027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889</w:t>
            </w:r>
            <w:r w:rsidRPr="00C80470">
              <w:rPr>
                <w:rFonts w:ascii="Times New Roman" w:eastAsia="Times New Roman" w:hAnsi="Times New Roman" w:cs="Times New Roman"/>
                <w:color w:val="000000"/>
                <w:sz w:val="24"/>
                <w:szCs w:val="24"/>
              </w:rPr>
              <w:t xml:space="preserve"> (0.19</w:t>
            </w:r>
            <w:r>
              <w:rPr>
                <w:rFonts w:ascii="Times New Roman" w:eastAsia="Times New Roman" w:hAnsi="Times New Roman" w:cs="Times New Roman"/>
                <w:color w:val="000000"/>
                <w:sz w:val="24"/>
                <w:szCs w:val="24"/>
              </w:rPr>
              <w:t>3</w:t>
            </w:r>
            <w:r w:rsidRPr="00C804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17</w:t>
            </w:r>
            <w:r w:rsidRPr="00C8047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68</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69A6DF80"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57</w:t>
            </w:r>
          </w:p>
        </w:tc>
        <w:tc>
          <w:tcPr>
            <w:tcW w:w="2247" w:type="dxa"/>
            <w:tcBorders>
              <w:top w:val="nil"/>
              <w:left w:val="nil"/>
              <w:bottom w:val="nil"/>
              <w:right w:val="nil"/>
            </w:tcBorders>
            <w:shd w:val="clear" w:color="auto" w:fill="FFFFFF"/>
            <w:tcMar>
              <w:top w:w="0" w:type="dxa"/>
              <w:left w:w="0" w:type="dxa"/>
              <w:bottom w:w="0" w:type="dxa"/>
              <w:right w:w="0" w:type="dxa"/>
            </w:tcMar>
          </w:tcPr>
          <w:p w14:paraId="41D916A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5.138 </w:t>
            </w:r>
            <w:r w:rsidRPr="00C80470">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209</w:t>
            </w:r>
            <w:r w:rsidRPr="00C80470">
              <w:rPr>
                <w:rFonts w:ascii="Times New Roman" w:eastAsia="Times New Roman" w:hAnsi="Times New Roman" w:cs="Times New Roman"/>
                <w:color w:val="000000"/>
                <w:sz w:val="24"/>
                <w:szCs w:val="24"/>
              </w:rPr>
              <w:t>, 1</w:t>
            </w:r>
            <w:r>
              <w:rPr>
                <w:rFonts w:ascii="Times New Roman" w:eastAsia="Times New Roman" w:hAnsi="Times New Roman" w:cs="Times New Roman"/>
                <w:color w:val="000000"/>
                <w:sz w:val="24"/>
                <w:szCs w:val="24"/>
              </w:rPr>
              <w:t>26</w:t>
            </w:r>
            <w:r w:rsidRPr="00C8047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0</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4046E6C0"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z w:val="24"/>
                <w:szCs w:val="24"/>
              </w:rPr>
              <w:t>17</w:t>
            </w:r>
          </w:p>
        </w:tc>
      </w:tr>
      <w:tr w:rsidR="00024E20" w:rsidRPr="00C80470" w14:paraId="58C7B0FB"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0EFEBAE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Hormonal Contraceptives</w:t>
            </w:r>
          </w:p>
        </w:tc>
        <w:tc>
          <w:tcPr>
            <w:tcW w:w="2247" w:type="dxa"/>
            <w:tcBorders>
              <w:top w:val="nil"/>
              <w:left w:val="nil"/>
              <w:bottom w:val="nil"/>
              <w:right w:val="nil"/>
            </w:tcBorders>
            <w:shd w:val="clear" w:color="auto" w:fill="FFFFFF"/>
            <w:tcMar>
              <w:top w:w="0" w:type="dxa"/>
              <w:left w:w="0" w:type="dxa"/>
              <w:bottom w:w="0" w:type="dxa"/>
              <w:right w:w="0" w:type="dxa"/>
            </w:tcMar>
          </w:tcPr>
          <w:p w14:paraId="5D559A8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876" w:type="dxa"/>
            <w:tcBorders>
              <w:top w:val="nil"/>
              <w:left w:val="nil"/>
              <w:bottom w:val="nil"/>
              <w:right w:val="nil"/>
            </w:tcBorders>
            <w:shd w:val="clear" w:color="auto" w:fill="FFFFFF"/>
            <w:tcMar>
              <w:top w:w="0" w:type="dxa"/>
              <w:left w:w="0" w:type="dxa"/>
              <w:bottom w:w="0" w:type="dxa"/>
              <w:right w:w="0" w:type="dxa"/>
            </w:tcMar>
          </w:tcPr>
          <w:p w14:paraId="3815AF4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32F294F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740" w:type="dxa"/>
            <w:tcBorders>
              <w:top w:val="nil"/>
              <w:left w:val="nil"/>
              <w:bottom w:val="nil"/>
              <w:right w:val="nil"/>
            </w:tcBorders>
            <w:shd w:val="clear" w:color="auto" w:fill="FFFFFF"/>
            <w:tcMar>
              <w:top w:w="0" w:type="dxa"/>
              <w:left w:w="0" w:type="dxa"/>
              <w:bottom w:w="0" w:type="dxa"/>
              <w:right w:w="0" w:type="dxa"/>
            </w:tcMar>
          </w:tcPr>
          <w:p w14:paraId="1F49442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1F0DE35E"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7FDD64D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Non-user</w:t>
            </w:r>
          </w:p>
        </w:tc>
        <w:tc>
          <w:tcPr>
            <w:tcW w:w="2247" w:type="dxa"/>
            <w:tcBorders>
              <w:top w:val="nil"/>
              <w:left w:val="nil"/>
              <w:bottom w:val="nil"/>
              <w:right w:val="nil"/>
            </w:tcBorders>
            <w:shd w:val="clear" w:color="auto" w:fill="FFFFFF"/>
            <w:tcMar>
              <w:top w:w="0" w:type="dxa"/>
              <w:left w:w="0" w:type="dxa"/>
              <w:bottom w:w="0" w:type="dxa"/>
              <w:right w:w="0" w:type="dxa"/>
            </w:tcMar>
          </w:tcPr>
          <w:p w14:paraId="6B72C69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2D39DFD5"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c>
          <w:tcPr>
            <w:tcW w:w="2247" w:type="dxa"/>
            <w:tcBorders>
              <w:top w:val="nil"/>
              <w:left w:val="nil"/>
              <w:bottom w:val="nil"/>
              <w:right w:val="nil"/>
            </w:tcBorders>
            <w:shd w:val="clear" w:color="auto" w:fill="FFFFFF"/>
            <w:tcMar>
              <w:top w:w="0" w:type="dxa"/>
              <w:left w:w="0" w:type="dxa"/>
              <w:bottom w:w="0" w:type="dxa"/>
              <w:right w:w="0" w:type="dxa"/>
            </w:tcMar>
          </w:tcPr>
          <w:p w14:paraId="204CB8C9"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3A59B8A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p>
        </w:tc>
      </w:tr>
      <w:tr w:rsidR="00024E20" w:rsidRPr="00C80470" w14:paraId="418DBF62"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72D85AE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sz w:val="24"/>
                <w:szCs w:val="24"/>
              </w:rPr>
              <w:t>COCP</w:t>
            </w:r>
          </w:p>
        </w:tc>
        <w:tc>
          <w:tcPr>
            <w:tcW w:w="2247" w:type="dxa"/>
            <w:tcBorders>
              <w:top w:val="nil"/>
              <w:left w:val="nil"/>
              <w:bottom w:val="nil"/>
              <w:right w:val="nil"/>
            </w:tcBorders>
            <w:shd w:val="clear" w:color="auto" w:fill="FFFFFF"/>
            <w:tcMar>
              <w:top w:w="0" w:type="dxa"/>
              <w:left w:w="0" w:type="dxa"/>
              <w:bottom w:w="0" w:type="dxa"/>
              <w:right w:w="0" w:type="dxa"/>
            </w:tcMar>
          </w:tcPr>
          <w:p w14:paraId="7124FE6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z w:val="24"/>
                <w:szCs w:val="24"/>
              </w:rPr>
              <w:t>72</w:t>
            </w:r>
            <w:r w:rsidRPr="00C80470">
              <w:rPr>
                <w:rFonts w:ascii="Times New Roman" w:eastAsia="Times New Roman" w:hAnsi="Times New Roman" w:cs="Times New Roman"/>
                <w:color w:val="000000"/>
                <w:sz w:val="24"/>
                <w:szCs w:val="24"/>
              </w:rPr>
              <w:t xml:space="preserve"> (0.6</w:t>
            </w:r>
            <w:r>
              <w:rPr>
                <w:rFonts w:ascii="Times New Roman" w:eastAsia="Times New Roman" w:hAnsi="Times New Roman" w:cs="Times New Roman"/>
                <w:color w:val="000000"/>
                <w:sz w:val="24"/>
                <w:szCs w:val="24"/>
              </w:rPr>
              <w:t>82</w:t>
            </w:r>
            <w:r w:rsidRPr="00C80470">
              <w:rPr>
                <w:rFonts w:ascii="Times New Roman" w:eastAsia="Times New Roman" w:hAnsi="Times New Roman" w:cs="Times New Roman"/>
                <w:color w:val="000000"/>
                <w:sz w:val="24"/>
                <w:szCs w:val="24"/>
              </w:rPr>
              <w:t>, 2.3</w:t>
            </w:r>
            <w:r>
              <w:rPr>
                <w:rFonts w:ascii="Times New Roman" w:eastAsia="Times New Roman" w:hAnsi="Times New Roman" w:cs="Times New Roman"/>
                <w:color w:val="000000"/>
                <w:sz w:val="24"/>
                <w:szCs w:val="24"/>
              </w:rPr>
              <w:t>7</w:t>
            </w:r>
            <w:r w:rsidRPr="00C80470">
              <w:rPr>
                <w:rFonts w:ascii="Times New Roman" w:eastAsia="Times New Roman" w:hAnsi="Times New Roman" w:cs="Times New Roman"/>
                <w:color w:val="000000"/>
                <w:sz w:val="24"/>
                <w:szCs w:val="24"/>
              </w:rPr>
              <w:t>0)</w:t>
            </w:r>
          </w:p>
        </w:tc>
        <w:tc>
          <w:tcPr>
            <w:tcW w:w="876" w:type="dxa"/>
            <w:tcBorders>
              <w:top w:val="nil"/>
              <w:left w:val="nil"/>
              <w:bottom w:val="nil"/>
              <w:right w:val="nil"/>
            </w:tcBorders>
            <w:shd w:val="clear" w:color="auto" w:fill="FFFFFF"/>
            <w:tcMar>
              <w:top w:w="0" w:type="dxa"/>
              <w:left w:w="0" w:type="dxa"/>
              <w:bottom w:w="0" w:type="dxa"/>
              <w:right w:w="0" w:type="dxa"/>
            </w:tcMar>
          </w:tcPr>
          <w:p w14:paraId="33409A3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z w:val="24"/>
                <w:szCs w:val="24"/>
              </w:rPr>
              <w:t>48</w:t>
            </w:r>
          </w:p>
        </w:tc>
        <w:tc>
          <w:tcPr>
            <w:tcW w:w="2247" w:type="dxa"/>
            <w:tcBorders>
              <w:top w:val="nil"/>
              <w:left w:val="nil"/>
              <w:bottom w:val="nil"/>
              <w:right w:val="nil"/>
            </w:tcBorders>
            <w:shd w:val="clear" w:color="auto" w:fill="FFFFFF"/>
            <w:tcMar>
              <w:top w:w="0" w:type="dxa"/>
              <w:left w:w="0" w:type="dxa"/>
              <w:bottom w:w="0" w:type="dxa"/>
              <w:right w:w="0" w:type="dxa"/>
            </w:tcMar>
          </w:tcPr>
          <w:p w14:paraId="506855D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1.6</w:t>
            </w:r>
            <w:r>
              <w:rPr>
                <w:rFonts w:ascii="Times New Roman" w:eastAsia="Times New Roman" w:hAnsi="Times New Roman" w:cs="Times New Roman"/>
                <w:color w:val="000000"/>
                <w:sz w:val="24"/>
                <w:szCs w:val="24"/>
              </w:rPr>
              <w:t>46</w:t>
            </w:r>
            <w:r w:rsidRPr="00C80470">
              <w:rPr>
                <w:rFonts w:ascii="Times New Roman" w:eastAsia="Times New Roman" w:hAnsi="Times New Roman" w:cs="Times New Roman"/>
                <w:color w:val="000000"/>
                <w:sz w:val="24"/>
                <w:szCs w:val="24"/>
              </w:rPr>
              <w:t xml:space="preserve"> (0.3</w:t>
            </w:r>
            <w:r>
              <w:rPr>
                <w:rFonts w:ascii="Times New Roman" w:eastAsia="Times New Roman" w:hAnsi="Times New Roman" w:cs="Times New Roman"/>
                <w:color w:val="000000"/>
                <w:sz w:val="24"/>
                <w:szCs w:val="24"/>
              </w:rPr>
              <w:t>84</w:t>
            </w:r>
            <w:r w:rsidRPr="00C80470">
              <w:rPr>
                <w:rFonts w:ascii="Times New Roman" w:eastAsia="Times New Roman" w:hAnsi="Times New Roman" w:cs="Times New Roman"/>
                <w:color w:val="000000"/>
                <w:sz w:val="24"/>
                <w:szCs w:val="24"/>
              </w:rPr>
              <w:t>, 7.</w:t>
            </w:r>
            <w:r>
              <w:rPr>
                <w:rFonts w:ascii="Times New Roman" w:eastAsia="Times New Roman" w:hAnsi="Times New Roman" w:cs="Times New Roman"/>
                <w:color w:val="000000"/>
                <w:sz w:val="24"/>
                <w:szCs w:val="24"/>
              </w:rPr>
              <w:t>063</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4DB2059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02</w:t>
            </w:r>
          </w:p>
        </w:tc>
      </w:tr>
      <w:tr w:rsidR="00024E20" w:rsidRPr="00C80470" w14:paraId="640D4B63"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75F3F5A7"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sz w:val="24"/>
                <w:szCs w:val="24"/>
              </w:rPr>
              <w:t>POP</w:t>
            </w:r>
          </w:p>
        </w:tc>
        <w:tc>
          <w:tcPr>
            <w:tcW w:w="2247" w:type="dxa"/>
            <w:tcBorders>
              <w:top w:val="nil"/>
              <w:left w:val="nil"/>
              <w:bottom w:val="nil"/>
              <w:right w:val="nil"/>
            </w:tcBorders>
            <w:shd w:val="clear" w:color="auto" w:fill="FFFFFF"/>
            <w:tcMar>
              <w:top w:w="0" w:type="dxa"/>
              <w:left w:w="0" w:type="dxa"/>
              <w:bottom w:w="0" w:type="dxa"/>
              <w:right w:w="0" w:type="dxa"/>
            </w:tcMar>
          </w:tcPr>
          <w:p w14:paraId="2B240CD1"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46</w:t>
            </w:r>
            <w:r w:rsidRPr="00C80470">
              <w:rPr>
                <w:rFonts w:ascii="Times New Roman" w:eastAsia="Times New Roman" w:hAnsi="Times New Roman" w:cs="Times New Roman"/>
                <w:color w:val="000000"/>
                <w:sz w:val="24"/>
                <w:szCs w:val="24"/>
              </w:rPr>
              <w:t xml:space="preserve"> (0.</w:t>
            </w:r>
            <w:r>
              <w:rPr>
                <w:rFonts w:ascii="Times New Roman" w:eastAsia="Times New Roman" w:hAnsi="Times New Roman" w:cs="Times New Roman"/>
                <w:color w:val="000000"/>
                <w:sz w:val="24"/>
                <w:szCs w:val="24"/>
              </w:rPr>
              <w:t>299</w:t>
            </w:r>
            <w:r w:rsidRPr="00C80470">
              <w:rPr>
                <w:rFonts w:ascii="Times New Roman" w:eastAsia="Times New Roman" w:hAnsi="Times New Roman" w:cs="Times New Roman"/>
                <w:color w:val="000000"/>
                <w:sz w:val="24"/>
                <w:szCs w:val="24"/>
              </w:rPr>
              <w:t>, 2.7</w:t>
            </w:r>
            <w:r>
              <w:rPr>
                <w:rFonts w:ascii="Times New Roman" w:eastAsia="Times New Roman" w:hAnsi="Times New Roman" w:cs="Times New Roman"/>
                <w:color w:val="000000"/>
                <w:sz w:val="24"/>
                <w:szCs w:val="24"/>
              </w:rPr>
              <w:t>11</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210C7F3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21</w:t>
            </w:r>
          </w:p>
        </w:tc>
        <w:tc>
          <w:tcPr>
            <w:tcW w:w="2247" w:type="dxa"/>
            <w:tcBorders>
              <w:top w:val="nil"/>
              <w:left w:val="nil"/>
              <w:bottom w:val="nil"/>
              <w:right w:val="nil"/>
            </w:tcBorders>
            <w:shd w:val="clear" w:color="auto" w:fill="FFFFFF"/>
            <w:tcMar>
              <w:top w:w="0" w:type="dxa"/>
              <w:left w:w="0" w:type="dxa"/>
              <w:bottom w:w="0" w:type="dxa"/>
              <w:right w:w="0" w:type="dxa"/>
            </w:tcMar>
          </w:tcPr>
          <w:p w14:paraId="77798A9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310</w:t>
            </w:r>
            <w:r w:rsidRPr="00C80470">
              <w:rPr>
                <w:rFonts w:ascii="Times New Roman" w:eastAsia="Times New Roman" w:hAnsi="Times New Roman" w:cs="Times New Roman"/>
                <w:color w:val="000000"/>
                <w:sz w:val="24"/>
                <w:szCs w:val="24"/>
              </w:rPr>
              <w:t xml:space="preserve"> (0.0</w:t>
            </w:r>
            <w:r>
              <w:rPr>
                <w:rFonts w:ascii="Times New Roman" w:eastAsia="Times New Roman" w:hAnsi="Times New Roman" w:cs="Times New Roman"/>
                <w:color w:val="000000"/>
                <w:sz w:val="24"/>
                <w:szCs w:val="24"/>
              </w:rPr>
              <w:t>85</w:t>
            </w:r>
            <w:r w:rsidRPr="00C8047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20.30</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0CC7B23B"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47</w:t>
            </w:r>
          </w:p>
        </w:tc>
      </w:tr>
      <w:tr w:rsidR="00024E20" w:rsidRPr="00C80470" w14:paraId="14C50D02" w14:textId="77777777" w:rsidTr="00F57DEE">
        <w:trPr>
          <w:jc w:val="center"/>
        </w:trPr>
        <w:tc>
          <w:tcPr>
            <w:tcW w:w="2672" w:type="dxa"/>
            <w:tcBorders>
              <w:top w:val="nil"/>
              <w:left w:val="nil"/>
              <w:bottom w:val="nil"/>
              <w:right w:val="nil"/>
            </w:tcBorders>
            <w:shd w:val="clear" w:color="auto" w:fill="FFFFFF"/>
            <w:tcMar>
              <w:top w:w="0" w:type="dxa"/>
              <w:left w:w="0" w:type="dxa"/>
              <w:bottom w:w="0" w:type="dxa"/>
              <w:right w:w="0" w:type="dxa"/>
            </w:tcMar>
          </w:tcPr>
          <w:p w14:paraId="6D11F984"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sz w:val="24"/>
                <w:szCs w:val="24"/>
              </w:rPr>
              <w:t>DMPA</w:t>
            </w:r>
          </w:p>
        </w:tc>
        <w:tc>
          <w:tcPr>
            <w:tcW w:w="2247" w:type="dxa"/>
            <w:tcBorders>
              <w:top w:val="nil"/>
              <w:left w:val="nil"/>
              <w:bottom w:val="nil"/>
              <w:right w:val="nil"/>
            </w:tcBorders>
            <w:shd w:val="clear" w:color="auto" w:fill="FFFFFF"/>
            <w:tcMar>
              <w:top w:w="0" w:type="dxa"/>
              <w:left w:w="0" w:type="dxa"/>
              <w:bottom w:w="0" w:type="dxa"/>
              <w:right w:w="0" w:type="dxa"/>
            </w:tcMar>
          </w:tcPr>
          <w:p w14:paraId="659E3403"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0.993</w:t>
            </w:r>
            <w:r w:rsidRPr="00C80470">
              <w:rPr>
                <w:rFonts w:ascii="Times New Roman" w:eastAsia="Times New Roman" w:hAnsi="Times New Roman" w:cs="Times New Roman"/>
                <w:color w:val="000000"/>
                <w:sz w:val="24"/>
                <w:szCs w:val="24"/>
              </w:rPr>
              <w:t xml:space="preserve"> (0.3</w:t>
            </w:r>
            <w:r>
              <w:rPr>
                <w:rFonts w:ascii="Times New Roman" w:eastAsia="Times New Roman" w:hAnsi="Times New Roman" w:cs="Times New Roman"/>
                <w:color w:val="000000"/>
                <w:sz w:val="24"/>
                <w:szCs w:val="24"/>
              </w:rPr>
              <w:t>28</w:t>
            </w:r>
            <w:r w:rsidRPr="00C80470">
              <w:rPr>
                <w:rFonts w:ascii="Times New Roman" w:eastAsia="Times New Roman" w:hAnsi="Times New Roman" w:cs="Times New Roman"/>
                <w:color w:val="000000"/>
                <w:sz w:val="24"/>
                <w:szCs w:val="24"/>
              </w:rPr>
              <w:t>, 2.</w:t>
            </w:r>
            <w:r>
              <w:rPr>
                <w:rFonts w:ascii="Times New Roman" w:eastAsia="Times New Roman" w:hAnsi="Times New Roman" w:cs="Times New Roman"/>
                <w:color w:val="000000"/>
                <w:sz w:val="24"/>
                <w:szCs w:val="24"/>
              </w:rPr>
              <w:t>872</w:t>
            </w:r>
            <w:r w:rsidRPr="00C80470">
              <w:rPr>
                <w:rFonts w:ascii="Times New Roman" w:eastAsia="Times New Roman" w:hAnsi="Times New Roman" w:cs="Times New Roman"/>
                <w:color w:val="000000"/>
                <w:sz w:val="24"/>
                <w:szCs w:val="24"/>
              </w:rPr>
              <w:t>)</w:t>
            </w:r>
          </w:p>
        </w:tc>
        <w:tc>
          <w:tcPr>
            <w:tcW w:w="876" w:type="dxa"/>
            <w:tcBorders>
              <w:top w:val="nil"/>
              <w:left w:val="nil"/>
              <w:bottom w:val="nil"/>
              <w:right w:val="nil"/>
            </w:tcBorders>
            <w:shd w:val="clear" w:color="auto" w:fill="FFFFFF"/>
            <w:tcMar>
              <w:top w:w="0" w:type="dxa"/>
              <w:left w:w="0" w:type="dxa"/>
              <w:bottom w:w="0" w:type="dxa"/>
              <w:right w:w="0" w:type="dxa"/>
            </w:tcMar>
          </w:tcPr>
          <w:p w14:paraId="013E490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90</w:t>
            </w:r>
          </w:p>
        </w:tc>
        <w:tc>
          <w:tcPr>
            <w:tcW w:w="2247" w:type="dxa"/>
            <w:tcBorders>
              <w:top w:val="nil"/>
              <w:left w:val="nil"/>
              <w:bottom w:val="nil"/>
              <w:right w:val="nil"/>
            </w:tcBorders>
            <w:shd w:val="clear" w:color="auto" w:fill="FFFFFF"/>
            <w:tcMar>
              <w:top w:w="0" w:type="dxa"/>
              <w:left w:w="0" w:type="dxa"/>
              <w:bottom w:w="0" w:type="dxa"/>
              <w:right w:w="0" w:type="dxa"/>
            </w:tcMar>
          </w:tcPr>
          <w:p w14:paraId="4D85827D"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101</w:t>
            </w:r>
            <w:r w:rsidRPr="00C80470">
              <w:rPr>
                <w:rFonts w:ascii="Times New Roman" w:eastAsia="Times New Roman" w:hAnsi="Times New Roman" w:cs="Times New Roman"/>
                <w:color w:val="000000"/>
                <w:sz w:val="24"/>
                <w:szCs w:val="24"/>
              </w:rPr>
              <w:t xml:space="preserve"> (0.05</w:t>
            </w:r>
            <w:r>
              <w:rPr>
                <w:rFonts w:ascii="Times New Roman" w:eastAsia="Times New Roman" w:hAnsi="Times New Roman" w:cs="Times New Roman"/>
                <w:color w:val="000000"/>
                <w:sz w:val="24"/>
                <w:szCs w:val="24"/>
              </w:rPr>
              <w:t>6</w:t>
            </w:r>
            <w:r w:rsidRPr="00C80470">
              <w:rPr>
                <w:rFonts w:ascii="Times New Roman" w:eastAsia="Times New Roman" w:hAnsi="Times New Roman" w:cs="Times New Roman"/>
                <w:color w:val="000000"/>
                <w:sz w:val="24"/>
                <w:szCs w:val="24"/>
              </w:rPr>
              <w:t>, 21.</w:t>
            </w:r>
            <w:r>
              <w:rPr>
                <w:rFonts w:ascii="Times New Roman" w:eastAsia="Times New Roman" w:hAnsi="Times New Roman" w:cs="Times New Roman"/>
                <w:color w:val="000000"/>
                <w:sz w:val="24"/>
                <w:szCs w:val="24"/>
              </w:rPr>
              <w:t>55</w:t>
            </w:r>
            <w:r w:rsidRPr="00C80470">
              <w:rPr>
                <w:rFonts w:ascii="Times New Roman" w:eastAsia="Times New Roman" w:hAnsi="Times New Roman" w:cs="Times New Roman"/>
                <w:color w:val="000000"/>
                <w:sz w:val="24"/>
                <w:szCs w:val="24"/>
              </w:rPr>
              <w:t>)</w:t>
            </w:r>
          </w:p>
        </w:tc>
        <w:tc>
          <w:tcPr>
            <w:tcW w:w="740" w:type="dxa"/>
            <w:tcBorders>
              <w:top w:val="nil"/>
              <w:left w:val="nil"/>
              <w:bottom w:val="nil"/>
              <w:right w:val="nil"/>
            </w:tcBorders>
            <w:shd w:val="clear" w:color="auto" w:fill="FFFFFF"/>
            <w:tcMar>
              <w:top w:w="0" w:type="dxa"/>
              <w:left w:w="0" w:type="dxa"/>
              <w:bottom w:w="0" w:type="dxa"/>
              <w:right w:w="0" w:type="dxa"/>
            </w:tcMar>
          </w:tcPr>
          <w:p w14:paraId="15EBDE8A"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49</w:t>
            </w:r>
          </w:p>
        </w:tc>
      </w:tr>
      <w:tr w:rsidR="00024E20" w:rsidRPr="00C80470" w14:paraId="2B21919A" w14:textId="77777777" w:rsidTr="00F57DEE">
        <w:trPr>
          <w:jc w:val="center"/>
        </w:trPr>
        <w:tc>
          <w:tcPr>
            <w:tcW w:w="2672" w:type="dxa"/>
            <w:tcBorders>
              <w:top w:val="nil"/>
              <w:left w:val="nil"/>
              <w:bottom w:val="single" w:sz="8" w:space="0" w:color="000000"/>
              <w:right w:val="nil"/>
            </w:tcBorders>
            <w:shd w:val="clear" w:color="auto" w:fill="FFFFFF"/>
            <w:tcMar>
              <w:top w:w="0" w:type="dxa"/>
              <w:left w:w="0" w:type="dxa"/>
              <w:bottom w:w="0" w:type="dxa"/>
              <w:right w:w="0" w:type="dxa"/>
            </w:tcMar>
          </w:tcPr>
          <w:p w14:paraId="6690B408"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300" w:right="100"/>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Implant</w:t>
            </w:r>
          </w:p>
        </w:tc>
        <w:tc>
          <w:tcPr>
            <w:tcW w:w="2247" w:type="dxa"/>
            <w:tcBorders>
              <w:top w:val="nil"/>
              <w:left w:val="nil"/>
              <w:bottom w:val="single" w:sz="8" w:space="0" w:color="000000"/>
              <w:right w:val="nil"/>
            </w:tcBorders>
            <w:shd w:val="clear" w:color="auto" w:fill="FFFFFF"/>
            <w:tcMar>
              <w:top w:w="0" w:type="dxa"/>
              <w:left w:w="0" w:type="dxa"/>
              <w:bottom w:w="0" w:type="dxa"/>
              <w:right w:w="0" w:type="dxa"/>
            </w:tcMar>
          </w:tcPr>
          <w:p w14:paraId="58577A7C"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59</w:t>
            </w:r>
            <w:r w:rsidRPr="00C80470">
              <w:rPr>
                <w:rFonts w:ascii="Times New Roman" w:eastAsia="Times New Roman" w:hAnsi="Times New Roman" w:cs="Times New Roman"/>
                <w:color w:val="000000"/>
                <w:sz w:val="24"/>
                <w:szCs w:val="24"/>
              </w:rPr>
              <w:t xml:space="preserve"> (0.4</w:t>
            </w:r>
            <w:r>
              <w:rPr>
                <w:rFonts w:ascii="Times New Roman" w:eastAsia="Times New Roman" w:hAnsi="Times New Roman" w:cs="Times New Roman"/>
                <w:color w:val="000000"/>
                <w:sz w:val="24"/>
                <w:szCs w:val="24"/>
              </w:rPr>
              <w:t>40</w:t>
            </w:r>
            <w:r w:rsidRPr="00C80470">
              <w:rPr>
                <w:rFonts w:ascii="Times New Roman" w:eastAsia="Times New Roman" w:hAnsi="Times New Roman" w:cs="Times New Roman"/>
                <w:color w:val="000000"/>
                <w:sz w:val="24"/>
                <w:szCs w:val="24"/>
              </w:rPr>
              <w:t>, 2.0</w:t>
            </w:r>
            <w:r>
              <w:rPr>
                <w:rFonts w:ascii="Times New Roman" w:eastAsia="Times New Roman" w:hAnsi="Times New Roman" w:cs="Times New Roman"/>
                <w:color w:val="000000"/>
                <w:sz w:val="24"/>
                <w:szCs w:val="24"/>
              </w:rPr>
              <w:t>48</w:t>
            </w:r>
            <w:r w:rsidRPr="00C80470">
              <w:rPr>
                <w:rFonts w:ascii="Times New Roman" w:eastAsia="Times New Roman" w:hAnsi="Times New Roman" w:cs="Times New Roman"/>
                <w:color w:val="000000"/>
                <w:sz w:val="24"/>
                <w:szCs w:val="24"/>
              </w:rPr>
              <w:t>)</w:t>
            </w:r>
          </w:p>
        </w:tc>
        <w:tc>
          <w:tcPr>
            <w:tcW w:w="876" w:type="dxa"/>
            <w:tcBorders>
              <w:top w:val="nil"/>
              <w:left w:val="nil"/>
              <w:bottom w:val="single" w:sz="8" w:space="0" w:color="000000"/>
              <w:right w:val="nil"/>
            </w:tcBorders>
            <w:shd w:val="clear" w:color="auto" w:fill="FFFFFF"/>
            <w:tcMar>
              <w:top w:w="0" w:type="dxa"/>
              <w:left w:w="0" w:type="dxa"/>
              <w:bottom w:w="0" w:type="dxa"/>
              <w:right w:w="0" w:type="dxa"/>
            </w:tcMar>
          </w:tcPr>
          <w:p w14:paraId="2F02D03F"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15</w:t>
            </w:r>
          </w:p>
        </w:tc>
        <w:tc>
          <w:tcPr>
            <w:tcW w:w="2247" w:type="dxa"/>
            <w:tcBorders>
              <w:top w:val="nil"/>
              <w:left w:val="nil"/>
              <w:bottom w:val="single" w:sz="8" w:space="0" w:color="000000"/>
              <w:right w:val="nil"/>
            </w:tcBorders>
            <w:shd w:val="clear" w:color="auto" w:fill="FFFFFF"/>
            <w:tcMar>
              <w:top w:w="0" w:type="dxa"/>
              <w:left w:w="0" w:type="dxa"/>
              <w:bottom w:w="0" w:type="dxa"/>
              <w:right w:w="0" w:type="dxa"/>
            </w:tcMar>
          </w:tcPr>
          <w:p w14:paraId="19FBDBA1"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520</w:t>
            </w:r>
            <w:r w:rsidRPr="00C80470">
              <w:rPr>
                <w:rFonts w:ascii="Times New Roman" w:eastAsia="Times New Roman" w:hAnsi="Times New Roman" w:cs="Times New Roman"/>
                <w:color w:val="000000"/>
                <w:sz w:val="24"/>
                <w:szCs w:val="24"/>
              </w:rPr>
              <w:t xml:space="preserve"> (0.4</w:t>
            </w:r>
            <w:r>
              <w:rPr>
                <w:rFonts w:ascii="Times New Roman" w:eastAsia="Times New Roman" w:hAnsi="Times New Roman" w:cs="Times New Roman"/>
                <w:color w:val="000000"/>
                <w:sz w:val="24"/>
                <w:szCs w:val="24"/>
              </w:rPr>
              <w:t>96</w:t>
            </w:r>
            <w:r w:rsidRPr="00C80470">
              <w:rPr>
                <w:rFonts w:ascii="Times New Roman" w:eastAsia="Times New Roman" w:hAnsi="Times New Roman" w:cs="Times New Roman"/>
                <w:color w:val="000000"/>
                <w:sz w:val="24"/>
                <w:szCs w:val="24"/>
              </w:rPr>
              <w:t>, 12.</w:t>
            </w:r>
            <w:r>
              <w:rPr>
                <w:rFonts w:ascii="Times New Roman" w:eastAsia="Times New Roman" w:hAnsi="Times New Roman" w:cs="Times New Roman"/>
                <w:color w:val="000000"/>
                <w:sz w:val="24"/>
                <w:szCs w:val="24"/>
              </w:rPr>
              <w:t>79</w:t>
            </w:r>
            <w:r w:rsidRPr="00C80470">
              <w:rPr>
                <w:rFonts w:ascii="Times New Roman" w:eastAsia="Times New Roman" w:hAnsi="Times New Roman" w:cs="Times New Roman"/>
                <w:color w:val="000000"/>
                <w:sz w:val="24"/>
                <w:szCs w:val="24"/>
              </w:rPr>
              <w:t>)</w:t>
            </w:r>
          </w:p>
        </w:tc>
        <w:tc>
          <w:tcPr>
            <w:tcW w:w="740" w:type="dxa"/>
            <w:tcBorders>
              <w:top w:val="nil"/>
              <w:left w:val="nil"/>
              <w:bottom w:val="single" w:sz="8" w:space="0" w:color="000000"/>
              <w:right w:val="nil"/>
            </w:tcBorders>
            <w:shd w:val="clear" w:color="auto" w:fill="FFFFFF"/>
            <w:tcMar>
              <w:top w:w="0" w:type="dxa"/>
              <w:left w:w="0" w:type="dxa"/>
              <w:bottom w:w="0" w:type="dxa"/>
              <w:right w:w="0" w:type="dxa"/>
            </w:tcMar>
          </w:tcPr>
          <w:p w14:paraId="6E2561B0" w14:textId="77777777" w:rsidR="00024E20" w:rsidRPr="00C80470" w:rsidRDefault="00024E20" w:rsidP="00F57DEE">
            <w:pPr>
              <w:pBdr>
                <w:top w:val="none" w:sz="0" w:space="0" w:color="000000"/>
                <w:left w:val="none" w:sz="0" w:space="0" w:color="000000"/>
                <w:bottom w:val="none" w:sz="0" w:space="0" w:color="000000"/>
                <w:right w:val="none" w:sz="0" w:space="0" w:color="000000"/>
              </w:pBdr>
              <w:spacing w:after="0" w:line="360" w:lineRule="auto"/>
              <w:ind w:left="100" w:right="100"/>
              <w:jc w:val="center"/>
              <w:rPr>
                <w:rFonts w:ascii="Times New Roman" w:eastAsia="Times New Roman" w:hAnsi="Times New Roman" w:cs="Times New Roman"/>
                <w:sz w:val="24"/>
                <w:szCs w:val="24"/>
              </w:rPr>
            </w:pPr>
            <w:r w:rsidRPr="00C80470">
              <w:rPr>
                <w:rFonts w:ascii="Times New Roman" w:eastAsia="Times New Roman" w:hAnsi="Times New Roman" w:cs="Times New Roman"/>
                <w:color w:val="000000"/>
                <w:sz w:val="24"/>
                <w:szCs w:val="24"/>
              </w:rPr>
              <w:t>0.2</w:t>
            </w:r>
            <w:r>
              <w:rPr>
                <w:rFonts w:ascii="Times New Roman" w:eastAsia="Times New Roman" w:hAnsi="Times New Roman" w:cs="Times New Roman"/>
                <w:color w:val="000000"/>
                <w:sz w:val="24"/>
                <w:szCs w:val="24"/>
              </w:rPr>
              <w:t>65</w:t>
            </w:r>
          </w:p>
        </w:tc>
      </w:tr>
    </w:tbl>
    <w:p w14:paraId="41DB93BE" w14:textId="77777777" w:rsidR="00024E20" w:rsidRPr="00C80470" w:rsidRDefault="00024E20" w:rsidP="00024E20">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0"/>
          <w:szCs w:val="20"/>
        </w:rPr>
      </w:pPr>
      <w:r w:rsidRPr="00C80470">
        <w:rPr>
          <w:rFonts w:ascii="Times New Roman" w:eastAsia="Times New Roman" w:hAnsi="Times New Roman" w:cs="Times New Roman"/>
          <w:sz w:val="20"/>
          <w:szCs w:val="20"/>
        </w:rPr>
        <w:t>COCP, combined oral contraceptive pill; DMPA, depot medroxyprogesterone acetate; POP, progest</w:t>
      </w:r>
      <w:r>
        <w:rPr>
          <w:rFonts w:ascii="Times New Roman" w:eastAsia="Times New Roman" w:hAnsi="Times New Roman" w:cs="Times New Roman"/>
          <w:sz w:val="20"/>
          <w:szCs w:val="20"/>
        </w:rPr>
        <w:t>in</w:t>
      </w:r>
      <w:r w:rsidRPr="00C80470">
        <w:rPr>
          <w:rFonts w:ascii="Times New Roman" w:eastAsia="Times New Roman" w:hAnsi="Times New Roman" w:cs="Times New Roman"/>
          <w:sz w:val="20"/>
          <w:szCs w:val="20"/>
        </w:rPr>
        <w:t xml:space="preserve"> only pill.</w:t>
      </w:r>
    </w:p>
    <w:p w14:paraId="19245D55" w14:textId="400217A8" w:rsidR="00F34599" w:rsidRPr="00024E20" w:rsidRDefault="00024E20" w:rsidP="00024E20">
      <w:pPr>
        <w:pBdr>
          <w:top w:val="none" w:sz="0" w:space="0" w:color="000000"/>
          <w:left w:val="none" w:sz="0" w:space="0" w:color="000000"/>
          <w:bottom w:val="none" w:sz="0" w:space="0" w:color="000000"/>
          <w:right w:val="none" w:sz="0" w:space="0" w:color="000000"/>
        </w:pBdr>
        <w:spacing w:after="0" w:line="360" w:lineRule="auto"/>
        <w:ind w:left="100" w:right="100"/>
        <w:jc w:val="both"/>
        <w:rPr>
          <w:rFonts w:ascii="Times New Roman" w:eastAsia="Times New Roman" w:hAnsi="Times New Roman" w:cs="Times New Roman"/>
          <w:sz w:val="21"/>
          <w:szCs w:val="21"/>
        </w:rPr>
      </w:pPr>
      <w:r w:rsidRPr="00C80470">
        <w:rPr>
          <w:rFonts w:ascii="Times New Roman" w:eastAsia="Times New Roman" w:hAnsi="Times New Roman" w:cs="Times New Roman"/>
          <w:sz w:val="21"/>
          <w:szCs w:val="21"/>
        </w:rPr>
        <w:t>Odds ratios are controlling for all other factors in the table.</w:t>
      </w:r>
    </w:p>
    <w:sectPr w:rsidR="00F34599" w:rsidRPr="00024E20" w:rsidSect="007D1510">
      <w:pgSz w:w="11906" w:h="16838"/>
      <w:pgMar w:top="1440" w:right="1440" w:bottom="1440" w:left="1440" w:header="708" w:footer="708" w:gutter="0"/>
      <w:lnNumType w:countBy="1" w:restart="continuou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4C279B" w14:textId="77777777" w:rsidR="00B25128" w:rsidRDefault="00B25128">
      <w:pPr>
        <w:spacing w:after="0" w:line="240" w:lineRule="auto"/>
      </w:pPr>
      <w:r>
        <w:separator/>
      </w:r>
    </w:p>
  </w:endnote>
  <w:endnote w:type="continuationSeparator" w:id="0">
    <w:p w14:paraId="0B3F4983" w14:textId="77777777" w:rsidR="00B25128" w:rsidRDefault="00B251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F4D61E54-94FF-6047-AE7C-74FBB444C67F}"/>
    <w:embedBold r:id="rId2" w:fontKey="{9B9F3AF1-10B3-DA48-8632-FCFB419CB882}"/>
    <w:embedItalic r:id="rId3" w:fontKey="{0E054501-447B-B545-A096-C42E1F80D5CD}"/>
  </w:font>
  <w:font w:name="Calibri">
    <w:panose1 w:val="020F0502020204030204"/>
    <w:charset w:val="00"/>
    <w:family w:val="swiss"/>
    <w:pitch w:val="variable"/>
    <w:sig w:usb0="E0002AFF" w:usb1="C000ACFF" w:usb2="00000009" w:usb3="00000000" w:csb0="000001FF" w:csb1="00000000"/>
    <w:embedRegular r:id="rId4" w:fontKey="{4FEA77B0-6FF6-2C41-BF20-2A064B66B309}"/>
    <w:embedBold r:id="rId5" w:fontKey="{F0FE7D8C-3A3E-674E-A737-24B620E6D8EE}"/>
    <w:embedItalic r:id="rId6" w:fontKey="{E06D2CE7-74A1-9949-8130-7583653A9BA8}"/>
  </w:font>
  <w:font w:name="Georgia">
    <w:panose1 w:val="02040502050405020303"/>
    <w:charset w:val="00"/>
    <w:family w:val="roman"/>
    <w:pitch w:val="variable"/>
    <w:sig w:usb0="00000287" w:usb1="00000000" w:usb2="00000000" w:usb3="00000000" w:csb0="0000009F" w:csb1="00000000"/>
    <w:embedRegular r:id="rId7" w:fontKey="{0E3DF6E0-4D1C-834A-ADFF-CA34538C85A9}"/>
    <w:embedItalic r:id="rId8" w:fontKey="{C3152DB4-EABD-5E40-962F-18F3DEBA25F1}"/>
  </w:font>
  <w:font w:name="Symbol">
    <w:panose1 w:val="05050102010706020507"/>
    <w:charset w:val="02"/>
    <w:family w:val="decorative"/>
    <w:pitch w:val="variable"/>
    <w:sig w:usb0="00000000" w:usb1="10000000" w:usb2="00000000" w:usb3="00000000" w:csb0="80000000" w:csb1="00000000"/>
    <w:embedRegular r:id="rId9" w:fontKey="{CDF86824-CCCF-1B42-8794-75A0DB301280}"/>
  </w:font>
  <w:font w:name="Arial">
    <w:panose1 w:val="020B0604020202020204"/>
    <w:charset w:val="00"/>
    <w:family w:val="swiss"/>
    <w:pitch w:val="variable"/>
    <w:sig w:usb0="E0002AFF" w:usb1="C0007843" w:usb2="00000009" w:usb3="00000000" w:csb0="000001FF" w:csb1="00000000"/>
    <w:embedRegular r:id="rId10" w:fontKey="{A50961D3-1E3E-5E4B-9695-FF77670C2677}"/>
  </w:font>
  <w:font w:name="Gungsuh">
    <w:panose1 w:val="02030600000101010101"/>
    <w:charset w:val="81"/>
    <w:family w:val="roman"/>
    <w:pitch w:val="variable"/>
    <w:sig w:usb0="B00002AF" w:usb1="69D77CFB" w:usb2="00000030" w:usb3="00000000" w:csb0="0008009F" w:csb1="00000000"/>
  </w:font>
  <w:font w:name="Cardo">
    <w:panose1 w:val="020B0604020202020204"/>
    <w:charset w:val="00"/>
    <w:family w:val="auto"/>
    <w:pitch w:val="default"/>
  </w:font>
  <w:font w:name="Roboto">
    <w:panose1 w:val="02000000000000000000"/>
    <w:charset w:val="00"/>
    <w:family w:val="auto"/>
    <w:pitch w:val="variable"/>
    <w:sig w:usb0="E0000AFF" w:usb1="5000217F" w:usb2="00000021" w:usb3="00000000" w:csb0="0000019F" w:csb1="00000000"/>
    <w:embedRegular r:id="rId12" w:fontKey="{857CD844-0235-394E-92E8-1C643C0334E3}"/>
  </w:font>
  <w:font w:name="Helvetica Neue">
    <w:panose1 w:val="02000503000000020004"/>
    <w:charset w:val="00"/>
    <w:family w:val="auto"/>
    <w:pitch w:val="variable"/>
    <w:sig w:usb0="E50002FF" w:usb1="500079DB" w:usb2="00000010" w:usb3="00000000" w:csb0="00000001" w:csb1="00000000"/>
  </w:font>
  <w:font w:name="Times">
    <w:altName w:val="Sylfaen"/>
    <w:panose1 w:val="020B06040202020202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embedRegular r:id="rId15" w:fontKey="{4FA89043-CF57-AF46-8539-F59EDC58F3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EE4F63" w14:textId="77777777" w:rsidR="00F71CDB" w:rsidRDefault="002049D3">
    <w:pPr>
      <w:pBdr>
        <w:top w:val="nil"/>
        <w:left w:val="nil"/>
        <w:bottom w:val="nil"/>
        <w:right w:val="nil"/>
        <w:between w:val="nil"/>
      </w:pBdr>
      <w:tabs>
        <w:tab w:val="center" w:pos="4513"/>
        <w:tab w:val="right" w:pos="9026"/>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BA7743">
      <w:rPr>
        <w:rFonts w:ascii="Times New Roman" w:eastAsia="Times New Roman" w:hAnsi="Times New Roman" w:cs="Times New Roman"/>
        <w:noProof/>
        <w:color w:val="000000"/>
        <w:sz w:val="24"/>
        <w:szCs w:val="24"/>
      </w:rPr>
      <w:t>1</w:t>
    </w:r>
    <w:r>
      <w:rPr>
        <w:rFonts w:ascii="Times New Roman" w:eastAsia="Times New Roman" w:hAnsi="Times New Roman" w:cs="Times New Roman"/>
        <w:color w:val="000000"/>
        <w:sz w:val="24"/>
        <w:szCs w:val="24"/>
      </w:rPr>
      <w:fldChar w:fldCharType="end"/>
    </w:r>
  </w:p>
  <w:p w14:paraId="79686FD7" w14:textId="77777777" w:rsidR="00F71CDB" w:rsidRDefault="00F71CDB">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1912C4" w14:textId="77777777" w:rsidR="00B25128" w:rsidRDefault="00B25128">
      <w:pPr>
        <w:spacing w:after="0" w:line="240" w:lineRule="auto"/>
      </w:pPr>
      <w:r>
        <w:separator/>
      </w:r>
    </w:p>
  </w:footnote>
  <w:footnote w:type="continuationSeparator" w:id="0">
    <w:p w14:paraId="5D8CF46E" w14:textId="77777777" w:rsidR="00B25128" w:rsidRDefault="00B251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54C2C93"/>
    <w:multiLevelType w:val="multilevel"/>
    <w:tmpl w:val="81A2C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422999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3"/>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CDB"/>
    <w:rsid w:val="00005E88"/>
    <w:rsid w:val="00016CB9"/>
    <w:rsid w:val="0001747F"/>
    <w:rsid w:val="0002162F"/>
    <w:rsid w:val="00024928"/>
    <w:rsid w:val="00024E20"/>
    <w:rsid w:val="000256E8"/>
    <w:rsid w:val="0003223D"/>
    <w:rsid w:val="00034499"/>
    <w:rsid w:val="00036137"/>
    <w:rsid w:val="000402DF"/>
    <w:rsid w:val="00044117"/>
    <w:rsid w:val="00045BFF"/>
    <w:rsid w:val="0005052D"/>
    <w:rsid w:val="0005318E"/>
    <w:rsid w:val="000573FF"/>
    <w:rsid w:val="00065EE4"/>
    <w:rsid w:val="00066177"/>
    <w:rsid w:val="00066684"/>
    <w:rsid w:val="00084C77"/>
    <w:rsid w:val="00086864"/>
    <w:rsid w:val="00087966"/>
    <w:rsid w:val="00091081"/>
    <w:rsid w:val="0009133F"/>
    <w:rsid w:val="000936D1"/>
    <w:rsid w:val="000966CA"/>
    <w:rsid w:val="000A2048"/>
    <w:rsid w:val="000A31E4"/>
    <w:rsid w:val="000A6C7E"/>
    <w:rsid w:val="000B1D66"/>
    <w:rsid w:val="000B4C2A"/>
    <w:rsid w:val="000B5461"/>
    <w:rsid w:val="000B61C5"/>
    <w:rsid w:val="000B63A6"/>
    <w:rsid w:val="000C0C9A"/>
    <w:rsid w:val="000D3002"/>
    <w:rsid w:val="000D6539"/>
    <w:rsid w:val="000E3FD6"/>
    <w:rsid w:val="000F04AE"/>
    <w:rsid w:val="000F27D0"/>
    <w:rsid w:val="000F3F22"/>
    <w:rsid w:val="0010131D"/>
    <w:rsid w:val="00102694"/>
    <w:rsid w:val="00102BE2"/>
    <w:rsid w:val="001170D3"/>
    <w:rsid w:val="00123DA9"/>
    <w:rsid w:val="001307EC"/>
    <w:rsid w:val="00131678"/>
    <w:rsid w:val="0013339F"/>
    <w:rsid w:val="0013675F"/>
    <w:rsid w:val="001418F2"/>
    <w:rsid w:val="00142CF3"/>
    <w:rsid w:val="00146705"/>
    <w:rsid w:val="00146B52"/>
    <w:rsid w:val="0015357E"/>
    <w:rsid w:val="00155821"/>
    <w:rsid w:val="0016074F"/>
    <w:rsid w:val="00161AE7"/>
    <w:rsid w:val="00161D50"/>
    <w:rsid w:val="001630B8"/>
    <w:rsid w:val="00165C5D"/>
    <w:rsid w:val="00171E2B"/>
    <w:rsid w:val="00172B22"/>
    <w:rsid w:val="00173B01"/>
    <w:rsid w:val="001742A4"/>
    <w:rsid w:val="00184C15"/>
    <w:rsid w:val="00185E27"/>
    <w:rsid w:val="001876BE"/>
    <w:rsid w:val="00194E13"/>
    <w:rsid w:val="00197118"/>
    <w:rsid w:val="00197407"/>
    <w:rsid w:val="00197D2B"/>
    <w:rsid w:val="001A178E"/>
    <w:rsid w:val="001A32FB"/>
    <w:rsid w:val="001A4169"/>
    <w:rsid w:val="001B0635"/>
    <w:rsid w:val="001D33D3"/>
    <w:rsid w:val="001D4C3A"/>
    <w:rsid w:val="001D5D98"/>
    <w:rsid w:val="001E0444"/>
    <w:rsid w:val="001E0816"/>
    <w:rsid w:val="001E2EB8"/>
    <w:rsid w:val="001E34B5"/>
    <w:rsid w:val="001E6C01"/>
    <w:rsid w:val="001F0A1C"/>
    <w:rsid w:val="002015E1"/>
    <w:rsid w:val="00202303"/>
    <w:rsid w:val="002049D3"/>
    <w:rsid w:val="0020686A"/>
    <w:rsid w:val="002074B4"/>
    <w:rsid w:val="00210775"/>
    <w:rsid w:val="00213B70"/>
    <w:rsid w:val="0022153B"/>
    <w:rsid w:val="00222540"/>
    <w:rsid w:val="0022796F"/>
    <w:rsid w:val="00227DB3"/>
    <w:rsid w:val="00235147"/>
    <w:rsid w:val="0023707F"/>
    <w:rsid w:val="002478EB"/>
    <w:rsid w:val="0025121B"/>
    <w:rsid w:val="00254098"/>
    <w:rsid w:val="0025614D"/>
    <w:rsid w:val="002604C2"/>
    <w:rsid w:val="00261D8B"/>
    <w:rsid w:val="00275DF9"/>
    <w:rsid w:val="0028386E"/>
    <w:rsid w:val="00283B70"/>
    <w:rsid w:val="00286A1A"/>
    <w:rsid w:val="0029471D"/>
    <w:rsid w:val="002A0788"/>
    <w:rsid w:val="002A1A41"/>
    <w:rsid w:val="002A4AC3"/>
    <w:rsid w:val="002A5370"/>
    <w:rsid w:val="002A66FE"/>
    <w:rsid w:val="002A6AA6"/>
    <w:rsid w:val="002C0BB8"/>
    <w:rsid w:val="002C275B"/>
    <w:rsid w:val="002C68D6"/>
    <w:rsid w:val="002D033E"/>
    <w:rsid w:val="002D19B4"/>
    <w:rsid w:val="002D2ECB"/>
    <w:rsid w:val="002D506F"/>
    <w:rsid w:val="002F7F90"/>
    <w:rsid w:val="003047A4"/>
    <w:rsid w:val="0030653F"/>
    <w:rsid w:val="003065A8"/>
    <w:rsid w:val="0030762E"/>
    <w:rsid w:val="0031140F"/>
    <w:rsid w:val="00314215"/>
    <w:rsid w:val="0031486A"/>
    <w:rsid w:val="00321170"/>
    <w:rsid w:val="00321381"/>
    <w:rsid w:val="00327ED0"/>
    <w:rsid w:val="00335C98"/>
    <w:rsid w:val="003466A6"/>
    <w:rsid w:val="00350E5A"/>
    <w:rsid w:val="003554FD"/>
    <w:rsid w:val="00355A04"/>
    <w:rsid w:val="00356E1F"/>
    <w:rsid w:val="00360B33"/>
    <w:rsid w:val="00360D2B"/>
    <w:rsid w:val="00362192"/>
    <w:rsid w:val="00363A64"/>
    <w:rsid w:val="0036434B"/>
    <w:rsid w:val="0036490A"/>
    <w:rsid w:val="003665E8"/>
    <w:rsid w:val="00371D09"/>
    <w:rsid w:val="003776B8"/>
    <w:rsid w:val="00377A46"/>
    <w:rsid w:val="0039576B"/>
    <w:rsid w:val="003A4303"/>
    <w:rsid w:val="003A611F"/>
    <w:rsid w:val="003A6A7D"/>
    <w:rsid w:val="003A739F"/>
    <w:rsid w:val="003B0A84"/>
    <w:rsid w:val="003B452A"/>
    <w:rsid w:val="003B469E"/>
    <w:rsid w:val="003C0C11"/>
    <w:rsid w:val="003C0DEB"/>
    <w:rsid w:val="003D6B57"/>
    <w:rsid w:val="003E6B15"/>
    <w:rsid w:val="00400FF1"/>
    <w:rsid w:val="0040547C"/>
    <w:rsid w:val="00407A24"/>
    <w:rsid w:val="00410D85"/>
    <w:rsid w:val="00413BCF"/>
    <w:rsid w:val="00415BB1"/>
    <w:rsid w:val="00416ED2"/>
    <w:rsid w:val="004208EA"/>
    <w:rsid w:val="004232AE"/>
    <w:rsid w:val="004279A4"/>
    <w:rsid w:val="00430357"/>
    <w:rsid w:val="00440529"/>
    <w:rsid w:val="00445B63"/>
    <w:rsid w:val="00445DC8"/>
    <w:rsid w:val="004469D3"/>
    <w:rsid w:val="0045234D"/>
    <w:rsid w:val="00461BFF"/>
    <w:rsid w:val="00464A38"/>
    <w:rsid w:val="00465C87"/>
    <w:rsid w:val="00467BD9"/>
    <w:rsid w:val="00480FB5"/>
    <w:rsid w:val="00483D20"/>
    <w:rsid w:val="0049159F"/>
    <w:rsid w:val="00493E9D"/>
    <w:rsid w:val="00497EDA"/>
    <w:rsid w:val="004A1234"/>
    <w:rsid w:val="004A4EC4"/>
    <w:rsid w:val="004A5C7E"/>
    <w:rsid w:val="004A69DA"/>
    <w:rsid w:val="004B40AD"/>
    <w:rsid w:val="004B5F00"/>
    <w:rsid w:val="004B68E4"/>
    <w:rsid w:val="004D082E"/>
    <w:rsid w:val="004F157B"/>
    <w:rsid w:val="004F26B9"/>
    <w:rsid w:val="004F27A8"/>
    <w:rsid w:val="00501F54"/>
    <w:rsid w:val="00507120"/>
    <w:rsid w:val="005167B5"/>
    <w:rsid w:val="00517BF2"/>
    <w:rsid w:val="00520DF4"/>
    <w:rsid w:val="0052558F"/>
    <w:rsid w:val="00525EEE"/>
    <w:rsid w:val="005374AB"/>
    <w:rsid w:val="0053799A"/>
    <w:rsid w:val="00553B54"/>
    <w:rsid w:val="00554A4F"/>
    <w:rsid w:val="00555708"/>
    <w:rsid w:val="00557716"/>
    <w:rsid w:val="005612E8"/>
    <w:rsid w:val="00565B78"/>
    <w:rsid w:val="00566552"/>
    <w:rsid w:val="005700DD"/>
    <w:rsid w:val="00570CB4"/>
    <w:rsid w:val="00571DFB"/>
    <w:rsid w:val="005725C1"/>
    <w:rsid w:val="00575460"/>
    <w:rsid w:val="00583814"/>
    <w:rsid w:val="00584908"/>
    <w:rsid w:val="005900DA"/>
    <w:rsid w:val="00590BBC"/>
    <w:rsid w:val="00590E18"/>
    <w:rsid w:val="00594061"/>
    <w:rsid w:val="005A21AB"/>
    <w:rsid w:val="005A7DEB"/>
    <w:rsid w:val="005B1E3D"/>
    <w:rsid w:val="005B56B2"/>
    <w:rsid w:val="005B584F"/>
    <w:rsid w:val="005B59F2"/>
    <w:rsid w:val="005B5ACD"/>
    <w:rsid w:val="005C730B"/>
    <w:rsid w:val="005E146B"/>
    <w:rsid w:val="005E7221"/>
    <w:rsid w:val="005F045B"/>
    <w:rsid w:val="005F1ACB"/>
    <w:rsid w:val="005F3458"/>
    <w:rsid w:val="005F3B34"/>
    <w:rsid w:val="005F423B"/>
    <w:rsid w:val="005F6DC2"/>
    <w:rsid w:val="00601872"/>
    <w:rsid w:val="006034F1"/>
    <w:rsid w:val="006074E6"/>
    <w:rsid w:val="00611A30"/>
    <w:rsid w:val="00617F84"/>
    <w:rsid w:val="006308D0"/>
    <w:rsid w:val="006345E4"/>
    <w:rsid w:val="00636FC0"/>
    <w:rsid w:val="00640CA0"/>
    <w:rsid w:val="00641273"/>
    <w:rsid w:val="006423A0"/>
    <w:rsid w:val="0065312C"/>
    <w:rsid w:val="006623B8"/>
    <w:rsid w:val="00664657"/>
    <w:rsid w:val="00667C6C"/>
    <w:rsid w:val="00674DB2"/>
    <w:rsid w:val="006755D1"/>
    <w:rsid w:val="00675902"/>
    <w:rsid w:val="00683BC1"/>
    <w:rsid w:val="00691D64"/>
    <w:rsid w:val="006924BD"/>
    <w:rsid w:val="006928F3"/>
    <w:rsid w:val="00695B0E"/>
    <w:rsid w:val="006A4FD9"/>
    <w:rsid w:val="006A536D"/>
    <w:rsid w:val="006A558E"/>
    <w:rsid w:val="006A6599"/>
    <w:rsid w:val="006A78DB"/>
    <w:rsid w:val="006B264F"/>
    <w:rsid w:val="006C2F07"/>
    <w:rsid w:val="006C4362"/>
    <w:rsid w:val="006C4E45"/>
    <w:rsid w:val="006D6DE5"/>
    <w:rsid w:val="006E0E7F"/>
    <w:rsid w:val="006F071E"/>
    <w:rsid w:val="006F35BF"/>
    <w:rsid w:val="006F48B1"/>
    <w:rsid w:val="006F59AD"/>
    <w:rsid w:val="006F5BFE"/>
    <w:rsid w:val="006F5F28"/>
    <w:rsid w:val="00703873"/>
    <w:rsid w:val="00704C88"/>
    <w:rsid w:val="00713BE0"/>
    <w:rsid w:val="00717813"/>
    <w:rsid w:val="00721B72"/>
    <w:rsid w:val="00723C12"/>
    <w:rsid w:val="00727A8D"/>
    <w:rsid w:val="00727F68"/>
    <w:rsid w:val="007405FE"/>
    <w:rsid w:val="00744FF7"/>
    <w:rsid w:val="00755688"/>
    <w:rsid w:val="007618A4"/>
    <w:rsid w:val="00761F7A"/>
    <w:rsid w:val="007725A2"/>
    <w:rsid w:val="00773C74"/>
    <w:rsid w:val="00774AF6"/>
    <w:rsid w:val="0077727C"/>
    <w:rsid w:val="00777D2C"/>
    <w:rsid w:val="00785EF4"/>
    <w:rsid w:val="00787BAE"/>
    <w:rsid w:val="0079023D"/>
    <w:rsid w:val="007936EA"/>
    <w:rsid w:val="007A475F"/>
    <w:rsid w:val="007A4CC8"/>
    <w:rsid w:val="007B6232"/>
    <w:rsid w:val="007C38B4"/>
    <w:rsid w:val="007C507A"/>
    <w:rsid w:val="007D0631"/>
    <w:rsid w:val="007D0BC7"/>
    <w:rsid w:val="007D1510"/>
    <w:rsid w:val="007D2169"/>
    <w:rsid w:val="007D3A44"/>
    <w:rsid w:val="007D7D58"/>
    <w:rsid w:val="007F15CF"/>
    <w:rsid w:val="007F42C1"/>
    <w:rsid w:val="007F5EFF"/>
    <w:rsid w:val="007F618B"/>
    <w:rsid w:val="007F643C"/>
    <w:rsid w:val="007F7D23"/>
    <w:rsid w:val="00802640"/>
    <w:rsid w:val="008026CD"/>
    <w:rsid w:val="00803AB0"/>
    <w:rsid w:val="00805E71"/>
    <w:rsid w:val="00811542"/>
    <w:rsid w:val="008216AC"/>
    <w:rsid w:val="00826126"/>
    <w:rsid w:val="00827EC7"/>
    <w:rsid w:val="00830A68"/>
    <w:rsid w:val="00832E93"/>
    <w:rsid w:val="008360D0"/>
    <w:rsid w:val="0084100C"/>
    <w:rsid w:val="00841E51"/>
    <w:rsid w:val="00842413"/>
    <w:rsid w:val="00843A6C"/>
    <w:rsid w:val="0084604E"/>
    <w:rsid w:val="00850B65"/>
    <w:rsid w:val="0085193A"/>
    <w:rsid w:val="00861695"/>
    <w:rsid w:val="00861A1B"/>
    <w:rsid w:val="00861E07"/>
    <w:rsid w:val="008658B4"/>
    <w:rsid w:val="0087135B"/>
    <w:rsid w:val="00871AC8"/>
    <w:rsid w:val="00873118"/>
    <w:rsid w:val="00873579"/>
    <w:rsid w:val="008818DC"/>
    <w:rsid w:val="0088605D"/>
    <w:rsid w:val="008A0914"/>
    <w:rsid w:val="008A1BE3"/>
    <w:rsid w:val="008A6C91"/>
    <w:rsid w:val="008A73CC"/>
    <w:rsid w:val="008B1D19"/>
    <w:rsid w:val="008B3445"/>
    <w:rsid w:val="008B4330"/>
    <w:rsid w:val="008B689F"/>
    <w:rsid w:val="008C020A"/>
    <w:rsid w:val="008C6A23"/>
    <w:rsid w:val="008D6DA2"/>
    <w:rsid w:val="008E33D3"/>
    <w:rsid w:val="008F2C20"/>
    <w:rsid w:val="008F61B0"/>
    <w:rsid w:val="00901EDB"/>
    <w:rsid w:val="00912641"/>
    <w:rsid w:val="009248BD"/>
    <w:rsid w:val="00927242"/>
    <w:rsid w:val="00943A51"/>
    <w:rsid w:val="00945581"/>
    <w:rsid w:val="009609C7"/>
    <w:rsid w:val="00962B17"/>
    <w:rsid w:val="0096717A"/>
    <w:rsid w:val="00967574"/>
    <w:rsid w:val="00967FE9"/>
    <w:rsid w:val="0097361F"/>
    <w:rsid w:val="0098079E"/>
    <w:rsid w:val="009837A0"/>
    <w:rsid w:val="00986F90"/>
    <w:rsid w:val="009878AA"/>
    <w:rsid w:val="009A509B"/>
    <w:rsid w:val="009B252F"/>
    <w:rsid w:val="009B4B1E"/>
    <w:rsid w:val="009B4F66"/>
    <w:rsid w:val="009B5C29"/>
    <w:rsid w:val="009B6990"/>
    <w:rsid w:val="009C06EB"/>
    <w:rsid w:val="009C68EB"/>
    <w:rsid w:val="009C7457"/>
    <w:rsid w:val="009D1331"/>
    <w:rsid w:val="009D4DEF"/>
    <w:rsid w:val="009D74B0"/>
    <w:rsid w:val="009E002F"/>
    <w:rsid w:val="009F0B62"/>
    <w:rsid w:val="009F589D"/>
    <w:rsid w:val="00A025CE"/>
    <w:rsid w:val="00A03E83"/>
    <w:rsid w:val="00A05BDE"/>
    <w:rsid w:val="00A06ABF"/>
    <w:rsid w:val="00A10889"/>
    <w:rsid w:val="00A202ED"/>
    <w:rsid w:val="00A264E4"/>
    <w:rsid w:val="00A35664"/>
    <w:rsid w:val="00A371B2"/>
    <w:rsid w:val="00A43B32"/>
    <w:rsid w:val="00A47912"/>
    <w:rsid w:val="00A479AF"/>
    <w:rsid w:val="00A504CC"/>
    <w:rsid w:val="00A61A0F"/>
    <w:rsid w:val="00A72BBA"/>
    <w:rsid w:val="00A80B75"/>
    <w:rsid w:val="00A814CE"/>
    <w:rsid w:val="00A82197"/>
    <w:rsid w:val="00A82A43"/>
    <w:rsid w:val="00A8305E"/>
    <w:rsid w:val="00A872E9"/>
    <w:rsid w:val="00A90E6E"/>
    <w:rsid w:val="00A91CE8"/>
    <w:rsid w:val="00A93970"/>
    <w:rsid w:val="00AA1366"/>
    <w:rsid w:val="00AA1DD0"/>
    <w:rsid w:val="00AA57FB"/>
    <w:rsid w:val="00AA60F6"/>
    <w:rsid w:val="00AB084B"/>
    <w:rsid w:val="00AC5D53"/>
    <w:rsid w:val="00AC6B69"/>
    <w:rsid w:val="00AD5187"/>
    <w:rsid w:val="00AD5F4A"/>
    <w:rsid w:val="00AD7A19"/>
    <w:rsid w:val="00AE5C33"/>
    <w:rsid w:val="00AE716F"/>
    <w:rsid w:val="00AF048A"/>
    <w:rsid w:val="00AF13A3"/>
    <w:rsid w:val="00AF3184"/>
    <w:rsid w:val="00B02CA9"/>
    <w:rsid w:val="00B04D35"/>
    <w:rsid w:val="00B05037"/>
    <w:rsid w:val="00B0769B"/>
    <w:rsid w:val="00B134AA"/>
    <w:rsid w:val="00B16BB0"/>
    <w:rsid w:val="00B2005C"/>
    <w:rsid w:val="00B205EE"/>
    <w:rsid w:val="00B25128"/>
    <w:rsid w:val="00B2660A"/>
    <w:rsid w:val="00B268C5"/>
    <w:rsid w:val="00B27B0F"/>
    <w:rsid w:val="00B3128D"/>
    <w:rsid w:val="00B3228D"/>
    <w:rsid w:val="00B354F1"/>
    <w:rsid w:val="00B45185"/>
    <w:rsid w:val="00B47888"/>
    <w:rsid w:val="00B60877"/>
    <w:rsid w:val="00B6431C"/>
    <w:rsid w:val="00B65E10"/>
    <w:rsid w:val="00B705D5"/>
    <w:rsid w:val="00B7532A"/>
    <w:rsid w:val="00B7653A"/>
    <w:rsid w:val="00B77984"/>
    <w:rsid w:val="00B81620"/>
    <w:rsid w:val="00B82E1F"/>
    <w:rsid w:val="00B8331F"/>
    <w:rsid w:val="00B94DBB"/>
    <w:rsid w:val="00B94FB8"/>
    <w:rsid w:val="00BA0470"/>
    <w:rsid w:val="00BA1B99"/>
    <w:rsid w:val="00BA3549"/>
    <w:rsid w:val="00BA7743"/>
    <w:rsid w:val="00BB1887"/>
    <w:rsid w:val="00BC7FEE"/>
    <w:rsid w:val="00BD1AAD"/>
    <w:rsid w:val="00BD28AF"/>
    <w:rsid w:val="00BD48EE"/>
    <w:rsid w:val="00BD53C4"/>
    <w:rsid w:val="00BD55F1"/>
    <w:rsid w:val="00BD5917"/>
    <w:rsid w:val="00BD762F"/>
    <w:rsid w:val="00BD79D2"/>
    <w:rsid w:val="00BF392E"/>
    <w:rsid w:val="00BF5AA1"/>
    <w:rsid w:val="00BF6807"/>
    <w:rsid w:val="00C03EA9"/>
    <w:rsid w:val="00C159D2"/>
    <w:rsid w:val="00C17469"/>
    <w:rsid w:val="00C23627"/>
    <w:rsid w:val="00C23C71"/>
    <w:rsid w:val="00C23CE4"/>
    <w:rsid w:val="00C25901"/>
    <w:rsid w:val="00C25AF9"/>
    <w:rsid w:val="00C26E53"/>
    <w:rsid w:val="00C3265A"/>
    <w:rsid w:val="00C3310F"/>
    <w:rsid w:val="00C3436B"/>
    <w:rsid w:val="00C35166"/>
    <w:rsid w:val="00C366F7"/>
    <w:rsid w:val="00C42230"/>
    <w:rsid w:val="00C50C2D"/>
    <w:rsid w:val="00C52015"/>
    <w:rsid w:val="00C53A16"/>
    <w:rsid w:val="00C53BA9"/>
    <w:rsid w:val="00C53D2A"/>
    <w:rsid w:val="00C53F1A"/>
    <w:rsid w:val="00C5639A"/>
    <w:rsid w:val="00C6028D"/>
    <w:rsid w:val="00C61C60"/>
    <w:rsid w:val="00C661BD"/>
    <w:rsid w:val="00C663FB"/>
    <w:rsid w:val="00C67D4B"/>
    <w:rsid w:val="00C71E11"/>
    <w:rsid w:val="00C766DA"/>
    <w:rsid w:val="00C80470"/>
    <w:rsid w:val="00C86C9C"/>
    <w:rsid w:val="00C90AFB"/>
    <w:rsid w:val="00C934DB"/>
    <w:rsid w:val="00C93547"/>
    <w:rsid w:val="00C93F27"/>
    <w:rsid w:val="00C95268"/>
    <w:rsid w:val="00CA036D"/>
    <w:rsid w:val="00CA450C"/>
    <w:rsid w:val="00CA5D71"/>
    <w:rsid w:val="00CB1BC1"/>
    <w:rsid w:val="00CB1C4D"/>
    <w:rsid w:val="00CB50CD"/>
    <w:rsid w:val="00CC3C00"/>
    <w:rsid w:val="00CC7E53"/>
    <w:rsid w:val="00CE2854"/>
    <w:rsid w:val="00CE716F"/>
    <w:rsid w:val="00CF67F8"/>
    <w:rsid w:val="00CF7429"/>
    <w:rsid w:val="00D02681"/>
    <w:rsid w:val="00D033AC"/>
    <w:rsid w:val="00D07AC9"/>
    <w:rsid w:val="00D121DE"/>
    <w:rsid w:val="00D16C44"/>
    <w:rsid w:val="00D2005D"/>
    <w:rsid w:val="00D20702"/>
    <w:rsid w:val="00D24606"/>
    <w:rsid w:val="00D25B25"/>
    <w:rsid w:val="00D26039"/>
    <w:rsid w:val="00D32541"/>
    <w:rsid w:val="00D354F7"/>
    <w:rsid w:val="00D41AE4"/>
    <w:rsid w:val="00D46369"/>
    <w:rsid w:val="00D46740"/>
    <w:rsid w:val="00D46BEE"/>
    <w:rsid w:val="00D47F02"/>
    <w:rsid w:val="00D5006F"/>
    <w:rsid w:val="00D51E07"/>
    <w:rsid w:val="00D52362"/>
    <w:rsid w:val="00D5337D"/>
    <w:rsid w:val="00D553E2"/>
    <w:rsid w:val="00D64B86"/>
    <w:rsid w:val="00D65AD5"/>
    <w:rsid w:val="00D67842"/>
    <w:rsid w:val="00D71C3D"/>
    <w:rsid w:val="00D77FC9"/>
    <w:rsid w:val="00D82C9A"/>
    <w:rsid w:val="00D83340"/>
    <w:rsid w:val="00D97BB6"/>
    <w:rsid w:val="00D97BD4"/>
    <w:rsid w:val="00DA2C6B"/>
    <w:rsid w:val="00DA7535"/>
    <w:rsid w:val="00DB3467"/>
    <w:rsid w:val="00DB64B8"/>
    <w:rsid w:val="00DB682C"/>
    <w:rsid w:val="00DC374B"/>
    <w:rsid w:val="00DC50D1"/>
    <w:rsid w:val="00DC5CB6"/>
    <w:rsid w:val="00DC793C"/>
    <w:rsid w:val="00DD1DAB"/>
    <w:rsid w:val="00DD5DD8"/>
    <w:rsid w:val="00DF006C"/>
    <w:rsid w:val="00DF2ECD"/>
    <w:rsid w:val="00DF3E0B"/>
    <w:rsid w:val="00DF643A"/>
    <w:rsid w:val="00DF79C3"/>
    <w:rsid w:val="00E01CC1"/>
    <w:rsid w:val="00E03D6F"/>
    <w:rsid w:val="00E05774"/>
    <w:rsid w:val="00E06EB8"/>
    <w:rsid w:val="00E07348"/>
    <w:rsid w:val="00E100AD"/>
    <w:rsid w:val="00E132C5"/>
    <w:rsid w:val="00E136AE"/>
    <w:rsid w:val="00E13DE0"/>
    <w:rsid w:val="00E2724B"/>
    <w:rsid w:val="00E326A2"/>
    <w:rsid w:val="00E326E2"/>
    <w:rsid w:val="00E3349D"/>
    <w:rsid w:val="00E34222"/>
    <w:rsid w:val="00E3596F"/>
    <w:rsid w:val="00E50E5F"/>
    <w:rsid w:val="00E51064"/>
    <w:rsid w:val="00E53227"/>
    <w:rsid w:val="00E53E9A"/>
    <w:rsid w:val="00E546DD"/>
    <w:rsid w:val="00E563D6"/>
    <w:rsid w:val="00E615CB"/>
    <w:rsid w:val="00E618DD"/>
    <w:rsid w:val="00E66A6F"/>
    <w:rsid w:val="00E7354E"/>
    <w:rsid w:val="00E75E80"/>
    <w:rsid w:val="00E75EF2"/>
    <w:rsid w:val="00E76151"/>
    <w:rsid w:val="00E77860"/>
    <w:rsid w:val="00E84B72"/>
    <w:rsid w:val="00E90674"/>
    <w:rsid w:val="00E92F4B"/>
    <w:rsid w:val="00E93373"/>
    <w:rsid w:val="00E93DA7"/>
    <w:rsid w:val="00EA5F99"/>
    <w:rsid w:val="00EA669E"/>
    <w:rsid w:val="00EB178C"/>
    <w:rsid w:val="00EB4250"/>
    <w:rsid w:val="00EC5AB6"/>
    <w:rsid w:val="00EC69B8"/>
    <w:rsid w:val="00EC6B73"/>
    <w:rsid w:val="00ED7300"/>
    <w:rsid w:val="00EE023F"/>
    <w:rsid w:val="00EE14E2"/>
    <w:rsid w:val="00EE16F5"/>
    <w:rsid w:val="00EE6952"/>
    <w:rsid w:val="00EE7267"/>
    <w:rsid w:val="00F01914"/>
    <w:rsid w:val="00F02753"/>
    <w:rsid w:val="00F03690"/>
    <w:rsid w:val="00F05BAB"/>
    <w:rsid w:val="00F0689C"/>
    <w:rsid w:val="00F21CA1"/>
    <w:rsid w:val="00F32FC6"/>
    <w:rsid w:val="00F34599"/>
    <w:rsid w:val="00F41223"/>
    <w:rsid w:val="00F420DF"/>
    <w:rsid w:val="00F42C5F"/>
    <w:rsid w:val="00F44A29"/>
    <w:rsid w:val="00F4560B"/>
    <w:rsid w:val="00F46177"/>
    <w:rsid w:val="00F517E1"/>
    <w:rsid w:val="00F536B4"/>
    <w:rsid w:val="00F63C2D"/>
    <w:rsid w:val="00F71CDB"/>
    <w:rsid w:val="00F7731C"/>
    <w:rsid w:val="00F85B23"/>
    <w:rsid w:val="00F87E42"/>
    <w:rsid w:val="00F90A86"/>
    <w:rsid w:val="00F92400"/>
    <w:rsid w:val="00FA25D2"/>
    <w:rsid w:val="00FA66ED"/>
    <w:rsid w:val="00FA7D92"/>
    <w:rsid w:val="00FB2A31"/>
    <w:rsid w:val="00FB58F3"/>
    <w:rsid w:val="00FC49AB"/>
    <w:rsid w:val="00FC589C"/>
    <w:rsid w:val="00FD367F"/>
    <w:rsid w:val="00FD3CFB"/>
    <w:rsid w:val="00FD44C2"/>
    <w:rsid w:val="00FE2BBC"/>
    <w:rsid w:val="00FE41CC"/>
    <w:rsid w:val="00FE65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0603D15"/>
  <w15:docId w15:val="{0E945F70-03DB-5F44-9B6C-8B0A432DD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F234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44713A"/>
    <w:rPr>
      <w:color w:val="0563C1" w:themeColor="hyperlink"/>
      <w:u w:val="single"/>
    </w:rPr>
  </w:style>
  <w:style w:type="character" w:customStyle="1" w:styleId="mw-headline">
    <w:name w:val="mw-headline"/>
    <w:basedOn w:val="DefaultParagraphFont"/>
    <w:rsid w:val="001F3FCE"/>
  </w:style>
  <w:style w:type="paragraph" w:customStyle="1" w:styleId="c-article-referencestext">
    <w:name w:val="c-article-references__text"/>
    <w:basedOn w:val="Normal"/>
    <w:rsid w:val="0011078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Normal"/>
    <w:rsid w:val="00110788"/>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030D98"/>
    <w:rPr>
      <w:color w:val="605E5C"/>
      <w:shd w:val="clear" w:color="auto" w:fill="E1DFDD"/>
    </w:rPr>
  </w:style>
  <w:style w:type="character" w:customStyle="1" w:styleId="Heading1Char">
    <w:name w:val="Heading 1 Char"/>
    <w:basedOn w:val="DefaultParagraphFont"/>
    <w:link w:val="Heading1"/>
    <w:uiPriority w:val="9"/>
    <w:rsid w:val="00FF2349"/>
    <w:rPr>
      <w:rFonts w:ascii="Times New Roman" w:eastAsia="Times New Roman" w:hAnsi="Times New Roman" w:cs="Times New Roman"/>
      <w:b/>
      <w:bCs/>
      <w:kern w:val="36"/>
      <w:sz w:val="48"/>
      <w:szCs w:val="48"/>
      <w:lang w:eastAsia="en-GB"/>
    </w:rPr>
  </w:style>
  <w:style w:type="character" w:customStyle="1" w:styleId="al-author-name-more">
    <w:name w:val="al-author-name-more"/>
    <w:basedOn w:val="DefaultParagraphFont"/>
    <w:rsid w:val="00FF2349"/>
  </w:style>
  <w:style w:type="character" w:customStyle="1" w:styleId="delimiter">
    <w:name w:val="delimiter"/>
    <w:basedOn w:val="DefaultParagraphFont"/>
    <w:rsid w:val="00FF2349"/>
  </w:style>
  <w:style w:type="character" w:styleId="Emphasis">
    <w:name w:val="Emphasis"/>
    <w:basedOn w:val="DefaultParagraphFont"/>
    <w:uiPriority w:val="20"/>
    <w:qFormat/>
    <w:rsid w:val="00FF2349"/>
    <w:rPr>
      <w:i/>
      <w:iCs/>
    </w:rPr>
  </w:style>
  <w:style w:type="table" w:styleId="TableGrid">
    <w:name w:val="Table Grid"/>
    <w:basedOn w:val="TableNormal"/>
    <w:uiPriority w:val="39"/>
    <w:rsid w:val="00F82E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850247"/>
    <w:pPr>
      <w:tabs>
        <w:tab w:val="left" w:pos="384"/>
        <w:tab w:val="left" w:pos="500"/>
      </w:tabs>
      <w:spacing w:after="240" w:line="240" w:lineRule="auto"/>
      <w:ind w:left="504" w:hanging="504"/>
    </w:pPr>
  </w:style>
  <w:style w:type="paragraph" w:customStyle="1" w:styleId="centered">
    <w:name w:val="centered"/>
    <w:basedOn w:val="Normal"/>
    <w:qFormat/>
    <w:rsid w:val="00BE442B"/>
    <w:pPr>
      <w:spacing w:after="0" w:line="240" w:lineRule="auto"/>
      <w:jc w:val="center"/>
    </w:pPr>
    <w:rPr>
      <w:rFonts w:eastAsiaTheme="minorEastAsia"/>
      <w:sz w:val="24"/>
      <w:szCs w:val="24"/>
      <w:lang w:val="en-US"/>
    </w:rPr>
  </w:style>
  <w:style w:type="paragraph" w:styleId="Header">
    <w:name w:val="header"/>
    <w:basedOn w:val="Normal"/>
    <w:link w:val="HeaderChar"/>
    <w:uiPriority w:val="99"/>
    <w:unhideWhenUsed/>
    <w:rsid w:val="001F6D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6D29"/>
  </w:style>
  <w:style w:type="paragraph" w:styleId="Footer">
    <w:name w:val="footer"/>
    <w:basedOn w:val="Normal"/>
    <w:link w:val="FooterChar"/>
    <w:uiPriority w:val="99"/>
    <w:unhideWhenUsed/>
    <w:rsid w:val="001F6D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6D29"/>
  </w:style>
  <w:style w:type="character" w:styleId="CommentReference">
    <w:name w:val="annotation reference"/>
    <w:basedOn w:val="DefaultParagraphFont"/>
    <w:uiPriority w:val="99"/>
    <w:semiHidden/>
    <w:unhideWhenUsed/>
    <w:rsid w:val="0049548F"/>
    <w:rPr>
      <w:sz w:val="16"/>
      <w:szCs w:val="16"/>
    </w:rPr>
  </w:style>
  <w:style w:type="paragraph" w:styleId="CommentText">
    <w:name w:val="annotation text"/>
    <w:basedOn w:val="Normal"/>
    <w:link w:val="CommentTextChar"/>
    <w:uiPriority w:val="99"/>
    <w:unhideWhenUsed/>
    <w:rsid w:val="0049548F"/>
    <w:pPr>
      <w:spacing w:line="240" w:lineRule="auto"/>
    </w:pPr>
    <w:rPr>
      <w:sz w:val="20"/>
      <w:szCs w:val="20"/>
    </w:rPr>
  </w:style>
  <w:style w:type="character" w:customStyle="1" w:styleId="CommentTextChar">
    <w:name w:val="Comment Text Char"/>
    <w:basedOn w:val="DefaultParagraphFont"/>
    <w:link w:val="CommentText"/>
    <w:uiPriority w:val="99"/>
    <w:rsid w:val="0049548F"/>
    <w:rPr>
      <w:sz w:val="20"/>
      <w:szCs w:val="20"/>
    </w:rPr>
  </w:style>
  <w:style w:type="paragraph" w:styleId="CommentSubject">
    <w:name w:val="annotation subject"/>
    <w:basedOn w:val="CommentText"/>
    <w:next w:val="CommentText"/>
    <w:link w:val="CommentSubjectChar"/>
    <w:uiPriority w:val="99"/>
    <w:semiHidden/>
    <w:unhideWhenUsed/>
    <w:rsid w:val="0049548F"/>
    <w:rPr>
      <w:b/>
      <w:bCs/>
    </w:rPr>
  </w:style>
  <w:style w:type="character" w:customStyle="1" w:styleId="CommentSubjectChar">
    <w:name w:val="Comment Subject Char"/>
    <w:basedOn w:val="CommentTextChar"/>
    <w:link w:val="CommentSubject"/>
    <w:uiPriority w:val="99"/>
    <w:semiHidden/>
    <w:rsid w:val="0049548F"/>
    <w:rPr>
      <w:b/>
      <w:bCs/>
      <w:sz w:val="20"/>
      <w:szCs w:val="20"/>
    </w:rPr>
  </w:style>
  <w:style w:type="paragraph" w:styleId="Revision">
    <w:name w:val="Revision"/>
    <w:hidden/>
    <w:uiPriority w:val="99"/>
    <w:semiHidden/>
    <w:rsid w:val="0049548F"/>
    <w:pPr>
      <w:spacing w:after="0" w:line="240" w:lineRule="auto"/>
    </w:pPr>
  </w:style>
  <w:style w:type="character" w:styleId="LineNumber">
    <w:name w:val="line number"/>
    <w:basedOn w:val="DefaultParagraphFont"/>
    <w:uiPriority w:val="99"/>
    <w:semiHidden/>
    <w:unhideWhenUsed/>
    <w:rsid w:val="00B4658A"/>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oFlO72pHjXz89qZZgK2c0JCq1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QKAjE0Eh4KHAgHQhgKD1RpbWVzIE5ldyBSb21hbhIFQ2FyZG8aJgoCMTUSIAoeCAdCGgoPVGltZXMgTmV3IFJvbWFuEgdHdW5nc3VoMghoLmdqZGd4czIOaC5iNzBwMHFmZ3FpZGsyDmgudjd6NWl5cDU1a2w4Mg5oLnA0eDZkcTJnNjNsczIJaC4zMGowemxsMgloLjFmb2I5dGUyCWguM3pueXNoNzIJaC4yZXQ5MnAwMghoLnR5amN3dDIJaC4zZHk2dmttMgloLjF0M2g1c2Y4AHIhMVpYYTlZaE9aaVlNdnZldVU3ZjJpd01IdFNFU2ZmSml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37</Pages>
  <Words>61918</Words>
  <Characters>352933</Characters>
  <Application>Microsoft Office Word</Application>
  <DocSecurity>0</DocSecurity>
  <Lines>2941</Lines>
  <Paragraphs>828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O'Leary</dc:creator>
  <cp:keywords/>
  <dc:description/>
  <cp:lastModifiedBy>Thomas O'Leary</cp:lastModifiedBy>
  <cp:revision>5</cp:revision>
  <dcterms:created xsi:type="dcterms:W3CDTF">2024-10-12T18:35:00Z</dcterms:created>
  <dcterms:modified xsi:type="dcterms:W3CDTF">2024-10-12T18:41:00Z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id="WFdcZ0Dr"/&gt;&lt;style id="http://www.zotero.org/styles/medicine-and-science-in-sports-and-exercise" hasBibliography="1" bibliographyStyleHasBeenSet="1"/&gt;&lt;prefs&gt;&lt;pref name="fieldType" value="Field"/&gt;&lt;</vt:lpwstr>
  </property>
  <property fmtid="{D5CDD505-2E9C-101B-9397-08002B2CF9AE}" pid="3" name="MSIP_Label_d8a60473-494b-4586-a1bb-b0e663054676_Enabled">
    <vt:lpwstr>true</vt:lpwstr>
  </property>
  <property fmtid="{D5CDD505-2E9C-101B-9397-08002B2CF9AE}" pid="4" name="MSIP_Label_d8a60473-494b-4586-a1bb-b0e663054676_SetDate">
    <vt:lpwstr>2023-02-13T09:33:56Z</vt:lpwstr>
  </property>
  <property fmtid="{D5CDD505-2E9C-101B-9397-08002B2CF9AE}" pid="5" name="MSIP_Label_d8a60473-494b-4586-a1bb-b0e663054676_Method">
    <vt:lpwstr>Privileged</vt:lpwstr>
  </property>
  <property fmtid="{D5CDD505-2E9C-101B-9397-08002B2CF9AE}" pid="6" name="MSIP_Label_d8a60473-494b-4586-a1bb-b0e663054676_Name">
    <vt:lpwstr>MOD-1-O-‘UNMARKED’</vt:lpwstr>
  </property>
  <property fmtid="{D5CDD505-2E9C-101B-9397-08002B2CF9AE}" pid="7" name="MSIP_Label_d8a60473-494b-4586-a1bb-b0e663054676_SiteId">
    <vt:lpwstr>be7760ed-5953-484b-ae95-d0a16dfa09e5</vt:lpwstr>
  </property>
  <property fmtid="{D5CDD505-2E9C-101B-9397-08002B2CF9AE}" pid="8" name="MSIP_Label_d8a60473-494b-4586-a1bb-b0e663054676_ActionId">
    <vt:lpwstr>bbfc92b2-a09e-4b5c-9d14-cc10616a9b48</vt:lpwstr>
  </property>
  <property fmtid="{D5CDD505-2E9C-101B-9397-08002B2CF9AE}" pid="9" name="MSIP_Label_d8a60473-494b-4586-a1bb-b0e663054676_ContentBits">
    <vt:lpwstr>0</vt:lpwstr>
  </property>
  <property fmtid="{D5CDD505-2E9C-101B-9397-08002B2CF9AE}" pid="10" name="ZOTERO_PREF_2">
    <vt:lpwstr>pref name="dontAskDelayCitationUpdates" value="true"/&gt;&lt;/prefs&gt;&lt;/data&gt;</vt:lpwstr>
  </property>
  <property fmtid="{D5CDD505-2E9C-101B-9397-08002B2CF9AE}" pid="11" name="GrammarlyDocumentId">
    <vt:lpwstr>b4583f5da0f9fc758b563b73d367f33a1f12a0f924abbe54ce9b6a3e18f64c16</vt:lpwstr>
  </property>
</Properties>
</file>