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77C3" w14:textId="1F4FEB68" w:rsidR="00486DF6" w:rsidRDefault="0048484D" w:rsidP="000E4CEC">
      <w:pPr>
        <w:spacing w:line="480" w:lineRule="auto"/>
        <w:jc w:val="center"/>
        <w:rPr>
          <w:rFonts w:ascii="Times New Roman" w:eastAsia="Times New Roman" w:hAnsi="Times New Roman" w:cs="Times New Roman"/>
          <w:smallCaps/>
          <w:color w:val="000000"/>
          <w:lang w:val="en-US" w:eastAsia="en-GB"/>
        </w:rPr>
      </w:pPr>
      <w:r w:rsidRPr="00486DF6">
        <w:rPr>
          <w:rFonts w:ascii="Times New Roman" w:eastAsia="Times New Roman" w:hAnsi="Times New Roman" w:cs="Times New Roman"/>
          <w:b/>
          <w:bCs/>
          <w:color w:val="000000"/>
          <w:sz w:val="32"/>
          <w:szCs w:val="32"/>
          <w:lang w:val="en-US" w:eastAsia="en-GB"/>
        </w:rPr>
        <w:t>Nullification and Secession in the EU constitutional order of States</w:t>
      </w:r>
    </w:p>
    <w:p w14:paraId="1CCB8FED" w14:textId="37357184" w:rsidR="004351F8" w:rsidRDefault="004351F8" w:rsidP="004351F8">
      <w:pPr>
        <w:spacing w:line="480" w:lineRule="auto"/>
        <w:jc w:val="center"/>
        <w:rPr>
          <w:rFonts w:ascii="Times New Roman" w:eastAsia="Times New Roman" w:hAnsi="Times New Roman" w:cs="Times New Roman"/>
          <w:b/>
          <w:bCs/>
          <w:color w:val="000000"/>
          <w:lang w:val="en-US" w:eastAsia="en-GB"/>
        </w:rPr>
      </w:pPr>
      <w:r w:rsidRPr="00866AF4">
        <w:rPr>
          <w:rFonts w:ascii="Times New Roman" w:eastAsia="Times New Roman" w:hAnsi="Times New Roman" w:cs="Times New Roman"/>
          <w:b/>
          <w:bCs/>
          <w:color w:val="000000"/>
          <w:lang w:val="en-US" w:eastAsia="en-GB"/>
        </w:rPr>
        <w:t xml:space="preserve">Giuseppe </w:t>
      </w:r>
      <w:proofErr w:type="spellStart"/>
      <w:r w:rsidRPr="00866AF4">
        <w:rPr>
          <w:rFonts w:ascii="Times New Roman" w:eastAsia="Times New Roman" w:hAnsi="Times New Roman" w:cs="Times New Roman"/>
          <w:b/>
          <w:bCs/>
          <w:color w:val="000000"/>
          <w:lang w:val="en-US" w:eastAsia="en-GB"/>
        </w:rPr>
        <w:t>Martinico</w:t>
      </w:r>
      <w:proofErr w:type="spellEnd"/>
      <w:r w:rsidRPr="00866AF4">
        <w:rPr>
          <w:rFonts w:ascii="Times New Roman" w:eastAsia="Times New Roman" w:hAnsi="Times New Roman" w:cs="Times New Roman"/>
          <w:b/>
          <w:bCs/>
          <w:color w:val="000000"/>
          <w:lang w:val="en-US" w:eastAsia="en-GB"/>
        </w:rPr>
        <w:t xml:space="preserve"> </w:t>
      </w:r>
      <w:r w:rsidRPr="00866AF4">
        <w:rPr>
          <w:rFonts w:ascii="Times New Roman" w:eastAsia="Times New Roman" w:hAnsi="Times New Roman" w:cs="Times New Roman"/>
          <w:color w:val="000000"/>
          <w:lang w:val="en-US" w:eastAsia="en-GB"/>
        </w:rPr>
        <w:t xml:space="preserve">– </w:t>
      </w:r>
      <w:r w:rsidRPr="00866AF4">
        <w:rPr>
          <w:rFonts w:ascii="Times New Roman" w:eastAsia="Times New Roman" w:hAnsi="Times New Roman" w:cs="Times New Roman"/>
          <w:b/>
          <w:bCs/>
          <w:color w:val="000000"/>
          <w:lang w:val="en-US" w:eastAsia="en-GB"/>
        </w:rPr>
        <w:t>Nikos Skoutaris</w:t>
      </w:r>
      <w:r w:rsidRPr="004351F8">
        <w:rPr>
          <w:rStyle w:val="FootnoteReference"/>
          <w:rFonts w:ascii="Times New Roman" w:eastAsia="Times New Roman" w:hAnsi="Times New Roman" w:cs="Times New Roman"/>
          <w:b/>
          <w:bCs/>
          <w:color w:val="000000"/>
          <w:lang w:val="en-US" w:eastAsia="en-GB"/>
        </w:rPr>
        <w:footnoteReference w:customMarkFollows="1" w:id="1"/>
        <w:sym w:font="Symbol" w:char="F02A"/>
      </w:r>
    </w:p>
    <w:p w14:paraId="1357B34E" w14:textId="711D8708" w:rsidR="000E4CEC" w:rsidRPr="004351F8" w:rsidRDefault="004351F8" w:rsidP="004351F8">
      <w:pPr>
        <w:spacing w:line="480" w:lineRule="auto"/>
        <w:rPr>
          <w:rFonts w:ascii="Times New Roman" w:eastAsia="Times New Roman" w:hAnsi="Times New Roman" w:cs="Times New Roman"/>
          <w:smallCaps/>
          <w:color w:val="000000"/>
          <w:lang w:eastAsia="en-GB"/>
        </w:rPr>
      </w:pPr>
      <w:r>
        <w:rPr>
          <w:rFonts w:ascii="Times New Roman" w:eastAsia="Times New Roman" w:hAnsi="Times New Roman" w:cs="Times New Roman"/>
          <w:smallCaps/>
          <w:color w:val="000000"/>
          <w:lang w:eastAsia="en-GB"/>
        </w:rPr>
        <w:t>Abstract</w:t>
      </w:r>
    </w:p>
    <w:p w14:paraId="41CFFEB2" w14:textId="63B13C35" w:rsidR="008F04D0" w:rsidRPr="00486DF6" w:rsidRDefault="00415196" w:rsidP="000E4CEC">
      <w:pPr>
        <w:spacing w:line="480" w:lineRule="auto"/>
        <w:jc w:val="both"/>
        <w:rPr>
          <w:rFonts w:ascii="Times New Roman" w:eastAsia="Times New Roman" w:hAnsi="Times New Roman" w:cs="Times New Roman"/>
          <w:b/>
          <w:bCs/>
          <w:i/>
          <w:iCs/>
          <w:color w:val="000000"/>
          <w:lang w:val="en-US" w:eastAsia="en-GB"/>
        </w:rPr>
      </w:pPr>
      <w:r w:rsidRPr="00486DF6">
        <w:rPr>
          <w:rFonts w:ascii="Times New Roman" w:eastAsia="Times New Roman" w:hAnsi="Times New Roman" w:cs="Times New Roman"/>
          <w:i/>
          <w:iCs/>
          <w:color w:val="000000"/>
          <w:lang w:val="en-US" w:eastAsia="en-GB"/>
        </w:rPr>
        <w:t>Since its establishment, the European Union</w:t>
      </w:r>
      <w:r w:rsidR="00E15B72" w:rsidRPr="00486DF6">
        <w:rPr>
          <w:rFonts w:ascii="Times New Roman" w:eastAsia="Times New Roman" w:hAnsi="Times New Roman" w:cs="Times New Roman"/>
          <w:i/>
          <w:iCs/>
          <w:color w:val="000000"/>
          <w:lang w:val="en-US" w:eastAsia="en-GB"/>
        </w:rPr>
        <w:t xml:space="preserve"> (EU)</w:t>
      </w:r>
      <w:r w:rsidRPr="00486DF6">
        <w:rPr>
          <w:rFonts w:ascii="Times New Roman" w:eastAsia="Times New Roman" w:hAnsi="Times New Roman" w:cs="Times New Roman"/>
          <w:i/>
          <w:iCs/>
          <w:color w:val="000000"/>
          <w:lang w:val="en-US" w:eastAsia="en-GB"/>
        </w:rPr>
        <w:t xml:space="preserve"> has been living in a </w:t>
      </w:r>
      <w:r w:rsidR="00DF35CE" w:rsidRPr="00486DF6">
        <w:rPr>
          <w:rFonts w:ascii="Times New Roman" w:eastAsia="Times New Roman" w:hAnsi="Times New Roman" w:cs="Times New Roman"/>
          <w:i/>
          <w:iCs/>
          <w:color w:val="000000"/>
          <w:lang w:val="en-US" w:eastAsia="en-GB"/>
        </w:rPr>
        <w:t xml:space="preserve">state of </w:t>
      </w:r>
      <w:r w:rsidRPr="00486DF6">
        <w:rPr>
          <w:rFonts w:ascii="Times New Roman" w:eastAsia="Times New Roman" w:hAnsi="Times New Roman" w:cs="Times New Roman"/>
          <w:i/>
          <w:iCs/>
          <w:color w:val="000000"/>
          <w:lang w:val="en-US" w:eastAsia="en-GB"/>
        </w:rPr>
        <w:t xml:space="preserve">perpetual crisis. The withdrawal of the </w:t>
      </w:r>
      <w:r w:rsidR="00DF35CE" w:rsidRPr="00486DF6">
        <w:rPr>
          <w:rFonts w:ascii="Times New Roman" w:eastAsia="Times New Roman" w:hAnsi="Times New Roman" w:cs="Times New Roman"/>
          <w:i/>
          <w:iCs/>
          <w:color w:val="000000"/>
          <w:lang w:val="en-US" w:eastAsia="en-GB"/>
        </w:rPr>
        <w:t>United Kingdom (</w:t>
      </w:r>
      <w:r w:rsidRPr="00486DF6">
        <w:rPr>
          <w:rFonts w:ascii="Times New Roman" w:eastAsia="Times New Roman" w:hAnsi="Times New Roman" w:cs="Times New Roman"/>
          <w:i/>
          <w:iCs/>
          <w:color w:val="000000"/>
          <w:lang w:val="en-US" w:eastAsia="en-GB"/>
        </w:rPr>
        <w:t>UK</w:t>
      </w:r>
      <w:r w:rsidR="00DF35CE" w:rsidRPr="00486DF6">
        <w:rPr>
          <w:rFonts w:ascii="Times New Roman" w:eastAsia="Times New Roman" w:hAnsi="Times New Roman" w:cs="Times New Roman"/>
          <w:i/>
          <w:iCs/>
          <w:color w:val="000000"/>
          <w:lang w:val="en-US" w:eastAsia="en-GB"/>
        </w:rPr>
        <w:t>)</w:t>
      </w:r>
      <w:r w:rsidRPr="00486DF6">
        <w:rPr>
          <w:rFonts w:ascii="Times New Roman" w:eastAsia="Times New Roman" w:hAnsi="Times New Roman" w:cs="Times New Roman"/>
          <w:i/>
          <w:iCs/>
          <w:color w:val="000000"/>
          <w:lang w:val="en-US" w:eastAsia="en-GB"/>
        </w:rPr>
        <w:t xml:space="preserve"> brought to the fore the centrifugal dynamics that the Union has been facing. At the same time, </w:t>
      </w:r>
      <w:r w:rsidR="005514F2">
        <w:rPr>
          <w:rFonts w:ascii="Times New Roman" w:eastAsia="Times New Roman" w:hAnsi="Times New Roman" w:cs="Times New Roman"/>
          <w:i/>
          <w:iCs/>
          <w:color w:val="000000"/>
          <w:lang w:val="en-US" w:eastAsia="en-GB"/>
        </w:rPr>
        <w:t>“</w:t>
      </w:r>
      <w:r w:rsidRPr="00486DF6">
        <w:rPr>
          <w:rFonts w:ascii="Times New Roman" w:eastAsia="Times New Roman" w:hAnsi="Times New Roman" w:cs="Times New Roman"/>
          <w:i/>
          <w:iCs/>
          <w:color w:val="000000"/>
          <w:lang w:val="en-US" w:eastAsia="en-GB"/>
        </w:rPr>
        <w:t xml:space="preserve">the notion of an issue-based withdrawal from the overarching </w:t>
      </w:r>
      <w:r w:rsidR="005514F2">
        <w:rPr>
          <w:rFonts w:ascii="Times New Roman" w:eastAsia="Times New Roman" w:hAnsi="Times New Roman" w:cs="Times New Roman"/>
          <w:i/>
          <w:iCs/>
          <w:color w:val="000000"/>
          <w:lang w:val="en-US" w:eastAsia="en-GB"/>
        </w:rPr>
        <w:t>‘</w:t>
      </w:r>
      <w:r w:rsidRPr="00486DF6">
        <w:rPr>
          <w:rFonts w:ascii="Times New Roman" w:eastAsia="Times New Roman" w:hAnsi="Times New Roman" w:cs="Times New Roman"/>
          <w:i/>
          <w:iCs/>
          <w:color w:val="000000"/>
          <w:lang w:val="en-US" w:eastAsia="en-GB"/>
        </w:rPr>
        <w:t>federal</w:t>
      </w:r>
      <w:r w:rsidR="005514F2">
        <w:rPr>
          <w:rFonts w:ascii="Times New Roman" w:eastAsia="Times New Roman" w:hAnsi="Times New Roman" w:cs="Times New Roman"/>
          <w:i/>
          <w:iCs/>
          <w:color w:val="000000"/>
          <w:lang w:val="en-US" w:eastAsia="en-GB"/>
        </w:rPr>
        <w:t>’</w:t>
      </w:r>
      <w:r w:rsidRPr="00486DF6">
        <w:rPr>
          <w:rFonts w:ascii="Times New Roman" w:eastAsia="Times New Roman" w:hAnsi="Times New Roman" w:cs="Times New Roman"/>
          <w:i/>
          <w:iCs/>
          <w:color w:val="000000"/>
          <w:lang w:val="en-US" w:eastAsia="en-GB"/>
        </w:rPr>
        <w:t xml:space="preserve"> pact—what is often referred to in American constitutional thought as nullification—is commonly invoked</w:t>
      </w:r>
      <w:r w:rsidR="005514F2">
        <w:rPr>
          <w:rFonts w:ascii="Times New Roman" w:eastAsia="Times New Roman" w:hAnsi="Times New Roman" w:cs="Times New Roman"/>
          <w:i/>
          <w:iCs/>
          <w:color w:val="000000"/>
          <w:lang w:val="en-US" w:eastAsia="en-GB"/>
        </w:rPr>
        <w:t>”</w:t>
      </w:r>
      <w:r w:rsidRPr="00486DF6">
        <w:rPr>
          <w:rFonts w:ascii="Times New Roman" w:eastAsia="Times New Roman" w:hAnsi="Times New Roman" w:cs="Times New Roman"/>
          <w:i/>
          <w:iCs/>
          <w:color w:val="000000"/>
          <w:lang w:val="en-US" w:eastAsia="en-GB"/>
        </w:rPr>
        <w:t xml:space="preserve"> either by political means</w:t>
      </w:r>
      <w:r w:rsidR="00ED27A2" w:rsidRPr="00486DF6">
        <w:rPr>
          <w:rFonts w:ascii="Times New Roman" w:eastAsia="Times New Roman" w:hAnsi="Times New Roman" w:cs="Times New Roman"/>
          <w:i/>
          <w:iCs/>
          <w:color w:val="000000"/>
          <w:lang w:val="en-US" w:eastAsia="en-GB"/>
        </w:rPr>
        <w:t>,</w:t>
      </w:r>
      <w:r w:rsidRPr="00486DF6">
        <w:rPr>
          <w:rFonts w:ascii="Times New Roman" w:eastAsia="Times New Roman" w:hAnsi="Times New Roman" w:cs="Times New Roman"/>
          <w:i/>
          <w:iCs/>
          <w:color w:val="000000"/>
          <w:lang w:val="en-US" w:eastAsia="en-GB"/>
        </w:rPr>
        <w:t xml:space="preserve"> such as in the case of </w:t>
      </w:r>
      <w:r w:rsidR="00A14B0E" w:rsidRPr="00486DF6">
        <w:rPr>
          <w:rFonts w:ascii="Times New Roman" w:eastAsia="Times New Roman" w:hAnsi="Times New Roman" w:cs="Times New Roman"/>
          <w:i/>
          <w:iCs/>
          <w:color w:val="000000"/>
          <w:lang w:val="en-US" w:eastAsia="en-GB"/>
        </w:rPr>
        <w:t xml:space="preserve">the </w:t>
      </w:r>
      <w:r w:rsidRPr="00486DF6">
        <w:rPr>
          <w:rFonts w:ascii="Times New Roman" w:eastAsia="Times New Roman" w:hAnsi="Times New Roman" w:cs="Times New Roman"/>
          <w:i/>
          <w:iCs/>
          <w:color w:val="000000"/>
          <w:lang w:val="en-US" w:eastAsia="en-GB"/>
        </w:rPr>
        <w:t>Greek referendum on the Euro-crisis measures</w:t>
      </w:r>
      <w:r w:rsidR="00ED27A2" w:rsidRPr="00486DF6">
        <w:rPr>
          <w:rFonts w:ascii="Times New Roman" w:eastAsia="Times New Roman" w:hAnsi="Times New Roman" w:cs="Times New Roman"/>
          <w:i/>
          <w:iCs/>
          <w:color w:val="000000"/>
          <w:lang w:val="en-US" w:eastAsia="en-GB"/>
        </w:rPr>
        <w:t>,</w:t>
      </w:r>
      <w:r w:rsidRPr="00486DF6">
        <w:rPr>
          <w:rFonts w:ascii="Times New Roman" w:eastAsia="Times New Roman" w:hAnsi="Times New Roman" w:cs="Times New Roman"/>
          <w:i/>
          <w:iCs/>
          <w:color w:val="000000"/>
          <w:lang w:val="en-US" w:eastAsia="en-GB"/>
        </w:rPr>
        <w:t xml:space="preserve"> or by judicial means</w:t>
      </w:r>
      <w:r w:rsidR="00827337" w:rsidRPr="00486DF6">
        <w:rPr>
          <w:rFonts w:ascii="Times New Roman" w:eastAsia="Times New Roman" w:hAnsi="Times New Roman" w:cs="Times New Roman"/>
          <w:i/>
          <w:iCs/>
          <w:color w:val="000000"/>
          <w:lang w:val="en-US" w:eastAsia="en-GB"/>
        </w:rPr>
        <w:t>—for instance,</w:t>
      </w:r>
      <w:r w:rsidRPr="00486DF6">
        <w:rPr>
          <w:rFonts w:ascii="Times New Roman" w:eastAsia="Times New Roman" w:hAnsi="Times New Roman" w:cs="Times New Roman"/>
          <w:i/>
          <w:iCs/>
          <w:color w:val="000000"/>
          <w:lang w:val="en-US" w:eastAsia="en-GB"/>
        </w:rPr>
        <w:t xml:space="preserve"> the</w:t>
      </w:r>
      <w:r w:rsidR="00827337" w:rsidRPr="00486DF6">
        <w:rPr>
          <w:rFonts w:ascii="Times New Roman" w:eastAsia="Times New Roman" w:hAnsi="Times New Roman" w:cs="Times New Roman"/>
          <w:i/>
          <w:iCs/>
          <w:color w:val="000000"/>
          <w:lang w:val="en-US" w:eastAsia="en-GB"/>
        </w:rPr>
        <w:t xml:space="preserve"> decision of the German Federal Constitutional Court</w:t>
      </w:r>
      <w:r w:rsidRPr="00486DF6">
        <w:rPr>
          <w:rFonts w:ascii="Times New Roman" w:eastAsia="Times New Roman" w:hAnsi="Times New Roman" w:cs="Times New Roman"/>
          <w:i/>
          <w:iCs/>
          <w:color w:val="000000"/>
          <w:lang w:val="en-US" w:eastAsia="en-GB"/>
        </w:rPr>
        <w:t xml:space="preserve"> </w:t>
      </w:r>
      <w:r w:rsidR="00946D37" w:rsidRPr="00486DF6">
        <w:rPr>
          <w:rFonts w:ascii="Times New Roman" w:eastAsia="Times New Roman" w:hAnsi="Times New Roman" w:cs="Times New Roman"/>
          <w:i/>
          <w:iCs/>
          <w:color w:val="000000"/>
          <w:lang w:val="en-US" w:eastAsia="en-GB"/>
        </w:rPr>
        <w:t>(</w:t>
      </w:r>
      <w:proofErr w:type="spellStart"/>
      <w:r w:rsidR="00946D37" w:rsidRPr="00486DF6">
        <w:rPr>
          <w:rFonts w:ascii="Times New Roman" w:eastAsia="Times New Roman" w:hAnsi="Times New Roman" w:cs="Times New Roman"/>
          <w:i/>
          <w:iCs/>
          <w:color w:val="000000"/>
          <w:lang w:val="en-US" w:eastAsia="en-GB"/>
        </w:rPr>
        <w:t>BVerfG</w:t>
      </w:r>
      <w:proofErr w:type="spellEnd"/>
      <w:r w:rsidR="00946D37" w:rsidRPr="00486DF6">
        <w:rPr>
          <w:rFonts w:ascii="Times New Roman" w:eastAsia="Times New Roman" w:hAnsi="Times New Roman" w:cs="Times New Roman"/>
          <w:i/>
          <w:iCs/>
          <w:color w:val="000000"/>
          <w:lang w:val="en-US" w:eastAsia="en-GB"/>
        </w:rPr>
        <w:t>)</w:t>
      </w:r>
      <w:r w:rsidR="00827337" w:rsidRPr="00486DF6">
        <w:rPr>
          <w:rFonts w:ascii="Times New Roman" w:eastAsia="Times New Roman" w:hAnsi="Times New Roman" w:cs="Times New Roman"/>
          <w:i/>
          <w:iCs/>
          <w:color w:val="000000"/>
          <w:lang w:val="en-US" w:eastAsia="en-GB"/>
        </w:rPr>
        <w:t xml:space="preserve"> on</w:t>
      </w:r>
      <w:r w:rsidRPr="00486DF6">
        <w:rPr>
          <w:rFonts w:ascii="Times New Roman" w:eastAsia="Times New Roman" w:hAnsi="Times New Roman" w:cs="Times New Roman"/>
          <w:i/>
          <w:iCs/>
          <w:color w:val="000000"/>
          <w:lang w:val="en-US" w:eastAsia="en-GB"/>
        </w:rPr>
        <w:t xml:space="preserve"> 5 May 2020. </w:t>
      </w:r>
      <w:r w:rsidR="00827337" w:rsidRPr="00486DF6">
        <w:rPr>
          <w:rFonts w:ascii="Times New Roman" w:eastAsia="Times New Roman" w:hAnsi="Times New Roman" w:cs="Times New Roman"/>
          <w:i/>
          <w:iCs/>
          <w:color w:val="000000"/>
          <w:lang w:val="en-US" w:eastAsia="en-GB"/>
        </w:rPr>
        <w:t>Simultaneously</w:t>
      </w:r>
      <w:r w:rsidRPr="00486DF6">
        <w:rPr>
          <w:rFonts w:ascii="Times New Roman" w:eastAsia="Times New Roman" w:hAnsi="Times New Roman" w:cs="Times New Roman"/>
          <w:i/>
          <w:iCs/>
          <w:color w:val="000000"/>
          <w:lang w:val="en-US" w:eastAsia="en-GB"/>
        </w:rPr>
        <w:t xml:space="preserve">, some </w:t>
      </w:r>
      <w:r w:rsidR="00E15B72" w:rsidRPr="00486DF6">
        <w:rPr>
          <w:rFonts w:ascii="Times New Roman" w:eastAsia="Times New Roman" w:hAnsi="Times New Roman" w:cs="Times New Roman"/>
          <w:i/>
          <w:iCs/>
          <w:color w:val="000000"/>
          <w:lang w:val="en-US" w:eastAsia="en-GB"/>
        </w:rPr>
        <w:t xml:space="preserve">EU </w:t>
      </w:r>
      <w:r w:rsidRPr="00486DF6">
        <w:rPr>
          <w:rFonts w:ascii="Times New Roman" w:eastAsia="Times New Roman" w:hAnsi="Times New Roman" w:cs="Times New Roman"/>
          <w:i/>
          <w:iCs/>
          <w:color w:val="000000"/>
          <w:lang w:val="en-US" w:eastAsia="en-GB"/>
        </w:rPr>
        <w:t xml:space="preserve">countries have been trying to </w:t>
      </w:r>
      <w:r w:rsidR="005514F2">
        <w:rPr>
          <w:rFonts w:ascii="Times New Roman" w:eastAsia="Times New Roman" w:hAnsi="Times New Roman" w:cs="Times New Roman"/>
          <w:i/>
          <w:iCs/>
          <w:color w:val="000000"/>
          <w:lang w:val="en-US" w:eastAsia="en-GB"/>
        </w:rPr>
        <w:t xml:space="preserve">somehow </w:t>
      </w:r>
      <w:r w:rsidRPr="00486DF6">
        <w:rPr>
          <w:rFonts w:ascii="Times New Roman" w:eastAsia="Times New Roman" w:hAnsi="Times New Roman" w:cs="Times New Roman"/>
          <w:i/>
          <w:iCs/>
          <w:color w:val="000000"/>
          <w:lang w:val="en-US" w:eastAsia="en-GB"/>
        </w:rPr>
        <w:t xml:space="preserve">challenge the notion that respect to the foundational values enshrined in Article 2 TEU is a </w:t>
      </w:r>
      <w:proofErr w:type="spellStart"/>
      <w:r w:rsidRPr="00486DF6">
        <w:rPr>
          <w:rFonts w:ascii="Times New Roman" w:eastAsia="Times New Roman" w:hAnsi="Times New Roman" w:cs="Times New Roman"/>
          <w:i/>
          <w:iCs/>
          <w:color w:val="000000"/>
          <w:lang w:val="en-US" w:eastAsia="en-GB"/>
        </w:rPr>
        <w:t>conditio</w:t>
      </w:r>
      <w:proofErr w:type="spellEnd"/>
      <w:r w:rsidRPr="00486DF6">
        <w:rPr>
          <w:rFonts w:ascii="Times New Roman" w:eastAsia="Times New Roman" w:hAnsi="Times New Roman" w:cs="Times New Roman"/>
          <w:i/>
          <w:iCs/>
          <w:color w:val="000000"/>
          <w:lang w:val="en-US" w:eastAsia="en-GB"/>
        </w:rPr>
        <w:t xml:space="preserve"> sine qua non for EU membership.</w:t>
      </w:r>
      <w:r w:rsidR="008F04D0" w:rsidRPr="00486DF6">
        <w:rPr>
          <w:rFonts w:ascii="Times New Roman" w:eastAsia="Times New Roman" w:hAnsi="Times New Roman" w:cs="Times New Roman"/>
          <w:i/>
          <w:iCs/>
          <w:color w:val="000000"/>
          <w:lang w:val="en-US" w:eastAsia="en-GB"/>
        </w:rPr>
        <w:t xml:space="preserve"> </w:t>
      </w:r>
      <w:r w:rsidR="00DF3860" w:rsidRPr="00486DF6">
        <w:rPr>
          <w:rFonts w:ascii="Times New Roman" w:eastAsia="Times New Roman" w:hAnsi="Times New Roman" w:cs="Times New Roman"/>
          <w:i/>
          <w:iCs/>
          <w:color w:val="000000"/>
          <w:lang w:val="en-US" w:eastAsia="en-GB"/>
        </w:rPr>
        <w:t>A closer look at those examples</w:t>
      </w:r>
      <w:r w:rsidR="008F04D0" w:rsidRPr="00486DF6">
        <w:rPr>
          <w:rFonts w:ascii="Times New Roman" w:eastAsia="Times New Roman" w:hAnsi="Times New Roman" w:cs="Times New Roman"/>
          <w:i/>
          <w:iCs/>
          <w:color w:val="000000"/>
          <w:lang w:val="en-US" w:eastAsia="en-GB"/>
        </w:rPr>
        <w:t xml:space="preserve"> </w:t>
      </w:r>
      <w:r w:rsidR="00DF3860" w:rsidRPr="00486DF6">
        <w:rPr>
          <w:rFonts w:ascii="Times New Roman" w:eastAsia="Times New Roman" w:hAnsi="Times New Roman" w:cs="Times New Roman"/>
          <w:i/>
          <w:iCs/>
          <w:color w:val="000000"/>
          <w:lang w:val="en-US" w:eastAsia="en-GB"/>
        </w:rPr>
        <w:t>shed</w:t>
      </w:r>
      <w:r w:rsidR="00FC04BF" w:rsidRPr="00486DF6">
        <w:rPr>
          <w:rFonts w:ascii="Times New Roman" w:eastAsia="Times New Roman" w:hAnsi="Times New Roman" w:cs="Times New Roman"/>
          <w:i/>
          <w:iCs/>
          <w:color w:val="000000"/>
          <w:lang w:val="en-US" w:eastAsia="en-GB"/>
        </w:rPr>
        <w:t>s</w:t>
      </w:r>
      <w:r w:rsidR="00DF3860" w:rsidRPr="00486DF6">
        <w:rPr>
          <w:rFonts w:ascii="Times New Roman" w:eastAsia="Times New Roman" w:hAnsi="Times New Roman" w:cs="Times New Roman"/>
          <w:i/>
          <w:iCs/>
          <w:color w:val="000000"/>
          <w:lang w:val="en-US" w:eastAsia="en-GB"/>
        </w:rPr>
        <w:t xml:space="preserve"> light </w:t>
      </w:r>
      <w:r w:rsidR="00ED27A2" w:rsidRPr="00486DF6">
        <w:rPr>
          <w:rFonts w:ascii="Times New Roman" w:eastAsia="Times New Roman" w:hAnsi="Times New Roman" w:cs="Times New Roman"/>
          <w:i/>
          <w:iCs/>
          <w:color w:val="000000"/>
          <w:lang w:val="en-US" w:eastAsia="en-GB"/>
        </w:rPr>
        <w:t xml:space="preserve">on </w:t>
      </w:r>
      <w:r w:rsidR="00DF3860" w:rsidRPr="00486DF6">
        <w:rPr>
          <w:rFonts w:ascii="Times New Roman" w:eastAsia="Times New Roman" w:hAnsi="Times New Roman" w:cs="Times New Roman"/>
          <w:i/>
          <w:iCs/>
          <w:color w:val="000000"/>
          <w:lang w:val="en-US" w:eastAsia="en-GB"/>
        </w:rPr>
        <w:t xml:space="preserve">the </w:t>
      </w:r>
      <w:r w:rsidR="00827337" w:rsidRPr="00486DF6">
        <w:rPr>
          <w:rFonts w:ascii="Times New Roman" w:eastAsia="Times New Roman" w:hAnsi="Times New Roman" w:cs="Times New Roman"/>
          <w:i/>
          <w:iCs/>
          <w:color w:val="000000"/>
          <w:lang w:val="en-US" w:eastAsia="en-GB"/>
        </w:rPr>
        <w:t>reality</w:t>
      </w:r>
      <w:r w:rsidR="008F04D0" w:rsidRPr="00486DF6">
        <w:rPr>
          <w:rFonts w:ascii="Times New Roman" w:eastAsia="Times New Roman" w:hAnsi="Times New Roman" w:cs="Times New Roman"/>
          <w:i/>
          <w:iCs/>
          <w:color w:val="000000"/>
          <w:lang w:val="en-US" w:eastAsia="en-GB"/>
        </w:rPr>
        <w:t xml:space="preserve"> that unless such issue-based withdrawal is somehow recogni</w:t>
      </w:r>
      <w:r w:rsidR="000E4CEC">
        <w:rPr>
          <w:rFonts w:ascii="Times New Roman" w:eastAsia="Times New Roman" w:hAnsi="Times New Roman" w:cs="Times New Roman"/>
          <w:i/>
          <w:iCs/>
          <w:color w:val="000000"/>
          <w:lang w:val="en-US" w:eastAsia="en-GB"/>
        </w:rPr>
        <w:t>z</w:t>
      </w:r>
      <w:r w:rsidR="008F04D0" w:rsidRPr="00486DF6">
        <w:rPr>
          <w:rFonts w:ascii="Times New Roman" w:eastAsia="Times New Roman" w:hAnsi="Times New Roman" w:cs="Times New Roman"/>
          <w:i/>
          <w:iCs/>
          <w:color w:val="000000"/>
          <w:lang w:val="en-US" w:eastAsia="en-GB"/>
        </w:rPr>
        <w:t>ed in primary legislation</w:t>
      </w:r>
      <w:r w:rsidR="00ED27A2" w:rsidRPr="00486DF6">
        <w:rPr>
          <w:rFonts w:ascii="Times New Roman" w:eastAsia="Times New Roman" w:hAnsi="Times New Roman" w:cs="Times New Roman"/>
          <w:i/>
          <w:iCs/>
          <w:color w:val="000000"/>
          <w:lang w:val="en-US" w:eastAsia="en-GB"/>
        </w:rPr>
        <w:t>,</w:t>
      </w:r>
      <w:r w:rsidR="008F04D0" w:rsidRPr="00486DF6">
        <w:rPr>
          <w:rFonts w:ascii="Times New Roman" w:eastAsia="Times New Roman" w:hAnsi="Times New Roman" w:cs="Times New Roman"/>
          <w:i/>
          <w:iCs/>
          <w:color w:val="000000"/>
          <w:lang w:val="en-US" w:eastAsia="en-GB"/>
        </w:rPr>
        <w:t xml:space="preserve"> such as in the case of opt-outs, </w:t>
      </w:r>
      <w:r w:rsidR="000E4CEC">
        <w:rPr>
          <w:rFonts w:ascii="Times New Roman" w:eastAsia="Times New Roman" w:hAnsi="Times New Roman" w:cs="Times New Roman"/>
          <w:i/>
          <w:iCs/>
          <w:color w:val="000000"/>
          <w:lang w:val="en-US" w:eastAsia="en-GB"/>
        </w:rPr>
        <w:t>“</w:t>
      </w:r>
      <w:r w:rsidR="008F04D0" w:rsidRPr="00486DF6">
        <w:rPr>
          <w:rFonts w:ascii="Times New Roman" w:eastAsia="Times New Roman" w:hAnsi="Times New Roman" w:cs="Times New Roman"/>
          <w:i/>
          <w:iCs/>
          <w:color w:val="000000"/>
          <w:lang w:val="en-US" w:eastAsia="en-GB"/>
        </w:rPr>
        <w:t>nullification</w:t>
      </w:r>
      <w:r w:rsidR="000E4CEC">
        <w:rPr>
          <w:rFonts w:ascii="Times New Roman" w:eastAsia="Times New Roman" w:hAnsi="Times New Roman" w:cs="Times New Roman"/>
          <w:i/>
          <w:iCs/>
          <w:color w:val="000000"/>
          <w:lang w:val="en-US" w:eastAsia="en-GB"/>
        </w:rPr>
        <w:t>”</w:t>
      </w:r>
      <w:r w:rsidR="008F04D0" w:rsidRPr="00486DF6">
        <w:rPr>
          <w:rFonts w:ascii="Times New Roman" w:eastAsia="Times New Roman" w:hAnsi="Times New Roman" w:cs="Times New Roman"/>
          <w:i/>
          <w:iCs/>
          <w:color w:val="000000"/>
          <w:lang w:val="en-US" w:eastAsia="en-GB"/>
        </w:rPr>
        <w:t xml:space="preserve"> faces insurmountable constraints within the EU constitutional order. That leaves the recalcitrant Member States with the option of </w:t>
      </w:r>
      <w:r w:rsidR="00DF3860" w:rsidRPr="00486DF6">
        <w:rPr>
          <w:rFonts w:ascii="Times New Roman" w:eastAsia="Times New Roman" w:hAnsi="Times New Roman" w:cs="Times New Roman"/>
          <w:i/>
          <w:iCs/>
          <w:color w:val="000000"/>
          <w:lang w:val="en-US" w:eastAsia="en-GB"/>
        </w:rPr>
        <w:t xml:space="preserve">functional </w:t>
      </w:r>
      <w:r w:rsidR="008F04D0" w:rsidRPr="00486DF6">
        <w:rPr>
          <w:rFonts w:ascii="Times New Roman" w:eastAsia="Times New Roman" w:hAnsi="Times New Roman" w:cs="Times New Roman"/>
          <w:i/>
          <w:iCs/>
          <w:color w:val="000000"/>
          <w:lang w:val="en-US" w:eastAsia="en-GB"/>
        </w:rPr>
        <w:t xml:space="preserve">secession from the voluntary </w:t>
      </w:r>
      <w:r w:rsidR="00ED27A2" w:rsidRPr="00486DF6">
        <w:rPr>
          <w:rFonts w:ascii="Times New Roman" w:eastAsia="Times New Roman" w:hAnsi="Times New Roman" w:cs="Times New Roman"/>
          <w:i/>
          <w:iCs/>
          <w:color w:val="000000"/>
          <w:lang w:val="en-US" w:eastAsia="en-GB"/>
        </w:rPr>
        <w:t>U</w:t>
      </w:r>
      <w:r w:rsidR="008F04D0" w:rsidRPr="00486DF6">
        <w:rPr>
          <w:rFonts w:ascii="Times New Roman" w:eastAsia="Times New Roman" w:hAnsi="Times New Roman" w:cs="Times New Roman"/>
          <w:i/>
          <w:iCs/>
          <w:color w:val="000000"/>
          <w:lang w:val="en-US" w:eastAsia="en-GB"/>
        </w:rPr>
        <w:t xml:space="preserve">nion per Article 50 TEU. </w:t>
      </w:r>
      <w:r w:rsidR="00DF3860" w:rsidRPr="00486DF6">
        <w:rPr>
          <w:rFonts w:ascii="Times New Roman" w:eastAsia="Times New Roman" w:hAnsi="Times New Roman" w:cs="Times New Roman"/>
          <w:i/>
          <w:iCs/>
          <w:color w:val="000000"/>
          <w:lang w:val="en-US" w:eastAsia="en-GB"/>
        </w:rPr>
        <w:t xml:space="preserve">The experience of Brexit, however, underlines that such complete withdrawal is also fraught with difficulty. </w:t>
      </w:r>
      <w:r w:rsidRPr="00486DF6">
        <w:rPr>
          <w:rFonts w:ascii="Times New Roman" w:eastAsia="Times New Roman" w:hAnsi="Times New Roman" w:cs="Times New Roman"/>
          <w:i/>
          <w:iCs/>
          <w:color w:val="000000"/>
          <w:lang w:val="en-US" w:eastAsia="en-GB"/>
        </w:rPr>
        <w:t xml:space="preserve"> Using the comparative historical argument</w:t>
      </w:r>
      <w:r w:rsidR="00DF3860" w:rsidRPr="00486DF6">
        <w:rPr>
          <w:rFonts w:ascii="Times New Roman" w:eastAsia="Times New Roman" w:hAnsi="Times New Roman" w:cs="Times New Roman"/>
          <w:i/>
          <w:iCs/>
          <w:color w:val="000000"/>
          <w:lang w:val="en-US" w:eastAsia="en-GB"/>
        </w:rPr>
        <w:t>,</w:t>
      </w:r>
      <w:r w:rsidRPr="00486DF6">
        <w:rPr>
          <w:rFonts w:ascii="Times New Roman" w:eastAsia="Times New Roman" w:hAnsi="Times New Roman" w:cs="Times New Roman"/>
          <w:i/>
          <w:iCs/>
          <w:color w:val="000000"/>
          <w:lang w:val="en-US" w:eastAsia="en-GB"/>
        </w:rPr>
        <w:t xml:space="preserve"> </w:t>
      </w:r>
      <w:r w:rsidR="004866B8" w:rsidRPr="00486DF6">
        <w:rPr>
          <w:rFonts w:ascii="Times New Roman" w:eastAsia="Times New Roman" w:hAnsi="Times New Roman" w:cs="Times New Roman"/>
          <w:i/>
          <w:iCs/>
          <w:color w:val="000000"/>
          <w:lang w:val="en-US" w:eastAsia="en-GB"/>
        </w:rPr>
        <w:t>the article</w:t>
      </w:r>
      <w:r w:rsidRPr="00486DF6">
        <w:rPr>
          <w:rFonts w:ascii="Times New Roman" w:eastAsia="Times New Roman" w:hAnsi="Times New Roman" w:cs="Times New Roman"/>
          <w:i/>
          <w:iCs/>
          <w:color w:val="000000"/>
          <w:lang w:val="en-US" w:eastAsia="en-GB"/>
        </w:rPr>
        <w:t xml:space="preserve"> show</w:t>
      </w:r>
      <w:r w:rsidR="004866B8" w:rsidRPr="00486DF6">
        <w:rPr>
          <w:rFonts w:ascii="Times New Roman" w:eastAsia="Times New Roman" w:hAnsi="Times New Roman" w:cs="Times New Roman"/>
          <w:i/>
          <w:iCs/>
          <w:color w:val="000000"/>
          <w:lang w:val="en-US" w:eastAsia="en-GB"/>
        </w:rPr>
        <w:t>s</w:t>
      </w:r>
      <w:r w:rsidRPr="00486DF6">
        <w:rPr>
          <w:rFonts w:ascii="Times New Roman" w:eastAsia="Times New Roman" w:hAnsi="Times New Roman" w:cs="Times New Roman"/>
          <w:i/>
          <w:iCs/>
          <w:color w:val="000000"/>
          <w:lang w:val="en-US" w:eastAsia="en-GB"/>
        </w:rPr>
        <w:t xml:space="preserve"> that the crisis the </w:t>
      </w:r>
      <w:r w:rsidR="00ED27A2" w:rsidRPr="00486DF6">
        <w:rPr>
          <w:rFonts w:ascii="Times New Roman" w:eastAsia="Times New Roman" w:hAnsi="Times New Roman" w:cs="Times New Roman"/>
          <w:i/>
          <w:iCs/>
          <w:color w:val="000000"/>
          <w:lang w:val="en-US" w:eastAsia="en-GB"/>
        </w:rPr>
        <w:t>EU</w:t>
      </w:r>
      <w:r w:rsidRPr="00486DF6">
        <w:rPr>
          <w:rFonts w:ascii="Times New Roman" w:eastAsia="Times New Roman" w:hAnsi="Times New Roman" w:cs="Times New Roman"/>
          <w:i/>
          <w:iCs/>
          <w:color w:val="000000"/>
          <w:lang w:val="en-US" w:eastAsia="en-GB"/>
        </w:rPr>
        <w:t xml:space="preserve"> is experiencing </w:t>
      </w:r>
      <w:r w:rsidR="000E4CEC">
        <w:rPr>
          <w:rFonts w:ascii="Times New Roman" w:eastAsia="Times New Roman" w:hAnsi="Times New Roman" w:cs="Times New Roman"/>
          <w:i/>
          <w:iCs/>
          <w:color w:val="000000"/>
          <w:lang w:val="en-US" w:eastAsia="en-GB"/>
        </w:rPr>
        <w:t>contains significant</w:t>
      </w:r>
      <w:r w:rsidRPr="00486DF6">
        <w:rPr>
          <w:rFonts w:ascii="Times New Roman" w:eastAsia="Times New Roman" w:hAnsi="Times New Roman" w:cs="Times New Roman"/>
          <w:i/>
          <w:iCs/>
          <w:color w:val="000000"/>
          <w:lang w:val="en-US" w:eastAsia="en-GB"/>
        </w:rPr>
        <w:t xml:space="preserve"> federal dynamics.</w:t>
      </w:r>
    </w:p>
    <w:p w14:paraId="180AB42A" w14:textId="77777777" w:rsidR="00486DF6" w:rsidRPr="00486DF6" w:rsidRDefault="00486DF6" w:rsidP="000E4CEC">
      <w:pPr>
        <w:spacing w:line="480" w:lineRule="auto"/>
        <w:jc w:val="both"/>
        <w:rPr>
          <w:rFonts w:ascii="Times New Roman" w:eastAsia="Times New Roman" w:hAnsi="Times New Roman" w:cs="Times New Roman"/>
          <w:color w:val="000000"/>
          <w:lang w:val="en-US" w:eastAsia="en-GB"/>
        </w:rPr>
      </w:pPr>
    </w:p>
    <w:p w14:paraId="43C51E90" w14:textId="4769C9D4" w:rsidR="00997DE5" w:rsidRPr="00F43EDE" w:rsidRDefault="00997DE5" w:rsidP="004351F8">
      <w:pPr>
        <w:spacing w:line="480" w:lineRule="auto"/>
        <w:jc w:val="center"/>
        <w:rPr>
          <w:rFonts w:ascii="Times New Roman" w:eastAsia="Times New Roman" w:hAnsi="Times New Roman" w:cs="Times New Roman"/>
          <w:smallCaps/>
          <w:color w:val="000000"/>
          <w:lang w:val="en-US" w:eastAsia="en-GB"/>
        </w:rPr>
      </w:pPr>
      <w:r w:rsidRPr="00F43EDE">
        <w:rPr>
          <w:rFonts w:ascii="Times New Roman" w:eastAsia="Times New Roman" w:hAnsi="Times New Roman" w:cs="Times New Roman"/>
          <w:smallCaps/>
          <w:color w:val="000000"/>
          <w:lang w:val="en-US" w:eastAsia="en-GB"/>
        </w:rPr>
        <w:lastRenderedPageBreak/>
        <w:t>Introduction</w:t>
      </w:r>
    </w:p>
    <w:p w14:paraId="6AD87BF9" w14:textId="77387AD4" w:rsidR="00A04A94" w:rsidRDefault="007B2A5B" w:rsidP="003D4C41">
      <w:pPr>
        <w:spacing w:line="480" w:lineRule="auto"/>
        <w:ind w:firstLine="720"/>
        <w:jc w:val="both"/>
        <w:rPr>
          <w:rFonts w:ascii="Times New Roman" w:hAnsi="Times New Roman" w:cs="Times New Roman"/>
        </w:rPr>
      </w:pPr>
      <w:r>
        <w:rPr>
          <w:rFonts w:ascii="Times New Roman" w:eastAsia="Times New Roman" w:hAnsi="Times New Roman" w:cs="Times New Roman"/>
          <w:color w:val="000000"/>
          <w:lang w:val="en-US" w:eastAsia="en-GB"/>
        </w:rPr>
        <w:t>Political conflicts, crises and disputes</w:t>
      </w:r>
      <w:r w:rsidR="00997DE5" w:rsidRPr="00486DF6">
        <w:rPr>
          <w:rFonts w:ascii="Times New Roman" w:eastAsia="Times New Roman" w:hAnsi="Times New Roman" w:cs="Times New Roman"/>
          <w:color w:val="000000"/>
          <w:lang w:val="en-US" w:eastAsia="en-GB"/>
        </w:rPr>
        <w:t xml:space="preserve"> have besieged the European integration process since its inception. </w:t>
      </w:r>
      <w:r w:rsidR="00A71210" w:rsidRPr="00486DF6">
        <w:rPr>
          <w:rFonts w:ascii="Times New Roman" w:eastAsia="Times New Roman" w:hAnsi="Times New Roman" w:cs="Times New Roman"/>
          <w:color w:val="000000"/>
          <w:lang w:val="en-US" w:eastAsia="en-GB"/>
        </w:rPr>
        <w:t>From the “empty chair crisis” to the Eurozone crisis, the EU has</w:t>
      </w:r>
      <w:r w:rsidR="00B17281" w:rsidRPr="00486DF6">
        <w:rPr>
          <w:rFonts w:ascii="Times New Roman" w:eastAsia="Times New Roman" w:hAnsi="Times New Roman" w:cs="Times New Roman"/>
          <w:color w:val="000000"/>
          <w:lang w:val="en-US" w:eastAsia="en-GB"/>
        </w:rPr>
        <w:t xml:space="preserve"> </w:t>
      </w:r>
      <w:r w:rsidR="00A71210" w:rsidRPr="00486DF6">
        <w:rPr>
          <w:rFonts w:ascii="Times New Roman" w:eastAsia="Times New Roman" w:hAnsi="Times New Roman" w:cs="Times New Roman"/>
          <w:color w:val="000000"/>
          <w:lang w:val="en-US" w:eastAsia="en-GB"/>
        </w:rPr>
        <w:t>pave</w:t>
      </w:r>
      <w:r w:rsidR="00D53649" w:rsidRPr="00486DF6">
        <w:rPr>
          <w:rFonts w:ascii="Times New Roman" w:eastAsia="Times New Roman" w:hAnsi="Times New Roman" w:cs="Times New Roman"/>
          <w:color w:val="000000"/>
          <w:lang w:val="en-US" w:eastAsia="en-GB"/>
        </w:rPr>
        <w:t>d</w:t>
      </w:r>
      <w:r w:rsidR="00A71210" w:rsidRPr="00486DF6">
        <w:rPr>
          <w:rFonts w:ascii="Times New Roman" w:eastAsia="Times New Roman" w:hAnsi="Times New Roman" w:cs="Times New Roman"/>
          <w:color w:val="000000"/>
          <w:lang w:val="en-US" w:eastAsia="en-GB"/>
        </w:rPr>
        <w:t xml:space="preserve"> a unique </w:t>
      </w:r>
      <w:r w:rsidR="005B1246">
        <w:rPr>
          <w:rFonts w:ascii="Times New Roman" w:eastAsia="Times New Roman" w:hAnsi="Times New Roman" w:cs="Times New Roman"/>
          <w:color w:val="000000"/>
          <w:lang w:val="en-US" w:eastAsia="en-GB"/>
        </w:rPr>
        <w:t>“</w:t>
      </w:r>
      <w:r w:rsidR="00A71210" w:rsidRPr="00486DF6">
        <w:rPr>
          <w:rFonts w:ascii="Times New Roman" w:eastAsia="Times New Roman" w:hAnsi="Times New Roman" w:cs="Times New Roman"/>
          <w:color w:val="000000"/>
          <w:lang w:val="en-US" w:eastAsia="en-GB"/>
        </w:rPr>
        <w:t>Sonderweg</w:t>
      </w:r>
      <w:r w:rsidR="005B1246">
        <w:rPr>
          <w:rFonts w:ascii="Times New Roman" w:eastAsia="Times New Roman" w:hAnsi="Times New Roman" w:cs="Times New Roman"/>
          <w:color w:val="000000"/>
          <w:lang w:val="en-US" w:eastAsia="en-GB"/>
        </w:rPr>
        <w:t>”</w:t>
      </w:r>
      <w:r w:rsidR="00A71210" w:rsidRPr="00486DF6">
        <w:rPr>
          <w:rFonts w:ascii="Times New Roman" w:eastAsia="Times New Roman" w:hAnsi="Times New Roman" w:cs="Times New Roman"/>
          <w:color w:val="000000"/>
          <w:lang w:val="en-US" w:eastAsia="en-GB"/>
        </w:rPr>
        <w:t xml:space="preserve"> towards </w:t>
      </w:r>
      <w:r w:rsidR="005B1246">
        <w:rPr>
          <w:rFonts w:ascii="Times New Roman" w:eastAsia="Times New Roman" w:hAnsi="Times New Roman" w:cs="Times New Roman"/>
          <w:color w:val="000000"/>
          <w:lang w:val="en-US" w:eastAsia="en-GB"/>
        </w:rPr>
        <w:t>“</w:t>
      </w:r>
      <w:r w:rsidR="00A71210" w:rsidRPr="00486DF6">
        <w:rPr>
          <w:rFonts w:ascii="Times New Roman" w:eastAsia="Times New Roman" w:hAnsi="Times New Roman" w:cs="Times New Roman"/>
          <w:color w:val="000000"/>
          <w:lang w:val="en-US" w:eastAsia="en-GB"/>
        </w:rPr>
        <w:t xml:space="preserve">an </w:t>
      </w:r>
      <w:proofErr w:type="gramStart"/>
      <w:r w:rsidR="00A71210" w:rsidRPr="00486DF6">
        <w:rPr>
          <w:rFonts w:ascii="Times New Roman" w:eastAsia="Times New Roman" w:hAnsi="Times New Roman" w:cs="Times New Roman"/>
          <w:color w:val="000000"/>
          <w:lang w:val="en-US" w:eastAsia="en-GB"/>
        </w:rPr>
        <w:t>ever closer</w:t>
      </w:r>
      <w:proofErr w:type="gramEnd"/>
      <w:r w:rsidR="00A71210" w:rsidRPr="00486DF6">
        <w:rPr>
          <w:rFonts w:ascii="Times New Roman" w:eastAsia="Times New Roman" w:hAnsi="Times New Roman" w:cs="Times New Roman"/>
          <w:color w:val="000000"/>
          <w:lang w:val="en-US" w:eastAsia="en-GB"/>
        </w:rPr>
        <w:t xml:space="preserve"> union.</w:t>
      </w:r>
      <w:r w:rsidR="005B1246">
        <w:rPr>
          <w:rFonts w:ascii="Times New Roman" w:eastAsia="Times New Roman" w:hAnsi="Times New Roman" w:cs="Times New Roman"/>
          <w:color w:val="000000"/>
          <w:lang w:val="en-US" w:eastAsia="en-GB"/>
        </w:rPr>
        <w:t>”</w:t>
      </w:r>
      <w:r w:rsidR="00A71210" w:rsidRPr="00486DF6">
        <w:rPr>
          <w:rStyle w:val="FootnoteReference"/>
          <w:rFonts w:ascii="Times New Roman" w:eastAsia="Times New Roman" w:hAnsi="Times New Roman" w:cs="Times New Roman"/>
          <w:color w:val="000000"/>
          <w:lang w:val="en-US" w:eastAsia="en-GB"/>
        </w:rPr>
        <w:footnoteReference w:id="2"/>
      </w:r>
      <w:r w:rsidR="00A71210" w:rsidRPr="00486DF6">
        <w:rPr>
          <w:rFonts w:ascii="Times New Roman" w:eastAsia="Times New Roman" w:hAnsi="Times New Roman" w:cs="Times New Roman"/>
          <w:color w:val="000000"/>
          <w:lang w:val="en-US" w:eastAsia="en-GB"/>
        </w:rPr>
        <w:t xml:space="preserve"> Many of those crises relate</w:t>
      </w:r>
      <w:r w:rsidR="00ED27A2" w:rsidRPr="00486DF6">
        <w:rPr>
          <w:rFonts w:ascii="Times New Roman" w:eastAsia="Times New Roman" w:hAnsi="Times New Roman" w:cs="Times New Roman"/>
          <w:color w:val="000000"/>
          <w:lang w:val="en-US" w:eastAsia="en-GB"/>
        </w:rPr>
        <w:t>, in</w:t>
      </w:r>
      <w:r w:rsidR="00A71210" w:rsidRPr="00486DF6">
        <w:rPr>
          <w:rFonts w:ascii="Times New Roman" w:eastAsia="Times New Roman" w:hAnsi="Times New Roman" w:cs="Times New Roman"/>
          <w:color w:val="000000"/>
          <w:lang w:val="en-US" w:eastAsia="en-GB"/>
        </w:rPr>
        <w:t xml:space="preserve"> one way or the other</w:t>
      </w:r>
      <w:r w:rsidR="00ED27A2" w:rsidRPr="00486DF6">
        <w:rPr>
          <w:rFonts w:ascii="Times New Roman" w:eastAsia="Times New Roman" w:hAnsi="Times New Roman" w:cs="Times New Roman"/>
          <w:color w:val="000000"/>
          <w:lang w:val="en-US" w:eastAsia="en-GB"/>
        </w:rPr>
        <w:t>,</w:t>
      </w:r>
      <w:r w:rsidR="00A71210" w:rsidRPr="00486DF6">
        <w:rPr>
          <w:rFonts w:ascii="Times New Roman" w:eastAsia="Times New Roman" w:hAnsi="Times New Roman" w:cs="Times New Roman"/>
          <w:color w:val="000000"/>
          <w:lang w:val="en-US" w:eastAsia="en-GB"/>
        </w:rPr>
        <w:t xml:space="preserve"> to</w:t>
      </w:r>
      <w:r w:rsidR="00C632C4" w:rsidRPr="00486DF6">
        <w:rPr>
          <w:rFonts w:ascii="Times New Roman" w:eastAsia="Times New Roman" w:hAnsi="Times New Roman" w:cs="Times New Roman"/>
          <w:color w:val="000000"/>
          <w:lang w:val="en-US" w:eastAsia="en-GB"/>
        </w:rPr>
        <w:t xml:space="preserve"> a</w:t>
      </w:r>
      <w:r w:rsidR="00A71210" w:rsidRPr="00486DF6">
        <w:rPr>
          <w:rFonts w:ascii="Times New Roman" w:eastAsia="Times New Roman" w:hAnsi="Times New Roman" w:cs="Times New Roman"/>
          <w:color w:val="000000"/>
          <w:lang w:val="en-US" w:eastAsia="en-GB"/>
        </w:rPr>
        <w:t xml:space="preserve"> decision of one or more Member States</w:t>
      </w:r>
      <w:r w:rsidR="003D4C41">
        <w:rPr>
          <w:rFonts w:ascii="Times New Roman" w:eastAsia="Times New Roman" w:hAnsi="Times New Roman" w:cs="Times New Roman"/>
          <w:color w:val="000000"/>
          <w:lang w:val="en-US" w:eastAsia="en-GB"/>
        </w:rPr>
        <w:t xml:space="preserve"> to assert </w:t>
      </w:r>
      <w:r w:rsidR="003D4C41" w:rsidRPr="003D4C41">
        <w:rPr>
          <w:rFonts w:ascii="Times New Roman" w:hAnsi="Times New Roman" w:cs="Times New Roman"/>
        </w:rPr>
        <w:t>themselves against</w:t>
      </w:r>
      <w:r w:rsidR="003271BD">
        <w:rPr>
          <w:rFonts w:ascii="Times New Roman" w:hAnsi="Times New Roman" w:cs="Times New Roman"/>
        </w:rPr>
        <w:t xml:space="preserve"> </w:t>
      </w:r>
      <w:r w:rsidR="003D4C41">
        <w:rPr>
          <w:rFonts w:ascii="Times New Roman" w:hAnsi="Times New Roman" w:cs="Times New Roman"/>
        </w:rPr>
        <w:t>a policy, a legislative initiative</w:t>
      </w:r>
      <w:r w:rsidR="003271BD">
        <w:rPr>
          <w:rFonts w:ascii="Times New Roman" w:hAnsi="Times New Roman" w:cs="Times New Roman"/>
        </w:rPr>
        <w:t xml:space="preserve">, </w:t>
      </w:r>
      <w:r w:rsidR="003D4C41">
        <w:rPr>
          <w:rFonts w:ascii="Times New Roman" w:hAnsi="Times New Roman" w:cs="Times New Roman"/>
        </w:rPr>
        <w:t>a judicial decision adopted at the supranational level</w:t>
      </w:r>
      <w:r w:rsidR="003271BD">
        <w:rPr>
          <w:rFonts w:ascii="Times New Roman" w:hAnsi="Times New Roman" w:cs="Times New Roman"/>
        </w:rPr>
        <w:t xml:space="preserve"> or even the</w:t>
      </w:r>
      <w:r w:rsidR="004402D7">
        <w:rPr>
          <w:rFonts w:ascii="Times New Roman" w:hAnsi="Times New Roman" w:cs="Times New Roman"/>
        </w:rPr>
        <w:t xml:space="preserve"> declared</w:t>
      </w:r>
      <w:r w:rsidR="003271BD">
        <w:rPr>
          <w:rFonts w:ascii="Times New Roman" w:hAnsi="Times New Roman" w:cs="Times New Roman"/>
        </w:rPr>
        <w:t xml:space="preserve"> aim of the EU for an “ever closer union”</w:t>
      </w:r>
      <w:r w:rsidR="003D4C41">
        <w:rPr>
          <w:rFonts w:ascii="Times New Roman" w:hAnsi="Times New Roman" w:cs="Times New Roman"/>
        </w:rPr>
        <w:t xml:space="preserve">. </w:t>
      </w:r>
    </w:p>
    <w:p w14:paraId="43111A64" w14:textId="259E8BE6" w:rsidR="00A04A94" w:rsidRDefault="003D4C41" w:rsidP="00A04A94">
      <w:pPr>
        <w:spacing w:line="480" w:lineRule="auto"/>
        <w:ind w:firstLine="720"/>
        <w:jc w:val="both"/>
        <w:rPr>
          <w:rFonts w:ascii="Times New Roman" w:hAnsi="Times New Roman" w:cs="Times New Roman"/>
          <w:color w:val="000000" w:themeColor="text1"/>
          <w:shd w:val="clear" w:color="auto" w:fill="FFFFFF"/>
          <w:lang w:val="en-US"/>
        </w:rPr>
      </w:pPr>
      <w:r>
        <w:rPr>
          <w:rFonts w:ascii="Times New Roman" w:hAnsi="Times New Roman" w:cs="Times New Roman"/>
        </w:rPr>
        <w:t xml:space="preserve">At their most extreme, such contestations </w:t>
      </w:r>
      <w:r w:rsidR="003271BD">
        <w:rPr>
          <w:rFonts w:ascii="Times New Roman" w:hAnsi="Times New Roman" w:cs="Times New Roman"/>
        </w:rPr>
        <w:t xml:space="preserve">have </w:t>
      </w:r>
      <w:r>
        <w:rPr>
          <w:rFonts w:ascii="Times New Roman" w:hAnsi="Times New Roman" w:cs="Times New Roman"/>
        </w:rPr>
        <w:t xml:space="preserve">entailed the decision of a </w:t>
      </w:r>
      <w:r w:rsidR="005E0A6E">
        <w:rPr>
          <w:rFonts w:ascii="Times New Roman" w:hAnsi="Times New Roman" w:cs="Times New Roman"/>
        </w:rPr>
        <w:t>Member State</w:t>
      </w:r>
      <w:r w:rsidR="00A71210" w:rsidRPr="00486DF6">
        <w:rPr>
          <w:rFonts w:ascii="Times New Roman" w:eastAsia="Times New Roman" w:hAnsi="Times New Roman" w:cs="Times New Roman"/>
          <w:color w:val="000000"/>
          <w:lang w:val="en-US" w:eastAsia="en-GB"/>
        </w:rPr>
        <w:t xml:space="preserve"> to withdraw</w:t>
      </w:r>
      <w:r w:rsidR="00C632C4" w:rsidRPr="00486DF6">
        <w:rPr>
          <w:rFonts w:ascii="Times New Roman" w:eastAsia="Times New Roman" w:hAnsi="Times New Roman" w:cs="Times New Roman"/>
          <w:color w:val="000000"/>
          <w:lang w:val="en-US" w:eastAsia="en-GB"/>
        </w:rPr>
        <w:t xml:space="preserve"> either</w:t>
      </w:r>
      <w:r w:rsidR="00A71210" w:rsidRPr="00486DF6">
        <w:rPr>
          <w:rFonts w:ascii="Times New Roman" w:eastAsia="Times New Roman" w:hAnsi="Times New Roman" w:cs="Times New Roman"/>
          <w:color w:val="000000"/>
          <w:lang w:val="en-US" w:eastAsia="en-GB"/>
        </w:rPr>
        <w:t xml:space="preserve"> in whole</w:t>
      </w:r>
      <w:r w:rsidR="005E0A6E">
        <w:rPr>
          <w:rFonts w:ascii="Times New Roman" w:eastAsia="Times New Roman" w:hAnsi="Times New Roman" w:cs="Times New Roman"/>
          <w:color w:val="000000"/>
          <w:lang w:val="en-US" w:eastAsia="en-GB"/>
        </w:rPr>
        <w:t xml:space="preserve"> </w:t>
      </w:r>
      <w:r w:rsidR="00A71210" w:rsidRPr="00486DF6">
        <w:rPr>
          <w:rFonts w:ascii="Times New Roman" w:eastAsia="Times New Roman" w:hAnsi="Times New Roman" w:cs="Times New Roman"/>
          <w:color w:val="000000"/>
          <w:lang w:val="en-US" w:eastAsia="en-GB"/>
        </w:rPr>
        <w:t>or in part</w:t>
      </w:r>
      <w:r w:rsidR="005E0A6E">
        <w:rPr>
          <w:rFonts w:ascii="Times New Roman" w:eastAsia="Times New Roman" w:hAnsi="Times New Roman" w:cs="Times New Roman"/>
          <w:color w:val="000000"/>
          <w:lang w:val="en-US" w:eastAsia="en-GB"/>
        </w:rPr>
        <w:t xml:space="preserve"> </w:t>
      </w:r>
      <w:r w:rsidR="00A71210" w:rsidRPr="00486DF6">
        <w:rPr>
          <w:rFonts w:ascii="Times New Roman" w:eastAsia="Times New Roman" w:hAnsi="Times New Roman" w:cs="Times New Roman"/>
          <w:color w:val="000000"/>
          <w:lang w:val="en-US" w:eastAsia="en-GB"/>
        </w:rPr>
        <w:t xml:space="preserve">from the </w:t>
      </w:r>
      <w:r w:rsidR="00B17281" w:rsidRPr="00486DF6">
        <w:rPr>
          <w:rFonts w:ascii="Times New Roman" w:eastAsia="Times New Roman" w:hAnsi="Times New Roman" w:cs="Times New Roman"/>
          <w:color w:val="000000"/>
          <w:lang w:val="en-US" w:eastAsia="en-GB"/>
        </w:rPr>
        <w:t xml:space="preserve">overarching “federal pact” of the EU. </w:t>
      </w:r>
      <w:r w:rsidR="005E0A6E" w:rsidRPr="00486DF6">
        <w:rPr>
          <w:rFonts w:ascii="Times New Roman" w:eastAsia="Times New Roman" w:hAnsi="Times New Roman" w:cs="Times New Roman"/>
          <w:color w:val="000000"/>
          <w:lang w:val="en-US" w:eastAsia="en-GB"/>
        </w:rPr>
        <w:t>For instance, the UK’s withdrawal from the EU</w:t>
      </w:r>
      <w:r w:rsidR="003271BD">
        <w:rPr>
          <w:rFonts w:ascii="Times New Roman" w:eastAsia="Times New Roman" w:hAnsi="Times New Roman" w:cs="Times New Roman"/>
          <w:color w:val="000000"/>
          <w:lang w:val="en-US" w:eastAsia="en-GB"/>
        </w:rPr>
        <w:t xml:space="preserve"> on 31 January 2020</w:t>
      </w:r>
      <w:r w:rsidR="005E0A6E" w:rsidRPr="00486DF6">
        <w:rPr>
          <w:rFonts w:ascii="Times New Roman" w:eastAsia="Times New Roman" w:hAnsi="Times New Roman" w:cs="Times New Roman"/>
          <w:color w:val="000000"/>
          <w:lang w:val="en-US" w:eastAsia="en-GB"/>
        </w:rPr>
        <w:t xml:space="preserve"> was </w:t>
      </w:r>
      <w:r w:rsidR="005E0A6E" w:rsidRPr="00486DF6">
        <w:rPr>
          <w:rFonts w:ascii="Times New Roman" w:hAnsi="Times New Roman" w:cs="Times New Roman"/>
          <w:color w:val="000000" w:themeColor="text1"/>
          <w:lang w:val="en-US"/>
        </w:rPr>
        <w:t xml:space="preserve">a </w:t>
      </w:r>
      <w:r w:rsidR="005E0A6E" w:rsidRPr="00486DF6">
        <w:rPr>
          <w:rFonts w:ascii="Times New Roman" w:hAnsi="Times New Roman" w:cs="Times New Roman"/>
          <w:color w:val="000000" w:themeColor="text1"/>
          <w:shd w:val="clear" w:color="auto" w:fill="FFFFFF"/>
          <w:lang w:val="en-US"/>
        </w:rPr>
        <w:t>“unilateral decision to separate territory and citizenry”</w:t>
      </w:r>
      <w:r w:rsidR="005E0A6E" w:rsidRPr="00486DF6">
        <w:rPr>
          <w:rStyle w:val="FootnoteReference"/>
          <w:rFonts w:ascii="Times New Roman" w:hAnsi="Times New Roman" w:cs="Times New Roman"/>
          <w:color w:val="000000" w:themeColor="text1"/>
          <w:shd w:val="clear" w:color="auto" w:fill="FFFFFF"/>
          <w:lang w:val="en-US"/>
        </w:rPr>
        <w:footnoteReference w:id="3"/>
      </w:r>
      <w:r w:rsidR="00D37F93" w:rsidRPr="00D37F93">
        <w:rPr>
          <w:rFonts w:ascii="Times New Roman" w:hAnsi="Times New Roman" w:cs="Times New Roman"/>
          <w:color w:val="000000" w:themeColor="text1"/>
          <w:shd w:val="clear" w:color="auto" w:fill="FFFFFF"/>
          <w:lang w:val="en-US"/>
        </w:rPr>
        <w:t xml:space="preserve"> </w:t>
      </w:r>
      <w:r w:rsidR="00D37F93" w:rsidRPr="00486DF6">
        <w:rPr>
          <w:rFonts w:ascii="Times New Roman" w:hAnsi="Times New Roman" w:cs="Times New Roman"/>
          <w:color w:val="000000" w:themeColor="text1"/>
          <w:shd w:val="clear" w:color="auto" w:fill="FFFFFF"/>
          <w:lang w:val="en-US"/>
        </w:rPr>
        <w:t>from the Union</w:t>
      </w:r>
      <w:r w:rsidR="00D37F93">
        <w:rPr>
          <w:rFonts w:ascii="Times New Roman" w:hAnsi="Times New Roman" w:cs="Times New Roman"/>
          <w:color w:val="000000" w:themeColor="text1"/>
          <w:shd w:val="clear" w:color="auto" w:fill="FFFFFF"/>
          <w:lang w:val="en-US"/>
        </w:rPr>
        <w:t xml:space="preserve"> in order to “take back control of [their] borders, money and laws.”</w:t>
      </w:r>
      <w:r w:rsidR="00D37F93">
        <w:rPr>
          <w:rStyle w:val="FootnoteReference"/>
          <w:rFonts w:ascii="Times New Roman" w:hAnsi="Times New Roman" w:cs="Times New Roman"/>
          <w:color w:val="000000" w:themeColor="text1"/>
          <w:shd w:val="clear" w:color="auto" w:fill="FFFFFF"/>
          <w:lang w:val="en-US"/>
        </w:rPr>
        <w:footnoteReference w:id="4"/>
      </w:r>
      <w:r w:rsidR="005E0A6E" w:rsidRPr="00486DF6">
        <w:rPr>
          <w:rFonts w:ascii="Times New Roman" w:hAnsi="Times New Roman" w:cs="Times New Roman"/>
          <w:color w:val="000000" w:themeColor="text1"/>
          <w:shd w:val="clear" w:color="auto" w:fill="FFFFFF"/>
          <w:lang w:val="en-US"/>
        </w:rPr>
        <w:t xml:space="preserve"> This is why Vidmar aptly characterized it as “functionally akin to secession.”</w:t>
      </w:r>
      <w:r w:rsidR="005E0A6E" w:rsidRPr="00486DF6">
        <w:rPr>
          <w:rStyle w:val="FootnoteReference"/>
          <w:rFonts w:ascii="Times New Roman" w:hAnsi="Times New Roman" w:cs="Times New Roman"/>
          <w:color w:val="000000" w:themeColor="text1"/>
          <w:shd w:val="clear" w:color="auto" w:fill="FFFFFF"/>
          <w:lang w:val="en-US"/>
        </w:rPr>
        <w:footnoteReference w:id="5"/>
      </w:r>
      <w:r w:rsidR="005E0A6E">
        <w:rPr>
          <w:rFonts w:ascii="Times New Roman" w:hAnsi="Times New Roman" w:cs="Times New Roman"/>
          <w:color w:val="000000" w:themeColor="text1"/>
          <w:shd w:val="clear" w:color="auto" w:fill="FFFFFF"/>
          <w:lang w:val="en-US"/>
        </w:rPr>
        <w:t xml:space="preserve"> </w:t>
      </w:r>
      <w:r w:rsidR="00472A4B">
        <w:rPr>
          <w:rFonts w:ascii="Times New Roman" w:hAnsi="Times New Roman" w:cs="Times New Roman"/>
          <w:lang w:val="en-US"/>
        </w:rPr>
        <w:t>A</w:t>
      </w:r>
      <w:proofErr w:type="spellStart"/>
      <w:r w:rsidR="005E0A6E" w:rsidRPr="005E0A6E">
        <w:rPr>
          <w:rFonts w:ascii="Times New Roman" w:hAnsi="Times New Roman" w:cs="Times New Roman"/>
        </w:rPr>
        <w:t>s</w:t>
      </w:r>
      <w:proofErr w:type="spellEnd"/>
      <w:r w:rsidR="005E0A6E" w:rsidRPr="005E0A6E">
        <w:rPr>
          <w:rFonts w:ascii="Times New Roman" w:hAnsi="Times New Roman" w:cs="Times New Roman"/>
        </w:rPr>
        <w:t xml:space="preserve"> a </w:t>
      </w:r>
      <w:r w:rsidR="005E0A6E" w:rsidRPr="005E0A6E">
        <w:rPr>
          <w:rFonts w:ascii="Times New Roman" w:hAnsi="Times New Roman" w:cs="Times New Roman"/>
          <w:shd w:val="clear" w:color="auto" w:fill="FFFFFF"/>
        </w:rPr>
        <w:t>functional secession</w:t>
      </w:r>
      <w:r w:rsidR="00472A4B">
        <w:rPr>
          <w:rFonts w:ascii="Times New Roman" w:hAnsi="Times New Roman" w:cs="Times New Roman"/>
          <w:shd w:val="clear" w:color="auto" w:fill="FFFFFF"/>
        </w:rPr>
        <w:t xml:space="preserve">, </w:t>
      </w:r>
      <w:r w:rsidR="00472A4B">
        <w:rPr>
          <w:rFonts w:ascii="Times New Roman" w:hAnsi="Times New Roman" w:cs="Times New Roman"/>
        </w:rPr>
        <w:t>Brexit</w:t>
      </w:r>
      <w:r w:rsidR="005E0A6E" w:rsidRPr="005E0A6E">
        <w:rPr>
          <w:rFonts w:ascii="Times New Roman" w:hAnsi="Times New Roman" w:cs="Times New Roman"/>
          <w:shd w:val="clear" w:color="auto" w:fill="FFFFFF"/>
        </w:rPr>
        <w:t xml:space="preserve"> denote</w:t>
      </w:r>
      <w:r w:rsidR="003271BD">
        <w:rPr>
          <w:rFonts w:ascii="Times New Roman" w:hAnsi="Times New Roman" w:cs="Times New Roman"/>
          <w:shd w:val="clear" w:color="auto" w:fill="FFFFFF"/>
        </w:rPr>
        <w:t>d</w:t>
      </w:r>
      <w:r w:rsidR="005E0A6E" w:rsidRPr="005E0A6E">
        <w:rPr>
          <w:rFonts w:ascii="Times New Roman" w:hAnsi="Times New Roman" w:cs="Times New Roman"/>
          <w:shd w:val="clear" w:color="auto" w:fill="FFFFFF"/>
        </w:rPr>
        <w:t xml:space="preserve"> </w:t>
      </w:r>
      <w:r w:rsidR="00472A4B">
        <w:rPr>
          <w:rFonts w:ascii="Times New Roman" w:hAnsi="Times New Roman" w:cs="Times New Roman"/>
        </w:rPr>
        <w:t>UK’s</w:t>
      </w:r>
      <w:r w:rsidR="005E0A6E" w:rsidRPr="005E0A6E">
        <w:rPr>
          <w:rFonts w:ascii="Times New Roman" w:hAnsi="Times New Roman" w:cs="Times New Roman"/>
        </w:rPr>
        <w:t xml:space="preserve"> </w:t>
      </w:r>
      <w:r w:rsidR="005E0A6E" w:rsidRPr="005E0A6E">
        <w:rPr>
          <w:rFonts w:ascii="Times New Roman" w:eastAsiaTheme="minorEastAsia" w:hAnsi="Times New Roman" w:cs="Times New Roman"/>
        </w:rPr>
        <w:t xml:space="preserve">“formal withdrawal from </w:t>
      </w:r>
      <w:r w:rsidR="005E0A6E">
        <w:rPr>
          <w:rFonts w:ascii="Times New Roman" w:eastAsiaTheme="minorEastAsia" w:hAnsi="Times New Roman" w:cs="Times New Roman"/>
        </w:rPr>
        <w:t>[the]</w:t>
      </w:r>
      <w:r w:rsidR="005E0A6E" w:rsidRPr="005E0A6E">
        <w:rPr>
          <w:rFonts w:ascii="Times New Roman" w:eastAsiaTheme="minorEastAsia" w:hAnsi="Times New Roman" w:cs="Times New Roman"/>
        </w:rPr>
        <w:t xml:space="preserve"> central political authority</w:t>
      </w:r>
      <w:r w:rsidR="003271BD">
        <w:rPr>
          <w:rFonts w:ascii="Times New Roman" w:eastAsiaTheme="minorEastAsia" w:hAnsi="Times New Roman" w:cs="Times New Roman"/>
        </w:rPr>
        <w:t>”</w:t>
      </w:r>
      <w:r w:rsidR="003271BD" w:rsidRPr="005E0A6E">
        <w:rPr>
          <w:rStyle w:val="FootnoteReference"/>
          <w:rFonts w:ascii="Times New Roman" w:eastAsiaTheme="minorEastAsia" w:hAnsi="Times New Roman" w:cs="Times New Roman"/>
          <w:color w:val="000000" w:themeColor="text1"/>
          <w:sz w:val="23"/>
        </w:rPr>
        <w:footnoteReference w:id="6"/>
      </w:r>
      <w:r w:rsidR="003271BD">
        <w:rPr>
          <w:rFonts w:ascii="Times New Roman" w:eastAsiaTheme="minorEastAsia" w:hAnsi="Times New Roman" w:cs="Times New Roman"/>
        </w:rPr>
        <w:t xml:space="preserve"> </w:t>
      </w:r>
      <w:r w:rsidR="005E0A6E">
        <w:rPr>
          <w:rFonts w:ascii="Times New Roman" w:eastAsiaTheme="minorEastAsia" w:hAnsi="Times New Roman" w:cs="Times New Roman"/>
        </w:rPr>
        <w:t xml:space="preserve"> of the EU</w:t>
      </w:r>
      <w:r w:rsidR="005E0A6E" w:rsidRPr="005E0A6E">
        <w:rPr>
          <w:rFonts w:ascii="Times New Roman" w:eastAsiaTheme="minorEastAsia" w:hAnsi="Times New Roman" w:cs="Times New Roman"/>
        </w:rPr>
        <w:t xml:space="preserve"> </w:t>
      </w:r>
      <w:r w:rsidR="005E0A6E">
        <w:rPr>
          <w:rFonts w:ascii="Times New Roman" w:eastAsiaTheme="minorEastAsia" w:hAnsi="Times New Roman" w:cs="Times New Roman"/>
        </w:rPr>
        <w:t xml:space="preserve">and as such the abrupt end to the symbiotic relationship between their legal orders. </w:t>
      </w:r>
      <w:r w:rsidR="005E0A6E">
        <w:rPr>
          <w:rFonts w:ascii="Times New Roman" w:hAnsi="Times New Roman" w:cs="Times New Roman"/>
          <w:color w:val="000000" w:themeColor="text1"/>
          <w:shd w:val="clear" w:color="auto" w:fill="FFFFFF"/>
          <w:lang w:val="en-US"/>
        </w:rPr>
        <w:t xml:space="preserve"> </w:t>
      </w:r>
    </w:p>
    <w:p w14:paraId="5185B2B3" w14:textId="13616339" w:rsidR="003271BD" w:rsidRDefault="005E0A6E" w:rsidP="00A04A94">
      <w:pPr>
        <w:spacing w:line="480" w:lineRule="auto"/>
        <w:ind w:firstLine="720"/>
        <w:jc w:val="both"/>
        <w:rPr>
          <w:rFonts w:ascii="Times New Roman" w:eastAsia="Times New Roman" w:hAnsi="Times New Roman" w:cs="Times New Roman"/>
          <w:color w:val="000000"/>
          <w:lang w:val="en-US" w:eastAsia="en-GB"/>
        </w:rPr>
      </w:pPr>
      <w:r>
        <w:rPr>
          <w:rFonts w:ascii="Times New Roman" w:hAnsi="Times New Roman" w:cs="Times New Roman"/>
          <w:color w:val="000000" w:themeColor="text1"/>
          <w:shd w:val="clear" w:color="auto" w:fill="FFFFFF"/>
          <w:lang w:val="en-US"/>
        </w:rPr>
        <w:t xml:space="preserve">Having said that, in </w:t>
      </w:r>
      <w:r w:rsidRPr="00486DF6">
        <w:rPr>
          <w:rFonts w:ascii="Times New Roman" w:eastAsia="Times New Roman" w:hAnsi="Times New Roman" w:cs="Times New Roman"/>
          <w:color w:val="000000"/>
          <w:lang w:val="en-US" w:eastAsia="en-GB"/>
        </w:rPr>
        <w:t>the long history of the Union, there have</w:t>
      </w:r>
      <w:r>
        <w:rPr>
          <w:rFonts w:ascii="Times New Roman" w:eastAsia="Times New Roman" w:hAnsi="Times New Roman" w:cs="Times New Roman"/>
          <w:color w:val="000000"/>
          <w:lang w:val="en-US" w:eastAsia="en-GB"/>
        </w:rPr>
        <w:t xml:space="preserve"> also</w:t>
      </w:r>
      <w:r w:rsidRPr="00486DF6">
        <w:rPr>
          <w:rFonts w:ascii="Times New Roman" w:eastAsia="Times New Roman" w:hAnsi="Times New Roman" w:cs="Times New Roman"/>
          <w:color w:val="000000"/>
          <w:lang w:val="en-US" w:eastAsia="en-GB"/>
        </w:rPr>
        <w:t xml:space="preserve"> been a number of instances where a Member State has attempted to terminate parts</w:t>
      </w:r>
      <w:r w:rsidR="005648AE">
        <w:rPr>
          <w:rFonts w:ascii="Times New Roman" w:eastAsia="Times New Roman" w:hAnsi="Times New Roman" w:cs="Times New Roman"/>
          <w:color w:val="000000"/>
          <w:lang w:val="en-US" w:eastAsia="en-GB"/>
        </w:rPr>
        <w:t xml:space="preserve"> (instead of the entirety)</w:t>
      </w:r>
      <w:r w:rsidRPr="00486DF6">
        <w:rPr>
          <w:rFonts w:ascii="Times New Roman" w:eastAsia="Times New Roman" w:hAnsi="Times New Roman" w:cs="Times New Roman"/>
          <w:color w:val="000000"/>
          <w:lang w:val="en-US" w:eastAsia="en-GB"/>
        </w:rPr>
        <w:t xml:space="preserve"> of its </w:t>
      </w:r>
      <w:r w:rsidRPr="00486DF6">
        <w:rPr>
          <w:rFonts w:ascii="Times New Roman" w:eastAsia="Times New Roman" w:hAnsi="Times New Roman" w:cs="Times New Roman"/>
          <w:color w:val="000000"/>
          <w:lang w:val="en-US" w:eastAsia="en-GB"/>
        </w:rPr>
        <w:lastRenderedPageBreak/>
        <w:t>constitutional contract. Such attempts can be described as nullification –</w:t>
      </w:r>
      <w:r>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 xml:space="preserve">the notion of an issue-based withdrawal from the overarching </w:t>
      </w:r>
      <w:r>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federal</w:t>
      </w:r>
      <w:r>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pact.</w:t>
      </w:r>
      <w:r>
        <w:rPr>
          <w:rFonts w:ascii="Times New Roman" w:eastAsia="Times New Roman" w:hAnsi="Times New Roman" w:cs="Times New Roman"/>
          <w:color w:val="000000"/>
          <w:lang w:val="en-US" w:eastAsia="en-GB"/>
        </w:rPr>
        <w:t>”</w:t>
      </w:r>
      <w:r w:rsidRPr="00486DF6">
        <w:rPr>
          <w:rStyle w:val="FootnoteReference"/>
          <w:rFonts w:ascii="Times New Roman" w:eastAsia="Times New Roman" w:hAnsi="Times New Roman" w:cs="Times New Roman"/>
          <w:color w:val="000000"/>
          <w:lang w:val="en-US" w:eastAsia="en-GB"/>
        </w:rPr>
        <w:footnoteReference w:id="7"/>
      </w:r>
      <w:r w:rsidRPr="00486DF6">
        <w:rPr>
          <w:rFonts w:ascii="Times New Roman" w:eastAsia="Times New Roman" w:hAnsi="Times New Roman" w:cs="Times New Roman"/>
          <w:color w:val="000000"/>
          <w:lang w:val="en-US" w:eastAsia="en-GB"/>
        </w:rPr>
        <w:t xml:space="preserve"> This concept is linked to the idea that members of a multi-level polity can </w:t>
      </w:r>
      <w:r>
        <w:rPr>
          <w:rFonts w:ascii="Times New Roman" w:eastAsia="Times New Roman" w:hAnsi="Times New Roman" w:cs="Times New Roman"/>
          <w:color w:val="000000"/>
          <w:lang w:val="en-US" w:eastAsia="en-GB"/>
        </w:rPr>
        <w:t>“</w:t>
      </w:r>
      <w:r w:rsidRPr="00486DF6">
        <w:rPr>
          <w:rFonts w:ascii="Times New Roman" w:hAnsi="Times New Roman" w:cs="Times New Roman"/>
          <w:color w:val="000000"/>
          <w:lang w:val="en-US"/>
        </w:rPr>
        <w:t>and perhaps even ought to, refuse to enforce federal laws that they deem unconstitutional.</w:t>
      </w:r>
      <w:r>
        <w:rPr>
          <w:rFonts w:ascii="Times New Roman" w:hAnsi="Times New Roman" w:cs="Times New Roman"/>
          <w:color w:val="000000"/>
          <w:lang w:val="en-US"/>
        </w:rPr>
        <w:t>”</w:t>
      </w:r>
      <w:r w:rsidRPr="00486DF6">
        <w:rPr>
          <w:rStyle w:val="FootnoteReference"/>
          <w:rFonts w:ascii="Times New Roman" w:hAnsi="Times New Roman" w:cs="Times New Roman"/>
          <w:color w:val="000000"/>
          <w:lang w:val="en-US"/>
        </w:rPr>
        <w:footnoteReference w:id="8"/>
      </w:r>
      <w:r w:rsidRPr="00486DF6">
        <w:rPr>
          <w:rFonts w:ascii="Times New Roman" w:eastAsia="Times New Roman" w:hAnsi="Times New Roman" w:cs="Times New Roman"/>
          <w:color w:val="000000"/>
          <w:lang w:val="en-US" w:eastAsia="en-GB"/>
        </w:rPr>
        <w:t> </w:t>
      </w:r>
      <w:r w:rsidR="003271BD">
        <w:rPr>
          <w:rFonts w:ascii="Times New Roman" w:eastAsia="Times New Roman" w:hAnsi="Times New Roman" w:cs="Times New Roman"/>
          <w:color w:val="000000"/>
          <w:lang w:val="en-US" w:eastAsia="en-GB"/>
        </w:rPr>
        <w:t>N</w:t>
      </w:r>
      <w:r w:rsidR="003271BD" w:rsidRPr="00486DF6">
        <w:rPr>
          <w:rFonts w:ascii="Times New Roman" w:eastAsia="Times New Roman" w:hAnsi="Times New Roman" w:cs="Times New Roman"/>
          <w:color w:val="000000"/>
          <w:lang w:val="en-US" w:eastAsia="en-GB"/>
        </w:rPr>
        <w:t xml:space="preserve">ullification is reserved for situations where a Member State objects to a </w:t>
      </w:r>
      <w:r w:rsidR="003271BD">
        <w:rPr>
          <w:rFonts w:ascii="Times New Roman" w:eastAsia="Times New Roman" w:hAnsi="Times New Roman" w:cs="Times New Roman"/>
          <w:color w:val="000000"/>
          <w:lang w:val="en-US" w:eastAsia="en-GB"/>
        </w:rPr>
        <w:t>“</w:t>
      </w:r>
      <w:r w:rsidR="003271BD" w:rsidRPr="00486DF6">
        <w:rPr>
          <w:rFonts w:ascii="Times New Roman" w:eastAsia="Times New Roman" w:hAnsi="Times New Roman" w:cs="Times New Roman"/>
          <w:color w:val="000000"/>
          <w:lang w:val="en-US" w:eastAsia="en-GB"/>
        </w:rPr>
        <w:t>supposedly intrusive, centrally-imposed regulatory measure that is perceived to illegitimately infringe on an inviolable constitutional principle or belief indispensable to the [State’s] fundamental identity.</w:t>
      </w:r>
      <w:r w:rsidR="003271BD">
        <w:rPr>
          <w:rFonts w:ascii="Times New Roman" w:eastAsia="Times New Roman" w:hAnsi="Times New Roman" w:cs="Times New Roman"/>
          <w:color w:val="000000"/>
          <w:lang w:val="en-US" w:eastAsia="en-GB"/>
        </w:rPr>
        <w:t>”</w:t>
      </w:r>
      <w:r w:rsidR="003271BD" w:rsidRPr="00486DF6">
        <w:rPr>
          <w:rStyle w:val="FootnoteReference"/>
          <w:rFonts w:ascii="Times New Roman" w:eastAsia="Times New Roman" w:hAnsi="Times New Roman" w:cs="Times New Roman"/>
          <w:color w:val="000000"/>
          <w:lang w:val="en-US" w:eastAsia="en-GB"/>
        </w:rPr>
        <w:footnoteReference w:id="9"/>
      </w:r>
      <w:r w:rsidR="003271BD" w:rsidRPr="00486DF6">
        <w:rPr>
          <w:rFonts w:ascii="Times New Roman" w:eastAsia="Times New Roman" w:hAnsi="Times New Roman" w:cs="Times New Roman"/>
          <w:color w:val="000000"/>
          <w:lang w:val="en-US" w:eastAsia="en-GB"/>
        </w:rPr>
        <w:t xml:space="preserve"> </w:t>
      </w:r>
      <w:r w:rsidR="00FA10F8">
        <w:rPr>
          <w:rFonts w:ascii="Times New Roman" w:eastAsia="Times New Roman" w:hAnsi="Times New Roman" w:cs="Times New Roman"/>
          <w:color w:val="000000"/>
          <w:lang w:val="en-US" w:eastAsia="en-GB"/>
        </w:rPr>
        <w:t>E</w:t>
      </w:r>
      <w:r w:rsidR="00A04A94">
        <w:rPr>
          <w:rFonts w:ascii="Times New Roman" w:eastAsia="Times New Roman" w:hAnsi="Times New Roman" w:cs="Times New Roman"/>
          <w:color w:val="000000"/>
          <w:lang w:val="en-US" w:eastAsia="en-GB"/>
        </w:rPr>
        <w:t>xamples of this phenomenon</w:t>
      </w:r>
      <w:r w:rsidR="003271BD" w:rsidRPr="00486DF6">
        <w:rPr>
          <w:rFonts w:ascii="Times New Roman" w:eastAsia="Times New Roman" w:hAnsi="Times New Roman" w:cs="Times New Roman"/>
          <w:color w:val="000000"/>
          <w:lang w:val="en-US" w:eastAsia="en-GB"/>
        </w:rPr>
        <w:t xml:space="preserve"> include </w:t>
      </w:r>
      <w:r w:rsidR="00A04A94">
        <w:rPr>
          <w:rFonts w:ascii="Times New Roman" w:eastAsia="Times New Roman" w:hAnsi="Times New Roman" w:cs="Times New Roman"/>
          <w:color w:val="000000"/>
          <w:lang w:val="en-US" w:eastAsia="en-GB"/>
        </w:rPr>
        <w:t xml:space="preserve">instances where </w:t>
      </w:r>
      <w:r w:rsidR="00A04A94" w:rsidRPr="00486DF6">
        <w:rPr>
          <w:rFonts w:ascii="Times New Roman" w:eastAsia="Times New Roman" w:hAnsi="Times New Roman" w:cs="Times New Roman"/>
          <w:color w:val="000000"/>
          <w:lang w:val="en-US" w:eastAsia="en-GB"/>
        </w:rPr>
        <w:t xml:space="preserve">Member States </w:t>
      </w:r>
      <w:r w:rsidR="00A04A94">
        <w:rPr>
          <w:rFonts w:ascii="Times New Roman" w:eastAsia="Times New Roman" w:hAnsi="Times New Roman" w:cs="Times New Roman"/>
          <w:color w:val="000000"/>
          <w:lang w:val="en-US" w:eastAsia="en-GB"/>
        </w:rPr>
        <w:t xml:space="preserve">have </w:t>
      </w:r>
      <w:r w:rsidR="00A04A94" w:rsidRPr="00486DF6">
        <w:rPr>
          <w:rFonts w:ascii="Times New Roman" w:eastAsia="Times New Roman" w:hAnsi="Times New Roman" w:cs="Times New Roman"/>
          <w:color w:val="000000"/>
          <w:lang w:val="en-US" w:eastAsia="en-GB"/>
        </w:rPr>
        <w:t>tr</w:t>
      </w:r>
      <w:r w:rsidR="00A04A94">
        <w:rPr>
          <w:rFonts w:ascii="Times New Roman" w:eastAsia="Times New Roman" w:hAnsi="Times New Roman" w:cs="Times New Roman"/>
          <w:color w:val="000000"/>
          <w:lang w:val="en-US" w:eastAsia="en-GB"/>
        </w:rPr>
        <w:t>ied</w:t>
      </w:r>
      <w:r w:rsidR="00A04A94" w:rsidRPr="00486DF6">
        <w:rPr>
          <w:rFonts w:ascii="Times New Roman" w:eastAsia="Times New Roman" w:hAnsi="Times New Roman" w:cs="Times New Roman"/>
          <w:color w:val="000000"/>
          <w:lang w:val="en-US" w:eastAsia="en-GB"/>
        </w:rPr>
        <w:t xml:space="preserve"> to </w:t>
      </w:r>
      <w:r w:rsidR="00A04A94">
        <w:rPr>
          <w:rFonts w:ascii="Times New Roman" w:eastAsia="Times New Roman" w:hAnsi="Times New Roman" w:cs="Times New Roman"/>
          <w:color w:val="000000"/>
          <w:lang w:val="en-US" w:eastAsia="en-GB"/>
        </w:rPr>
        <w:t xml:space="preserve">resist and contest </w:t>
      </w:r>
      <w:r w:rsidR="00A04A94" w:rsidRPr="00486DF6">
        <w:rPr>
          <w:rFonts w:ascii="Times New Roman" w:eastAsia="Times New Roman" w:hAnsi="Times New Roman" w:cs="Times New Roman"/>
          <w:color w:val="000000"/>
          <w:lang w:val="en-US" w:eastAsia="en-GB"/>
        </w:rPr>
        <w:t>a certain EU policy that they consider</w:t>
      </w:r>
      <w:r w:rsidR="00A04A94">
        <w:rPr>
          <w:rFonts w:ascii="Times New Roman" w:eastAsia="Times New Roman" w:hAnsi="Times New Roman" w:cs="Times New Roman"/>
          <w:color w:val="000000"/>
          <w:lang w:val="en-US" w:eastAsia="en-GB"/>
        </w:rPr>
        <w:t>ed</w:t>
      </w:r>
      <w:r w:rsidR="00A04A94" w:rsidRPr="00486DF6">
        <w:rPr>
          <w:rFonts w:ascii="Times New Roman" w:eastAsia="Times New Roman" w:hAnsi="Times New Roman" w:cs="Times New Roman"/>
          <w:color w:val="000000"/>
          <w:lang w:val="en-US" w:eastAsia="en-GB"/>
        </w:rPr>
        <w:t xml:space="preserve"> as somehow threatening to their national interests. For </w:t>
      </w:r>
      <w:r w:rsidR="00A04A94">
        <w:rPr>
          <w:rFonts w:ascii="Times New Roman" w:eastAsia="Times New Roman" w:hAnsi="Times New Roman" w:cs="Times New Roman"/>
          <w:color w:val="000000"/>
          <w:lang w:val="en-US" w:eastAsia="en-GB"/>
        </w:rPr>
        <w:t>exampl</w:t>
      </w:r>
      <w:r w:rsidR="00A04A94" w:rsidRPr="00486DF6">
        <w:rPr>
          <w:rFonts w:ascii="Times New Roman" w:eastAsia="Times New Roman" w:hAnsi="Times New Roman" w:cs="Times New Roman"/>
          <w:color w:val="000000"/>
          <w:lang w:val="en-US" w:eastAsia="en-GB"/>
        </w:rPr>
        <w:t xml:space="preserve">e, </w:t>
      </w:r>
      <w:r w:rsidR="001F37DA" w:rsidRPr="00486DF6">
        <w:rPr>
          <w:rFonts w:ascii="Times New Roman" w:eastAsia="Times New Roman" w:hAnsi="Times New Roman" w:cs="Times New Roman"/>
          <w:color w:val="000000"/>
          <w:lang w:val="en-US" w:eastAsia="en-GB"/>
        </w:rPr>
        <w:t>during the Eurozone crisis</w:t>
      </w:r>
      <w:r w:rsidR="001F37DA">
        <w:rPr>
          <w:rFonts w:ascii="Times New Roman" w:eastAsia="Times New Roman" w:hAnsi="Times New Roman" w:cs="Times New Roman"/>
          <w:color w:val="000000"/>
          <w:lang w:val="en-US" w:eastAsia="en-GB"/>
        </w:rPr>
        <w:t xml:space="preserve">, </w:t>
      </w:r>
      <w:r w:rsidR="00A04A94" w:rsidRPr="00486DF6">
        <w:rPr>
          <w:rFonts w:ascii="Times New Roman" w:eastAsia="Times New Roman" w:hAnsi="Times New Roman" w:cs="Times New Roman"/>
          <w:color w:val="000000"/>
          <w:lang w:val="en-US" w:eastAsia="en-GB"/>
        </w:rPr>
        <w:t xml:space="preserve">the Greek Government tried to resist certain measures </w:t>
      </w:r>
      <w:r w:rsidR="001F37DA">
        <w:rPr>
          <w:rFonts w:ascii="Times New Roman" w:eastAsia="Times New Roman" w:hAnsi="Times New Roman" w:cs="Times New Roman"/>
          <w:color w:val="000000"/>
          <w:lang w:val="en-US" w:eastAsia="en-GB"/>
        </w:rPr>
        <w:t xml:space="preserve">that they perceived as threatening the sovereignty and democratic institutions of the State </w:t>
      </w:r>
      <w:r w:rsidR="00A04A94" w:rsidRPr="00486DF6">
        <w:rPr>
          <w:rFonts w:ascii="Times New Roman" w:eastAsia="Times New Roman" w:hAnsi="Times New Roman" w:cs="Times New Roman"/>
          <w:color w:val="000000"/>
          <w:lang w:val="en-US" w:eastAsia="en-GB"/>
        </w:rPr>
        <w:t>by means of a referendum</w:t>
      </w:r>
      <w:r w:rsidR="001F37DA">
        <w:rPr>
          <w:rFonts w:ascii="Times New Roman" w:eastAsia="Times New Roman" w:hAnsi="Times New Roman" w:cs="Times New Roman"/>
          <w:color w:val="000000"/>
          <w:lang w:val="en-US" w:eastAsia="en-GB"/>
        </w:rPr>
        <w:t xml:space="preserve"> that was organized in July 2015</w:t>
      </w:r>
      <w:r w:rsidR="00A04A94" w:rsidRPr="00486DF6">
        <w:rPr>
          <w:rFonts w:ascii="Times New Roman" w:eastAsia="Times New Roman" w:hAnsi="Times New Roman" w:cs="Times New Roman"/>
          <w:color w:val="000000"/>
          <w:lang w:val="en-US" w:eastAsia="en-GB"/>
        </w:rPr>
        <w:t>.</w:t>
      </w:r>
      <w:r w:rsidR="00A04A94">
        <w:rPr>
          <w:rFonts w:ascii="Times New Roman" w:eastAsia="Times New Roman" w:hAnsi="Times New Roman" w:cs="Times New Roman"/>
          <w:color w:val="000000"/>
          <w:lang w:val="en-US" w:eastAsia="en-GB"/>
        </w:rPr>
        <w:t xml:space="preserve"> At the same time, certain</w:t>
      </w:r>
      <w:r w:rsidR="00A04A94" w:rsidRPr="00486DF6">
        <w:rPr>
          <w:rFonts w:ascii="Times New Roman" w:eastAsia="Times New Roman" w:hAnsi="Times New Roman" w:cs="Times New Roman"/>
          <w:color w:val="000000"/>
          <w:lang w:val="en-US" w:eastAsia="en-GB"/>
        </w:rPr>
        <w:t xml:space="preserve"> EU countries have been trying to challenge the notion that respect to the foundational values enshrined in Article 2 TEU is a </w:t>
      </w:r>
      <w:proofErr w:type="spellStart"/>
      <w:r w:rsidR="00A04A94" w:rsidRPr="00486DF6">
        <w:rPr>
          <w:rFonts w:ascii="Times New Roman" w:eastAsia="Times New Roman" w:hAnsi="Times New Roman" w:cs="Times New Roman"/>
          <w:i/>
          <w:iCs/>
          <w:color w:val="000000"/>
          <w:lang w:val="en-US" w:eastAsia="en-GB"/>
        </w:rPr>
        <w:t>conditio</w:t>
      </w:r>
      <w:proofErr w:type="spellEnd"/>
      <w:r w:rsidR="00A04A94" w:rsidRPr="00486DF6">
        <w:rPr>
          <w:rFonts w:ascii="Times New Roman" w:eastAsia="Times New Roman" w:hAnsi="Times New Roman" w:cs="Times New Roman"/>
          <w:i/>
          <w:iCs/>
          <w:color w:val="000000"/>
          <w:lang w:val="en-US" w:eastAsia="en-GB"/>
        </w:rPr>
        <w:t xml:space="preserve"> sine qua non</w:t>
      </w:r>
      <w:r w:rsidR="00A04A94" w:rsidRPr="00486DF6">
        <w:rPr>
          <w:rFonts w:ascii="Times New Roman" w:eastAsia="Times New Roman" w:hAnsi="Times New Roman" w:cs="Times New Roman"/>
          <w:color w:val="000000"/>
          <w:lang w:val="en-US" w:eastAsia="en-GB"/>
        </w:rPr>
        <w:t xml:space="preserve"> for EU membership. </w:t>
      </w:r>
      <w:r w:rsidR="005F6274">
        <w:rPr>
          <w:rFonts w:ascii="Times New Roman" w:eastAsia="Times New Roman" w:hAnsi="Times New Roman" w:cs="Times New Roman"/>
          <w:color w:val="000000"/>
          <w:lang w:val="en-US" w:eastAsia="en-GB"/>
        </w:rPr>
        <w:t>Equally, even</w:t>
      </w:r>
      <w:r w:rsidR="00A04A94">
        <w:rPr>
          <w:rFonts w:ascii="Times New Roman" w:eastAsia="Times New Roman" w:hAnsi="Times New Roman" w:cs="Times New Roman"/>
          <w:color w:val="000000"/>
          <w:lang w:val="en-US" w:eastAsia="en-GB"/>
        </w:rPr>
        <w:t xml:space="preserve"> </w:t>
      </w:r>
      <w:r w:rsidR="003271BD" w:rsidRPr="00486DF6">
        <w:rPr>
          <w:rFonts w:ascii="Times New Roman" w:eastAsia="Times New Roman" w:hAnsi="Times New Roman" w:cs="Times New Roman"/>
          <w:color w:val="000000"/>
          <w:lang w:val="en-US" w:eastAsia="en-GB"/>
        </w:rPr>
        <w:t>decisions of the highest courts of Member States have questioned an unconditional subjection to the primacy of EU law, such as the May 2020 judgment of the German Federal Constitutional Court (</w:t>
      </w:r>
      <w:proofErr w:type="spellStart"/>
      <w:r w:rsidR="003271BD" w:rsidRPr="00486DF6">
        <w:rPr>
          <w:rFonts w:ascii="Times New Roman" w:eastAsia="Times New Roman" w:hAnsi="Times New Roman" w:cs="Times New Roman"/>
          <w:color w:val="000000"/>
          <w:lang w:val="en-US" w:eastAsia="en-GB"/>
        </w:rPr>
        <w:t>BVerfG</w:t>
      </w:r>
      <w:proofErr w:type="spellEnd"/>
      <w:r w:rsidR="003271BD" w:rsidRPr="00486DF6">
        <w:rPr>
          <w:rFonts w:ascii="Times New Roman" w:eastAsia="Times New Roman" w:hAnsi="Times New Roman" w:cs="Times New Roman"/>
          <w:color w:val="000000"/>
          <w:lang w:val="en-US" w:eastAsia="en-GB"/>
        </w:rPr>
        <w:t>).</w:t>
      </w:r>
      <w:r w:rsidR="003271BD" w:rsidRPr="001B2DE3">
        <w:rPr>
          <w:rFonts w:ascii="Times New Roman" w:eastAsia="Calibri" w:hAnsi="Times New Roman" w:cs="Times New Roman"/>
          <w:vertAlign w:val="superscript"/>
          <w:lang w:val="en-US"/>
        </w:rPr>
        <w:footnoteReference w:id="10"/>
      </w:r>
      <w:r w:rsidR="003271BD" w:rsidRPr="001B2DE3">
        <w:rPr>
          <w:rFonts w:ascii="Times New Roman" w:eastAsia="Times New Roman" w:hAnsi="Times New Roman" w:cs="Times New Roman"/>
          <w:color w:val="000000"/>
          <w:lang w:val="en-US" w:eastAsia="en-GB"/>
        </w:rPr>
        <w:t xml:space="preserve"> </w:t>
      </w:r>
    </w:p>
    <w:p w14:paraId="30D80249" w14:textId="1A184C09" w:rsidR="00521F99" w:rsidRDefault="00FA10F8" w:rsidP="006540A4">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Within the EU constitutional landscape, </w:t>
      </w:r>
      <w:r w:rsidR="00563476">
        <w:rPr>
          <w:rFonts w:ascii="Times New Roman" w:hAnsi="Times New Roman" w:cs="Times New Roman"/>
          <w:lang w:val="en-US"/>
        </w:rPr>
        <w:t>such</w:t>
      </w:r>
      <w:r>
        <w:rPr>
          <w:rFonts w:ascii="Times New Roman" w:hAnsi="Times New Roman" w:cs="Times New Roman"/>
          <w:lang w:val="en-US"/>
        </w:rPr>
        <w:t xml:space="preserve"> </w:t>
      </w:r>
      <w:r w:rsidR="00563476">
        <w:rPr>
          <w:rFonts w:ascii="Times New Roman" w:hAnsi="Times New Roman" w:cs="Times New Roman"/>
          <w:lang w:val="en-US"/>
        </w:rPr>
        <w:t>instances</w:t>
      </w:r>
      <w:r w:rsidR="005F6274">
        <w:rPr>
          <w:rFonts w:ascii="Times New Roman" w:hAnsi="Times New Roman" w:cs="Times New Roman"/>
          <w:lang w:val="en-US"/>
        </w:rPr>
        <w:t xml:space="preserve"> of</w:t>
      </w:r>
      <w:r w:rsidR="00A04A94" w:rsidRPr="00486DF6">
        <w:rPr>
          <w:rFonts w:ascii="Times New Roman" w:hAnsi="Times New Roman" w:cs="Times New Roman"/>
          <w:lang w:val="en-US"/>
        </w:rPr>
        <w:t xml:space="preserve"> secession and nullification</w:t>
      </w:r>
      <w:r w:rsidR="00A04A94">
        <w:rPr>
          <w:rFonts w:ascii="Times New Roman" w:hAnsi="Times New Roman" w:cs="Times New Roman"/>
          <w:lang w:val="en-US"/>
        </w:rPr>
        <w:t xml:space="preserve"> </w:t>
      </w:r>
      <w:r w:rsidR="00563476">
        <w:rPr>
          <w:rFonts w:ascii="Times New Roman" w:hAnsi="Times New Roman" w:cs="Times New Roman"/>
          <w:lang w:val="en-US"/>
        </w:rPr>
        <w:t xml:space="preserve">as the ones to which we just referred </w:t>
      </w:r>
      <w:r w:rsidR="00A04A94">
        <w:rPr>
          <w:rFonts w:ascii="Times New Roman" w:hAnsi="Times New Roman" w:cs="Times New Roman"/>
          <w:lang w:val="en-US"/>
        </w:rPr>
        <w:t>should be distinguished</w:t>
      </w:r>
      <w:r w:rsidR="00A04A94" w:rsidRPr="00486DF6">
        <w:rPr>
          <w:rFonts w:ascii="Times New Roman" w:hAnsi="Times New Roman" w:cs="Times New Roman"/>
          <w:lang w:val="en-US"/>
        </w:rPr>
        <w:t xml:space="preserve"> from asymmetry</w:t>
      </w:r>
      <w:r w:rsidR="00563476">
        <w:rPr>
          <w:rFonts w:ascii="Times New Roman" w:hAnsi="Times New Roman" w:cs="Times New Roman"/>
          <w:lang w:val="en-US"/>
        </w:rPr>
        <w:t>.</w:t>
      </w:r>
      <w:r w:rsidR="00A04A94" w:rsidRPr="00486DF6">
        <w:rPr>
          <w:rFonts w:ascii="Times New Roman" w:hAnsi="Times New Roman" w:cs="Times New Roman"/>
          <w:lang w:val="en-US"/>
        </w:rPr>
        <w:t xml:space="preserve"> </w:t>
      </w:r>
      <w:r w:rsidR="00563476">
        <w:rPr>
          <w:rFonts w:ascii="Times New Roman" w:hAnsi="Times New Roman" w:cs="Times New Roman"/>
          <w:lang w:val="en-US"/>
        </w:rPr>
        <w:t>T</w:t>
      </w:r>
      <w:r w:rsidR="00A04A94" w:rsidRPr="00486DF6">
        <w:rPr>
          <w:rFonts w:ascii="Times New Roman" w:hAnsi="Times New Roman" w:cs="Times New Roman"/>
          <w:lang w:val="en-US"/>
        </w:rPr>
        <w:t xml:space="preserve">he latter is provided for by the European Treaties on </w:t>
      </w:r>
      <w:r w:rsidR="00563476">
        <w:rPr>
          <w:rFonts w:ascii="Times New Roman" w:hAnsi="Times New Roman" w:cs="Times New Roman"/>
          <w:lang w:val="en-US"/>
        </w:rPr>
        <w:t xml:space="preserve">the </w:t>
      </w:r>
      <w:r w:rsidR="00A04A94" w:rsidRPr="00486DF6">
        <w:rPr>
          <w:rFonts w:ascii="Times New Roman" w:hAnsi="Times New Roman" w:cs="Times New Roman"/>
          <w:lang w:val="en-US"/>
        </w:rPr>
        <w:t>condition that the untouchable core of the order and its structural principles are respected.</w:t>
      </w:r>
      <w:r w:rsidR="00A04A94" w:rsidRPr="00486DF6">
        <w:rPr>
          <w:rStyle w:val="FootnoteReference"/>
          <w:rFonts w:ascii="Times New Roman" w:hAnsi="Times New Roman" w:cs="Times New Roman"/>
          <w:lang w:val="en-US"/>
        </w:rPr>
        <w:footnoteReference w:id="11"/>
      </w:r>
      <w:r w:rsidR="00A04A94" w:rsidRPr="00486DF6">
        <w:rPr>
          <w:rFonts w:ascii="Times New Roman" w:hAnsi="Times New Roman" w:cs="Times New Roman"/>
          <w:lang w:val="en-US"/>
        </w:rPr>
        <w:t xml:space="preserve"> </w:t>
      </w:r>
      <w:r>
        <w:rPr>
          <w:rFonts w:ascii="Times New Roman" w:hAnsi="Times New Roman" w:cs="Times New Roman"/>
          <w:lang w:val="en-US"/>
        </w:rPr>
        <w:t>Instead</w:t>
      </w:r>
      <w:r w:rsidR="00A04A94" w:rsidRPr="00486DF6">
        <w:rPr>
          <w:rFonts w:ascii="Times New Roman" w:hAnsi="Times New Roman" w:cs="Times New Roman"/>
          <w:lang w:val="en-US"/>
        </w:rPr>
        <w:t xml:space="preserve">, </w:t>
      </w:r>
      <w:r w:rsidR="00A231E1">
        <w:rPr>
          <w:rFonts w:ascii="Times New Roman" w:hAnsi="Times New Roman" w:cs="Times New Roman"/>
          <w:lang w:val="en-US"/>
        </w:rPr>
        <w:t>the</w:t>
      </w:r>
      <w:r w:rsidR="00A04A94" w:rsidRPr="00486DF6">
        <w:rPr>
          <w:rFonts w:ascii="Times New Roman" w:hAnsi="Times New Roman" w:cs="Times New Roman"/>
          <w:lang w:val="en-US"/>
        </w:rPr>
        <w:t xml:space="preserve"> </w:t>
      </w:r>
      <w:r w:rsidR="006540A4">
        <w:rPr>
          <w:rFonts w:ascii="Times New Roman" w:hAnsi="Times New Roman" w:cs="Times New Roman"/>
          <w:lang w:val="en-US"/>
        </w:rPr>
        <w:t>episodes</w:t>
      </w:r>
      <w:r w:rsidR="00A04A94" w:rsidRPr="00486DF6">
        <w:rPr>
          <w:rFonts w:ascii="Times New Roman" w:hAnsi="Times New Roman" w:cs="Times New Roman"/>
          <w:lang w:val="en-US"/>
        </w:rPr>
        <w:t xml:space="preserve"> of secession and nullification</w:t>
      </w:r>
      <w:r w:rsidR="00A231E1">
        <w:rPr>
          <w:rFonts w:ascii="Times New Roman" w:hAnsi="Times New Roman" w:cs="Times New Roman"/>
          <w:lang w:val="en-US"/>
        </w:rPr>
        <w:t xml:space="preserve"> analyzed in this </w:t>
      </w:r>
      <w:r w:rsidR="00A231E1">
        <w:rPr>
          <w:rFonts w:ascii="Times New Roman" w:hAnsi="Times New Roman" w:cs="Times New Roman"/>
          <w:lang w:val="en-US"/>
        </w:rPr>
        <w:lastRenderedPageBreak/>
        <w:t>article</w:t>
      </w:r>
      <w:r>
        <w:rPr>
          <w:rFonts w:ascii="Times New Roman" w:hAnsi="Times New Roman" w:cs="Times New Roman"/>
          <w:lang w:val="en-US"/>
        </w:rPr>
        <w:t xml:space="preserve"> </w:t>
      </w:r>
      <w:r w:rsidR="006540A4" w:rsidRPr="00486DF6">
        <w:rPr>
          <w:rFonts w:ascii="Times New Roman" w:hAnsi="Times New Roman" w:cs="Times New Roman"/>
          <w:lang w:val="en-US"/>
        </w:rPr>
        <w:t xml:space="preserve">call into question the values of Articles 2 and 6 TEU and the structural principles of primacy and direct effect which comprise of the </w:t>
      </w:r>
      <w:r w:rsidR="006540A4">
        <w:rPr>
          <w:rFonts w:ascii="Times New Roman" w:hAnsi="Times New Roman" w:cs="Times New Roman"/>
          <w:lang w:val="en-US"/>
        </w:rPr>
        <w:t>untouchable</w:t>
      </w:r>
      <w:r w:rsidR="006540A4" w:rsidRPr="00486DF6">
        <w:rPr>
          <w:rFonts w:ascii="Times New Roman" w:hAnsi="Times New Roman" w:cs="Times New Roman"/>
          <w:lang w:val="en-US"/>
        </w:rPr>
        <w:t xml:space="preserve"> core of the Union political and legal order.</w:t>
      </w:r>
      <w:r w:rsidR="006540A4">
        <w:rPr>
          <w:rFonts w:ascii="Times New Roman" w:hAnsi="Times New Roman" w:cs="Times New Roman"/>
          <w:lang w:val="en-US"/>
        </w:rPr>
        <w:t xml:space="preserve"> In that sense, they </w:t>
      </w:r>
      <w:r>
        <w:rPr>
          <w:rFonts w:ascii="Times New Roman" w:hAnsi="Times New Roman" w:cs="Times New Roman"/>
          <w:lang w:val="en-US"/>
        </w:rPr>
        <w:t>should be better understood as examples of what Gardner has called “</w:t>
      </w:r>
      <w:proofErr w:type="spellStart"/>
      <w:r>
        <w:rPr>
          <w:rFonts w:ascii="Times New Roman" w:hAnsi="Times New Roman" w:cs="Times New Roman"/>
          <w:lang w:val="en-US"/>
        </w:rPr>
        <w:t>contestatory</w:t>
      </w:r>
      <w:proofErr w:type="spellEnd"/>
      <w:r>
        <w:rPr>
          <w:rFonts w:ascii="Times New Roman" w:hAnsi="Times New Roman" w:cs="Times New Roman"/>
          <w:lang w:val="en-US"/>
        </w:rPr>
        <w:t xml:space="preserve"> federalism”</w:t>
      </w:r>
      <w:r w:rsidR="006540A4">
        <w:rPr>
          <w:rFonts w:ascii="Times New Roman" w:hAnsi="Times New Roman" w:cs="Times New Roman"/>
          <w:lang w:val="en-US"/>
        </w:rPr>
        <w:t>.</w:t>
      </w:r>
      <w:r>
        <w:rPr>
          <w:rStyle w:val="FootnoteReference"/>
          <w:rFonts w:ascii="Times New Roman" w:hAnsi="Times New Roman" w:cs="Times New Roman"/>
          <w:lang w:val="en-US"/>
        </w:rPr>
        <w:footnoteReference w:id="12"/>
      </w:r>
      <w:r>
        <w:rPr>
          <w:rFonts w:ascii="Times New Roman" w:hAnsi="Times New Roman" w:cs="Times New Roman"/>
          <w:lang w:val="en-US"/>
        </w:rPr>
        <w:t xml:space="preserve">  </w:t>
      </w:r>
    </w:p>
    <w:p w14:paraId="2AF14C28" w14:textId="4847C429" w:rsidR="00FA10F8" w:rsidRDefault="00A04A94" w:rsidP="00FA10F8">
      <w:pPr>
        <w:spacing w:line="480" w:lineRule="auto"/>
        <w:ind w:firstLine="720"/>
        <w:jc w:val="both"/>
        <w:rPr>
          <w:rFonts w:ascii="Times New Roman" w:hAnsi="Times New Roman" w:cs="Times New Roman"/>
        </w:rPr>
      </w:pPr>
      <w:r>
        <w:rPr>
          <w:rFonts w:ascii="Times New Roman" w:hAnsi="Times New Roman" w:cs="Times New Roman"/>
          <w:lang w:val="en-US"/>
        </w:rPr>
        <w:t>Building on the Madisonian idea that “</w:t>
      </w:r>
      <w:r w:rsidRPr="00A04A94">
        <w:rPr>
          <w:rFonts w:ascii="Times New Roman" w:hAnsi="Times New Roman" w:cs="Times New Roman"/>
        </w:rPr>
        <w:t>the only reliable</w:t>
      </w:r>
      <w:r w:rsidRPr="00A04A94">
        <w:rPr>
          <w:rFonts w:ascii="Times New Roman" w:hAnsi="Times New Roman" w:cs="Times New Roman"/>
          <w:lang w:val="en-US"/>
        </w:rPr>
        <w:t xml:space="preserve"> </w:t>
      </w:r>
      <w:r w:rsidRPr="00A04A94">
        <w:rPr>
          <w:rFonts w:ascii="Times New Roman" w:hAnsi="Times New Roman" w:cs="Times New Roman"/>
        </w:rPr>
        <w:t>way to stabilize constitutional divisions of authority over the</w:t>
      </w:r>
      <w:r w:rsidRPr="00A04A94">
        <w:rPr>
          <w:rFonts w:ascii="Times New Roman" w:hAnsi="Times New Roman" w:cs="Times New Roman"/>
          <w:lang w:val="en-US"/>
        </w:rPr>
        <w:t xml:space="preserve"> </w:t>
      </w:r>
      <w:r w:rsidRPr="00A04A94">
        <w:rPr>
          <w:rFonts w:ascii="Times New Roman" w:hAnsi="Times New Roman" w:cs="Times New Roman"/>
        </w:rPr>
        <w:t>long term was to structure power in a way that pits officials against</w:t>
      </w:r>
      <w:r w:rsidRPr="00A04A94">
        <w:rPr>
          <w:rFonts w:ascii="Times New Roman" w:hAnsi="Times New Roman" w:cs="Times New Roman"/>
          <w:lang w:val="en-US"/>
        </w:rPr>
        <w:t xml:space="preserve"> </w:t>
      </w:r>
      <w:r w:rsidRPr="00A04A94">
        <w:rPr>
          <w:rFonts w:ascii="Times New Roman" w:hAnsi="Times New Roman" w:cs="Times New Roman"/>
        </w:rPr>
        <w:t>one another</w:t>
      </w:r>
      <w:r>
        <w:rPr>
          <w:rFonts w:ascii="Times New Roman" w:hAnsi="Times New Roman" w:cs="Times New Roman"/>
          <w:lang w:val="en-US"/>
        </w:rPr>
        <w:t>”</w:t>
      </w:r>
      <w:r w:rsidR="00521F99">
        <w:rPr>
          <w:rFonts w:ascii="Times New Roman" w:hAnsi="Times New Roman" w:cs="Times New Roman"/>
          <w:lang w:val="en-US"/>
        </w:rPr>
        <w:t>,</w:t>
      </w:r>
      <w:r>
        <w:rPr>
          <w:rStyle w:val="FootnoteReference"/>
          <w:rFonts w:ascii="Times New Roman" w:hAnsi="Times New Roman" w:cs="Times New Roman"/>
          <w:lang w:val="en-US"/>
        </w:rPr>
        <w:footnoteReference w:id="13"/>
      </w:r>
      <w:r w:rsidR="00521F99">
        <w:rPr>
          <w:rFonts w:ascii="Times New Roman" w:hAnsi="Times New Roman" w:cs="Times New Roman"/>
          <w:lang w:val="en-US"/>
        </w:rPr>
        <w:t xml:space="preserve"> Gardner defined “</w:t>
      </w:r>
      <w:proofErr w:type="spellStart"/>
      <w:r w:rsidR="00521F99">
        <w:rPr>
          <w:rFonts w:ascii="Times New Roman" w:hAnsi="Times New Roman" w:cs="Times New Roman"/>
          <w:lang w:val="en-US"/>
        </w:rPr>
        <w:t>contestatory</w:t>
      </w:r>
      <w:proofErr w:type="spellEnd"/>
      <w:r w:rsidR="00521F99">
        <w:rPr>
          <w:rFonts w:ascii="Times New Roman" w:hAnsi="Times New Roman" w:cs="Times New Roman"/>
          <w:lang w:val="en-US"/>
        </w:rPr>
        <w:t xml:space="preserve"> federalism” “</w:t>
      </w:r>
      <w:r w:rsidR="00521F99" w:rsidRPr="00521F99">
        <w:rPr>
          <w:rFonts w:ascii="Times New Roman" w:hAnsi="Times New Roman" w:cs="Times New Roman"/>
        </w:rPr>
        <w:t>as a method of</w:t>
      </w:r>
      <w:r w:rsidR="00521F99" w:rsidRPr="00521F99">
        <w:rPr>
          <w:rFonts w:ascii="Times New Roman" w:hAnsi="Times New Roman" w:cs="Times New Roman"/>
          <w:lang w:val="en-US"/>
        </w:rPr>
        <w:t xml:space="preserve"> </w:t>
      </w:r>
      <w:r w:rsidR="00521F99" w:rsidRPr="00521F99">
        <w:rPr>
          <w:rFonts w:ascii="Times New Roman" w:hAnsi="Times New Roman" w:cs="Times New Roman"/>
        </w:rPr>
        <w:t>protecting liberty through the institutionalization of a permanent contest for power</w:t>
      </w:r>
      <w:r w:rsidR="00521F99" w:rsidRPr="00521F99">
        <w:rPr>
          <w:rFonts w:ascii="Times New Roman" w:hAnsi="Times New Roman" w:cs="Times New Roman"/>
          <w:lang w:val="en-US"/>
        </w:rPr>
        <w:t xml:space="preserve"> </w:t>
      </w:r>
      <w:r w:rsidR="00521F99" w:rsidRPr="00521F99">
        <w:rPr>
          <w:rFonts w:ascii="Times New Roman" w:hAnsi="Times New Roman" w:cs="Times New Roman"/>
        </w:rPr>
        <w:t>between national and sub-national units of government</w:t>
      </w:r>
      <w:r w:rsidR="00521F99">
        <w:rPr>
          <w:rFonts w:ascii="Times New Roman" w:hAnsi="Times New Roman" w:cs="Times New Roman"/>
        </w:rPr>
        <w:t>.”</w:t>
      </w:r>
      <w:r w:rsidR="005F6274">
        <w:rPr>
          <w:rStyle w:val="FootnoteReference"/>
          <w:rFonts w:ascii="Times New Roman" w:hAnsi="Times New Roman" w:cs="Times New Roman"/>
        </w:rPr>
        <w:footnoteReference w:id="14"/>
      </w:r>
      <w:r w:rsidR="00FA10F8">
        <w:rPr>
          <w:rFonts w:ascii="Times New Roman" w:hAnsi="Times New Roman" w:cs="Times New Roman"/>
        </w:rPr>
        <w:t xml:space="preserve"> In fact, he includes both secession and nullification in his inventory of methods of subnational contestation.</w:t>
      </w:r>
      <w:r w:rsidR="00FA10F8">
        <w:rPr>
          <w:rStyle w:val="FootnoteReference"/>
          <w:rFonts w:ascii="Times New Roman" w:hAnsi="Times New Roman" w:cs="Times New Roman"/>
        </w:rPr>
        <w:footnoteReference w:id="15"/>
      </w:r>
      <w:r w:rsidR="00FA10F8">
        <w:rPr>
          <w:rFonts w:ascii="Times New Roman" w:hAnsi="Times New Roman" w:cs="Times New Roman"/>
        </w:rPr>
        <w:t xml:space="preserve"> This is rather unsurprising if one takes into account the fact that subnational entities such as the US States have historically used those instruments  to protect their own interests against potential overreaches from the central State.</w:t>
      </w:r>
      <w:r w:rsidR="005648AE">
        <w:rPr>
          <w:rStyle w:val="FootnoteReference"/>
          <w:rFonts w:ascii="Times New Roman" w:hAnsi="Times New Roman" w:cs="Times New Roman"/>
        </w:rPr>
        <w:footnoteReference w:id="16"/>
      </w:r>
      <w:r w:rsidR="00FA10F8">
        <w:rPr>
          <w:rFonts w:ascii="Times New Roman" w:hAnsi="Times New Roman" w:cs="Times New Roman"/>
        </w:rPr>
        <w:t xml:space="preserve"> In fact, the US States have “</w:t>
      </w:r>
      <w:r w:rsidR="00FA10F8" w:rsidRPr="00FA10F8">
        <w:rPr>
          <w:rFonts w:ascii="Times New Roman" w:hAnsi="Times New Roman" w:cs="Times New Roman"/>
        </w:rPr>
        <w:t>a long record of inserting themselves between their citizens</w:t>
      </w:r>
      <w:r w:rsidR="00FA10F8">
        <w:rPr>
          <w:rFonts w:ascii="Times New Roman" w:hAnsi="Times New Roman" w:cs="Times New Roman"/>
        </w:rPr>
        <w:t xml:space="preserve"> </w:t>
      </w:r>
      <w:r w:rsidR="00FA10F8" w:rsidRPr="00FA10F8">
        <w:rPr>
          <w:rFonts w:ascii="Times New Roman" w:hAnsi="Times New Roman" w:cs="Times New Roman"/>
        </w:rPr>
        <w:t>and Washington, and of deploying their powers in ways intended quite self-consciously</w:t>
      </w:r>
      <w:r w:rsidR="00FA10F8">
        <w:rPr>
          <w:rFonts w:ascii="Times New Roman" w:hAnsi="Times New Roman" w:cs="Times New Roman"/>
        </w:rPr>
        <w:t xml:space="preserve"> </w:t>
      </w:r>
      <w:r w:rsidR="00FA10F8" w:rsidRPr="00FA10F8">
        <w:rPr>
          <w:rFonts w:ascii="Times New Roman" w:hAnsi="Times New Roman" w:cs="Times New Roman"/>
        </w:rPr>
        <w:t>to thwart the operation of national policies that they have determined to</w:t>
      </w:r>
      <w:r w:rsidR="00FA10F8">
        <w:rPr>
          <w:rFonts w:ascii="Times New Roman" w:hAnsi="Times New Roman" w:cs="Times New Roman"/>
        </w:rPr>
        <w:t xml:space="preserve"> </w:t>
      </w:r>
      <w:r w:rsidR="00FA10F8" w:rsidRPr="00FA10F8">
        <w:rPr>
          <w:rFonts w:ascii="Times New Roman" w:hAnsi="Times New Roman" w:cs="Times New Roman"/>
        </w:rPr>
        <w:t>be destructive of their citizens’ liberties and others interests</w:t>
      </w:r>
      <w:r w:rsidR="00FA10F8">
        <w:rPr>
          <w:rFonts w:ascii="Times New Roman" w:hAnsi="Times New Roman" w:cs="Times New Roman"/>
        </w:rPr>
        <w:t>.”</w:t>
      </w:r>
      <w:r w:rsidR="00FA10F8">
        <w:rPr>
          <w:rStyle w:val="FootnoteReference"/>
          <w:rFonts w:ascii="Times New Roman" w:hAnsi="Times New Roman" w:cs="Times New Roman"/>
        </w:rPr>
        <w:footnoteReference w:id="17"/>
      </w:r>
    </w:p>
    <w:p w14:paraId="07818AC3" w14:textId="581C354A" w:rsidR="00A231E1" w:rsidRPr="00836C82" w:rsidRDefault="00FA10F8" w:rsidP="00CC363E">
      <w:pPr>
        <w:spacing w:line="480" w:lineRule="auto"/>
        <w:ind w:firstLine="720"/>
        <w:jc w:val="both"/>
        <w:rPr>
          <w:rFonts w:ascii="Times New Roman" w:eastAsia="Calibri" w:hAnsi="Times New Roman" w:cs="Times New Roman"/>
          <w:lang w:val="en-US"/>
        </w:rPr>
      </w:pPr>
      <w:r>
        <w:rPr>
          <w:rFonts w:ascii="Times New Roman" w:hAnsi="Times New Roman" w:cs="Times New Roman"/>
        </w:rPr>
        <w:t>T</w:t>
      </w:r>
      <w:r w:rsidR="005A0ACE">
        <w:rPr>
          <w:rFonts w:ascii="Times New Roman" w:hAnsi="Times New Roman" w:cs="Times New Roman"/>
        </w:rPr>
        <w:t>aking the cue from this historical fact,</w:t>
      </w:r>
      <w:r>
        <w:rPr>
          <w:rFonts w:ascii="Times New Roman" w:hAnsi="Times New Roman" w:cs="Times New Roman"/>
        </w:rPr>
        <w:t xml:space="preserve"> the following part</w:t>
      </w:r>
      <w:r w:rsidR="00A231E1">
        <w:rPr>
          <w:rFonts w:ascii="Times New Roman" w:hAnsi="Times New Roman" w:cs="Times New Roman"/>
        </w:rPr>
        <w:t xml:space="preserve"> of th</w:t>
      </w:r>
      <w:r w:rsidR="005A0ACE">
        <w:rPr>
          <w:rFonts w:ascii="Times New Roman" w:hAnsi="Times New Roman" w:cs="Times New Roman"/>
        </w:rPr>
        <w:t>e</w:t>
      </w:r>
      <w:r w:rsidR="00A231E1">
        <w:rPr>
          <w:rFonts w:ascii="Times New Roman" w:hAnsi="Times New Roman" w:cs="Times New Roman"/>
        </w:rPr>
        <w:t xml:space="preserve"> article</w:t>
      </w:r>
      <w:r>
        <w:rPr>
          <w:rFonts w:ascii="Times New Roman" w:hAnsi="Times New Roman" w:cs="Times New Roman"/>
        </w:rPr>
        <w:t xml:space="preserve"> revisits the American experience to highlight </w:t>
      </w:r>
      <w:r>
        <w:rPr>
          <w:rFonts w:ascii="Times New Roman" w:eastAsia="Calibri" w:hAnsi="Times New Roman" w:cs="Times New Roman"/>
          <w:lang w:val="en-US"/>
        </w:rPr>
        <w:t xml:space="preserve">certain aspects of the conceptual roots of nullification and secession that are relevant for the current state of affairs at the EU. First, </w:t>
      </w:r>
      <w:r w:rsidRPr="00486DF6">
        <w:rPr>
          <w:rFonts w:ascii="Times New Roman" w:eastAsia="MS Mincho" w:hAnsi="Times New Roman" w:cs="Times New Roman"/>
          <w:lang w:val="en-US" w:eastAsia="it-IT"/>
        </w:rPr>
        <w:t xml:space="preserve">nullification and secession </w:t>
      </w:r>
      <w:r w:rsidRPr="00486DF6">
        <w:rPr>
          <w:rFonts w:ascii="Times New Roman" w:eastAsia="MS Mincho" w:hAnsi="Times New Roman" w:cs="Times New Roman"/>
          <w:lang w:val="en-US" w:eastAsia="it-IT"/>
        </w:rPr>
        <w:lastRenderedPageBreak/>
        <w:t>can be seen as vehicles for constitutional conflicts</w:t>
      </w:r>
      <w:r>
        <w:rPr>
          <w:rFonts w:ascii="Times New Roman" w:eastAsia="MS Mincho" w:hAnsi="Times New Roman" w:cs="Times New Roman"/>
          <w:lang w:val="en-US" w:eastAsia="it-IT"/>
        </w:rPr>
        <w:t xml:space="preserve"> </w:t>
      </w:r>
      <w:r w:rsidR="00A231E1">
        <w:rPr>
          <w:rFonts w:ascii="Times New Roman" w:eastAsia="MS Mincho" w:hAnsi="Times New Roman" w:cs="Times New Roman"/>
          <w:lang w:val="en-US" w:eastAsia="it-IT"/>
        </w:rPr>
        <w:t>both in the US and the EU experiences.</w:t>
      </w:r>
      <w:r w:rsidR="00A231E1">
        <w:rPr>
          <w:rStyle w:val="FootnoteReference"/>
          <w:rFonts w:ascii="Times New Roman" w:eastAsia="MS Mincho" w:hAnsi="Times New Roman" w:cs="Times New Roman"/>
          <w:lang w:val="en-US" w:eastAsia="it-IT"/>
        </w:rPr>
        <w:footnoteReference w:id="18"/>
      </w:r>
      <w:r w:rsidR="00A231E1">
        <w:rPr>
          <w:rFonts w:ascii="Times New Roman" w:eastAsia="MS Mincho" w:hAnsi="Times New Roman" w:cs="Times New Roman"/>
          <w:lang w:val="en-US" w:eastAsia="it-IT"/>
        </w:rPr>
        <w:t xml:space="preserve"> In the case of the EU, constitutional conflicts</w:t>
      </w:r>
      <w:r>
        <w:rPr>
          <w:rFonts w:ascii="Times New Roman" w:eastAsia="MS Mincho" w:hAnsi="Times New Roman" w:cs="Times New Roman"/>
          <w:lang w:val="en-US" w:eastAsia="it-IT"/>
        </w:rPr>
        <w:t xml:space="preserve"> entail struggles </w:t>
      </w:r>
      <w:r w:rsidRPr="00486DF6">
        <w:rPr>
          <w:rFonts w:ascii="Times New Roman" w:eastAsia="MS Mincho" w:hAnsi="Times New Roman" w:cs="Times New Roman"/>
          <w:lang w:val="en-US" w:eastAsia="it-IT"/>
        </w:rPr>
        <w:t>between the primacy of EU law and national constitutional supremacy.</w:t>
      </w:r>
      <w:r>
        <w:rPr>
          <w:rFonts w:ascii="Times New Roman" w:hAnsi="Times New Roman" w:cs="Times New Roman"/>
        </w:rPr>
        <w:t xml:space="preserve"> </w:t>
      </w:r>
      <w:r w:rsidR="00A231E1">
        <w:rPr>
          <w:rFonts w:ascii="Times New Roman" w:hAnsi="Times New Roman" w:cs="Times New Roman"/>
        </w:rPr>
        <w:t>Second</w:t>
      </w:r>
      <w:r>
        <w:rPr>
          <w:rFonts w:ascii="Times New Roman" w:hAnsi="Times New Roman" w:cs="Times New Roman"/>
        </w:rPr>
        <w:t xml:space="preserve">, </w:t>
      </w:r>
      <w:r>
        <w:rPr>
          <w:rFonts w:ascii="Times New Roman" w:eastAsia="Calibri" w:hAnsi="Times New Roman" w:cs="Times New Roman"/>
          <w:lang w:val="en-US"/>
        </w:rPr>
        <w:t>nullification and to a certain extent secession, could be conceptualized as instruments to protect the rights of constituent States and their citizenry from abusive policies coming from the center.</w:t>
      </w:r>
      <w:r w:rsidR="00A231E1">
        <w:rPr>
          <w:rStyle w:val="FootnoteReference"/>
          <w:rFonts w:ascii="Times New Roman" w:eastAsia="Calibri" w:hAnsi="Times New Roman" w:cs="Times New Roman"/>
          <w:lang w:val="en-US"/>
        </w:rPr>
        <w:footnoteReference w:id="19"/>
      </w:r>
      <w:r>
        <w:rPr>
          <w:rFonts w:ascii="Times New Roman" w:eastAsia="Calibri" w:hAnsi="Times New Roman" w:cs="Times New Roman"/>
          <w:lang w:val="en-US"/>
        </w:rPr>
        <w:t xml:space="preserve"> However –and this is where the two experiences differ—while in the American case, the central State deemed such contestations “as incompatible with the nature of the union,”</w:t>
      </w:r>
      <w:r>
        <w:rPr>
          <w:rStyle w:val="FootnoteReference"/>
          <w:rFonts w:ascii="Times New Roman" w:eastAsia="Calibri" w:hAnsi="Times New Roman" w:cs="Times New Roman"/>
          <w:lang w:val="en-US"/>
        </w:rPr>
        <w:footnoteReference w:id="20"/>
      </w:r>
      <w:r>
        <w:rPr>
          <w:rFonts w:ascii="Times New Roman" w:eastAsia="Calibri" w:hAnsi="Times New Roman" w:cs="Times New Roman"/>
          <w:lang w:val="en-US"/>
        </w:rPr>
        <w:t xml:space="preserve"> the EU constitutional order of States potentially allows for more flexibility. Article 50 TEU has codified a unilateral and unconditional right of Member States to functionally secede from the European Union unlike what happens in the US and most other federations. At the same time</w:t>
      </w:r>
      <w:r w:rsidR="00CC363E">
        <w:rPr>
          <w:rFonts w:ascii="Times New Roman" w:eastAsia="Calibri" w:hAnsi="Times New Roman" w:cs="Times New Roman"/>
          <w:lang w:val="en-US"/>
        </w:rPr>
        <w:t xml:space="preserve">, and although </w:t>
      </w:r>
      <w:r w:rsidR="00CC363E">
        <w:rPr>
          <w:rFonts w:ascii="Times New Roman" w:eastAsia="MS Mincho" w:hAnsi="Times New Roman" w:cs="Times New Roman"/>
          <w:lang w:val="en-US" w:eastAsia="it-IT"/>
        </w:rPr>
        <w:t>the EU institutions use the available legal and political toolkit to combat nullification attempts, the Union constitutional order of States is so flexible that can potentially accommodate such</w:t>
      </w:r>
      <w:r>
        <w:rPr>
          <w:rFonts w:ascii="Times New Roman" w:eastAsia="Calibri" w:hAnsi="Times New Roman" w:cs="Times New Roman"/>
          <w:lang w:val="en-US"/>
        </w:rPr>
        <w:t xml:space="preserve"> issue-based withdrawal</w:t>
      </w:r>
      <w:r w:rsidR="00CC363E">
        <w:rPr>
          <w:rFonts w:ascii="Times New Roman" w:eastAsia="Calibri" w:hAnsi="Times New Roman" w:cs="Times New Roman"/>
          <w:lang w:val="en-US"/>
        </w:rPr>
        <w:t>s</w:t>
      </w:r>
      <w:r>
        <w:rPr>
          <w:rFonts w:ascii="Times New Roman" w:eastAsia="Calibri" w:hAnsi="Times New Roman" w:cs="Times New Roman"/>
          <w:lang w:val="en-US"/>
        </w:rPr>
        <w:t xml:space="preserve"> </w:t>
      </w:r>
      <w:r w:rsidR="00CC363E">
        <w:rPr>
          <w:rFonts w:ascii="Times New Roman" w:eastAsia="Calibri" w:hAnsi="Times New Roman" w:cs="Times New Roman"/>
          <w:lang w:val="en-US"/>
        </w:rPr>
        <w:t>by using</w:t>
      </w:r>
      <w:r>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primary legislation, such as in the case of opt-outs</w:t>
      </w:r>
      <w:r>
        <w:rPr>
          <w:rFonts w:ascii="Times New Roman" w:eastAsia="Times New Roman" w:hAnsi="Times New Roman" w:cs="Times New Roman"/>
          <w:color w:val="000000"/>
          <w:lang w:val="en-US" w:eastAsia="en-GB"/>
        </w:rPr>
        <w:t xml:space="preserve">. </w:t>
      </w:r>
      <w:r w:rsidR="00A231E1" w:rsidRPr="00486DF6">
        <w:rPr>
          <w:rFonts w:ascii="Times New Roman" w:hAnsi="Times New Roman" w:cs="Times New Roman"/>
          <w:lang w:val="en-US"/>
        </w:rPr>
        <w:t xml:space="preserve"> </w:t>
      </w:r>
    </w:p>
    <w:p w14:paraId="5B5FF969" w14:textId="4E69AFA6" w:rsidR="00471276" w:rsidRPr="005A0ACE" w:rsidRDefault="00FA10F8" w:rsidP="005A0ACE">
      <w:pPr>
        <w:spacing w:line="480" w:lineRule="auto"/>
        <w:ind w:firstLine="720"/>
        <w:jc w:val="both"/>
        <w:rPr>
          <w:rFonts w:ascii="Times New Roman" w:eastAsia="Times New Roman" w:hAnsi="Times New Roman" w:cs="Times New Roman"/>
          <w:color w:val="000000"/>
          <w:lang w:val="en-US" w:eastAsia="en-GB"/>
        </w:rPr>
      </w:pPr>
      <w:r>
        <w:rPr>
          <w:rFonts w:ascii="Times New Roman" w:eastAsia="Times New Roman" w:hAnsi="Times New Roman" w:cs="Times New Roman"/>
          <w:color w:val="000000"/>
          <w:lang w:val="en-US" w:eastAsia="en-GB"/>
        </w:rPr>
        <w:t>H</w:t>
      </w:r>
      <w:r w:rsidR="00A231E1">
        <w:rPr>
          <w:rFonts w:ascii="Times New Roman" w:eastAsia="Times New Roman" w:hAnsi="Times New Roman" w:cs="Times New Roman"/>
          <w:color w:val="000000"/>
          <w:lang w:val="en-US" w:eastAsia="en-GB"/>
        </w:rPr>
        <w:t xml:space="preserve">aving </w:t>
      </w:r>
      <w:r w:rsidR="005A0ACE">
        <w:rPr>
          <w:rFonts w:ascii="Times New Roman" w:eastAsia="Times New Roman" w:hAnsi="Times New Roman" w:cs="Times New Roman"/>
          <w:color w:val="000000"/>
          <w:lang w:val="en-US" w:eastAsia="en-GB"/>
        </w:rPr>
        <w:t>all the above</w:t>
      </w:r>
      <w:r w:rsidR="00A231E1">
        <w:rPr>
          <w:rFonts w:ascii="Times New Roman" w:eastAsia="Times New Roman" w:hAnsi="Times New Roman" w:cs="Times New Roman"/>
          <w:color w:val="000000"/>
          <w:lang w:val="en-US" w:eastAsia="en-GB"/>
        </w:rPr>
        <w:t xml:space="preserve"> in mind</w:t>
      </w:r>
      <w:r w:rsidR="005A0ACE">
        <w:rPr>
          <w:rFonts w:ascii="Times New Roman" w:eastAsia="Times New Roman" w:hAnsi="Times New Roman" w:cs="Times New Roman"/>
          <w:color w:val="000000"/>
          <w:lang w:val="en-US" w:eastAsia="en-GB"/>
        </w:rPr>
        <w:t>,</w:t>
      </w:r>
      <w:r w:rsidR="00A231E1">
        <w:rPr>
          <w:rFonts w:ascii="Times New Roman" w:eastAsia="Times New Roman" w:hAnsi="Times New Roman" w:cs="Times New Roman"/>
          <w:color w:val="000000"/>
          <w:lang w:val="en-US" w:eastAsia="en-GB"/>
        </w:rPr>
        <w:t xml:space="preserve"> we </w:t>
      </w:r>
      <w:r w:rsidR="00836C82">
        <w:rPr>
          <w:rFonts w:ascii="Times New Roman" w:eastAsia="Times New Roman" w:hAnsi="Times New Roman" w:cs="Times New Roman"/>
          <w:color w:val="000000"/>
          <w:lang w:val="en-US" w:eastAsia="en-GB"/>
        </w:rPr>
        <w:t>point to the fact</w:t>
      </w:r>
      <w:r w:rsidR="00A231E1">
        <w:rPr>
          <w:rFonts w:ascii="Times New Roman" w:eastAsia="Times New Roman" w:hAnsi="Times New Roman" w:cs="Times New Roman"/>
          <w:color w:val="000000"/>
          <w:lang w:val="en-US" w:eastAsia="en-GB"/>
        </w:rPr>
        <w:t xml:space="preserve"> that </w:t>
      </w:r>
      <w:r w:rsidRPr="00486DF6">
        <w:rPr>
          <w:rFonts w:ascii="Times New Roman" w:hAnsi="Times New Roman" w:cs="Times New Roman"/>
          <w:lang w:val="en-US"/>
        </w:rPr>
        <w:t xml:space="preserve">because </w:t>
      </w:r>
      <w:r>
        <w:rPr>
          <w:rFonts w:ascii="Times New Roman" w:hAnsi="Times New Roman" w:cs="Times New Roman"/>
          <w:lang w:val="en-US"/>
        </w:rPr>
        <w:t xml:space="preserve">a successful </w:t>
      </w:r>
      <w:r w:rsidRPr="00486DF6">
        <w:rPr>
          <w:rFonts w:ascii="Times New Roman" w:hAnsi="Times New Roman" w:cs="Times New Roman"/>
          <w:lang w:val="en-US"/>
        </w:rPr>
        <w:t>nullification within the EU constitutional order of States</w:t>
      </w:r>
      <w:r>
        <w:rPr>
          <w:rFonts w:ascii="Times New Roman" w:hAnsi="Times New Roman" w:cs="Times New Roman"/>
          <w:lang w:val="en-US"/>
        </w:rPr>
        <w:t xml:space="preserve"> requires unanimity and as such it</w:t>
      </w:r>
      <w:r w:rsidRPr="00486DF6">
        <w:rPr>
          <w:rFonts w:ascii="Times New Roman" w:hAnsi="Times New Roman" w:cs="Times New Roman"/>
          <w:lang w:val="en-US"/>
        </w:rPr>
        <w:t xml:space="preserve"> is difficult to achieve, the nuclear option of secession is the only option left. </w:t>
      </w:r>
      <w:r w:rsidR="005A0ACE">
        <w:rPr>
          <w:rFonts w:ascii="Times New Roman" w:hAnsi="Times New Roman" w:cs="Times New Roman"/>
          <w:lang w:val="en-US"/>
        </w:rPr>
        <w:t>And although,</w:t>
      </w:r>
      <w:r>
        <w:rPr>
          <w:rFonts w:ascii="Times New Roman" w:hAnsi="Times New Roman" w:cs="Times New Roman"/>
          <w:lang w:val="en-US"/>
        </w:rPr>
        <w:t xml:space="preserve"> Article </w:t>
      </w:r>
      <w:r w:rsidRPr="00486DF6">
        <w:rPr>
          <w:rFonts w:ascii="Times New Roman" w:eastAsia="Times New Roman" w:hAnsi="Times New Roman" w:cs="Times New Roman"/>
          <w:color w:val="000000"/>
          <w:lang w:val="en-US" w:eastAsia="en-GB"/>
        </w:rPr>
        <w:t>50 TE</w:t>
      </w:r>
      <w:r>
        <w:rPr>
          <w:rFonts w:ascii="Times New Roman" w:eastAsia="Times New Roman" w:hAnsi="Times New Roman" w:cs="Times New Roman"/>
          <w:color w:val="000000"/>
          <w:lang w:val="en-US" w:eastAsia="en-GB"/>
        </w:rPr>
        <w:t>U remains “</w:t>
      </w:r>
      <w:r w:rsidRPr="00486DF6">
        <w:rPr>
          <w:rFonts w:ascii="Times New Roman" w:eastAsia="Times New Roman" w:hAnsi="Times New Roman" w:cs="Times New Roman"/>
          <w:color w:val="000000"/>
          <w:lang w:val="en-US" w:eastAsia="en-GB"/>
        </w:rPr>
        <w:t>[t]he only undeniable legal limit that Member States have at their disposal against competence creep under the current Treaty framework</w:t>
      </w:r>
      <w:r w:rsidR="005A0ACE">
        <w:rPr>
          <w:rFonts w:ascii="Times New Roman" w:eastAsia="Times New Roman" w:hAnsi="Times New Roman" w:cs="Times New Roman"/>
          <w:color w:val="000000"/>
          <w:lang w:val="en-US" w:eastAsia="en-GB"/>
        </w:rPr>
        <w:t>,</w:t>
      </w:r>
      <w:r>
        <w:rPr>
          <w:rFonts w:ascii="Times New Roman" w:eastAsia="Times New Roman" w:hAnsi="Times New Roman" w:cs="Times New Roman"/>
          <w:color w:val="000000"/>
          <w:lang w:val="en-US" w:eastAsia="en-GB"/>
        </w:rPr>
        <w:t>”</w:t>
      </w:r>
      <w:r w:rsidRPr="00486DF6">
        <w:rPr>
          <w:rStyle w:val="FootnoteReference"/>
          <w:rFonts w:ascii="Times New Roman" w:eastAsia="Times New Roman" w:hAnsi="Times New Roman" w:cs="Times New Roman"/>
          <w:color w:val="000000"/>
          <w:lang w:val="en-US" w:eastAsia="en-GB"/>
        </w:rPr>
        <w:footnoteReference w:id="21"/>
      </w:r>
      <w:r>
        <w:rPr>
          <w:rFonts w:ascii="Times New Roman" w:eastAsia="Times New Roman" w:hAnsi="Times New Roman" w:cs="Times New Roman"/>
          <w:color w:val="000000"/>
          <w:lang w:val="en-US" w:eastAsia="en-GB"/>
        </w:rPr>
        <w:t xml:space="preserve"> </w:t>
      </w:r>
      <w:r w:rsidRPr="00486DF6">
        <w:rPr>
          <w:rFonts w:ascii="Times New Roman" w:hAnsi="Times New Roman" w:cs="Times New Roman"/>
          <w:lang w:val="en-US"/>
        </w:rPr>
        <w:t>Brexit has shown us</w:t>
      </w:r>
      <w:r>
        <w:rPr>
          <w:rFonts w:ascii="Times New Roman" w:hAnsi="Times New Roman" w:cs="Times New Roman"/>
          <w:lang w:val="en-US"/>
        </w:rPr>
        <w:t xml:space="preserve"> that</w:t>
      </w:r>
      <w:r w:rsidRPr="00486DF6">
        <w:rPr>
          <w:rFonts w:ascii="Times New Roman" w:hAnsi="Times New Roman" w:cs="Times New Roman"/>
          <w:lang w:val="en-US"/>
        </w:rPr>
        <w:t xml:space="preserve"> secession from the EU is not an easy process. Indeed, it can be a very bitter pill. </w:t>
      </w:r>
      <w:r w:rsidR="00836C82">
        <w:rPr>
          <w:rFonts w:ascii="Times New Roman" w:hAnsi="Times New Roman" w:cs="Times New Roman"/>
          <w:lang w:val="en-US"/>
        </w:rPr>
        <w:t>As a result</w:t>
      </w:r>
      <w:r w:rsidRPr="00486DF6">
        <w:rPr>
          <w:rFonts w:ascii="Times New Roman" w:hAnsi="Times New Roman" w:cs="Times New Roman"/>
          <w:lang w:val="en-US"/>
        </w:rPr>
        <w:t xml:space="preserve">, the Article 50 process may </w:t>
      </w:r>
      <w:r w:rsidR="00836C82">
        <w:rPr>
          <w:rFonts w:ascii="Times New Roman" w:hAnsi="Times New Roman" w:cs="Times New Roman"/>
          <w:lang w:val="en-US"/>
        </w:rPr>
        <w:t xml:space="preserve">somewhat </w:t>
      </w:r>
      <w:r w:rsidR="00836C82">
        <w:rPr>
          <w:rFonts w:ascii="Times New Roman" w:hAnsi="Times New Roman" w:cs="Times New Roman"/>
          <w:lang w:val="en-US"/>
        </w:rPr>
        <w:lastRenderedPageBreak/>
        <w:t xml:space="preserve">paradoxically </w:t>
      </w:r>
      <w:r w:rsidRPr="00486DF6">
        <w:rPr>
          <w:rFonts w:ascii="Times New Roman" w:hAnsi="Times New Roman" w:cs="Times New Roman"/>
          <w:lang w:val="en-US"/>
        </w:rPr>
        <w:t>have an integrationist effect.</w:t>
      </w:r>
      <w:r w:rsidRPr="00486DF6">
        <w:rPr>
          <w:rStyle w:val="FootnoteReference"/>
          <w:rFonts w:ascii="Times New Roman" w:hAnsi="Times New Roman" w:cs="Times New Roman"/>
          <w:lang w:val="en-US"/>
        </w:rPr>
        <w:footnoteReference w:id="22"/>
      </w:r>
      <w:r w:rsidRPr="00486DF6">
        <w:rPr>
          <w:rFonts w:ascii="Times New Roman" w:hAnsi="Times New Roman" w:cs="Times New Roman"/>
          <w:lang w:val="en-US"/>
        </w:rPr>
        <w:t xml:space="preserve"> </w:t>
      </w:r>
      <w:r w:rsidR="005A0ACE">
        <w:rPr>
          <w:rFonts w:ascii="Times New Roman" w:hAnsi="Times New Roman" w:cs="Times New Roman"/>
          <w:lang w:val="en-US"/>
        </w:rPr>
        <w:t>As Delaney explained, “</w:t>
      </w:r>
      <w:r w:rsidR="005A0ACE" w:rsidRPr="00486DF6">
        <w:rPr>
          <w:rFonts w:ascii="Times New Roman" w:hAnsi="Times New Roman" w:cs="Times New Roman"/>
          <w:lang w:val="en-US"/>
        </w:rPr>
        <w:t>individual opt-outs from specific programs may be harder to negotiate</w:t>
      </w:r>
      <w:r w:rsidR="005A0ACE">
        <w:rPr>
          <w:rFonts w:ascii="Times New Roman" w:hAnsi="Times New Roman" w:cs="Times New Roman"/>
          <w:lang w:val="en-US"/>
        </w:rPr>
        <w:t>”</w:t>
      </w:r>
      <w:r w:rsidR="005A0ACE" w:rsidRPr="00486DF6">
        <w:rPr>
          <w:rFonts w:ascii="Times New Roman" w:hAnsi="Times New Roman" w:cs="Times New Roman"/>
          <w:lang w:val="en-US"/>
        </w:rPr>
        <w:t xml:space="preserve"> while </w:t>
      </w:r>
      <w:r w:rsidR="005A0ACE">
        <w:rPr>
          <w:rFonts w:ascii="Times New Roman" w:hAnsi="Times New Roman" w:cs="Times New Roman"/>
          <w:lang w:val="en-US"/>
        </w:rPr>
        <w:t>“t</w:t>
      </w:r>
      <w:r w:rsidR="005A0ACE" w:rsidRPr="00486DF6">
        <w:rPr>
          <w:rFonts w:ascii="Times New Roman" w:hAnsi="Times New Roman" w:cs="Times New Roman"/>
          <w:lang w:val="en-US"/>
        </w:rPr>
        <w:t>he option of withdrawal may make other mechanisms of recalcitrance less successful</w:t>
      </w:r>
      <w:r w:rsidR="005A0ACE" w:rsidRPr="00486DF6">
        <w:rPr>
          <w:rFonts w:ascii="Times New Roman" w:hAnsi="Times New Roman" w:cs="Times New Roman"/>
          <w:i/>
          <w:iCs/>
          <w:sz w:val="20"/>
          <w:szCs w:val="20"/>
          <w:lang w:val="en-US"/>
        </w:rPr>
        <w:t>.</w:t>
      </w:r>
      <w:r w:rsidR="005A0ACE">
        <w:rPr>
          <w:rFonts w:ascii="Times New Roman" w:hAnsi="Times New Roman" w:cs="Times New Roman"/>
          <w:lang w:val="en-US"/>
        </w:rPr>
        <w:t>”</w:t>
      </w:r>
      <w:r w:rsidR="005A0ACE" w:rsidRPr="00486DF6">
        <w:rPr>
          <w:rStyle w:val="FootnoteReference"/>
          <w:rFonts w:ascii="Times New Roman" w:hAnsi="Times New Roman" w:cs="Times New Roman"/>
          <w:lang w:val="en-US"/>
        </w:rPr>
        <w:footnoteReference w:id="23"/>
      </w:r>
      <w:r w:rsidR="005A0ACE">
        <w:rPr>
          <w:rFonts w:ascii="Times New Roman" w:eastAsia="Times New Roman" w:hAnsi="Times New Roman" w:cs="Times New Roman"/>
          <w:color w:val="000000"/>
          <w:lang w:val="en-US" w:eastAsia="en-GB"/>
        </w:rPr>
        <w:t xml:space="preserve"> </w:t>
      </w:r>
      <w:r w:rsidR="0064427C" w:rsidRPr="00486DF6">
        <w:rPr>
          <w:rFonts w:ascii="Times New Roman" w:eastAsiaTheme="minorEastAsia" w:hAnsi="Times New Roman" w:cs="Times New Roman"/>
          <w:lang w:val="en-US"/>
        </w:rPr>
        <w:t>The remainder of this article is organi</w:t>
      </w:r>
      <w:r w:rsidR="003D329C">
        <w:rPr>
          <w:rFonts w:ascii="Times New Roman" w:eastAsiaTheme="minorEastAsia" w:hAnsi="Times New Roman" w:cs="Times New Roman"/>
          <w:lang w:val="en-US"/>
        </w:rPr>
        <w:t>z</w:t>
      </w:r>
      <w:r w:rsidR="0064427C" w:rsidRPr="00486DF6">
        <w:rPr>
          <w:rFonts w:ascii="Times New Roman" w:eastAsiaTheme="minorEastAsia" w:hAnsi="Times New Roman" w:cs="Times New Roman"/>
          <w:lang w:val="en-US"/>
        </w:rPr>
        <w:t>ed as follows. It analy</w:t>
      </w:r>
      <w:r w:rsidR="0027381B">
        <w:rPr>
          <w:rFonts w:ascii="Times New Roman" w:eastAsiaTheme="minorEastAsia" w:hAnsi="Times New Roman" w:cs="Times New Roman"/>
          <w:lang w:val="en-US"/>
        </w:rPr>
        <w:t>z</w:t>
      </w:r>
      <w:r w:rsidR="0064427C" w:rsidRPr="00486DF6">
        <w:rPr>
          <w:rFonts w:ascii="Times New Roman" w:eastAsiaTheme="minorEastAsia" w:hAnsi="Times New Roman" w:cs="Times New Roman"/>
          <w:lang w:val="en-US"/>
        </w:rPr>
        <w:t xml:space="preserve">es the two forms of withdrawal by </w:t>
      </w:r>
      <w:r w:rsidR="003D329C">
        <w:rPr>
          <w:rFonts w:ascii="Times New Roman" w:eastAsiaTheme="minorEastAsia" w:hAnsi="Times New Roman" w:cs="Times New Roman"/>
          <w:lang w:val="en-US"/>
        </w:rPr>
        <w:t>referr</w:t>
      </w:r>
      <w:r w:rsidR="0064427C" w:rsidRPr="00486DF6">
        <w:rPr>
          <w:rFonts w:ascii="Times New Roman" w:eastAsiaTheme="minorEastAsia" w:hAnsi="Times New Roman" w:cs="Times New Roman"/>
          <w:lang w:val="en-US"/>
        </w:rPr>
        <w:t>ing t</w:t>
      </w:r>
      <w:r w:rsidR="003D329C">
        <w:rPr>
          <w:rFonts w:ascii="Times New Roman" w:eastAsiaTheme="minorEastAsia" w:hAnsi="Times New Roman" w:cs="Times New Roman"/>
          <w:lang w:val="en-US"/>
        </w:rPr>
        <w:t>o</w:t>
      </w:r>
      <w:r w:rsidR="0064427C" w:rsidRPr="00486DF6">
        <w:rPr>
          <w:rFonts w:ascii="Times New Roman" w:eastAsiaTheme="minorEastAsia" w:hAnsi="Times New Roman" w:cs="Times New Roman"/>
          <w:lang w:val="en-US"/>
        </w:rPr>
        <w:t xml:space="preserve"> the American experience</w:t>
      </w:r>
      <w:r w:rsidR="0064427C" w:rsidRPr="00486DF6">
        <w:rPr>
          <w:rFonts w:ascii="Times New Roman" w:hAnsi="Times New Roman" w:cs="Times New Roman"/>
          <w:lang w:val="en-US"/>
        </w:rPr>
        <w:t xml:space="preserve"> </w:t>
      </w:r>
      <w:r w:rsidR="0064427C" w:rsidRPr="00486DF6">
        <w:rPr>
          <w:rFonts w:ascii="Times New Roman" w:eastAsiaTheme="minorEastAsia" w:hAnsi="Times New Roman" w:cs="Times New Roman"/>
          <w:lang w:val="en-US"/>
        </w:rPr>
        <w:t>(Part 2)</w:t>
      </w:r>
      <w:r w:rsidR="0064427C" w:rsidRPr="00486DF6">
        <w:rPr>
          <w:rFonts w:ascii="Times New Roman" w:hAnsi="Times New Roman" w:cs="Times New Roman"/>
          <w:lang w:val="en-US"/>
        </w:rPr>
        <w:t>. Once those concepts are set in their historical context, we focus on understanding how nullification (Part 3) and secession (Part 4) have been applied in the EU context.</w:t>
      </w:r>
    </w:p>
    <w:p w14:paraId="69F8F2B6" w14:textId="77777777" w:rsidR="0064427C" w:rsidRPr="00486DF6" w:rsidRDefault="0064427C" w:rsidP="000E4CEC">
      <w:pPr>
        <w:spacing w:line="480" w:lineRule="auto"/>
        <w:jc w:val="both"/>
        <w:rPr>
          <w:rFonts w:ascii="Times New Roman" w:hAnsi="Times New Roman" w:cs="Times New Roman"/>
          <w:highlight w:val="yellow"/>
          <w:lang w:val="en-US"/>
        </w:rPr>
      </w:pPr>
    </w:p>
    <w:p w14:paraId="5F9BF67A" w14:textId="66366798" w:rsidR="00466084" w:rsidRPr="003D329C" w:rsidRDefault="00466084" w:rsidP="003D329C">
      <w:pPr>
        <w:pStyle w:val="ListParagraph"/>
        <w:widowControl w:val="0"/>
        <w:numPr>
          <w:ilvl w:val="0"/>
          <w:numId w:val="3"/>
        </w:numPr>
        <w:suppressAutoHyphens/>
        <w:spacing w:line="480" w:lineRule="auto"/>
        <w:jc w:val="center"/>
        <w:rPr>
          <w:rFonts w:ascii="Times New Roman" w:eastAsia="MS Mincho" w:hAnsi="Times New Roman" w:cs="Times New Roman"/>
          <w:smallCaps/>
          <w:lang w:val="en-US" w:eastAsia="it-IT"/>
        </w:rPr>
      </w:pPr>
      <w:r w:rsidRPr="003D329C">
        <w:rPr>
          <w:rFonts w:ascii="Times New Roman" w:eastAsia="MS Mincho" w:hAnsi="Times New Roman" w:cs="Times New Roman"/>
          <w:smallCaps/>
          <w:lang w:val="en-US" w:eastAsia="it-IT"/>
        </w:rPr>
        <w:t xml:space="preserve">Nullification and Secession: A </w:t>
      </w:r>
      <w:r w:rsidR="00F12DEA" w:rsidRPr="003D329C">
        <w:rPr>
          <w:rFonts w:ascii="Times New Roman" w:eastAsia="MS Mincho" w:hAnsi="Times New Roman" w:cs="Times New Roman"/>
          <w:smallCaps/>
          <w:lang w:val="en-US" w:eastAsia="it-IT"/>
        </w:rPr>
        <w:t>Brief Intellectual History</w:t>
      </w:r>
    </w:p>
    <w:p w14:paraId="1200A531" w14:textId="77777777" w:rsidR="00FB2188" w:rsidRDefault="00FB2188" w:rsidP="00FB2188">
      <w:pPr>
        <w:spacing w:line="480" w:lineRule="auto"/>
        <w:ind w:firstLine="720"/>
        <w:jc w:val="both"/>
        <w:rPr>
          <w:rFonts w:ascii="Times New Roman" w:eastAsia="Calibri" w:hAnsi="Times New Roman" w:cs="Times New Roman"/>
          <w:lang w:val="en-US"/>
        </w:rPr>
      </w:pPr>
      <w:r>
        <w:rPr>
          <w:rFonts w:ascii="Times New Roman" w:eastAsia="MS Mincho" w:hAnsi="Times New Roman" w:cs="Times New Roman"/>
          <w:lang w:val="en-US" w:eastAsia="it-IT"/>
        </w:rPr>
        <w:t xml:space="preserve">When </w:t>
      </w:r>
      <w:r w:rsidRPr="00486DF6">
        <w:rPr>
          <w:rFonts w:ascii="Times New Roman" w:eastAsia="Calibri" w:hAnsi="Times New Roman" w:cs="Times New Roman"/>
          <w:lang w:val="en-US"/>
        </w:rPr>
        <w:t>reading the judgment of the German Constitutional Court on PSPP (Public Sector Purchase Program)</w:t>
      </w:r>
      <w:r>
        <w:rPr>
          <w:rFonts w:ascii="Times New Roman" w:eastAsia="Calibri" w:hAnsi="Times New Roman" w:cs="Times New Roman"/>
          <w:lang w:val="en-US"/>
        </w:rPr>
        <w:t xml:space="preserve">, </w:t>
      </w:r>
      <w:r w:rsidR="00575414" w:rsidRPr="00486DF6">
        <w:rPr>
          <w:rFonts w:ascii="Times New Roman" w:eastAsia="Calibri" w:hAnsi="Times New Roman" w:cs="Times New Roman"/>
          <w:lang w:val="en-US"/>
        </w:rPr>
        <w:t>Fabbrini and Kelemen</w:t>
      </w:r>
      <w:r w:rsidR="00575414" w:rsidRPr="00486DF6">
        <w:rPr>
          <w:rFonts w:ascii="Times New Roman" w:eastAsia="Calibri" w:hAnsi="Times New Roman" w:cs="Times New Roman"/>
          <w:color w:val="000000"/>
          <w:vertAlign w:val="superscript"/>
          <w:lang w:val="en-US"/>
        </w:rPr>
        <w:footnoteReference w:id="24"/>
      </w:r>
      <w:r w:rsidR="00575414" w:rsidRPr="00486DF6">
        <w:rPr>
          <w:rFonts w:ascii="Times New Roman" w:eastAsia="Calibri" w:hAnsi="Times New Roman" w:cs="Times New Roman"/>
          <w:lang w:val="en-US"/>
        </w:rPr>
        <w:t xml:space="preserve"> recalled the </w:t>
      </w:r>
      <w:r w:rsidR="002540F4" w:rsidRPr="00486DF6">
        <w:rPr>
          <w:rFonts w:ascii="Times New Roman" w:eastAsia="Calibri" w:hAnsi="Times New Roman" w:cs="Times New Roman"/>
          <w:lang w:val="en-US"/>
        </w:rPr>
        <w:t>C</w:t>
      </w:r>
      <w:r w:rsidR="00575414" w:rsidRPr="00486DF6">
        <w:rPr>
          <w:rFonts w:ascii="Times New Roman" w:eastAsia="Calibri" w:hAnsi="Times New Roman" w:cs="Times New Roman"/>
          <w:lang w:val="en-US"/>
        </w:rPr>
        <w:t xml:space="preserve">ompact </w:t>
      </w:r>
      <w:r w:rsidR="002540F4" w:rsidRPr="00486DF6">
        <w:rPr>
          <w:rFonts w:ascii="Times New Roman" w:eastAsia="Calibri" w:hAnsi="Times New Roman" w:cs="Times New Roman"/>
          <w:lang w:val="en-US"/>
        </w:rPr>
        <w:t>T</w:t>
      </w:r>
      <w:r w:rsidR="00575414" w:rsidRPr="00486DF6">
        <w:rPr>
          <w:rFonts w:ascii="Times New Roman" w:eastAsia="Calibri" w:hAnsi="Times New Roman" w:cs="Times New Roman"/>
          <w:lang w:val="en-US"/>
        </w:rPr>
        <w:t>heory</w:t>
      </w:r>
      <w:r w:rsidR="00575414" w:rsidRPr="00486DF6">
        <w:rPr>
          <w:rFonts w:ascii="Times New Roman" w:eastAsia="Times New Roman" w:hAnsi="Times New Roman" w:cs="Times New Roman"/>
          <w:color w:val="000000"/>
          <w:u w:color="000000"/>
          <w:bdr w:val="nil"/>
          <w:vertAlign w:val="superscript"/>
          <w:lang w:val="en-US" w:eastAsia="it-IT"/>
        </w:rPr>
        <w:footnoteReference w:id="25"/>
      </w:r>
      <w:r>
        <w:rPr>
          <w:rFonts w:ascii="Times New Roman" w:eastAsia="Calibri" w:hAnsi="Times New Roman" w:cs="Times New Roman"/>
          <w:lang w:val="en-US"/>
        </w:rPr>
        <w:t xml:space="preserve"> –one</w:t>
      </w:r>
      <w:r w:rsidR="002540F4" w:rsidRPr="00486DF6">
        <w:rPr>
          <w:rFonts w:ascii="Times New Roman" w:eastAsia="Calibri" w:hAnsi="Times New Roman" w:cs="Times New Roman"/>
          <w:lang w:val="en-US"/>
        </w:rPr>
        <w:t xml:space="preserve"> of the interpretative theories of the US Constitution</w:t>
      </w:r>
      <w:r>
        <w:rPr>
          <w:rFonts w:ascii="Times New Roman" w:eastAsia="Calibri" w:hAnsi="Times New Roman" w:cs="Times New Roman"/>
          <w:lang w:val="en-US"/>
        </w:rPr>
        <w:t>. A</w:t>
      </w:r>
      <w:r w:rsidR="002540F4" w:rsidRPr="00486DF6">
        <w:rPr>
          <w:rFonts w:ascii="Times New Roman" w:eastAsia="Calibri" w:hAnsi="Times New Roman" w:cs="Times New Roman"/>
          <w:lang w:val="en-US"/>
        </w:rPr>
        <w:t xml:space="preserve">ccording to </w:t>
      </w:r>
      <w:r>
        <w:rPr>
          <w:rFonts w:ascii="Times New Roman" w:eastAsia="Calibri" w:hAnsi="Times New Roman" w:cs="Times New Roman"/>
          <w:lang w:val="en-US"/>
        </w:rPr>
        <w:t>it,</w:t>
      </w:r>
      <w:r w:rsidR="002540F4" w:rsidRPr="00486DF6">
        <w:rPr>
          <w:rFonts w:ascii="Times New Roman" w:eastAsia="Calibri" w:hAnsi="Times New Roman" w:cs="Times New Roman"/>
          <w:lang w:val="en-US"/>
        </w:rPr>
        <w:t xml:space="preserve"> the states are the sovereign parties to an agreement that gave rise to the Union. </w:t>
      </w:r>
      <w:r>
        <w:rPr>
          <w:rFonts w:ascii="Times New Roman" w:eastAsia="Calibri" w:hAnsi="Times New Roman" w:cs="Times New Roman"/>
          <w:lang w:val="en-US"/>
        </w:rPr>
        <w:t>Although,</w:t>
      </w:r>
      <w:r w:rsidR="002540F4" w:rsidRPr="00486DF6">
        <w:rPr>
          <w:rFonts w:ascii="Times New Roman" w:eastAsia="Calibri" w:hAnsi="Times New Roman" w:cs="Times New Roman"/>
          <w:lang w:val="en-US"/>
        </w:rPr>
        <w:t xml:space="preserve"> Fabbrini and Kelemen </w:t>
      </w:r>
      <w:r w:rsidR="00575414" w:rsidRPr="00486DF6">
        <w:rPr>
          <w:rFonts w:ascii="Times New Roman" w:eastAsia="Calibri" w:hAnsi="Times New Roman" w:cs="Times New Roman"/>
          <w:color w:val="000000"/>
          <w:lang w:val="en-US"/>
        </w:rPr>
        <w:t>found the origin of the concept in the</w:t>
      </w:r>
      <w:r>
        <w:rPr>
          <w:rFonts w:ascii="Times New Roman" w:eastAsia="Calibri" w:hAnsi="Times New Roman" w:cs="Times New Roman"/>
          <w:color w:val="000000"/>
          <w:lang w:val="en-US"/>
        </w:rPr>
        <w:t xml:space="preserve"> 1832</w:t>
      </w:r>
      <w:r w:rsidR="00575414" w:rsidRPr="00486DF6">
        <w:rPr>
          <w:rFonts w:ascii="Times New Roman" w:eastAsia="Calibri" w:hAnsi="Times New Roman" w:cs="Times New Roman"/>
          <w:color w:val="000000"/>
          <w:lang w:val="en-US"/>
        </w:rPr>
        <w:t xml:space="preserve"> nullification crisis involving South Carolina</w:t>
      </w:r>
      <w:r w:rsidR="00407FF2">
        <w:rPr>
          <w:rFonts w:ascii="Times New Roman" w:eastAsia="Calibri" w:hAnsi="Times New Roman" w:cs="Times New Roman"/>
          <w:lang w:val="en-US"/>
        </w:rPr>
        <w:t>,</w:t>
      </w:r>
      <w:r w:rsidR="005F261F" w:rsidRPr="00486DF6">
        <w:rPr>
          <w:rFonts w:ascii="Times New Roman" w:eastAsia="Calibri" w:hAnsi="Times New Roman" w:cs="Times New Roman"/>
          <w:color w:val="000000"/>
          <w:lang w:val="en-US"/>
        </w:rPr>
        <w:t xml:space="preserve"> </w:t>
      </w:r>
      <w:r w:rsidR="00407FF2">
        <w:rPr>
          <w:rFonts w:ascii="Times New Roman" w:eastAsia="Calibri" w:hAnsi="Times New Roman" w:cs="Times New Roman"/>
          <w:lang w:val="en-US"/>
        </w:rPr>
        <w:t>its</w:t>
      </w:r>
      <w:r w:rsidR="0042256E" w:rsidRPr="00486DF6">
        <w:rPr>
          <w:rFonts w:ascii="Times New Roman" w:eastAsia="Calibri" w:hAnsi="Times New Roman" w:cs="Times New Roman"/>
          <w:lang w:val="en-US"/>
        </w:rPr>
        <w:t xml:space="preserve"> </w:t>
      </w:r>
      <w:r w:rsidR="00575414" w:rsidRPr="00486DF6">
        <w:rPr>
          <w:rFonts w:ascii="Times New Roman" w:eastAsia="Calibri" w:hAnsi="Times New Roman" w:cs="Times New Roman"/>
          <w:lang w:val="en-US"/>
        </w:rPr>
        <w:t xml:space="preserve">first manifestations can be found at least ten years before in the declaration of the delegates of Virginia concerning the ratification of the Constitution. </w:t>
      </w:r>
    </w:p>
    <w:p w14:paraId="770B9AEB" w14:textId="43C56B46" w:rsidR="00FB2188" w:rsidRDefault="00FB2188" w:rsidP="00FB2188">
      <w:pPr>
        <w:spacing w:line="48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During</w:t>
      </w:r>
      <w:r w:rsidR="005F261F" w:rsidRPr="00486DF6">
        <w:rPr>
          <w:rFonts w:ascii="Times New Roman" w:eastAsia="Calibri" w:hAnsi="Times New Roman" w:cs="Times New Roman"/>
          <w:lang w:val="en-US"/>
        </w:rPr>
        <w:t xml:space="preserve"> th</w:t>
      </w:r>
      <w:r w:rsidR="00985BDF">
        <w:rPr>
          <w:rFonts w:ascii="Times New Roman" w:eastAsia="Calibri" w:hAnsi="Times New Roman" w:cs="Times New Roman"/>
          <w:lang w:val="en-US"/>
        </w:rPr>
        <w:t>at</w:t>
      </w:r>
      <w:r>
        <w:rPr>
          <w:rFonts w:ascii="Times New Roman" w:eastAsia="Calibri" w:hAnsi="Times New Roman" w:cs="Times New Roman"/>
          <w:lang w:val="en-US"/>
        </w:rPr>
        <w:t xml:space="preserve"> earlier</w:t>
      </w:r>
      <w:r w:rsidR="005F261F" w:rsidRPr="00486DF6">
        <w:rPr>
          <w:rFonts w:ascii="Times New Roman" w:eastAsia="Calibri" w:hAnsi="Times New Roman" w:cs="Times New Roman"/>
          <w:lang w:val="en-US"/>
        </w:rPr>
        <w:t xml:space="preserve"> instance, the delegates of Virginia argued that </w:t>
      </w:r>
      <w:r w:rsidR="00985BDF">
        <w:rPr>
          <w:rFonts w:ascii="Times New Roman" w:eastAsia="Calibri" w:hAnsi="Times New Roman" w:cs="Times New Roman"/>
          <w:lang w:val="en-US"/>
        </w:rPr>
        <w:t>“</w:t>
      </w:r>
      <w:r w:rsidR="00575414" w:rsidRPr="00486DF6">
        <w:rPr>
          <w:rFonts w:ascii="Times New Roman" w:eastAsia="Calibri" w:hAnsi="Times New Roman" w:cs="Times New Roman"/>
          <w:lang w:val="en-US"/>
        </w:rPr>
        <w:t xml:space="preserve">the powers granted under the Constitution being derived from the People of the United States may be resumed by them </w:t>
      </w:r>
      <w:r w:rsidR="00575414" w:rsidRPr="00486DF6">
        <w:rPr>
          <w:rFonts w:ascii="Times New Roman" w:eastAsia="Calibri" w:hAnsi="Times New Roman" w:cs="Times New Roman"/>
          <w:lang w:val="en-US"/>
        </w:rPr>
        <w:lastRenderedPageBreak/>
        <w:t>whensoever the same shall be perverted to their injury or oppression and that every power not granted thereby remains with them and at their will</w:t>
      </w:r>
      <w:r w:rsidR="003264B5">
        <w:rPr>
          <w:rFonts w:ascii="Times New Roman" w:eastAsia="Calibri" w:hAnsi="Times New Roman" w:cs="Times New Roman"/>
          <w:lang w:val="en-US"/>
        </w:rPr>
        <w:t>.</w:t>
      </w:r>
      <w:r w:rsidR="00985BDF">
        <w:rPr>
          <w:rFonts w:ascii="Times New Roman" w:eastAsia="Calibri" w:hAnsi="Times New Roman" w:cs="Times New Roman"/>
          <w:lang w:val="en-US"/>
        </w:rPr>
        <w:t>”</w:t>
      </w:r>
      <w:r w:rsidR="00575414" w:rsidRPr="00486DF6">
        <w:rPr>
          <w:rFonts w:ascii="Times New Roman" w:eastAsia="Calibri" w:hAnsi="Times New Roman" w:cs="Times New Roman"/>
          <w:vertAlign w:val="superscript"/>
          <w:lang w:val="en-US"/>
        </w:rPr>
        <w:footnoteReference w:id="26"/>
      </w:r>
      <w:r w:rsidR="00575414" w:rsidRPr="00486DF6">
        <w:rPr>
          <w:rFonts w:ascii="Times New Roman" w:eastAsia="Calibri" w:hAnsi="Times New Roman" w:cs="Times New Roman"/>
          <w:lang w:val="en-US"/>
        </w:rPr>
        <w:t xml:space="preserve"> This declaration also contained an essential element that would, in fact, trigger the Virginia and Kentucky </w:t>
      </w:r>
      <w:r w:rsidR="00E603E0" w:rsidRPr="00486DF6">
        <w:rPr>
          <w:rFonts w:ascii="Times New Roman" w:eastAsia="Calibri" w:hAnsi="Times New Roman" w:cs="Times New Roman"/>
          <w:lang w:val="en-US"/>
        </w:rPr>
        <w:t>Resolutions according to which</w:t>
      </w:r>
      <w:r w:rsidR="00575414" w:rsidRPr="00486DF6">
        <w:rPr>
          <w:rFonts w:ascii="Times New Roman" w:eastAsia="Calibri" w:hAnsi="Times New Roman" w:cs="Times New Roman"/>
          <w:lang w:val="en-US"/>
        </w:rPr>
        <w:t>, “among other essential rights the liberty of Conscience and of the Press cannot be cancelled abridged restrained or modified by any authority of the United States</w:t>
      </w:r>
      <w:r w:rsidR="003264B5">
        <w:rPr>
          <w:rFonts w:ascii="Times New Roman" w:eastAsia="Calibri" w:hAnsi="Times New Roman" w:cs="Times New Roman"/>
          <w:lang w:val="en-US"/>
        </w:rPr>
        <w:t>.</w:t>
      </w:r>
      <w:r w:rsidR="00575414" w:rsidRPr="00486DF6">
        <w:rPr>
          <w:rFonts w:ascii="Times New Roman" w:eastAsia="Calibri" w:hAnsi="Times New Roman" w:cs="Times New Roman"/>
          <w:lang w:val="en-US"/>
        </w:rPr>
        <w:t>”</w:t>
      </w:r>
      <w:r w:rsidR="00575414" w:rsidRPr="00486DF6">
        <w:rPr>
          <w:rFonts w:ascii="Times New Roman" w:eastAsia="Calibri" w:hAnsi="Times New Roman" w:cs="Times New Roman"/>
          <w:vertAlign w:val="superscript"/>
          <w:lang w:val="en-US"/>
        </w:rPr>
        <w:footnoteReference w:id="27"/>
      </w:r>
      <w:r w:rsidR="00997773" w:rsidRPr="00486DF6">
        <w:rPr>
          <w:rFonts w:ascii="Times New Roman" w:eastAsia="Calibri" w:hAnsi="Times New Roman" w:cs="Times New Roman"/>
          <w:lang w:val="en-US"/>
        </w:rPr>
        <w:t xml:space="preserve"> </w:t>
      </w:r>
      <w:r w:rsidR="00575414" w:rsidRPr="00486DF6">
        <w:rPr>
          <w:rFonts w:ascii="Times New Roman" w:eastAsia="Calibri" w:hAnsi="Times New Roman" w:cs="Times New Roman"/>
          <w:lang w:val="en-US"/>
        </w:rPr>
        <w:t>Both the Virginia and Kentucky Resolutions were a reaction to the Alien and Sedition Acts, a set of laws approved by the federal Congress in fear of an imminent war with France. These federal laws limited freedom of speech and of the press.</w:t>
      </w:r>
      <w:r w:rsidR="00575414" w:rsidRPr="00486DF6">
        <w:rPr>
          <w:rStyle w:val="FootnoteReference"/>
          <w:rFonts w:ascii="Times New Roman" w:eastAsia="Calibri" w:hAnsi="Times New Roman" w:cs="Times New Roman"/>
          <w:lang w:val="en-US"/>
        </w:rPr>
        <w:footnoteReference w:id="28"/>
      </w:r>
      <w:r w:rsidR="00575414" w:rsidRPr="00486DF6">
        <w:rPr>
          <w:rFonts w:ascii="Times New Roman" w:eastAsia="Calibri" w:hAnsi="Times New Roman" w:cs="Times New Roman"/>
          <w:lang w:val="en-US"/>
        </w:rPr>
        <w:t xml:space="preserve"> In order to defend the rights of their people, Virginia and Kentucky tried to block these laws by standing between</w:t>
      </w:r>
      <w:r w:rsidR="00E603E0" w:rsidRPr="00486DF6">
        <w:rPr>
          <w:rFonts w:ascii="Times New Roman" w:eastAsia="Calibri" w:hAnsi="Times New Roman" w:cs="Times New Roman"/>
          <w:lang w:val="en-US"/>
        </w:rPr>
        <w:t xml:space="preserve"> them and</w:t>
      </w:r>
      <w:r w:rsidR="00575414" w:rsidRPr="00486DF6">
        <w:rPr>
          <w:rFonts w:ascii="Times New Roman" w:eastAsia="Calibri" w:hAnsi="Times New Roman" w:cs="Times New Roman"/>
          <w:lang w:val="en-US"/>
        </w:rPr>
        <w:t xml:space="preserve"> their citizens. </w:t>
      </w:r>
      <w:r w:rsidR="00407FF2">
        <w:rPr>
          <w:rFonts w:ascii="Times New Roman" w:eastAsia="Calibri" w:hAnsi="Times New Roman" w:cs="Times New Roman"/>
          <w:lang w:val="en-US"/>
        </w:rPr>
        <w:t>In that sense, t</w:t>
      </w:r>
      <w:r w:rsidR="00575414" w:rsidRPr="00486DF6">
        <w:rPr>
          <w:rFonts w:ascii="Times New Roman" w:eastAsia="Calibri" w:hAnsi="Times New Roman" w:cs="Times New Roman"/>
          <w:lang w:val="en-US"/>
        </w:rPr>
        <w:t xml:space="preserve">he origin of </w:t>
      </w:r>
      <w:r w:rsidR="00407FF2">
        <w:rPr>
          <w:rFonts w:ascii="Times New Roman" w:eastAsia="Calibri" w:hAnsi="Times New Roman" w:cs="Times New Roman"/>
          <w:lang w:val="en-US"/>
        </w:rPr>
        <w:t xml:space="preserve">the concept of </w:t>
      </w:r>
      <w:r w:rsidR="00575414" w:rsidRPr="00486DF6">
        <w:rPr>
          <w:rFonts w:ascii="Times New Roman" w:eastAsia="Calibri" w:hAnsi="Times New Roman" w:cs="Times New Roman"/>
          <w:lang w:val="en-US"/>
        </w:rPr>
        <w:t xml:space="preserve">nullification should be </w:t>
      </w:r>
      <w:r w:rsidR="00A5122C">
        <w:rPr>
          <w:rFonts w:ascii="Times New Roman" w:eastAsia="Calibri" w:hAnsi="Times New Roman" w:cs="Times New Roman"/>
          <w:lang w:val="en-US"/>
        </w:rPr>
        <w:t>understood in</w:t>
      </w:r>
      <w:r w:rsidR="00407FF2">
        <w:rPr>
          <w:rFonts w:ascii="Times New Roman" w:eastAsia="Calibri" w:hAnsi="Times New Roman" w:cs="Times New Roman"/>
          <w:lang w:val="en-US"/>
        </w:rPr>
        <w:t xml:space="preserve"> a</w:t>
      </w:r>
      <w:r w:rsidR="00A5122C">
        <w:rPr>
          <w:rFonts w:ascii="Times New Roman" w:eastAsia="Calibri" w:hAnsi="Times New Roman" w:cs="Times New Roman"/>
          <w:lang w:val="en-US"/>
        </w:rPr>
        <w:t xml:space="preserve"> broader</w:t>
      </w:r>
      <w:r w:rsidR="00407FF2">
        <w:rPr>
          <w:rFonts w:ascii="Times New Roman" w:eastAsia="Calibri" w:hAnsi="Times New Roman" w:cs="Times New Roman"/>
          <w:lang w:val="en-US"/>
        </w:rPr>
        <w:t xml:space="preserve"> context</w:t>
      </w:r>
      <w:r w:rsidR="00575414" w:rsidRPr="00486DF6">
        <w:rPr>
          <w:rFonts w:ascii="Times New Roman" w:eastAsia="Calibri" w:hAnsi="Times New Roman" w:cs="Times New Roman"/>
          <w:lang w:val="en-US"/>
        </w:rPr>
        <w:t xml:space="preserve"> </w:t>
      </w:r>
      <w:r w:rsidR="00407FF2">
        <w:rPr>
          <w:rFonts w:ascii="Times New Roman" w:eastAsia="Calibri" w:hAnsi="Times New Roman" w:cs="Times New Roman"/>
          <w:lang w:val="en-US"/>
        </w:rPr>
        <w:t>where</w:t>
      </w:r>
      <w:r w:rsidR="00575414" w:rsidRPr="00486DF6">
        <w:rPr>
          <w:rFonts w:ascii="Times New Roman" w:eastAsia="Calibri" w:hAnsi="Times New Roman" w:cs="Times New Roman"/>
          <w:lang w:val="en-US"/>
        </w:rPr>
        <w:t xml:space="preserve"> </w:t>
      </w:r>
      <w:r w:rsidR="003264B5">
        <w:rPr>
          <w:rFonts w:ascii="Times New Roman" w:eastAsia="Calibri" w:hAnsi="Times New Roman" w:cs="Times New Roman"/>
          <w:lang w:val="en-US"/>
        </w:rPr>
        <w:t>s</w:t>
      </w:r>
      <w:r w:rsidR="00575414" w:rsidRPr="00486DF6">
        <w:rPr>
          <w:rFonts w:ascii="Times New Roman" w:eastAsia="Calibri" w:hAnsi="Times New Roman" w:cs="Times New Roman"/>
          <w:lang w:val="en-US"/>
        </w:rPr>
        <w:t>tates were seen as the main guardians of citizens’ rights</w:t>
      </w:r>
      <w:r>
        <w:rPr>
          <w:rFonts w:ascii="Times New Roman" w:eastAsia="Calibri" w:hAnsi="Times New Roman" w:cs="Times New Roman"/>
          <w:lang w:val="en-US"/>
        </w:rPr>
        <w:t xml:space="preserve">—a tool used by the substate level to contest decisions of the </w:t>
      </w:r>
      <w:proofErr w:type="spellStart"/>
      <w:r>
        <w:rPr>
          <w:rFonts w:ascii="Times New Roman" w:eastAsia="Calibri" w:hAnsi="Times New Roman" w:cs="Times New Roman"/>
          <w:lang w:val="en-US"/>
        </w:rPr>
        <w:t>centre</w:t>
      </w:r>
      <w:proofErr w:type="spellEnd"/>
      <w:r w:rsidR="009C3DAB" w:rsidRPr="00486DF6">
        <w:rPr>
          <w:rStyle w:val="FootnoteReference"/>
          <w:rFonts w:ascii="Times New Roman" w:eastAsia="Calibri" w:hAnsi="Times New Roman" w:cs="Times New Roman"/>
          <w:lang w:val="en-US"/>
        </w:rPr>
        <w:footnoteReference w:id="29"/>
      </w:r>
      <w:r w:rsidR="002E45F3" w:rsidRPr="00486DF6">
        <w:rPr>
          <w:rFonts w:ascii="Times New Roman" w:eastAsia="Calibri" w:hAnsi="Times New Roman" w:cs="Times New Roman"/>
          <w:lang w:val="en-US"/>
        </w:rPr>
        <w:t xml:space="preserve"> </w:t>
      </w:r>
      <w:r w:rsidR="006B4E88">
        <w:rPr>
          <w:rFonts w:ascii="Times New Roman" w:eastAsia="Calibri" w:hAnsi="Times New Roman" w:cs="Times New Roman"/>
          <w:lang w:val="en-US"/>
        </w:rPr>
        <w:t>including</w:t>
      </w:r>
      <w:r w:rsidR="008C1D5F" w:rsidRPr="00486DF6">
        <w:rPr>
          <w:rFonts w:ascii="Times New Roman" w:eastAsia="Calibri" w:hAnsi="Times New Roman" w:cs="Times New Roman"/>
          <w:lang w:val="en-US"/>
        </w:rPr>
        <w:t xml:space="preserve"> </w:t>
      </w:r>
      <w:r w:rsidR="00C53C4E">
        <w:rPr>
          <w:rFonts w:ascii="Times New Roman" w:eastAsia="Calibri" w:hAnsi="Times New Roman" w:cs="Times New Roman"/>
          <w:lang w:val="en-US"/>
        </w:rPr>
        <w:t xml:space="preserve">unfortunately </w:t>
      </w:r>
      <w:r w:rsidR="002E45F3" w:rsidRPr="00486DF6">
        <w:rPr>
          <w:rFonts w:ascii="Times New Roman" w:eastAsia="Calibri" w:hAnsi="Times New Roman" w:cs="Times New Roman"/>
          <w:lang w:val="en-US"/>
        </w:rPr>
        <w:t xml:space="preserve">the </w:t>
      </w:r>
      <w:r w:rsidR="00C53C4E">
        <w:rPr>
          <w:rFonts w:ascii="Times New Roman" w:eastAsia="Calibri" w:hAnsi="Times New Roman" w:cs="Times New Roman"/>
          <w:lang w:val="en-US"/>
        </w:rPr>
        <w:t>ones</w:t>
      </w:r>
      <w:r w:rsidR="00372EEB" w:rsidRPr="00486DF6">
        <w:rPr>
          <w:rFonts w:ascii="Times New Roman" w:eastAsia="Calibri" w:hAnsi="Times New Roman" w:cs="Times New Roman"/>
          <w:lang w:val="en-US"/>
        </w:rPr>
        <w:t xml:space="preserve"> on </w:t>
      </w:r>
      <w:r w:rsidR="006B4E88">
        <w:rPr>
          <w:rFonts w:ascii="Times New Roman" w:eastAsia="Calibri" w:hAnsi="Times New Roman" w:cs="Times New Roman"/>
          <w:lang w:val="en-US"/>
        </w:rPr>
        <w:t>slavery</w:t>
      </w:r>
      <w:r w:rsidR="002E45F3" w:rsidRPr="00486DF6">
        <w:rPr>
          <w:rFonts w:ascii="Times New Roman" w:eastAsia="Calibri" w:hAnsi="Times New Roman" w:cs="Times New Roman"/>
          <w:lang w:val="en-US"/>
        </w:rPr>
        <w:t xml:space="preserve">. </w:t>
      </w:r>
    </w:p>
    <w:p w14:paraId="6D5C5396" w14:textId="05B6BD77" w:rsidR="00997DE5" w:rsidRPr="00486DF6" w:rsidRDefault="006B4E88" w:rsidP="00FB2188">
      <w:pPr>
        <w:spacing w:line="48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Interestingly for the purposes of the article, u</w:t>
      </w:r>
      <w:r w:rsidR="00997DE5" w:rsidRPr="00486DF6">
        <w:rPr>
          <w:rFonts w:ascii="Times New Roman" w:eastAsia="Calibri" w:hAnsi="Times New Roman" w:cs="Times New Roman"/>
          <w:lang w:val="en-US"/>
        </w:rPr>
        <w:t>ntil the so-called post-war (secession) amendments and the passing of the Fourteenth Amendment,</w:t>
      </w:r>
      <w:r w:rsidR="00997DE5" w:rsidRPr="00486DF6">
        <w:rPr>
          <w:rFonts w:ascii="Times New Roman" w:eastAsia="Calibri" w:hAnsi="Times New Roman" w:cs="Times New Roman"/>
          <w:vertAlign w:val="superscript"/>
          <w:lang w:val="en-US"/>
        </w:rPr>
        <w:footnoteReference w:id="30"/>
      </w:r>
      <w:r w:rsidR="00997DE5" w:rsidRPr="00486DF6">
        <w:rPr>
          <w:rFonts w:ascii="Times New Roman" w:eastAsia="Calibri" w:hAnsi="Times New Roman" w:cs="Times New Roman"/>
          <w:lang w:val="en-US"/>
        </w:rPr>
        <w:t xml:space="preserve"> the Bill of Rights was not </w:t>
      </w:r>
      <w:r w:rsidR="00372EEB" w:rsidRPr="00486DF6">
        <w:rPr>
          <w:rFonts w:ascii="Times New Roman" w:eastAsia="Calibri" w:hAnsi="Times New Roman" w:cs="Times New Roman"/>
          <w:lang w:val="en-US"/>
        </w:rPr>
        <w:t>seen</w:t>
      </w:r>
      <w:r w:rsidR="00997DE5" w:rsidRPr="00486DF6">
        <w:rPr>
          <w:rFonts w:ascii="Times New Roman" w:eastAsia="Calibri" w:hAnsi="Times New Roman" w:cs="Times New Roman"/>
          <w:lang w:val="en-US"/>
        </w:rPr>
        <w:t xml:space="preserve"> as appl</w:t>
      </w:r>
      <w:r w:rsidR="00372EEB" w:rsidRPr="00486DF6">
        <w:rPr>
          <w:rFonts w:ascii="Times New Roman" w:eastAsia="Calibri" w:hAnsi="Times New Roman" w:cs="Times New Roman"/>
          <w:lang w:val="en-US"/>
        </w:rPr>
        <w:t>icable</w:t>
      </w:r>
      <w:r w:rsidR="00997DE5" w:rsidRPr="00486DF6">
        <w:rPr>
          <w:rFonts w:ascii="Times New Roman" w:eastAsia="Calibri" w:hAnsi="Times New Roman" w:cs="Times New Roman"/>
          <w:lang w:val="en-US"/>
        </w:rPr>
        <w:t xml:space="preserve"> to the states. This was somewhat confirmed by the letter of the First Amendment, which states that </w:t>
      </w:r>
      <w:r w:rsidR="00985BDF">
        <w:rPr>
          <w:rFonts w:ascii="Times New Roman" w:eastAsia="Calibri" w:hAnsi="Times New Roman" w:cs="Times New Roman"/>
          <w:lang w:val="en-US"/>
        </w:rPr>
        <w:t>“</w:t>
      </w:r>
      <w:r w:rsidR="00997DE5" w:rsidRPr="00486DF6">
        <w:rPr>
          <w:rFonts w:ascii="Times New Roman" w:eastAsia="Calibri" w:hAnsi="Times New Roman" w:cs="Times New Roman"/>
          <w:lang w:val="en-US"/>
        </w:rPr>
        <w:t>Congress shall make no law</w:t>
      </w:r>
      <w:r w:rsidR="00985BDF">
        <w:rPr>
          <w:rFonts w:ascii="Times New Roman" w:eastAsia="Calibri" w:hAnsi="Times New Roman" w:cs="Times New Roman"/>
          <w:lang w:val="en-US"/>
        </w:rPr>
        <w:t>”</w:t>
      </w:r>
      <w:r w:rsidR="00997DE5" w:rsidRPr="00486DF6">
        <w:rPr>
          <w:rFonts w:ascii="Times New Roman" w:eastAsia="Calibri" w:hAnsi="Times New Roman" w:cs="Times New Roman"/>
          <w:lang w:val="en-US"/>
        </w:rPr>
        <w:t xml:space="preserve"> and thus seems to limit the application of the document only to the federal legislature (the Congress). </w:t>
      </w:r>
      <w:r w:rsidR="002D7D7E" w:rsidRPr="00486DF6">
        <w:rPr>
          <w:rFonts w:ascii="Times New Roman" w:eastAsia="Calibri" w:hAnsi="Times New Roman" w:cs="Times New Roman"/>
          <w:lang w:val="en-US"/>
        </w:rPr>
        <w:t>A</w:t>
      </w:r>
      <w:r w:rsidR="00997DE5" w:rsidRPr="00486DF6">
        <w:rPr>
          <w:rFonts w:ascii="Times New Roman" w:eastAsia="Calibri" w:hAnsi="Times New Roman" w:cs="Times New Roman"/>
          <w:lang w:val="en-US"/>
        </w:rPr>
        <w:t xml:space="preserve">t that </w:t>
      </w:r>
      <w:r w:rsidR="002D7D7E" w:rsidRPr="00486DF6">
        <w:rPr>
          <w:rFonts w:ascii="Times New Roman" w:eastAsia="Calibri" w:hAnsi="Times New Roman" w:cs="Times New Roman"/>
          <w:lang w:val="en-US"/>
        </w:rPr>
        <w:t>moment</w:t>
      </w:r>
      <w:r w:rsidR="00997DE5" w:rsidRPr="00486DF6">
        <w:rPr>
          <w:rFonts w:ascii="Times New Roman" w:eastAsia="Calibri" w:hAnsi="Times New Roman" w:cs="Times New Roman"/>
          <w:lang w:val="en-US"/>
        </w:rPr>
        <w:t xml:space="preserve"> in </w:t>
      </w:r>
      <w:r w:rsidR="002D7D7E" w:rsidRPr="00486DF6">
        <w:rPr>
          <w:rFonts w:ascii="Times New Roman" w:eastAsia="Calibri" w:hAnsi="Times New Roman" w:cs="Times New Roman"/>
          <w:lang w:val="en-US"/>
        </w:rPr>
        <w:t>time</w:t>
      </w:r>
      <w:r w:rsidR="00997DE5" w:rsidRPr="00486DF6">
        <w:rPr>
          <w:rFonts w:ascii="Times New Roman" w:eastAsia="Calibri" w:hAnsi="Times New Roman" w:cs="Times New Roman"/>
          <w:lang w:val="en-US"/>
        </w:rPr>
        <w:t xml:space="preserve">, </w:t>
      </w:r>
      <w:r w:rsidR="002D7D7E" w:rsidRPr="00486DF6">
        <w:rPr>
          <w:rFonts w:ascii="Times New Roman" w:eastAsia="Calibri" w:hAnsi="Times New Roman" w:cs="Times New Roman"/>
          <w:lang w:val="en-US"/>
        </w:rPr>
        <w:t xml:space="preserve">the protection </w:t>
      </w:r>
      <w:r w:rsidR="00997DE5" w:rsidRPr="00486DF6">
        <w:rPr>
          <w:rFonts w:ascii="Times New Roman" w:eastAsia="Calibri" w:hAnsi="Times New Roman" w:cs="Times New Roman"/>
          <w:lang w:val="en-US"/>
        </w:rPr>
        <w:t>of rights was thought to</w:t>
      </w:r>
      <w:r w:rsidR="002D7D7E" w:rsidRPr="00486DF6">
        <w:rPr>
          <w:rFonts w:ascii="Times New Roman" w:eastAsia="Calibri" w:hAnsi="Times New Roman" w:cs="Times New Roman"/>
          <w:lang w:val="en-US"/>
        </w:rPr>
        <w:t xml:space="preserve"> take place at the level of</w:t>
      </w:r>
      <w:r w:rsidR="00997DE5" w:rsidRPr="00486DF6">
        <w:rPr>
          <w:rFonts w:ascii="Times New Roman" w:eastAsia="Calibri" w:hAnsi="Times New Roman" w:cs="Times New Roman"/>
          <w:lang w:val="en-US"/>
        </w:rPr>
        <w:t xml:space="preserve"> the state constitutions, which were seen as more mature. </w:t>
      </w:r>
      <w:r w:rsidR="00F75337" w:rsidRPr="00486DF6">
        <w:rPr>
          <w:rFonts w:ascii="Times New Roman" w:eastAsia="Calibri" w:hAnsi="Times New Roman" w:cs="Times New Roman"/>
          <w:lang w:val="en-US"/>
        </w:rPr>
        <w:t xml:space="preserve">Thomas </w:t>
      </w:r>
      <w:r w:rsidR="00997DE5" w:rsidRPr="00486DF6">
        <w:rPr>
          <w:rFonts w:ascii="Times New Roman" w:eastAsia="Calibri" w:hAnsi="Times New Roman" w:cs="Times New Roman"/>
          <w:lang w:val="en-US"/>
        </w:rPr>
        <w:t>Jefferson</w:t>
      </w:r>
      <w:r w:rsidR="00F75337" w:rsidRPr="00486DF6">
        <w:rPr>
          <w:rFonts w:ascii="Times New Roman" w:eastAsia="Calibri" w:hAnsi="Times New Roman" w:cs="Times New Roman"/>
          <w:lang w:val="en-US"/>
        </w:rPr>
        <w:t xml:space="preserve"> </w:t>
      </w:r>
      <w:r w:rsidR="00E603E0" w:rsidRPr="00486DF6">
        <w:rPr>
          <w:rFonts w:ascii="Times New Roman" w:eastAsia="Calibri" w:hAnsi="Times New Roman" w:cs="Times New Roman"/>
          <w:lang w:val="en-US"/>
        </w:rPr>
        <w:t xml:space="preserve">made a similar point </w:t>
      </w:r>
      <w:r w:rsidR="004D342D">
        <w:rPr>
          <w:rFonts w:ascii="Times New Roman" w:eastAsia="Calibri" w:hAnsi="Times New Roman" w:cs="Times New Roman"/>
          <w:lang w:val="en-US"/>
        </w:rPr>
        <w:t>when he</w:t>
      </w:r>
      <w:r w:rsidR="00997DE5" w:rsidRPr="00486DF6">
        <w:rPr>
          <w:rFonts w:ascii="Times New Roman" w:eastAsia="Calibri" w:hAnsi="Times New Roman" w:cs="Times New Roman"/>
          <w:lang w:val="en-US"/>
        </w:rPr>
        <w:t xml:space="preserve"> stat</w:t>
      </w:r>
      <w:r w:rsidR="004D342D">
        <w:rPr>
          <w:rFonts w:ascii="Times New Roman" w:eastAsia="Calibri" w:hAnsi="Times New Roman" w:cs="Times New Roman"/>
          <w:lang w:val="en-US"/>
        </w:rPr>
        <w:t>ed</w:t>
      </w:r>
      <w:r w:rsidR="00997DE5" w:rsidRPr="00486DF6">
        <w:rPr>
          <w:rFonts w:ascii="Times New Roman" w:eastAsia="Calibri" w:hAnsi="Times New Roman" w:cs="Times New Roman"/>
          <w:lang w:val="en-US"/>
        </w:rPr>
        <w:t xml:space="preserve"> that </w:t>
      </w:r>
      <w:r w:rsidR="00985BDF">
        <w:rPr>
          <w:rFonts w:ascii="Times New Roman" w:eastAsia="Calibri" w:hAnsi="Times New Roman" w:cs="Times New Roman"/>
          <w:lang w:val="en-US"/>
        </w:rPr>
        <w:t>“</w:t>
      </w:r>
      <w:r w:rsidR="00997DE5" w:rsidRPr="00486DF6">
        <w:rPr>
          <w:rFonts w:ascii="Times New Roman" w:eastAsia="Calibri" w:hAnsi="Times New Roman" w:cs="Times New Roman"/>
          <w:lang w:val="en-US"/>
        </w:rPr>
        <w:t xml:space="preserve">the true barriers of our liberty in this </w:t>
      </w:r>
      <w:r w:rsidR="00997DE5" w:rsidRPr="00486DF6">
        <w:rPr>
          <w:rFonts w:ascii="Times New Roman" w:eastAsia="Calibri" w:hAnsi="Times New Roman" w:cs="Times New Roman"/>
          <w:lang w:val="en-US"/>
        </w:rPr>
        <w:lastRenderedPageBreak/>
        <w:t>country are our state-governments</w:t>
      </w:r>
      <w:r w:rsidR="003264B5">
        <w:rPr>
          <w:rFonts w:ascii="Times New Roman" w:eastAsia="Calibri" w:hAnsi="Times New Roman" w:cs="Times New Roman"/>
          <w:lang w:val="en-US"/>
        </w:rPr>
        <w:t>.</w:t>
      </w:r>
      <w:r w:rsidR="00985BDF">
        <w:rPr>
          <w:rFonts w:ascii="Times New Roman" w:eastAsia="Calibri" w:hAnsi="Times New Roman" w:cs="Times New Roman"/>
          <w:lang w:val="en-US"/>
        </w:rPr>
        <w:t>”</w:t>
      </w:r>
      <w:r w:rsidR="00997DE5" w:rsidRPr="00486DF6">
        <w:rPr>
          <w:rFonts w:ascii="Times New Roman" w:eastAsia="Calibri" w:hAnsi="Times New Roman" w:cs="Times New Roman"/>
          <w:vertAlign w:val="superscript"/>
          <w:lang w:val="en-US"/>
        </w:rPr>
        <w:footnoteReference w:id="31"/>
      </w:r>
      <w:r w:rsidR="00997DE5" w:rsidRPr="00486DF6">
        <w:rPr>
          <w:rFonts w:ascii="Times New Roman" w:eastAsia="Calibri" w:hAnsi="Times New Roman" w:cs="Times New Roman"/>
          <w:lang w:val="en-US"/>
        </w:rPr>
        <w:t xml:space="preserve"> </w:t>
      </w:r>
      <w:r w:rsidR="00F75337" w:rsidRPr="00486DF6">
        <w:rPr>
          <w:rFonts w:ascii="Times New Roman" w:eastAsia="Calibri" w:hAnsi="Times New Roman" w:cs="Times New Roman"/>
          <w:lang w:val="en-US"/>
        </w:rPr>
        <w:t>Not by coincidence</w:t>
      </w:r>
      <w:r w:rsidR="00D404AF" w:rsidRPr="00486DF6">
        <w:rPr>
          <w:rFonts w:ascii="Times New Roman" w:eastAsia="Calibri" w:hAnsi="Times New Roman" w:cs="Times New Roman"/>
          <w:lang w:val="en-US"/>
        </w:rPr>
        <w:t>,</w:t>
      </w:r>
      <w:r w:rsidR="00F75337" w:rsidRPr="00486DF6">
        <w:rPr>
          <w:rFonts w:ascii="Times New Roman" w:eastAsia="Calibri" w:hAnsi="Times New Roman" w:cs="Times New Roman"/>
          <w:lang w:val="en-US"/>
        </w:rPr>
        <w:t xml:space="preserve"> </w:t>
      </w:r>
      <w:r w:rsidR="00AF1BA3">
        <w:rPr>
          <w:rFonts w:ascii="Times New Roman" w:eastAsia="Calibri" w:hAnsi="Times New Roman" w:cs="Times New Roman"/>
          <w:lang w:val="en-US"/>
        </w:rPr>
        <w:t>he</w:t>
      </w:r>
      <w:r w:rsidR="00D404AF" w:rsidRPr="00486DF6">
        <w:rPr>
          <w:rFonts w:ascii="Times New Roman" w:eastAsia="Calibri" w:hAnsi="Times New Roman" w:cs="Times New Roman"/>
          <w:lang w:val="en-US"/>
        </w:rPr>
        <w:t xml:space="preserve"> </w:t>
      </w:r>
      <w:r w:rsidR="00F75337" w:rsidRPr="00486DF6">
        <w:rPr>
          <w:rFonts w:ascii="Times New Roman" w:eastAsia="Calibri" w:hAnsi="Times New Roman" w:cs="Times New Roman"/>
          <w:lang w:val="en-US"/>
        </w:rPr>
        <w:t>had a crucial role in conceptuali</w:t>
      </w:r>
      <w:r w:rsidR="00985BDF">
        <w:rPr>
          <w:rFonts w:ascii="Times New Roman" w:eastAsia="Calibri" w:hAnsi="Times New Roman" w:cs="Times New Roman"/>
          <w:lang w:val="en-US"/>
        </w:rPr>
        <w:t>z</w:t>
      </w:r>
      <w:r w:rsidR="00F75337" w:rsidRPr="00486DF6">
        <w:rPr>
          <w:rFonts w:ascii="Times New Roman" w:eastAsia="Calibri" w:hAnsi="Times New Roman" w:cs="Times New Roman"/>
          <w:lang w:val="en-US"/>
        </w:rPr>
        <w:t xml:space="preserve">ing the notion of nullification </w:t>
      </w:r>
      <w:r w:rsidR="00AF1BA3">
        <w:rPr>
          <w:rFonts w:ascii="Times New Roman" w:eastAsia="Calibri" w:hAnsi="Times New Roman" w:cs="Times New Roman"/>
          <w:lang w:val="en-US"/>
        </w:rPr>
        <w:t>as</w:t>
      </w:r>
      <w:r w:rsidR="00F75337" w:rsidRPr="00486DF6">
        <w:rPr>
          <w:rFonts w:ascii="Times New Roman" w:eastAsia="Calibri" w:hAnsi="Times New Roman" w:cs="Times New Roman"/>
          <w:lang w:val="en-US"/>
        </w:rPr>
        <w:t xml:space="preserve"> the author of the </w:t>
      </w:r>
      <w:r w:rsidR="00AF1BA3">
        <w:rPr>
          <w:rFonts w:ascii="Times New Roman" w:eastAsia="Calibri" w:hAnsi="Times New Roman" w:cs="Times New Roman"/>
          <w:lang w:val="en-US"/>
        </w:rPr>
        <w:t xml:space="preserve">1798 </w:t>
      </w:r>
      <w:r w:rsidR="00F75337" w:rsidRPr="00486DF6">
        <w:rPr>
          <w:rFonts w:ascii="Times New Roman" w:eastAsia="Calibri" w:hAnsi="Times New Roman" w:cs="Times New Roman"/>
          <w:lang w:val="en-US"/>
        </w:rPr>
        <w:t xml:space="preserve">Kentucky </w:t>
      </w:r>
      <w:r w:rsidR="00E603E0" w:rsidRPr="00486DF6">
        <w:rPr>
          <w:rFonts w:ascii="Times New Roman" w:eastAsia="Calibri" w:hAnsi="Times New Roman" w:cs="Times New Roman"/>
          <w:lang w:val="en-US"/>
        </w:rPr>
        <w:t>R</w:t>
      </w:r>
      <w:r w:rsidR="00F75337" w:rsidRPr="00486DF6">
        <w:rPr>
          <w:rFonts w:ascii="Times New Roman" w:eastAsia="Calibri" w:hAnsi="Times New Roman" w:cs="Times New Roman"/>
          <w:lang w:val="en-US"/>
        </w:rPr>
        <w:t>esolutions</w:t>
      </w:r>
      <w:r w:rsidR="00D404AF" w:rsidRPr="00486DF6">
        <w:rPr>
          <w:rFonts w:ascii="Times New Roman" w:eastAsia="Calibri" w:hAnsi="Times New Roman" w:cs="Times New Roman"/>
          <w:lang w:val="en-US"/>
        </w:rPr>
        <w:t>.</w:t>
      </w:r>
      <w:r w:rsidR="00F75337" w:rsidRPr="00486DF6">
        <w:rPr>
          <w:rStyle w:val="FootnoteReference"/>
          <w:rFonts w:ascii="Times New Roman" w:eastAsia="Calibri" w:hAnsi="Times New Roman" w:cs="Times New Roman"/>
          <w:lang w:val="en-US"/>
        </w:rPr>
        <w:footnoteReference w:id="32"/>
      </w:r>
    </w:p>
    <w:p w14:paraId="570D281E" w14:textId="39C54F78" w:rsidR="00CB7FEF" w:rsidRDefault="004D342D" w:rsidP="006B4E88">
      <w:pPr>
        <w:spacing w:line="48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Having said that, it is with</w:t>
      </w:r>
      <w:r w:rsidR="00D64CC8" w:rsidRPr="00486DF6">
        <w:rPr>
          <w:rFonts w:ascii="Times New Roman" w:eastAsia="Calibri" w:hAnsi="Times New Roman" w:cs="Times New Roman"/>
          <w:lang w:val="en-US"/>
        </w:rPr>
        <w:t xml:space="preserve"> the advent of</w:t>
      </w:r>
      <w:r w:rsidR="00997DE5" w:rsidRPr="00486DF6">
        <w:rPr>
          <w:rFonts w:ascii="Times New Roman" w:eastAsia="Calibri" w:hAnsi="Times New Roman" w:cs="Times New Roman"/>
          <w:lang w:val="en-US"/>
        </w:rPr>
        <w:t xml:space="preserve"> </w:t>
      </w:r>
      <w:r w:rsidR="00D404AF" w:rsidRPr="00486DF6">
        <w:rPr>
          <w:rFonts w:ascii="Times New Roman" w:eastAsia="Calibri" w:hAnsi="Times New Roman" w:cs="Times New Roman"/>
          <w:lang w:val="en-US"/>
        </w:rPr>
        <w:t xml:space="preserve">John </w:t>
      </w:r>
      <w:r w:rsidR="00997DE5" w:rsidRPr="00486DF6">
        <w:rPr>
          <w:rFonts w:ascii="Times New Roman" w:eastAsia="Calibri" w:hAnsi="Times New Roman" w:cs="Times New Roman"/>
          <w:lang w:val="en-US"/>
        </w:rPr>
        <w:t>Calhoun</w:t>
      </w:r>
      <w:r>
        <w:rPr>
          <w:rFonts w:ascii="Times New Roman" w:eastAsia="Calibri" w:hAnsi="Times New Roman" w:cs="Times New Roman"/>
          <w:lang w:val="en-US"/>
        </w:rPr>
        <w:t xml:space="preserve"> that</w:t>
      </w:r>
      <w:r w:rsidR="00997DE5" w:rsidRPr="00486DF6">
        <w:rPr>
          <w:rFonts w:ascii="Times New Roman" w:eastAsia="Calibri" w:hAnsi="Times New Roman" w:cs="Times New Roman"/>
          <w:lang w:val="en-US"/>
        </w:rPr>
        <w:t xml:space="preserve"> </w:t>
      </w:r>
      <w:r>
        <w:rPr>
          <w:rFonts w:ascii="Times New Roman" w:eastAsia="Calibri" w:hAnsi="Times New Roman" w:cs="Times New Roman"/>
          <w:lang w:val="en-US"/>
        </w:rPr>
        <w:t xml:space="preserve">the conceptualization of </w:t>
      </w:r>
      <w:r w:rsidR="00997DE5" w:rsidRPr="00486DF6">
        <w:rPr>
          <w:rFonts w:ascii="Times New Roman" w:eastAsia="Calibri" w:hAnsi="Times New Roman" w:cs="Times New Roman"/>
          <w:lang w:val="en-US"/>
        </w:rPr>
        <w:t>nullification</w:t>
      </w:r>
      <w:r>
        <w:rPr>
          <w:rFonts w:ascii="Times New Roman" w:eastAsia="Calibri" w:hAnsi="Times New Roman" w:cs="Times New Roman"/>
          <w:lang w:val="en-US"/>
        </w:rPr>
        <w:t xml:space="preserve"> changes from</w:t>
      </w:r>
      <w:r w:rsidR="00997DE5" w:rsidRPr="00486DF6">
        <w:rPr>
          <w:rFonts w:ascii="Times New Roman" w:eastAsia="Calibri" w:hAnsi="Times New Roman" w:cs="Times New Roman"/>
          <w:lang w:val="en-US"/>
        </w:rPr>
        <w:t xml:space="preserve"> a shield </w:t>
      </w:r>
      <w:r>
        <w:rPr>
          <w:rFonts w:ascii="Times New Roman" w:eastAsia="Calibri" w:hAnsi="Times New Roman" w:cs="Times New Roman"/>
          <w:lang w:val="en-US"/>
        </w:rPr>
        <w:t xml:space="preserve">with which </w:t>
      </w:r>
      <w:r w:rsidR="006B4E88">
        <w:rPr>
          <w:rFonts w:ascii="Times New Roman" w:eastAsia="Calibri" w:hAnsi="Times New Roman" w:cs="Times New Roman"/>
          <w:lang w:val="en-US"/>
        </w:rPr>
        <w:t>states wished to</w:t>
      </w:r>
      <w:r w:rsidRPr="00486DF6">
        <w:rPr>
          <w:rFonts w:ascii="Times New Roman" w:eastAsia="Calibri" w:hAnsi="Times New Roman" w:cs="Times New Roman"/>
          <w:lang w:val="en-US"/>
        </w:rPr>
        <w:t xml:space="preserve"> defend the rights of </w:t>
      </w:r>
      <w:r w:rsidR="006B4E88">
        <w:rPr>
          <w:rFonts w:ascii="Times New Roman" w:eastAsia="Calibri" w:hAnsi="Times New Roman" w:cs="Times New Roman"/>
          <w:lang w:val="en-US"/>
        </w:rPr>
        <w:t>their</w:t>
      </w:r>
      <w:r w:rsidRPr="00486DF6">
        <w:rPr>
          <w:rFonts w:ascii="Times New Roman" w:eastAsia="Calibri" w:hAnsi="Times New Roman" w:cs="Times New Roman"/>
          <w:lang w:val="en-US"/>
        </w:rPr>
        <w:t xml:space="preserve"> citizens</w:t>
      </w:r>
      <w:r>
        <w:rPr>
          <w:rFonts w:ascii="Times New Roman" w:eastAsia="Calibri" w:hAnsi="Times New Roman" w:cs="Times New Roman"/>
          <w:lang w:val="en-US"/>
        </w:rPr>
        <w:t xml:space="preserve"> to</w:t>
      </w:r>
      <w:r w:rsidRPr="00486DF6">
        <w:rPr>
          <w:rFonts w:ascii="Times New Roman" w:eastAsia="Calibri" w:hAnsi="Times New Roman" w:cs="Times New Roman"/>
          <w:lang w:val="en-US"/>
        </w:rPr>
        <w:t xml:space="preserve"> a sword with which </w:t>
      </w:r>
      <w:r w:rsidR="006B4E88">
        <w:rPr>
          <w:rFonts w:ascii="Times New Roman" w:eastAsia="Calibri" w:hAnsi="Times New Roman" w:cs="Times New Roman"/>
          <w:lang w:val="en-US"/>
        </w:rPr>
        <w:t>they aimed at</w:t>
      </w:r>
      <w:r>
        <w:rPr>
          <w:rFonts w:ascii="Times New Roman" w:eastAsia="Calibri" w:hAnsi="Times New Roman" w:cs="Times New Roman"/>
          <w:lang w:val="en-US"/>
        </w:rPr>
        <w:t xml:space="preserve"> </w:t>
      </w:r>
      <w:r w:rsidR="00997DE5" w:rsidRPr="00486DF6">
        <w:rPr>
          <w:rFonts w:ascii="Times New Roman" w:eastAsia="Calibri" w:hAnsi="Times New Roman" w:cs="Times New Roman"/>
          <w:lang w:val="en-US"/>
        </w:rPr>
        <w:t>protect</w:t>
      </w:r>
      <w:r w:rsidR="006B4E88">
        <w:rPr>
          <w:rFonts w:ascii="Times New Roman" w:eastAsia="Calibri" w:hAnsi="Times New Roman" w:cs="Times New Roman"/>
          <w:lang w:val="en-US"/>
        </w:rPr>
        <w:t>ing</w:t>
      </w:r>
      <w:r w:rsidR="00997DE5" w:rsidRPr="00486DF6">
        <w:rPr>
          <w:rFonts w:ascii="Times New Roman" w:eastAsia="Calibri" w:hAnsi="Times New Roman" w:cs="Times New Roman"/>
          <w:lang w:val="en-US"/>
        </w:rPr>
        <w:t xml:space="preserve"> the</w:t>
      </w:r>
      <w:r w:rsidR="006B4E88">
        <w:rPr>
          <w:rFonts w:ascii="Times New Roman" w:eastAsia="Calibri" w:hAnsi="Times New Roman" w:cs="Times New Roman"/>
          <w:lang w:val="en-US"/>
        </w:rPr>
        <w:t>ir</w:t>
      </w:r>
      <w:r w:rsidR="00997DE5" w:rsidRPr="00486DF6">
        <w:rPr>
          <w:rFonts w:ascii="Times New Roman" w:eastAsia="Calibri" w:hAnsi="Times New Roman" w:cs="Times New Roman"/>
          <w:lang w:val="en-US"/>
        </w:rPr>
        <w:t xml:space="preserve"> sovereignty. </w:t>
      </w:r>
      <w:r w:rsidR="006B4E88">
        <w:rPr>
          <w:rFonts w:ascii="Times New Roman" w:eastAsia="Calibri" w:hAnsi="Times New Roman" w:cs="Times New Roman"/>
          <w:lang w:val="en-US"/>
        </w:rPr>
        <w:t>I</w:t>
      </w:r>
      <w:r w:rsidR="00997DE5" w:rsidRPr="00486DF6">
        <w:rPr>
          <w:rFonts w:ascii="Times New Roman" w:eastAsia="Calibri" w:hAnsi="Times New Roman" w:cs="Times New Roman"/>
          <w:lang w:val="en-US"/>
        </w:rPr>
        <w:t>n the South Carolina Exposition and Protest</w:t>
      </w:r>
      <w:r w:rsidR="006B4E88">
        <w:rPr>
          <w:rFonts w:ascii="Times New Roman" w:eastAsia="Calibri" w:hAnsi="Times New Roman" w:cs="Times New Roman"/>
          <w:lang w:val="en-US"/>
        </w:rPr>
        <w:t>,</w:t>
      </w:r>
      <w:r w:rsidR="006B4E88" w:rsidRPr="006B4E88">
        <w:rPr>
          <w:rFonts w:ascii="Times New Roman" w:eastAsia="Calibri" w:hAnsi="Times New Roman" w:cs="Times New Roman"/>
          <w:vertAlign w:val="superscript"/>
          <w:lang w:val="en-US"/>
        </w:rPr>
        <w:t xml:space="preserve"> </w:t>
      </w:r>
      <w:r w:rsidR="006B4E88" w:rsidRPr="00486DF6">
        <w:rPr>
          <w:rFonts w:ascii="Times New Roman" w:eastAsia="Calibri" w:hAnsi="Times New Roman" w:cs="Times New Roman"/>
          <w:vertAlign w:val="superscript"/>
          <w:lang w:val="en-US"/>
        </w:rPr>
        <w:footnoteReference w:id="33"/>
      </w:r>
      <w:r w:rsidR="006B4E88" w:rsidRPr="00486DF6">
        <w:rPr>
          <w:rFonts w:ascii="Times New Roman" w:eastAsia="Calibri" w:hAnsi="Times New Roman" w:cs="Times New Roman"/>
          <w:lang w:val="en-US"/>
        </w:rPr>
        <w:t xml:space="preserve"> </w:t>
      </w:r>
      <w:r w:rsidR="006B4E88">
        <w:rPr>
          <w:rFonts w:ascii="Times New Roman" w:eastAsia="Calibri" w:hAnsi="Times New Roman" w:cs="Times New Roman"/>
          <w:lang w:val="en-US"/>
        </w:rPr>
        <w:t>Calhoun</w:t>
      </w:r>
      <w:r w:rsidR="00997DE5" w:rsidRPr="00486DF6">
        <w:rPr>
          <w:rFonts w:ascii="Times New Roman" w:eastAsia="Calibri" w:hAnsi="Times New Roman" w:cs="Times New Roman"/>
          <w:lang w:val="en-US"/>
        </w:rPr>
        <w:t xml:space="preserve"> refer</w:t>
      </w:r>
      <w:r w:rsidR="006B4E88">
        <w:rPr>
          <w:rFonts w:ascii="Times New Roman" w:eastAsia="Calibri" w:hAnsi="Times New Roman" w:cs="Times New Roman"/>
          <w:lang w:val="en-US"/>
        </w:rPr>
        <w:t>s</w:t>
      </w:r>
      <w:r w:rsidR="00997DE5" w:rsidRPr="00486DF6">
        <w:rPr>
          <w:rFonts w:ascii="Times New Roman" w:eastAsia="Calibri" w:hAnsi="Times New Roman" w:cs="Times New Roman"/>
          <w:lang w:val="en-US"/>
        </w:rPr>
        <w:t xml:space="preserve"> to the unjust nature of the federation that would seem to privilege the interests of the</w:t>
      </w:r>
      <w:r w:rsidR="008C1D5F" w:rsidRPr="00486DF6">
        <w:rPr>
          <w:rFonts w:ascii="Times New Roman" w:eastAsia="Calibri" w:hAnsi="Times New Roman" w:cs="Times New Roman"/>
          <w:lang w:val="en-US"/>
        </w:rPr>
        <w:t xml:space="preserve"> </w:t>
      </w:r>
      <w:r w:rsidR="00D13A4E" w:rsidRPr="00486DF6">
        <w:rPr>
          <w:rFonts w:ascii="Times New Roman" w:eastAsia="Calibri" w:hAnsi="Times New Roman" w:cs="Times New Roman"/>
          <w:lang w:val="en-US"/>
        </w:rPr>
        <w:t>N</w:t>
      </w:r>
      <w:r w:rsidR="008C1D5F" w:rsidRPr="00486DF6">
        <w:rPr>
          <w:rFonts w:ascii="Times New Roman" w:eastAsia="Calibri" w:hAnsi="Times New Roman" w:cs="Times New Roman"/>
          <w:lang w:val="en-US"/>
        </w:rPr>
        <w:t>orth</w:t>
      </w:r>
      <w:r w:rsidR="00997DE5" w:rsidRPr="00486DF6">
        <w:rPr>
          <w:rFonts w:ascii="Times New Roman" w:eastAsia="Calibri" w:hAnsi="Times New Roman" w:cs="Times New Roman"/>
          <w:lang w:val="en-US"/>
        </w:rPr>
        <w:t xml:space="preserve"> over those of the </w:t>
      </w:r>
      <w:r w:rsidR="00D13A4E" w:rsidRPr="00486DF6">
        <w:rPr>
          <w:rFonts w:ascii="Times New Roman" w:eastAsia="Calibri" w:hAnsi="Times New Roman" w:cs="Times New Roman"/>
          <w:lang w:val="en-US"/>
        </w:rPr>
        <w:t>S</w:t>
      </w:r>
      <w:r w:rsidR="00997DE5" w:rsidRPr="00486DF6">
        <w:rPr>
          <w:rFonts w:ascii="Times New Roman" w:eastAsia="Calibri" w:hAnsi="Times New Roman" w:cs="Times New Roman"/>
          <w:lang w:val="en-US"/>
        </w:rPr>
        <w:t>outh</w:t>
      </w:r>
      <w:r w:rsidR="00A5122C">
        <w:rPr>
          <w:rFonts w:ascii="Times New Roman" w:eastAsia="Calibri" w:hAnsi="Times New Roman" w:cs="Times New Roman"/>
          <w:lang w:val="en-US"/>
        </w:rPr>
        <w:t>.</w:t>
      </w:r>
      <w:r w:rsidR="006B4E88">
        <w:rPr>
          <w:rFonts w:ascii="Times New Roman" w:eastAsia="Calibri" w:hAnsi="Times New Roman" w:cs="Times New Roman"/>
          <w:lang w:val="en-US"/>
        </w:rPr>
        <w:t xml:space="preserve"> In this document</w:t>
      </w:r>
      <w:r>
        <w:rPr>
          <w:rFonts w:ascii="Times New Roman" w:eastAsia="Calibri" w:hAnsi="Times New Roman" w:cs="Times New Roman"/>
          <w:lang w:val="en-US"/>
        </w:rPr>
        <w:t xml:space="preserve"> </w:t>
      </w:r>
      <w:r w:rsidRPr="00486DF6">
        <w:rPr>
          <w:rFonts w:ascii="Times New Roman" w:eastAsia="Calibri" w:hAnsi="Times New Roman" w:cs="Times New Roman"/>
          <w:lang w:val="en-US"/>
        </w:rPr>
        <w:t xml:space="preserve">and in his letter to General James Hamilton, Calhoun took up and developed elements already present in the so-called </w:t>
      </w:r>
      <w:r w:rsidRPr="00486DF6">
        <w:rPr>
          <w:rFonts w:ascii="Times New Roman" w:eastAsia="Calibri" w:hAnsi="Times New Roman" w:cs="Times New Roman"/>
          <w:i/>
          <w:iCs/>
          <w:lang w:val="en-US"/>
        </w:rPr>
        <w:t>Principles of '98</w:t>
      </w:r>
      <w:r w:rsidRPr="00486DF6">
        <w:rPr>
          <w:rFonts w:ascii="Times New Roman" w:eastAsia="Calibri" w:hAnsi="Times New Roman" w:cs="Times New Roman"/>
          <w:lang w:val="en-US"/>
        </w:rPr>
        <w:t>,</w:t>
      </w:r>
      <w:r w:rsidRPr="00486DF6">
        <w:rPr>
          <w:rFonts w:ascii="Times New Roman" w:eastAsia="Calibri" w:hAnsi="Times New Roman" w:cs="Times New Roman"/>
          <w:iCs/>
          <w:sz w:val="22"/>
          <w:szCs w:val="22"/>
          <w:vertAlign w:val="superscript"/>
          <w:lang w:val="en-US"/>
        </w:rPr>
        <w:footnoteReference w:id="34"/>
      </w:r>
      <w:r w:rsidRPr="00486DF6">
        <w:rPr>
          <w:rFonts w:ascii="Times New Roman" w:eastAsia="Calibri" w:hAnsi="Times New Roman" w:cs="Times New Roman"/>
          <w:lang w:val="en-US"/>
        </w:rPr>
        <w:t xml:space="preserve"> which were proclaimed in response to the passing of the Alien and Sedition Acts. Notably, reference was made to the famous Kentucky and Virginia resolutions and to the </w:t>
      </w:r>
      <w:r w:rsidRPr="00486DF6">
        <w:rPr>
          <w:rFonts w:ascii="Times New Roman" w:eastAsia="Calibri" w:hAnsi="Times New Roman" w:cs="Times New Roman"/>
          <w:lang w:val="en-US"/>
        </w:rPr>
        <w:lastRenderedPageBreak/>
        <w:t>concepts of nullification and interposition,</w:t>
      </w:r>
      <w:r w:rsidRPr="00486DF6">
        <w:rPr>
          <w:rFonts w:ascii="Times New Roman" w:eastAsia="Calibri" w:hAnsi="Times New Roman" w:cs="Times New Roman"/>
          <w:sz w:val="22"/>
          <w:szCs w:val="22"/>
          <w:vertAlign w:val="superscript"/>
          <w:lang w:val="en-US"/>
        </w:rPr>
        <w:footnoteReference w:id="35"/>
      </w:r>
      <w:r w:rsidRPr="00486DF6">
        <w:rPr>
          <w:rFonts w:ascii="Times New Roman" w:eastAsia="Calibri" w:hAnsi="Times New Roman" w:cs="Times New Roman"/>
          <w:lang w:val="en-US"/>
        </w:rPr>
        <w:t xml:space="preserve"> based on the premise that the interpreters of the states’ rights were the states themselves.</w:t>
      </w:r>
      <w:r w:rsidRPr="00486DF6">
        <w:rPr>
          <w:rStyle w:val="FootnoteReference"/>
          <w:rFonts w:ascii="Times New Roman" w:eastAsia="Calibri" w:hAnsi="Times New Roman" w:cs="Times New Roman"/>
          <w:lang w:val="en-US"/>
        </w:rPr>
        <w:footnoteReference w:id="36"/>
      </w:r>
      <w:r>
        <w:rPr>
          <w:rFonts w:ascii="Times New Roman" w:eastAsia="Calibri" w:hAnsi="Times New Roman" w:cs="Times New Roman"/>
          <w:lang w:val="en-US"/>
        </w:rPr>
        <w:t xml:space="preserve"> </w:t>
      </w:r>
    </w:p>
    <w:p w14:paraId="12AA13F3" w14:textId="073619AA" w:rsidR="0081317D" w:rsidRPr="00486DF6" w:rsidRDefault="004D342D" w:rsidP="004D342D">
      <w:pPr>
        <w:spacing w:line="48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w:t>
      </w:r>
      <w:r w:rsidRPr="006B4E88">
        <w:rPr>
          <w:rFonts w:ascii="Times New Roman" w:eastAsia="Calibri" w:hAnsi="Times New Roman" w:cs="Times New Roman"/>
          <w:iCs/>
          <w:lang w:val="en-US"/>
        </w:rPr>
        <w:t>South Carolina Exposition and Protest</w:t>
      </w:r>
      <w:r w:rsidR="00997DE5" w:rsidRPr="006B4E88">
        <w:rPr>
          <w:rFonts w:ascii="Times New Roman" w:eastAsia="Calibri" w:hAnsi="Times New Roman" w:cs="Times New Roman"/>
          <w:iCs/>
          <w:lang w:val="en-US"/>
        </w:rPr>
        <w:t xml:space="preserve"> </w:t>
      </w:r>
      <w:r w:rsidR="00997DE5" w:rsidRPr="00486DF6">
        <w:rPr>
          <w:rFonts w:ascii="Times New Roman" w:eastAsia="Calibri" w:hAnsi="Times New Roman" w:cs="Times New Roman"/>
          <w:lang w:val="en-US"/>
        </w:rPr>
        <w:t xml:space="preserve">inspired the </w:t>
      </w:r>
      <w:r>
        <w:rPr>
          <w:rFonts w:ascii="Times New Roman" w:eastAsia="Calibri" w:hAnsi="Times New Roman" w:cs="Times New Roman"/>
          <w:lang w:val="en-US"/>
        </w:rPr>
        <w:t xml:space="preserve">1832 </w:t>
      </w:r>
      <w:r w:rsidR="00997DE5" w:rsidRPr="00486DF6">
        <w:rPr>
          <w:rFonts w:ascii="Times New Roman" w:eastAsia="Calibri" w:hAnsi="Times New Roman" w:cs="Times New Roman"/>
          <w:lang w:val="en-US"/>
        </w:rPr>
        <w:t xml:space="preserve">nullification crisis after the approval of the Tariff of Abominations. </w:t>
      </w:r>
      <w:r w:rsidR="00372EEB" w:rsidRPr="00486DF6">
        <w:rPr>
          <w:rFonts w:ascii="Times New Roman" w:eastAsia="Calibri" w:hAnsi="Times New Roman" w:cs="Times New Roman"/>
          <w:lang w:val="en-US"/>
        </w:rPr>
        <w:t>On that occasion</w:t>
      </w:r>
      <w:r w:rsidR="00985BDF">
        <w:rPr>
          <w:rFonts w:ascii="Times New Roman" w:eastAsia="Calibri" w:hAnsi="Times New Roman" w:cs="Times New Roman"/>
          <w:lang w:val="en-US"/>
        </w:rPr>
        <w:t>,</w:t>
      </w:r>
      <w:r w:rsidR="00997DE5" w:rsidRPr="00486DF6">
        <w:rPr>
          <w:rFonts w:ascii="Times New Roman" w:eastAsia="Calibri" w:hAnsi="Times New Roman" w:cs="Times New Roman"/>
          <w:lang w:val="en-US"/>
        </w:rPr>
        <w:t xml:space="preserve"> a special South Carolina state convention</w:t>
      </w:r>
      <w:r>
        <w:rPr>
          <w:rFonts w:ascii="Times New Roman" w:eastAsia="Calibri" w:hAnsi="Times New Roman" w:cs="Times New Roman"/>
          <w:lang w:val="en-US"/>
        </w:rPr>
        <w:t xml:space="preserve"> </w:t>
      </w:r>
      <w:r w:rsidR="00997DE5" w:rsidRPr="00486DF6">
        <w:rPr>
          <w:rFonts w:ascii="Times New Roman" w:eastAsia="Calibri" w:hAnsi="Times New Roman" w:cs="Times New Roman"/>
          <w:lang w:val="en-US"/>
        </w:rPr>
        <w:t>put into practice Calhoun</w:t>
      </w:r>
      <w:r>
        <w:rPr>
          <w:rFonts w:ascii="Times New Roman" w:eastAsia="Calibri" w:hAnsi="Times New Roman" w:cs="Times New Roman"/>
          <w:lang w:val="en-US"/>
        </w:rPr>
        <w:t>’s ideas by</w:t>
      </w:r>
      <w:r w:rsidR="00D64CC8" w:rsidRPr="00486DF6">
        <w:rPr>
          <w:rFonts w:ascii="Times New Roman" w:eastAsia="Calibri" w:hAnsi="Times New Roman" w:cs="Times New Roman"/>
          <w:lang w:val="en-US"/>
        </w:rPr>
        <w:t xml:space="preserve"> </w:t>
      </w:r>
      <w:r w:rsidR="00997DE5" w:rsidRPr="00486DF6">
        <w:rPr>
          <w:rFonts w:ascii="Times New Roman" w:eastAsia="Calibri" w:hAnsi="Times New Roman" w:cs="Times New Roman"/>
          <w:lang w:val="en-US"/>
        </w:rPr>
        <w:t>declar</w:t>
      </w:r>
      <w:r>
        <w:rPr>
          <w:rFonts w:ascii="Times New Roman" w:eastAsia="Calibri" w:hAnsi="Times New Roman" w:cs="Times New Roman"/>
          <w:lang w:val="en-US"/>
        </w:rPr>
        <w:t>ing</w:t>
      </w:r>
      <w:r w:rsidR="00997DE5" w:rsidRPr="00486DF6">
        <w:rPr>
          <w:rFonts w:ascii="Times New Roman" w:eastAsia="Calibri" w:hAnsi="Times New Roman" w:cs="Times New Roman"/>
          <w:lang w:val="en-US"/>
        </w:rPr>
        <w:t xml:space="preserve"> federal acts “null, void, and no law, nor binding upon this State, its officers or citizens” with the well-known ordinance of nullification of 1832. This</w:t>
      </w:r>
      <w:r w:rsidR="007266D7" w:rsidRPr="00486DF6">
        <w:rPr>
          <w:rFonts w:ascii="Times New Roman" w:eastAsia="Calibri" w:hAnsi="Times New Roman" w:cs="Times New Roman"/>
          <w:lang w:val="en-US"/>
        </w:rPr>
        <w:t xml:space="preserve"> </w:t>
      </w:r>
      <w:r w:rsidR="00997DE5" w:rsidRPr="00486DF6">
        <w:rPr>
          <w:rFonts w:ascii="Times New Roman" w:eastAsia="Calibri" w:hAnsi="Times New Roman" w:cs="Times New Roman"/>
          <w:lang w:val="en-US"/>
        </w:rPr>
        <w:t>led to Congress passing the Force Bill of 1833, which authori</w:t>
      </w:r>
      <w:r w:rsidR="00985BDF">
        <w:rPr>
          <w:rFonts w:ascii="Times New Roman" w:eastAsia="Calibri" w:hAnsi="Times New Roman" w:cs="Times New Roman"/>
          <w:lang w:val="en-US"/>
        </w:rPr>
        <w:t>z</w:t>
      </w:r>
      <w:r w:rsidR="00997DE5" w:rsidRPr="00486DF6">
        <w:rPr>
          <w:rFonts w:ascii="Times New Roman" w:eastAsia="Calibri" w:hAnsi="Times New Roman" w:cs="Times New Roman"/>
          <w:lang w:val="en-US"/>
        </w:rPr>
        <w:t xml:space="preserve">ed President Jackson to use the army, if necessary, to collect taxes. In turn, </w:t>
      </w:r>
      <w:r w:rsidR="00CB7FEF" w:rsidRPr="00486DF6">
        <w:rPr>
          <w:rFonts w:ascii="Times New Roman" w:eastAsia="Calibri" w:hAnsi="Times New Roman" w:cs="Times New Roman"/>
          <w:lang w:val="en-US"/>
        </w:rPr>
        <w:t>the South Carolina Convention</w:t>
      </w:r>
      <w:r w:rsidR="00997DE5" w:rsidRPr="00486DF6">
        <w:rPr>
          <w:rFonts w:ascii="Times New Roman" w:eastAsia="Calibri" w:hAnsi="Times New Roman" w:cs="Times New Roman"/>
          <w:lang w:val="en-US"/>
        </w:rPr>
        <w:t xml:space="preserve"> </w:t>
      </w:r>
      <w:r w:rsidR="00CB7FEF" w:rsidRPr="00486DF6">
        <w:rPr>
          <w:rFonts w:ascii="Times New Roman" w:eastAsia="Calibri" w:hAnsi="Times New Roman" w:cs="Times New Roman"/>
          <w:lang w:val="en-US"/>
        </w:rPr>
        <w:t xml:space="preserve">declared </w:t>
      </w:r>
      <w:r w:rsidR="00997DE5" w:rsidRPr="00486DF6">
        <w:rPr>
          <w:rFonts w:ascii="Times New Roman" w:eastAsia="Calibri" w:hAnsi="Times New Roman" w:cs="Times New Roman"/>
          <w:lang w:val="en-US"/>
        </w:rPr>
        <w:t xml:space="preserve">the Force Bill </w:t>
      </w:r>
      <w:r w:rsidR="00CB7FEF">
        <w:rPr>
          <w:rFonts w:ascii="Times New Roman" w:eastAsia="Calibri" w:hAnsi="Times New Roman" w:cs="Times New Roman"/>
          <w:lang w:val="en-US"/>
        </w:rPr>
        <w:t xml:space="preserve">as </w:t>
      </w:r>
      <w:r w:rsidR="00985BDF">
        <w:rPr>
          <w:rFonts w:ascii="Times New Roman" w:eastAsia="Calibri" w:hAnsi="Times New Roman" w:cs="Times New Roman"/>
          <w:lang w:val="en-US"/>
        </w:rPr>
        <w:t>“</w:t>
      </w:r>
      <w:r w:rsidR="00997DE5" w:rsidRPr="00486DF6">
        <w:rPr>
          <w:rFonts w:ascii="Times New Roman" w:eastAsia="Calibri" w:hAnsi="Times New Roman" w:cs="Times New Roman"/>
          <w:lang w:val="en-US"/>
        </w:rPr>
        <w:t>null and void</w:t>
      </w:r>
      <w:r w:rsidR="00CB7FEF">
        <w:rPr>
          <w:rFonts w:ascii="Times New Roman" w:eastAsia="Calibri" w:hAnsi="Times New Roman" w:cs="Times New Roman"/>
          <w:lang w:val="en-US"/>
        </w:rPr>
        <w:t>.</w:t>
      </w:r>
      <w:r w:rsidR="00985BDF">
        <w:rPr>
          <w:rFonts w:ascii="Times New Roman" w:eastAsia="Calibri" w:hAnsi="Times New Roman" w:cs="Times New Roman"/>
          <w:lang w:val="en-US"/>
        </w:rPr>
        <w:t>”</w:t>
      </w:r>
      <w:r w:rsidR="00997DE5" w:rsidRPr="00486DF6">
        <w:rPr>
          <w:rFonts w:ascii="Times New Roman" w:eastAsia="Times New Roman" w:hAnsi="Times New Roman" w:cs="Times New Roman"/>
          <w:vertAlign w:val="superscript"/>
          <w:lang w:val="en-US" w:eastAsia="zh-TW"/>
        </w:rPr>
        <w:footnoteReference w:id="37"/>
      </w:r>
      <w:r w:rsidR="00997DE5" w:rsidRPr="00486DF6">
        <w:rPr>
          <w:rFonts w:ascii="Times New Roman" w:eastAsia="Calibri" w:hAnsi="Times New Roman" w:cs="Times New Roman"/>
          <w:lang w:val="en-US"/>
        </w:rPr>
        <w:t xml:space="preserve"> </w:t>
      </w:r>
    </w:p>
    <w:p w14:paraId="77108990" w14:textId="2791646B" w:rsidR="00CB7FEF" w:rsidRDefault="00E603E0" w:rsidP="00CB7FEF">
      <w:pPr>
        <w:widowControl w:val="0"/>
        <w:suppressAutoHyphens/>
        <w:spacing w:line="480" w:lineRule="auto"/>
        <w:ind w:firstLine="720"/>
        <w:jc w:val="both"/>
        <w:rPr>
          <w:rStyle w:val="FootnoteReference"/>
          <w:rFonts w:ascii="Times New Roman" w:hAnsi="Times New Roman" w:cs="Times New Roman"/>
          <w:lang w:val="en-US"/>
        </w:rPr>
      </w:pPr>
      <w:r w:rsidRPr="00486DF6">
        <w:rPr>
          <w:rFonts w:ascii="Times New Roman" w:eastAsia="MS Mincho" w:hAnsi="Times New Roman" w:cs="Times New Roman"/>
          <w:lang w:val="en-US" w:eastAsia="it-IT"/>
        </w:rPr>
        <w:t>It is apparent that</w:t>
      </w:r>
      <w:r w:rsidR="00F31B47" w:rsidRPr="00486DF6">
        <w:rPr>
          <w:rFonts w:ascii="Times New Roman" w:eastAsia="MS Mincho" w:hAnsi="Times New Roman" w:cs="Times New Roman"/>
          <w:lang w:val="en-US" w:eastAsia="it-IT"/>
        </w:rPr>
        <w:t xml:space="preserve"> </w:t>
      </w:r>
      <w:r w:rsidR="00CB7FEF">
        <w:rPr>
          <w:rFonts w:ascii="Times New Roman" w:eastAsia="MS Mincho" w:hAnsi="Times New Roman" w:cs="Times New Roman"/>
          <w:lang w:val="en-US" w:eastAsia="it-IT"/>
        </w:rPr>
        <w:t>while</w:t>
      </w:r>
      <w:r w:rsidR="00454B47" w:rsidRPr="00486DF6">
        <w:rPr>
          <w:rFonts w:ascii="Times New Roman" w:eastAsia="MS Mincho" w:hAnsi="Times New Roman" w:cs="Times New Roman"/>
          <w:lang w:val="en-US" w:eastAsia="it-IT"/>
        </w:rPr>
        <w:t xml:space="preserve"> </w:t>
      </w:r>
      <w:r w:rsidR="004D6222">
        <w:rPr>
          <w:rFonts w:ascii="Times New Roman" w:eastAsia="MS Mincho" w:hAnsi="Times New Roman" w:cs="Times New Roman"/>
          <w:lang w:val="en-US" w:eastAsia="it-IT"/>
        </w:rPr>
        <w:t xml:space="preserve">in the </w:t>
      </w:r>
      <w:proofErr w:type="spellStart"/>
      <w:r w:rsidR="004D6222">
        <w:rPr>
          <w:rFonts w:ascii="Times New Roman" w:eastAsia="MS Mincho" w:hAnsi="Times New Roman" w:cs="Times New Roman"/>
          <w:lang w:val="en-US" w:eastAsia="it-IT"/>
        </w:rPr>
        <w:t>centre</w:t>
      </w:r>
      <w:proofErr w:type="spellEnd"/>
      <w:r w:rsidR="00CB7FEF">
        <w:rPr>
          <w:rFonts w:ascii="Times New Roman" w:eastAsia="MS Mincho" w:hAnsi="Times New Roman" w:cs="Times New Roman"/>
          <w:lang w:val="en-US" w:eastAsia="it-IT"/>
        </w:rPr>
        <w:t xml:space="preserve"> of Jefferson’s thought was a</w:t>
      </w:r>
      <w:r w:rsidR="00997DE5" w:rsidRPr="00486DF6">
        <w:rPr>
          <w:rFonts w:ascii="Times New Roman" w:eastAsia="MS Mincho" w:hAnsi="Times New Roman" w:cs="Times New Roman"/>
          <w:lang w:val="en-US" w:eastAsia="it-IT"/>
        </w:rPr>
        <w:t xml:space="preserve"> theory of natural law and natural rights </w:t>
      </w:r>
      <w:r w:rsidR="00C37878" w:rsidRPr="00486DF6">
        <w:rPr>
          <w:rFonts w:ascii="Times New Roman" w:eastAsia="MS Mincho" w:hAnsi="Times New Roman" w:cs="Times New Roman"/>
          <w:lang w:val="en-US" w:eastAsia="it-IT"/>
        </w:rPr>
        <w:t>(with all the contra</w:t>
      </w:r>
      <w:r w:rsidR="00372EEB" w:rsidRPr="00486DF6">
        <w:rPr>
          <w:rFonts w:ascii="Times New Roman" w:eastAsia="MS Mincho" w:hAnsi="Times New Roman" w:cs="Times New Roman"/>
          <w:lang w:val="en-US" w:eastAsia="it-IT"/>
        </w:rPr>
        <w:t>dictions</w:t>
      </w:r>
      <w:r w:rsidR="00C37878" w:rsidRPr="00486DF6">
        <w:rPr>
          <w:rFonts w:ascii="Times New Roman" w:eastAsia="MS Mincho" w:hAnsi="Times New Roman" w:cs="Times New Roman"/>
          <w:lang w:val="en-US" w:eastAsia="it-IT"/>
        </w:rPr>
        <w:t xml:space="preserve"> that characteri</w:t>
      </w:r>
      <w:r w:rsidRPr="00486DF6">
        <w:rPr>
          <w:rFonts w:ascii="Times New Roman" w:eastAsia="MS Mincho" w:hAnsi="Times New Roman" w:cs="Times New Roman"/>
          <w:lang w:val="en-US" w:eastAsia="it-IT"/>
        </w:rPr>
        <w:t>z</w:t>
      </w:r>
      <w:r w:rsidR="00C37878" w:rsidRPr="00486DF6">
        <w:rPr>
          <w:rFonts w:ascii="Times New Roman" w:eastAsia="MS Mincho" w:hAnsi="Times New Roman" w:cs="Times New Roman"/>
          <w:lang w:val="en-US" w:eastAsia="it-IT"/>
        </w:rPr>
        <w:t>ed his thought</w:t>
      </w:r>
      <w:r w:rsidR="00C37878" w:rsidRPr="00486DF6">
        <w:rPr>
          <w:rStyle w:val="FootnoteReference"/>
          <w:rFonts w:ascii="Times New Roman" w:eastAsia="MS Mincho" w:hAnsi="Times New Roman" w:cs="Times New Roman"/>
          <w:lang w:val="en-US" w:eastAsia="it-IT"/>
        </w:rPr>
        <w:footnoteReference w:id="38"/>
      </w:r>
      <w:r w:rsidR="00C37878" w:rsidRPr="00486DF6">
        <w:rPr>
          <w:rFonts w:ascii="Times New Roman" w:eastAsia="MS Mincho" w:hAnsi="Times New Roman" w:cs="Times New Roman"/>
          <w:lang w:val="en-US" w:eastAsia="it-IT"/>
        </w:rPr>
        <w:t>)</w:t>
      </w:r>
      <w:r w:rsidR="00997DE5" w:rsidRPr="00486DF6">
        <w:rPr>
          <w:rFonts w:ascii="Times New Roman" w:eastAsia="MS Mincho" w:hAnsi="Times New Roman" w:cs="Times New Roman"/>
          <w:lang w:val="en-US" w:eastAsia="it-IT"/>
        </w:rPr>
        <w:t xml:space="preserve">, </w:t>
      </w:r>
      <w:r w:rsidR="00454B47" w:rsidRPr="00486DF6">
        <w:rPr>
          <w:rFonts w:ascii="Times New Roman" w:eastAsia="MS Mincho" w:hAnsi="Times New Roman" w:cs="Times New Roman"/>
          <w:lang w:val="en-US" w:eastAsia="it-IT"/>
        </w:rPr>
        <w:t xml:space="preserve">for </w:t>
      </w:r>
      <w:r w:rsidR="00997DE5" w:rsidRPr="00486DF6">
        <w:rPr>
          <w:rFonts w:ascii="Times New Roman" w:eastAsia="MS Mincho" w:hAnsi="Times New Roman" w:cs="Times New Roman"/>
          <w:lang w:val="en-US" w:eastAsia="it-IT"/>
        </w:rPr>
        <w:t xml:space="preserve">Calhoun the premise </w:t>
      </w:r>
      <w:r w:rsidR="00454B47" w:rsidRPr="00486DF6">
        <w:rPr>
          <w:rFonts w:ascii="Times New Roman" w:eastAsia="MS Mincho" w:hAnsi="Times New Roman" w:cs="Times New Roman"/>
          <w:lang w:val="en-US" w:eastAsia="it-IT"/>
        </w:rPr>
        <w:t xml:space="preserve">was that </w:t>
      </w:r>
      <w:r w:rsidR="00997DE5" w:rsidRPr="00486DF6">
        <w:rPr>
          <w:rFonts w:ascii="Times New Roman" w:eastAsia="MS Mincho" w:hAnsi="Times New Roman" w:cs="Times New Roman"/>
          <w:lang w:val="en-US" w:eastAsia="it-IT"/>
        </w:rPr>
        <w:t xml:space="preserve">the sovereignty of the states must be preserved against abuses </w:t>
      </w:r>
      <w:r w:rsidR="00454B47" w:rsidRPr="00486DF6">
        <w:rPr>
          <w:rFonts w:ascii="Times New Roman" w:eastAsia="MS Mincho" w:hAnsi="Times New Roman" w:cs="Times New Roman"/>
          <w:lang w:val="en-US" w:eastAsia="it-IT"/>
        </w:rPr>
        <w:t xml:space="preserve">at </w:t>
      </w:r>
      <w:r w:rsidR="00997DE5" w:rsidRPr="00486DF6">
        <w:rPr>
          <w:rFonts w:ascii="Times New Roman" w:eastAsia="MS Mincho" w:hAnsi="Times New Roman" w:cs="Times New Roman"/>
          <w:lang w:val="en-US" w:eastAsia="it-IT"/>
        </w:rPr>
        <w:t>the federal level</w:t>
      </w:r>
      <w:r w:rsidR="0081317D" w:rsidRPr="00486DF6">
        <w:rPr>
          <w:rFonts w:ascii="Times New Roman" w:eastAsia="MS Mincho" w:hAnsi="Times New Roman" w:cs="Times New Roman"/>
          <w:lang w:val="en-US" w:eastAsia="it-IT"/>
        </w:rPr>
        <w:t>—</w:t>
      </w:r>
      <w:r w:rsidR="00997DE5" w:rsidRPr="00486DF6">
        <w:rPr>
          <w:rFonts w:ascii="Times New Roman" w:eastAsia="MS Mincho" w:hAnsi="Times New Roman" w:cs="Times New Roman"/>
          <w:lang w:val="en-US" w:eastAsia="it-IT"/>
        </w:rPr>
        <w:t>against</w:t>
      </w:r>
      <w:r w:rsidR="0081317D" w:rsidRPr="00486DF6">
        <w:rPr>
          <w:rFonts w:ascii="Times New Roman" w:eastAsia="MS Mincho" w:hAnsi="Times New Roman" w:cs="Times New Roman"/>
          <w:lang w:val="en-US" w:eastAsia="it-IT"/>
        </w:rPr>
        <w:t xml:space="preserve"> </w:t>
      </w:r>
      <w:r w:rsidR="00997DE5" w:rsidRPr="00486DF6">
        <w:rPr>
          <w:rFonts w:ascii="Times New Roman" w:eastAsia="MS Mincho" w:hAnsi="Times New Roman" w:cs="Times New Roman"/>
          <w:lang w:val="en-US" w:eastAsia="it-IT"/>
        </w:rPr>
        <w:t xml:space="preserve">the </w:t>
      </w:r>
      <w:r w:rsidR="00997DE5" w:rsidRPr="00486DF6">
        <w:rPr>
          <w:rFonts w:ascii="Times New Roman" w:eastAsia="MS Mincho" w:hAnsi="Times New Roman" w:cs="Times New Roman"/>
          <w:i/>
          <w:iCs/>
          <w:lang w:val="en-US" w:eastAsia="it-IT"/>
        </w:rPr>
        <w:t>ultra vires</w:t>
      </w:r>
      <w:r w:rsidR="00997DE5" w:rsidRPr="00486DF6">
        <w:rPr>
          <w:rFonts w:ascii="Times New Roman" w:eastAsia="MS Mincho" w:hAnsi="Times New Roman" w:cs="Times New Roman"/>
          <w:lang w:val="en-US" w:eastAsia="it-IT"/>
        </w:rPr>
        <w:t xml:space="preserve"> acts of the federation. In this context, the interpreters of the Constitution are primarily the states (and in particular state political actors) rather than the US Supreme Court, which, not surprisingly, was one of Calhoun's polemical idols</w:t>
      </w:r>
      <w:r w:rsidR="00CB7FEF">
        <w:rPr>
          <w:rFonts w:ascii="Times New Roman" w:eastAsia="MS Mincho" w:hAnsi="Times New Roman" w:cs="Times New Roman"/>
          <w:lang w:val="en-US" w:eastAsia="it-IT"/>
        </w:rPr>
        <w:t>. This is particularly</w:t>
      </w:r>
      <w:r w:rsidR="0081317D" w:rsidRPr="00486DF6">
        <w:rPr>
          <w:rFonts w:ascii="Times New Roman" w:eastAsia="MS Mincho" w:hAnsi="Times New Roman" w:cs="Times New Roman"/>
          <w:lang w:val="en-US" w:eastAsia="it-IT"/>
        </w:rPr>
        <w:t xml:space="preserve"> evident in his</w:t>
      </w:r>
      <w:r w:rsidR="00997DE5" w:rsidRPr="00486DF6">
        <w:rPr>
          <w:rFonts w:ascii="Times New Roman" w:eastAsia="MS Mincho" w:hAnsi="Times New Roman" w:cs="Times New Roman"/>
          <w:lang w:val="en-US" w:eastAsia="it-IT"/>
        </w:rPr>
        <w:t xml:space="preserve"> criticism of decisions such as</w:t>
      </w:r>
      <w:r w:rsidR="004D6222">
        <w:rPr>
          <w:rFonts w:ascii="Times New Roman" w:eastAsia="MS Mincho" w:hAnsi="Times New Roman" w:cs="Times New Roman"/>
          <w:lang w:val="en-US" w:eastAsia="it-IT"/>
        </w:rPr>
        <w:t xml:space="preserve"> the ones in</w:t>
      </w:r>
      <w:r w:rsidR="00997DE5" w:rsidRPr="00486DF6">
        <w:rPr>
          <w:rFonts w:ascii="Times New Roman" w:eastAsia="MS Mincho" w:hAnsi="Times New Roman" w:cs="Times New Roman"/>
          <w:lang w:val="en-US" w:eastAsia="it-IT"/>
        </w:rPr>
        <w:t xml:space="preserve"> </w:t>
      </w:r>
      <w:r w:rsidR="00997DE5" w:rsidRPr="00486DF6">
        <w:rPr>
          <w:rFonts w:ascii="Times New Roman" w:eastAsia="MS Mincho" w:hAnsi="Times New Roman" w:cs="Times New Roman"/>
          <w:i/>
          <w:iCs/>
          <w:lang w:val="en-US" w:eastAsia="it-IT"/>
        </w:rPr>
        <w:t xml:space="preserve">Marbury v. Madison </w:t>
      </w:r>
      <w:r w:rsidR="00997DE5" w:rsidRPr="00486DF6">
        <w:rPr>
          <w:rFonts w:ascii="Times New Roman" w:eastAsia="MS Mincho" w:hAnsi="Times New Roman" w:cs="Times New Roman"/>
          <w:lang w:val="en-US" w:eastAsia="it-IT"/>
        </w:rPr>
        <w:t xml:space="preserve">and </w:t>
      </w:r>
      <w:r w:rsidR="00997DE5" w:rsidRPr="00486DF6">
        <w:rPr>
          <w:rFonts w:ascii="Times New Roman" w:hAnsi="Times New Roman" w:cs="Times New Roman"/>
          <w:i/>
          <w:iCs/>
          <w:lang w:val="en-US"/>
        </w:rPr>
        <w:t>Martin v Hunter’s Lessee</w:t>
      </w:r>
      <w:r w:rsidR="008C6649" w:rsidRPr="00486DF6">
        <w:rPr>
          <w:rFonts w:ascii="Times New Roman" w:hAnsi="Times New Roman" w:cs="Times New Roman"/>
          <w:i/>
          <w:iCs/>
          <w:lang w:val="en-US"/>
        </w:rPr>
        <w:t>.</w:t>
      </w:r>
      <w:r w:rsidR="00997DE5" w:rsidRPr="00486DF6">
        <w:rPr>
          <w:rStyle w:val="FootnoteReference"/>
          <w:rFonts w:ascii="Times New Roman" w:hAnsi="Times New Roman" w:cs="Times New Roman"/>
          <w:lang w:val="en-US"/>
        </w:rPr>
        <w:footnoteReference w:id="39"/>
      </w:r>
      <w:r w:rsidR="00997DE5" w:rsidRPr="00486DF6">
        <w:rPr>
          <w:rFonts w:ascii="Times New Roman" w:hAnsi="Times New Roman" w:cs="Times New Roman"/>
          <w:lang w:val="en-US"/>
        </w:rPr>
        <w:t xml:space="preserve"> </w:t>
      </w:r>
      <w:r w:rsidR="00997DE5" w:rsidRPr="00486DF6">
        <w:rPr>
          <w:rFonts w:ascii="Times New Roman" w:eastAsiaTheme="minorEastAsia" w:hAnsi="Times New Roman" w:cs="Times New Roman"/>
          <w:lang w:val="en-US" w:eastAsia="zh-TW"/>
        </w:rPr>
        <w:lastRenderedPageBreak/>
        <w:t>Nullification in Calhoun</w:t>
      </w:r>
      <w:r w:rsidR="004D6222">
        <w:rPr>
          <w:rFonts w:ascii="Times New Roman" w:eastAsiaTheme="minorEastAsia" w:hAnsi="Times New Roman" w:cs="Times New Roman"/>
          <w:lang w:val="en-US" w:eastAsia="zh-TW"/>
        </w:rPr>
        <w:t>’s thought</w:t>
      </w:r>
      <w:r w:rsidR="00997DE5" w:rsidRPr="00486DF6">
        <w:rPr>
          <w:rFonts w:ascii="Times New Roman" w:eastAsiaTheme="minorEastAsia" w:hAnsi="Times New Roman" w:cs="Times New Roman"/>
          <w:lang w:val="en-US" w:eastAsia="zh-TW"/>
        </w:rPr>
        <w:t xml:space="preserve"> was the first step in a possible escalation that could lead to constitutional amendment or secession</w:t>
      </w:r>
      <w:r w:rsidR="00454B47" w:rsidRPr="00486DF6">
        <w:rPr>
          <w:rFonts w:ascii="Times New Roman" w:eastAsiaTheme="minorEastAsia" w:hAnsi="Times New Roman" w:cs="Times New Roman"/>
          <w:lang w:val="en-US" w:eastAsia="zh-TW"/>
        </w:rPr>
        <w:t>.</w:t>
      </w:r>
      <w:r w:rsidR="00997DE5" w:rsidRPr="00486DF6">
        <w:rPr>
          <w:rStyle w:val="FootnoteReference"/>
          <w:rFonts w:ascii="Times New Roman" w:eastAsiaTheme="minorEastAsia" w:hAnsi="Times New Roman" w:cs="Times New Roman"/>
          <w:sz w:val="20"/>
          <w:szCs w:val="20"/>
          <w:lang w:val="en-US" w:eastAsia="zh-TW"/>
        </w:rPr>
        <w:footnoteReference w:id="40"/>
      </w:r>
      <w:r w:rsidR="00CB7FEF">
        <w:rPr>
          <w:rFonts w:ascii="Times New Roman" w:eastAsiaTheme="minorEastAsia" w:hAnsi="Times New Roman" w:cs="Times New Roman"/>
          <w:lang w:val="en-US" w:eastAsia="zh-TW"/>
        </w:rPr>
        <w:t xml:space="preserve"> </w:t>
      </w:r>
      <w:r w:rsidR="004D6222">
        <w:rPr>
          <w:rFonts w:ascii="Times New Roman" w:eastAsiaTheme="minorEastAsia" w:hAnsi="Times New Roman" w:cs="Times New Roman"/>
          <w:lang w:val="en-US" w:eastAsia="zh-TW"/>
        </w:rPr>
        <w:t>It</w:t>
      </w:r>
      <w:r w:rsidR="00997DE5" w:rsidRPr="00486DF6">
        <w:rPr>
          <w:rFonts w:ascii="Times New Roman" w:eastAsia="Times New Roman" w:hAnsi="Times New Roman" w:cs="Times New Roman"/>
          <w:color w:val="000000"/>
          <w:lang w:val="en-US" w:eastAsia="en-GB"/>
        </w:rPr>
        <w:t xml:space="preserve"> is a manifestation of the power that </w:t>
      </w:r>
      <w:r w:rsidR="003C79FD">
        <w:rPr>
          <w:rFonts w:ascii="Times New Roman" w:eastAsia="Times New Roman" w:hAnsi="Times New Roman" w:cs="Times New Roman"/>
          <w:color w:val="000000"/>
          <w:lang w:val="en-US" w:eastAsia="en-GB"/>
        </w:rPr>
        <w:t>s</w:t>
      </w:r>
      <w:r w:rsidR="00997DE5" w:rsidRPr="00486DF6">
        <w:rPr>
          <w:rFonts w:ascii="Times New Roman" w:eastAsia="Times New Roman" w:hAnsi="Times New Roman" w:cs="Times New Roman"/>
          <w:color w:val="000000"/>
          <w:lang w:val="en-US" w:eastAsia="en-GB"/>
        </w:rPr>
        <w:t xml:space="preserve">tates have </w:t>
      </w:r>
      <w:r w:rsidR="00CB7FEF">
        <w:rPr>
          <w:rFonts w:ascii="Times New Roman" w:eastAsia="Times New Roman" w:hAnsi="Times New Roman" w:cs="Times New Roman"/>
          <w:color w:val="000000"/>
          <w:lang w:val="en-US" w:eastAsia="en-GB"/>
        </w:rPr>
        <w:t>as</w:t>
      </w:r>
      <w:r w:rsidR="00997DE5" w:rsidRPr="00486DF6">
        <w:rPr>
          <w:rFonts w:ascii="Times New Roman" w:eastAsia="Times New Roman" w:hAnsi="Times New Roman" w:cs="Times New Roman"/>
          <w:color w:val="000000"/>
          <w:lang w:val="en-US" w:eastAsia="en-GB"/>
        </w:rPr>
        <w:t xml:space="preserve"> interpret</w:t>
      </w:r>
      <w:r w:rsidR="00CB7FEF">
        <w:rPr>
          <w:rFonts w:ascii="Times New Roman" w:eastAsia="Times New Roman" w:hAnsi="Times New Roman" w:cs="Times New Roman"/>
          <w:color w:val="000000"/>
          <w:lang w:val="en-US" w:eastAsia="en-GB"/>
        </w:rPr>
        <w:t>ers of</w:t>
      </w:r>
      <w:r w:rsidR="00997DE5" w:rsidRPr="00486DF6">
        <w:rPr>
          <w:rFonts w:ascii="Times New Roman" w:eastAsia="Times New Roman" w:hAnsi="Times New Roman" w:cs="Times New Roman"/>
          <w:color w:val="000000"/>
          <w:lang w:val="en-US" w:eastAsia="en-GB"/>
        </w:rPr>
        <w:t xml:space="preserve"> the compact</w:t>
      </w:r>
      <w:r w:rsidR="00CB7FEF">
        <w:rPr>
          <w:rFonts w:ascii="Times New Roman" w:eastAsia="Times New Roman" w:hAnsi="Times New Roman" w:cs="Times New Roman"/>
          <w:color w:val="000000"/>
          <w:lang w:val="en-US" w:eastAsia="en-GB"/>
        </w:rPr>
        <w:t>.</w:t>
      </w:r>
      <w:r w:rsidR="00997DE5" w:rsidRPr="00486DF6">
        <w:rPr>
          <w:rFonts w:ascii="Times New Roman" w:eastAsia="Times New Roman" w:hAnsi="Times New Roman" w:cs="Times New Roman"/>
          <w:color w:val="000000"/>
          <w:lang w:val="en-US" w:eastAsia="en-GB"/>
        </w:rPr>
        <w:t xml:space="preserve"> </w:t>
      </w:r>
      <w:r w:rsidR="00CB7FEF">
        <w:rPr>
          <w:rFonts w:ascii="Times New Roman" w:eastAsia="Times New Roman" w:hAnsi="Times New Roman" w:cs="Times New Roman"/>
          <w:color w:val="000000"/>
          <w:lang w:val="en-US" w:eastAsia="en-GB"/>
        </w:rPr>
        <w:t>It</w:t>
      </w:r>
      <w:r w:rsidR="00997DE5" w:rsidRPr="00486DF6">
        <w:rPr>
          <w:rFonts w:ascii="Times New Roman" w:eastAsia="Times New Roman" w:hAnsi="Times New Roman" w:cs="Times New Roman"/>
          <w:color w:val="000000"/>
          <w:lang w:val="en-US" w:eastAsia="en-GB"/>
        </w:rPr>
        <w:t xml:space="preserve"> can pave the way to the use of the amendment power and, under certain conditions, to secession.</w:t>
      </w:r>
      <w:r w:rsidR="005743D7" w:rsidRPr="005743D7">
        <w:rPr>
          <w:rStyle w:val="FootnoteReference"/>
          <w:rFonts w:ascii="Times New Roman" w:hAnsi="Times New Roman" w:cs="Times New Roman"/>
          <w:lang w:val="en-US"/>
        </w:rPr>
        <w:t xml:space="preserve"> </w:t>
      </w:r>
    </w:p>
    <w:p w14:paraId="0E893691" w14:textId="7DB593D4" w:rsidR="009A1F9B" w:rsidRPr="00CB7FEF" w:rsidRDefault="009A1F9B" w:rsidP="00CB7FEF">
      <w:pPr>
        <w:widowControl w:val="0"/>
        <w:suppressAutoHyphens/>
        <w:spacing w:line="480" w:lineRule="auto"/>
        <w:ind w:firstLine="720"/>
        <w:jc w:val="both"/>
        <w:rPr>
          <w:rFonts w:ascii="Times New Roman" w:eastAsia="Times New Roman" w:hAnsi="Times New Roman" w:cs="Times New Roman"/>
          <w:color w:val="000000"/>
          <w:lang w:val="en-US" w:eastAsia="en-GB"/>
        </w:rPr>
      </w:pPr>
      <w:r w:rsidRPr="00486DF6">
        <w:rPr>
          <w:rFonts w:ascii="Times New Roman" w:hAnsi="Times New Roman" w:cs="Times New Roman"/>
          <w:lang w:val="en-US"/>
        </w:rPr>
        <w:t>In the</w:t>
      </w:r>
      <w:r w:rsidR="008C1D5F" w:rsidRPr="00486DF6">
        <w:rPr>
          <w:rFonts w:ascii="Times New Roman" w:hAnsi="Times New Roman" w:cs="Times New Roman"/>
          <w:lang w:val="en-US"/>
        </w:rPr>
        <w:t xml:space="preserve"> same</w:t>
      </w:r>
      <w:r w:rsidRPr="00486DF6">
        <w:rPr>
          <w:rFonts w:ascii="Times New Roman" w:hAnsi="Times New Roman" w:cs="Times New Roman"/>
          <w:lang w:val="en-US"/>
        </w:rPr>
        <w:t xml:space="preserve"> letter to General Hamilton</w:t>
      </w:r>
      <w:r w:rsidR="008C1D5F" w:rsidRPr="00486DF6">
        <w:rPr>
          <w:rFonts w:ascii="Times New Roman" w:hAnsi="Times New Roman" w:cs="Times New Roman"/>
          <w:lang w:val="en-US"/>
        </w:rPr>
        <w:t>,</w:t>
      </w:r>
      <w:r w:rsidRPr="00486DF6">
        <w:rPr>
          <w:rFonts w:ascii="Times New Roman" w:hAnsi="Times New Roman" w:cs="Times New Roman"/>
          <w:lang w:val="en-US"/>
        </w:rPr>
        <w:t xml:space="preserve"> </w:t>
      </w:r>
      <w:r w:rsidR="005743D7">
        <w:rPr>
          <w:rFonts w:ascii="Times New Roman" w:hAnsi="Times New Roman" w:cs="Times New Roman"/>
          <w:lang w:val="en-US"/>
        </w:rPr>
        <w:t>he</w:t>
      </w:r>
      <w:r w:rsidRPr="00486DF6">
        <w:rPr>
          <w:rFonts w:ascii="Times New Roman" w:hAnsi="Times New Roman" w:cs="Times New Roman"/>
          <w:lang w:val="en-US"/>
        </w:rPr>
        <w:t xml:space="preserve"> also clarified the relationship between nullification and secession</w:t>
      </w:r>
      <w:r w:rsidR="004D6222">
        <w:rPr>
          <w:rFonts w:ascii="Times New Roman" w:hAnsi="Times New Roman" w:cs="Times New Roman"/>
          <w:lang w:val="en-US"/>
        </w:rPr>
        <w:t>.</w:t>
      </w:r>
      <w:r w:rsidRPr="00486DF6">
        <w:rPr>
          <w:rFonts w:ascii="Times New Roman" w:hAnsi="Times New Roman" w:cs="Times New Roman"/>
          <w:lang w:val="en-US"/>
        </w:rPr>
        <w:t xml:space="preserve"> </w:t>
      </w:r>
      <w:r w:rsidR="004D6222">
        <w:rPr>
          <w:rFonts w:ascii="Times New Roman" w:hAnsi="Times New Roman" w:cs="Times New Roman"/>
          <w:lang w:val="en-US"/>
        </w:rPr>
        <w:t>T</w:t>
      </w:r>
      <w:r w:rsidRPr="00486DF6">
        <w:rPr>
          <w:rFonts w:ascii="Times New Roman" w:hAnsi="Times New Roman" w:cs="Times New Roman"/>
          <w:lang w:val="en-US"/>
        </w:rPr>
        <w:t>he former has a vertical nature, involving the relation between the masters of the compact and the agent produced by the compact, while the latter has a horizontal one</w:t>
      </w:r>
      <w:r w:rsidR="008C6649" w:rsidRPr="00486DF6">
        <w:rPr>
          <w:rFonts w:ascii="Times New Roman" w:hAnsi="Times New Roman" w:cs="Times New Roman"/>
          <w:lang w:val="en-US"/>
        </w:rPr>
        <w:t>,</w:t>
      </w:r>
      <w:r w:rsidRPr="00486DF6">
        <w:rPr>
          <w:rStyle w:val="FootnoteReference"/>
          <w:rFonts w:ascii="Times New Roman" w:hAnsi="Times New Roman" w:cs="Times New Roman"/>
          <w:lang w:val="en-US"/>
        </w:rPr>
        <w:footnoteReference w:id="41"/>
      </w:r>
      <w:r w:rsidRPr="00486DF6">
        <w:rPr>
          <w:rFonts w:ascii="Times New Roman" w:hAnsi="Times New Roman" w:cs="Times New Roman"/>
          <w:lang w:val="en-US"/>
        </w:rPr>
        <w:t xml:space="preserve"> involving only the </w:t>
      </w:r>
      <w:r w:rsidR="003C79FD">
        <w:rPr>
          <w:rFonts w:ascii="Times New Roman" w:hAnsi="Times New Roman" w:cs="Times New Roman"/>
          <w:lang w:val="en-US"/>
        </w:rPr>
        <w:t>s</w:t>
      </w:r>
      <w:r w:rsidRPr="00486DF6">
        <w:rPr>
          <w:rFonts w:ascii="Times New Roman" w:hAnsi="Times New Roman" w:cs="Times New Roman"/>
          <w:lang w:val="en-US"/>
        </w:rPr>
        <w:t>tates, the holders of sovereignty.  For Calhoun</w:t>
      </w:r>
      <w:r w:rsidR="004D6222">
        <w:rPr>
          <w:rFonts w:ascii="Times New Roman" w:hAnsi="Times New Roman" w:cs="Times New Roman"/>
          <w:lang w:val="en-US"/>
        </w:rPr>
        <w:t>,</w:t>
      </w:r>
      <w:r w:rsidRPr="00486DF6">
        <w:rPr>
          <w:rFonts w:ascii="Times New Roman" w:hAnsi="Times New Roman" w:cs="Times New Roman"/>
          <w:lang w:val="en-US"/>
        </w:rPr>
        <w:t xml:space="preserve"> secession was </w:t>
      </w:r>
      <w:r w:rsidR="004D6222">
        <w:rPr>
          <w:rFonts w:ascii="Times New Roman" w:hAnsi="Times New Roman" w:cs="Times New Roman"/>
          <w:lang w:val="en-US"/>
        </w:rPr>
        <w:t xml:space="preserve">potentially </w:t>
      </w:r>
      <w:r w:rsidRPr="00486DF6">
        <w:rPr>
          <w:rFonts w:ascii="Times New Roman" w:hAnsi="Times New Roman" w:cs="Times New Roman"/>
          <w:lang w:val="en-US"/>
        </w:rPr>
        <w:t xml:space="preserve">legal </w:t>
      </w:r>
      <w:r w:rsidR="004D6222">
        <w:rPr>
          <w:rFonts w:ascii="Times New Roman" w:hAnsi="Times New Roman" w:cs="Times New Roman"/>
          <w:lang w:val="en-US"/>
        </w:rPr>
        <w:t>and</w:t>
      </w:r>
      <w:r w:rsidRPr="00486DF6">
        <w:rPr>
          <w:rFonts w:ascii="Times New Roman" w:hAnsi="Times New Roman" w:cs="Times New Roman"/>
          <w:lang w:val="en-US"/>
        </w:rPr>
        <w:t xml:space="preserve"> connected to the very idea of the compact:</w:t>
      </w:r>
    </w:p>
    <w:p w14:paraId="5EE470B7" w14:textId="7ACDADAA" w:rsidR="005D5832" w:rsidRDefault="009A1F9B" w:rsidP="004160F1">
      <w:pPr>
        <w:spacing w:line="480" w:lineRule="auto"/>
        <w:ind w:left="720"/>
        <w:jc w:val="both"/>
        <w:rPr>
          <w:rFonts w:ascii="Times New Roman" w:hAnsi="Times New Roman" w:cs="Times New Roman"/>
          <w:lang w:val="en-US"/>
        </w:rPr>
      </w:pPr>
      <w:r w:rsidRPr="00486DF6">
        <w:rPr>
          <w:rFonts w:ascii="Times New Roman" w:hAnsi="Times New Roman" w:cs="Times New Roman"/>
          <w:sz w:val="20"/>
          <w:szCs w:val="20"/>
          <w:lang w:val="en-US"/>
        </w:rPr>
        <w:t xml:space="preserve">To situate secession in Calhoun’s constitutional doctrine, one must remember that in Calhoun’s system withdrawal from the Union is external, but not foreign, to the constitutional system. By now it should be clear that a state’s right to withdraw does not simply derive from the contractual nature of the Union. Even if the Constitution is a contract, it has the characteristics of a political pact; this in turn creates a series of political obligations clearly distinguishable from merely contractual ones. In a nutshell, Calhoun held that the Constitution is contractual in nature, but in acceding to the pact, a state implicitly accepts the perpetuity of the Union in its political character. If the nature of the Union does not change, it is not permissible to withdraw from the Union itself. Accordingly, secession would not be impossible, but would amount to a Lockean appeal to Heaven; such cases would arise, not from the nature of the Union, but from the right of </w:t>
      </w:r>
      <w:r w:rsidRPr="00486DF6">
        <w:rPr>
          <w:rFonts w:ascii="Times New Roman" w:hAnsi="Times New Roman" w:cs="Times New Roman"/>
          <w:sz w:val="20"/>
          <w:szCs w:val="20"/>
          <w:lang w:val="en-US"/>
        </w:rPr>
        <w:lastRenderedPageBreak/>
        <w:t>self-government of all communities of free human beings. In essence, a ‘pre-political’ right of secession exists, shading over into the right of revolution; there are no significant differences on this point between Webster, Calhoun, Jackson, and the entire American tradition. Institutionalization of power does not eliminate the people’s right to rebel against a despotic government.</w:t>
      </w:r>
      <w:r w:rsidRPr="00486DF6">
        <w:rPr>
          <w:rStyle w:val="FootnoteReference"/>
          <w:rFonts w:ascii="Times New Roman" w:hAnsi="Times New Roman" w:cs="Times New Roman"/>
          <w:sz w:val="20"/>
          <w:szCs w:val="20"/>
          <w:lang w:val="en-US"/>
        </w:rPr>
        <w:footnoteReference w:id="42"/>
      </w:r>
    </w:p>
    <w:p w14:paraId="5DB0357E" w14:textId="0FA44A9F" w:rsidR="009A1F9B" w:rsidRDefault="009A1F9B" w:rsidP="006D2E52">
      <w:pPr>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t xml:space="preserve">However, the instruments </w:t>
      </w:r>
      <w:r w:rsidR="004160F1">
        <w:rPr>
          <w:rFonts w:ascii="Times New Roman" w:hAnsi="Times New Roman" w:cs="Times New Roman"/>
          <w:lang w:val="en-US"/>
        </w:rPr>
        <w:t xml:space="preserve">of </w:t>
      </w:r>
      <w:r w:rsidR="00C61882">
        <w:rPr>
          <w:rFonts w:ascii="Times New Roman" w:hAnsi="Times New Roman" w:cs="Times New Roman"/>
          <w:lang w:val="en-US"/>
        </w:rPr>
        <w:t>n</w:t>
      </w:r>
      <w:r w:rsidRPr="00486DF6">
        <w:rPr>
          <w:rFonts w:ascii="Times New Roman" w:hAnsi="Times New Roman" w:cs="Times New Roman"/>
          <w:lang w:val="en-US"/>
        </w:rPr>
        <w:t>ullification and secession</w:t>
      </w:r>
      <w:r w:rsidR="00C61882">
        <w:rPr>
          <w:rFonts w:ascii="Times New Roman" w:hAnsi="Times New Roman" w:cs="Times New Roman"/>
          <w:lang w:val="en-US"/>
        </w:rPr>
        <w:t xml:space="preserve"> </w:t>
      </w:r>
      <w:r w:rsidRPr="00486DF6">
        <w:rPr>
          <w:rFonts w:ascii="Times New Roman" w:hAnsi="Times New Roman" w:cs="Times New Roman"/>
          <w:lang w:val="en-US"/>
        </w:rPr>
        <w:t>should be used with “prudence and propriety</w:t>
      </w:r>
      <w:r w:rsidR="003C79FD">
        <w:rPr>
          <w:rFonts w:ascii="Times New Roman" w:hAnsi="Times New Roman" w:cs="Times New Roman"/>
          <w:lang w:val="en-US"/>
        </w:rPr>
        <w:t>.</w:t>
      </w:r>
      <w:r w:rsidRPr="00486DF6">
        <w:rPr>
          <w:rFonts w:ascii="Times New Roman" w:hAnsi="Times New Roman" w:cs="Times New Roman"/>
          <w:lang w:val="en-US"/>
        </w:rPr>
        <w:t>”</w:t>
      </w:r>
      <w:r w:rsidRPr="00486DF6">
        <w:rPr>
          <w:rStyle w:val="FootnoteReference"/>
          <w:rFonts w:ascii="Times New Roman" w:hAnsi="Times New Roman" w:cs="Times New Roman"/>
          <w:lang w:val="en-US"/>
        </w:rPr>
        <w:footnoteReference w:id="43"/>
      </w:r>
      <w:r w:rsidRPr="00486DF6">
        <w:rPr>
          <w:rFonts w:ascii="Times New Roman" w:hAnsi="Times New Roman" w:cs="Times New Roman"/>
          <w:lang w:val="en-US"/>
        </w:rPr>
        <w:t xml:space="preserve"> Indeed, in </w:t>
      </w:r>
      <w:r w:rsidR="00084133" w:rsidRPr="00486DF6">
        <w:rPr>
          <w:rFonts w:ascii="Times New Roman" w:hAnsi="Times New Roman" w:cs="Times New Roman"/>
          <w:lang w:val="en-US"/>
        </w:rPr>
        <w:t xml:space="preserve">Calhoun’s </w:t>
      </w:r>
      <w:r w:rsidRPr="00486DF6">
        <w:rPr>
          <w:rFonts w:ascii="Times New Roman" w:hAnsi="Times New Roman" w:cs="Times New Roman"/>
          <w:lang w:val="en-US"/>
        </w:rPr>
        <w:t>view</w:t>
      </w:r>
      <w:r w:rsidR="00242ABE">
        <w:rPr>
          <w:rFonts w:ascii="Times New Roman" w:hAnsi="Times New Roman" w:cs="Times New Roman"/>
          <w:lang w:val="en-US"/>
        </w:rPr>
        <w:t>,</w:t>
      </w:r>
      <w:r w:rsidRPr="00486DF6">
        <w:rPr>
          <w:rFonts w:ascii="Times New Roman" w:hAnsi="Times New Roman" w:cs="Times New Roman"/>
          <w:lang w:val="en-US"/>
        </w:rPr>
        <w:t xml:space="preserve"> secession was possible after an escalation of measures that could be triggered by the use of the nullification doctrine. If the </w:t>
      </w:r>
      <w:r w:rsidR="003C79FD">
        <w:rPr>
          <w:rFonts w:ascii="Times New Roman" w:hAnsi="Times New Roman" w:cs="Times New Roman"/>
          <w:lang w:val="en-US"/>
        </w:rPr>
        <w:t>s</w:t>
      </w:r>
      <w:r w:rsidRPr="00486DF6">
        <w:rPr>
          <w:rFonts w:ascii="Times New Roman" w:hAnsi="Times New Roman" w:cs="Times New Roman"/>
          <w:lang w:val="en-US"/>
        </w:rPr>
        <w:t xml:space="preserve">tate </w:t>
      </w:r>
      <w:r w:rsidR="008C6649" w:rsidRPr="00486DF6">
        <w:rPr>
          <w:rFonts w:ascii="Times New Roman" w:hAnsi="Times New Roman" w:cs="Times New Roman"/>
          <w:lang w:val="en-US"/>
        </w:rPr>
        <w:t xml:space="preserve">that </w:t>
      </w:r>
      <w:r w:rsidRPr="00486DF6">
        <w:rPr>
          <w:rFonts w:ascii="Times New Roman" w:hAnsi="Times New Roman" w:cs="Times New Roman"/>
          <w:lang w:val="en-US"/>
        </w:rPr>
        <w:t xml:space="preserve">triggered nullification and appealed to the supermajority of states is not supported in its interpretation of the compact by the other states, </w:t>
      </w:r>
      <w:r w:rsidR="00906C0A" w:rsidRPr="00486DF6">
        <w:rPr>
          <w:rFonts w:ascii="Times New Roman" w:hAnsi="Times New Roman" w:cs="Times New Roman"/>
          <w:lang w:val="en-US"/>
        </w:rPr>
        <w:t>it will be able to</w:t>
      </w:r>
      <w:r w:rsidRPr="00486DF6">
        <w:rPr>
          <w:rFonts w:ascii="Times New Roman" w:hAnsi="Times New Roman" w:cs="Times New Roman"/>
          <w:lang w:val="en-US"/>
        </w:rPr>
        <w:t xml:space="preserve"> unilaterally leave the Union</w:t>
      </w:r>
      <w:r w:rsidR="003C79FD">
        <w:rPr>
          <w:rFonts w:ascii="Times New Roman" w:hAnsi="Times New Roman" w:cs="Times New Roman"/>
          <w:lang w:val="en-US"/>
        </w:rPr>
        <w:t>.</w:t>
      </w:r>
      <w:r w:rsidRPr="00486DF6">
        <w:rPr>
          <w:rStyle w:val="FootnoteReference"/>
          <w:rFonts w:ascii="Times New Roman" w:hAnsi="Times New Roman" w:cs="Times New Roman"/>
          <w:lang w:val="en-US"/>
        </w:rPr>
        <w:footnoteReference w:id="44"/>
      </w:r>
    </w:p>
    <w:p w14:paraId="07288862" w14:textId="42E6E3D2" w:rsidR="004160F1" w:rsidRDefault="004160F1" w:rsidP="004160F1">
      <w:pPr>
        <w:spacing w:line="480" w:lineRule="auto"/>
        <w:ind w:firstLine="720"/>
        <w:jc w:val="both"/>
        <w:rPr>
          <w:rFonts w:ascii="Times New Roman" w:hAnsi="Times New Roman" w:cs="Times New Roman"/>
        </w:rPr>
      </w:pPr>
      <w:r w:rsidRPr="004160F1">
        <w:rPr>
          <w:rFonts w:ascii="Times New Roman" w:hAnsi="Times New Roman" w:cs="Times New Roman"/>
          <w:lang w:val="en-US"/>
        </w:rPr>
        <w:t>Notwithstanding Calhoun’s views on nullification</w:t>
      </w:r>
      <w:r w:rsidR="000B64D0">
        <w:rPr>
          <w:rFonts w:ascii="Times New Roman" w:hAnsi="Times New Roman" w:cs="Times New Roman"/>
          <w:lang w:val="en-US"/>
        </w:rPr>
        <w:t xml:space="preserve"> and secession</w:t>
      </w:r>
      <w:r w:rsidRPr="004160F1">
        <w:rPr>
          <w:rFonts w:ascii="Times New Roman" w:hAnsi="Times New Roman" w:cs="Times New Roman"/>
          <w:lang w:val="en-US"/>
        </w:rPr>
        <w:t xml:space="preserve">, the ‘national’ </w:t>
      </w:r>
      <w:r w:rsidR="00366B70">
        <w:rPr>
          <w:rFonts w:ascii="Times New Roman" w:hAnsi="Times New Roman" w:cs="Times New Roman"/>
          <w:lang w:val="en-US"/>
        </w:rPr>
        <w:t>response to</w:t>
      </w:r>
      <w:r w:rsidRPr="004160F1">
        <w:rPr>
          <w:rFonts w:ascii="Times New Roman" w:hAnsi="Times New Roman" w:cs="Times New Roman"/>
          <w:lang w:val="en-US"/>
        </w:rPr>
        <w:t xml:space="preserve"> th</w:t>
      </w:r>
      <w:r w:rsidR="003F3369">
        <w:rPr>
          <w:rFonts w:ascii="Times New Roman" w:hAnsi="Times New Roman" w:cs="Times New Roman"/>
          <w:lang w:val="en-US"/>
        </w:rPr>
        <w:t xml:space="preserve">ose </w:t>
      </w:r>
      <w:r w:rsidRPr="004160F1">
        <w:rPr>
          <w:rFonts w:ascii="Times New Roman" w:hAnsi="Times New Roman" w:cs="Times New Roman"/>
          <w:lang w:val="en-US"/>
        </w:rPr>
        <w:t>method</w:t>
      </w:r>
      <w:r w:rsidR="003F3369">
        <w:rPr>
          <w:rFonts w:ascii="Times New Roman" w:hAnsi="Times New Roman" w:cs="Times New Roman"/>
          <w:lang w:val="en-US"/>
        </w:rPr>
        <w:t>s</w:t>
      </w:r>
      <w:r w:rsidRPr="004160F1">
        <w:rPr>
          <w:rFonts w:ascii="Times New Roman" w:hAnsi="Times New Roman" w:cs="Times New Roman"/>
          <w:lang w:val="en-US"/>
        </w:rPr>
        <w:t xml:space="preserve"> of contestation was</w:t>
      </w:r>
      <w:r w:rsidR="003F3369">
        <w:rPr>
          <w:rFonts w:ascii="Times New Roman" w:hAnsi="Times New Roman" w:cs="Times New Roman"/>
          <w:lang w:val="en-US"/>
        </w:rPr>
        <w:t xml:space="preserve"> clear. Concerning the former, it was </w:t>
      </w:r>
      <w:r w:rsidRPr="004160F1">
        <w:rPr>
          <w:rFonts w:ascii="Times New Roman" w:hAnsi="Times New Roman" w:cs="Times New Roman"/>
          <w:lang w:val="en-US"/>
        </w:rPr>
        <w:t>expressed by President Jackson.</w:t>
      </w:r>
      <w:r>
        <w:rPr>
          <w:rFonts w:ascii="Times New Roman" w:hAnsi="Times New Roman" w:cs="Times New Roman"/>
          <w:lang w:val="en-US"/>
        </w:rPr>
        <w:t xml:space="preserve"> </w:t>
      </w:r>
      <w:r w:rsidRPr="004160F1">
        <w:rPr>
          <w:rFonts w:ascii="Times New Roman" w:hAnsi="Times New Roman" w:cs="Times New Roman"/>
        </w:rPr>
        <w:t>Two weeks after</w:t>
      </w:r>
      <w:r w:rsidRPr="004160F1">
        <w:rPr>
          <w:rFonts w:ascii="Times New Roman" w:hAnsi="Times New Roman" w:cs="Times New Roman"/>
          <w:lang w:val="en-US"/>
        </w:rPr>
        <w:t xml:space="preserve"> </w:t>
      </w:r>
      <w:r w:rsidRPr="004160F1">
        <w:rPr>
          <w:rFonts w:ascii="Times New Roman" w:hAnsi="Times New Roman" w:cs="Times New Roman"/>
        </w:rPr>
        <w:t>the South Carolina Ordinance, he issued the ‘Proclamation</w:t>
      </w:r>
      <w:r w:rsidRPr="004160F1">
        <w:rPr>
          <w:rFonts w:ascii="Times New Roman" w:hAnsi="Times New Roman" w:cs="Times New Roman"/>
          <w:lang w:val="en-US"/>
        </w:rPr>
        <w:t xml:space="preserve"> </w:t>
      </w:r>
      <w:r w:rsidRPr="004160F1">
        <w:rPr>
          <w:rFonts w:ascii="Times New Roman" w:hAnsi="Times New Roman" w:cs="Times New Roman"/>
        </w:rPr>
        <w:t>regarding Nullification’. The latter was categorical:</w:t>
      </w:r>
    </w:p>
    <w:p w14:paraId="3E0D7815" w14:textId="2B233F8C" w:rsidR="004160F1" w:rsidRDefault="004160F1" w:rsidP="004160F1">
      <w:pPr>
        <w:spacing w:line="480" w:lineRule="auto"/>
        <w:ind w:left="720"/>
        <w:jc w:val="both"/>
        <w:rPr>
          <w:rFonts w:ascii="Times New Roman" w:hAnsi="Times New Roman" w:cs="Times New Roman"/>
          <w:sz w:val="20"/>
          <w:szCs w:val="20"/>
        </w:rPr>
      </w:pPr>
      <w:r w:rsidRPr="004160F1">
        <w:rPr>
          <w:rFonts w:ascii="Times New Roman" w:hAnsi="Times New Roman" w:cs="Times New Roman"/>
          <w:sz w:val="20"/>
          <w:szCs w:val="20"/>
        </w:rPr>
        <w:t xml:space="preserve">The ordinance is founded, not on the indefeasible right of resisting acts which are plainly unconstitutional and too oppressive to be endured, but on the strange position that any one State may not only declare an act of Congress void, but prohibit its execution; that they may do this consistently with the Constitution; that the true construction of that instrument permits a State to retain its place in the Union and yet be bound by no other of its laws than those it may choose to consider as constitutional. It is true, they add, that to justify this abrogation of a law it must be palpably contrary to the Constitution; but it is evident that to give the right of </w:t>
      </w:r>
      <w:r w:rsidRPr="004160F1">
        <w:rPr>
          <w:rFonts w:ascii="Times New Roman" w:hAnsi="Times New Roman" w:cs="Times New Roman"/>
          <w:sz w:val="20"/>
          <w:szCs w:val="20"/>
        </w:rPr>
        <w:lastRenderedPageBreak/>
        <w:t>resisting laws of that description, coupled with the uncontrolled right to decide what laws deserve that character, it to give the power of resisting all laws.</w:t>
      </w:r>
      <w:r>
        <w:rPr>
          <w:rStyle w:val="FootnoteReference"/>
          <w:rFonts w:ascii="Times New Roman" w:hAnsi="Times New Roman" w:cs="Times New Roman"/>
          <w:sz w:val="20"/>
          <w:szCs w:val="20"/>
        </w:rPr>
        <w:footnoteReference w:id="45"/>
      </w:r>
    </w:p>
    <w:p w14:paraId="43F2344A" w14:textId="6D0C8E22" w:rsidR="00366B70" w:rsidRDefault="00366B70" w:rsidP="00366B70">
      <w:pPr>
        <w:spacing w:line="480" w:lineRule="auto"/>
        <w:jc w:val="both"/>
        <w:rPr>
          <w:rFonts w:cstheme="minorHAnsi"/>
        </w:rPr>
      </w:pPr>
      <w:r w:rsidRPr="00366B70">
        <w:rPr>
          <w:rFonts w:ascii="Times New Roman" w:hAnsi="Times New Roman" w:cs="Times New Roman"/>
        </w:rPr>
        <w:t>S</w:t>
      </w:r>
      <w:r>
        <w:rPr>
          <w:rFonts w:ascii="Times New Roman" w:hAnsi="Times New Roman" w:cs="Times New Roman"/>
        </w:rPr>
        <w:t xml:space="preserve">imilarly, secession </w:t>
      </w:r>
      <w:r w:rsidR="00720D86">
        <w:rPr>
          <w:rFonts w:ascii="Times New Roman" w:hAnsi="Times New Roman" w:cs="Times New Roman"/>
        </w:rPr>
        <w:t>has also been</w:t>
      </w:r>
      <w:r>
        <w:rPr>
          <w:rFonts w:ascii="Times New Roman" w:hAnsi="Times New Roman" w:cs="Times New Roman"/>
        </w:rPr>
        <w:t xml:space="preserve"> deemed antithetical to the Union. </w:t>
      </w:r>
      <w:r w:rsidRPr="00366B70">
        <w:rPr>
          <w:rFonts w:ascii="Times New Roman" w:hAnsi="Times New Roman" w:cs="Times New Roman"/>
        </w:rPr>
        <w:t>Four years after the end of the civil war, the US Supreme Court held that the ‘constitution, in all its provisions, looks to an indestructible Union, composed of indestructible States.’</w:t>
      </w:r>
      <w:r w:rsidRPr="00366B70">
        <w:rPr>
          <w:rStyle w:val="FootnoteReference"/>
          <w:rFonts w:ascii="Times New Roman" w:hAnsi="Times New Roman" w:cs="Times New Roman"/>
        </w:rPr>
        <w:footnoteReference w:id="46"/>
      </w:r>
      <w:r w:rsidRPr="00211C68">
        <w:rPr>
          <w:rFonts w:cstheme="minorHAnsi"/>
        </w:rPr>
        <w:t xml:space="preserve"> </w:t>
      </w:r>
    </w:p>
    <w:p w14:paraId="4644F8B1" w14:textId="57FC37D2" w:rsidR="00911753" w:rsidRDefault="00720D86" w:rsidP="00875025">
      <w:pPr>
        <w:widowControl w:val="0"/>
        <w:suppressAutoHyphens/>
        <w:spacing w:line="480" w:lineRule="auto"/>
        <w:ind w:firstLine="720"/>
        <w:jc w:val="both"/>
        <w:rPr>
          <w:rFonts w:ascii="Times New Roman" w:eastAsia="MS Mincho" w:hAnsi="Times New Roman" w:cs="Times New Roman"/>
          <w:lang w:val="en-US" w:eastAsia="it-IT"/>
        </w:rPr>
      </w:pPr>
      <w:r w:rsidRPr="00486DF6">
        <w:rPr>
          <w:rFonts w:ascii="Times New Roman" w:eastAsia="Times New Roman" w:hAnsi="Times New Roman" w:cs="Times New Roman"/>
          <w:lang w:val="en-US" w:eastAsia="zh-TW"/>
        </w:rPr>
        <w:t xml:space="preserve">Overall, this short historical account of the conceptual roots of nullification and secession highlight three aspects. </w:t>
      </w:r>
      <w:r w:rsidRPr="00486DF6">
        <w:rPr>
          <w:rFonts w:ascii="Times New Roman" w:eastAsia="MS Mincho" w:hAnsi="Times New Roman" w:cs="Times New Roman"/>
          <w:lang w:val="en-US" w:eastAsia="it-IT"/>
        </w:rPr>
        <w:t>First,</w:t>
      </w:r>
      <w:r w:rsidR="00EB6542">
        <w:rPr>
          <w:rFonts w:ascii="Times New Roman" w:eastAsia="MS Mincho" w:hAnsi="Times New Roman" w:cs="Times New Roman"/>
          <w:lang w:val="en-US" w:eastAsia="it-IT"/>
        </w:rPr>
        <w:t xml:space="preserve"> </w:t>
      </w:r>
      <w:r w:rsidR="00EB6542" w:rsidRPr="00486DF6">
        <w:rPr>
          <w:rFonts w:ascii="Times New Roman" w:eastAsia="MS Mincho" w:hAnsi="Times New Roman" w:cs="Times New Roman"/>
          <w:lang w:val="en-US" w:eastAsia="it-IT"/>
        </w:rPr>
        <w:t>nullification and secession can be seen as vehicles for constitutional conflicts.</w:t>
      </w:r>
      <w:r w:rsidR="00EB6542">
        <w:rPr>
          <w:rFonts w:ascii="Times New Roman" w:eastAsia="MS Mincho" w:hAnsi="Times New Roman" w:cs="Times New Roman"/>
          <w:lang w:val="en-US" w:eastAsia="it-IT"/>
        </w:rPr>
        <w:t xml:space="preserve"> </w:t>
      </w:r>
      <w:r w:rsidR="003F3369">
        <w:rPr>
          <w:rFonts w:ascii="Times New Roman" w:hAnsi="Times New Roman" w:cs="Times New Roman"/>
          <w:iCs/>
          <w:lang w:val="en-US"/>
        </w:rPr>
        <w:t>Rather than being considered as “extra-legal”, t</w:t>
      </w:r>
      <w:r w:rsidR="00EB6542" w:rsidRPr="00486DF6">
        <w:rPr>
          <w:rFonts w:ascii="Times New Roman" w:hAnsi="Times New Roman" w:cs="Times New Roman"/>
          <w:iCs/>
          <w:lang w:val="en-US"/>
        </w:rPr>
        <w:t>he American example points to the fact that they are</w:t>
      </w:r>
      <w:r w:rsidR="00EB6542" w:rsidRPr="00486DF6">
        <w:rPr>
          <w:rFonts w:ascii="Times New Roman" w:eastAsia="MS Mincho" w:hAnsi="Times New Roman" w:cs="Times New Roman"/>
          <w:lang w:val="en-US" w:eastAsia="it-IT"/>
        </w:rPr>
        <w:t xml:space="preserve"> part of the history of federal systems and, as such, have a role to play in them.  </w:t>
      </w:r>
      <w:r w:rsidR="00EB6542">
        <w:rPr>
          <w:rFonts w:ascii="Times New Roman" w:eastAsia="MS Mincho" w:hAnsi="Times New Roman" w:cs="Times New Roman"/>
          <w:lang w:val="en-US" w:eastAsia="it-IT"/>
        </w:rPr>
        <w:t xml:space="preserve">In fact given that </w:t>
      </w:r>
      <w:r w:rsidR="00EB6542" w:rsidRPr="00486DF6">
        <w:rPr>
          <w:rFonts w:ascii="Times New Roman" w:eastAsia="MS Mincho" w:hAnsi="Times New Roman" w:cs="Times New Roman"/>
          <w:lang w:val="en-US" w:eastAsia="it-IT"/>
        </w:rPr>
        <w:t>constitutional conflicts characteri</w:t>
      </w:r>
      <w:r w:rsidR="00EB6542">
        <w:rPr>
          <w:rFonts w:ascii="Times New Roman" w:eastAsia="MS Mincho" w:hAnsi="Times New Roman" w:cs="Times New Roman"/>
          <w:lang w:val="en-US" w:eastAsia="it-IT"/>
        </w:rPr>
        <w:t>z</w:t>
      </w:r>
      <w:r w:rsidR="00EB6542" w:rsidRPr="00486DF6">
        <w:rPr>
          <w:rFonts w:ascii="Times New Roman" w:eastAsia="MS Mincho" w:hAnsi="Times New Roman" w:cs="Times New Roman"/>
          <w:lang w:val="en-US" w:eastAsia="it-IT"/>
        </w:rPr>
        <w:t>e the life of mature federal systems</w:t>
      </w:r>
      <w:r w:rsidR="00EB6542">
        <w:rPr>
          <w:rFonts w:ascii="Times New Roman" w:eastAsia="MS Mincho" w:hAnsi="Times New Roman" w:cs="Times New Roman"/>
          <w:lang w:val="en-US" w:eastAsia="it-IT"/>
        </w:rPr>
        <w:t xml:space="preserve">, </w:t>
      </w:r>
      <w:r w:rsidR="00EB6542" w:rsidRPr="00486DF6">
        <w:rPr>
          <w:rFonts w:ascii="Times New Roman" w:eastAsia="MS Mincho" w:hAnsi="Times New Roman" w:cs="Times New Roman"/>
          <w:lang w:val="en-US" w:eastAsia="it-IT"/>
        </w:rPr>
        <w:t xml:space="preserve">their presence at the current stage of the </w:t>
      </w:r>
      <w:r w:rsidR="00EB6542">
        <w:rPr>
          <w:rFonts w:ascii="Times New Roman" w:eastAsia="MS Mincho" w:hAnsi="Times New Roman" w:cs="Times New Roman"/>
          <w:lang w:val="en-US" w:eastAsia="it-IT"/>
        </w:rPr>
        <w:t xml:space="preserve">EU </w:t>
      </w:r>
      <w:r w:rsidR="00EB6542" w:rsidRPr="00486DF6">
        <w:rPr>
          <w:rFonts w:ascii="Times New Roman" w:eastAsia="MS Mincho" w:hAnsi="Times New Roman" w:cs="Times New Roman"/>
          <w:lang w:val="en-US" w:eastAsia="it-IT"/>
        </w:rPr>
        <w:t>integration process is a confirmation of the federali</w:t>
      </w:r>
      <w:r w:rsidR="00EB6542">
        <w:rPr>
          <w:rFonts w:ascii="Times New Roman" w:eastAsia="MS Mincho" w:hAnsi="Times New Roman" w:cs="Times New Roman"/>
          <w:lang w:val="en-US" w:eastAsia="it-IT"/>
        </w:rPr>
        <w:t>z</w:t>
      </w:r>
      <w:r w:rsidR="00EB6542" w:rsidRPr="00486DF6">
        <w:rPr>
          <w:rFonts w:ascii="Times New Roman" w:eastAsia="MS Mincho" w:hAnsi="Times New Roman" w:cs="Times New Roman"/>
          <w:lang w:val="en-US" w:eastAsia="it-IT"/>
        </w:rPr>
        <w:t>ing nature of the supranational process</w:t>
      </w:r>
      <w:r w:rsidR="00EB6542">
        <w:rPr>
          <w:rFonts w:ascii="Times New Roman" w:eastAsia="MS Mincho" w:hAnsi="Times New Roman" w:cs="Times New Roman"/>
          <w:lang w:val="en-US" w:eastAsia="it-IT"/>
        </w:rPr>
        <w:t xml:space="preserve"> as we shall see</w:t>
      </w:r>
      <w:r w:rsidR="00EB6542" w:rsidRPr="00486DF6">
        <w:rPr>
          <w:rFonts w:ascii="Times New Roman" w:eastAsia="MS Mincho" w:hAnsi="Times New Roman" w:cs="Times New Roman"/>
          <w:lang w:val="en-US" w:eastAsia="it-IT"/>
        </w:rPr>
        <w:t>.</w:t>
      </w:r>
      <w:r w:rsidR="00EB6542" w:rsidRPr="003F3369">
        <w:rPr>
          <w:rFonts w:ascii="Times New Roman" w:hAnsi="Times New Roman" w:cs="Times New Roman"/>
          <w:vertAlign w:val="superscript"/>
          <w:lang w:val="en-US" w:eastAsia="it-IT"/>
        </w:rPr>
        <w:footnoteReference w:id="47"/>
      </w:r>
      <w:r w:rsidR="00EB6542">
        <w:rPr>
          <w:rFonts w:ascii="Times New Roman" w:eastAsia="MS Mincho" w:hAnsi="Times New Roman" w:cs="Times New Roman"/>
          <w:lang w:val="en-US" w:eastAsia="it-IT"/>
        </w:rPr>
        <w:t xml:space="preserve"> Secondly, </w:t>
      </w:r>
      <w:r>
        <w:rPr>
          <w:rFonts w:ascii="Times New Roman" w:eastAsia="MS Mincho" w:hAnsi="Times New Roman" w:cs="Times New Roman"/>
          <w:lang w:val="en-US" w:eastAsia="it-IT"/>
        </w:rPr>
        <w:t>although</w:t>
      </w:r>
      <w:r w:rsidRPr="00486DF6">
        <w:rPr>
          <w:rFonts w:ascii="Times New Roman" w:eastAsia="MS Mincho" w:hAnsi="Times New Roman" w:cs="Times New Roman"/>
          <w:lang w:val="en-US" w:eastAsia="it-IT"/>
        </w:rPr>
        <w:t xml:space="preserve"> nullification</w:t>
      </w:r>
      <w:r w:rsidR="00EB6542">
        <w:rPr>
          <w:rFonts w:ascii="Times New Roman" w:eastAsia="MS Mincho" w:hAnsi="Times New Roman" w:cs="Times New Roman"/>
          <w:lang w:val="en-US" w:eastAsia="it-IT"/>
        </w:rPr>
        <w:t xml:space="preserve"> was</w:t>
      </w:r>
      <w:r w:rsidRPr="00486DF6">
        <w:rPr>
          <w:rFonts w:ascii="Times New Roman" w:eastAsia="MS Mincho" w:hAnsi="Times New Roman" w:cs="Times New Roman"/>
          <w:lang w:val="en-US" w:eastAsia="it-IT"/>
        </w:rPr>
        <w:t xml:space="preserve"> used to support and justify some of the most abhorrent policies in US histor</w:t>
      </w:r>
      <w:r>
        <w:rPr>
          <w:rFonts w:ascii="Times New Roman" w:eastAsia="MS Mincho" w:hAnsi="Times New Roman" w:cs="Times New Roman"/>
          <w:lang w:val="en-US" w:eastAsia="it-IT"/>
        </w:rPr>
        <w:t xml:space="preserve">y, it was initially </w:t>
      </w:r>
      <w:r w:rsidRPr="00486DF6">
        <w:rPr>
          <w:rFonts w:ascii="Times New Roman" w:eastAsia="MS Mincho" w:hAnsi="Times New Roman" w:cs="Times New Roman"/>
          <w:lang w:val="en-US" w:eastAsia="it-IT"/>
        </w:rPr>
        <w:t>conceived as a tool to protect citizens' rights against abusive federal laws.</w:t>
      </w:r>
      <w:r w:rsidRPr="00486DF6">
        <w:rPr>
          <w:rStyle w:val="FootnoteReference"/>
          <w:rFonts w:ascii="Times New Roman" w:eastAsia="MS Mincho" w:hAnsi="Times New Roman" w:cs="Times New Roman"/>
          <w:lang w:val="en-US" w:eastAsia="it-IT"/>
        </w:rPr>
        <w:footnoteReference w:id="48"/>
      </w:r>
      <w:r w:rsidRPr="00486DF6">
        <w:rPr>
          <w:rFonts w:ascii="Times New Roman" w:eastAsia="MS Mincho" w:hAnsi="Times New Roman" w:cs="Times New Roman"/>
          <w:lang w:val="en-US" w:eastAsia="it-IT"/>
        </w:rPr>
        <w:t xml:space="preserve"> Later on, Calhoun used nullification to defend the rights of the states, seen as masters of the compact. This distinction should not be understood as a rigid dichotomy. Indeed, Jefferson's ambiguities on the question of rights and in particular on the question of slavery are well known. In the very different political and historical </w:t>
      </w:r>
      <w:r w:rsidRPr="00486DF6">
        <w:rPr>
          <w:rFonts w:ascii="Times New Roman" w:eastAsia="MS Mincho" w:hAnsi="Times New Roman" w:cs="Times New Roman"/>
          <w:lang w:val="en-US" w:eastAsia="it-IT"/>
        </w:rPr>
        <w:lastRenderedPageBreak/>
        <w:t>context of the EU, such early understanding of nullification</w:t>
      </w:r>
      <w:r w:rsidR="003F3369">
        <w:rPr>
          <w:rFonts w:ascii="Times New Roman" w:eastAsia="MS Mincho" w:hAnsi="Times New Roman" w:cs="Times New Roman"/>
          <w:lang w:val="en-US" w:eastAsia="it-IT"/>
        </w:rPr>
        <w:t xml:space="preserve"> and even secession</w:t>
      </w:r>
      <w:r w:rsidRPr="00486DF6">
        <w:rPr>
          <w:rFonts w:ascii="Times New Roman" w:eastAsia="MS Mincho" w:hAnsi="Times New Roman" w:cs="Times New Roman"/>
          <w:lang w:val="en-US" w:eastAsia="it-IT"/>
        </w:rPr>
        <w:t xml:space="preserve"> as instrument</w:t>
      </w:r>
      <w:r w:rsidR="003F3369">
        <w:rPr>
          <w:rFonts w:ascii="Times New Roman" w:eastAsia="MS Mincho" w:hAnsi="Times New Roman" w:cs="Times New Roman"/>
          <w:lang w:val="en-US" w:eastAsia="it-IT"/>
        </w:rPr>
        <w:t>s</w:t>
      </w:r>
      <w:r w:rsidRPr="00486DF6">
        <w:rPr>
          <w:rFonts w:ascii="Times New Roman" w:eastAsia="MS Mincho" w:hAnsi="Times New Roman" w:cs="Times New Roman"/>
          <w:lang w:val="en-US" w:eastAsia="it-IT"/>
        </w:rPr>
        <w:t xml:space="preserve"> to protect the rights of the Member States and their citizens from abusive federal policies is particularly useful. </w:t>
      </w:r>
      <w:r w:rsidR="00A073E0">
        <w:rPr>
          <w:rFonts w:ascii="Times New Roman" w:eastAsia="MS Mincho" w:hAnsi="Times New Roman" w:cs="Times New Roman"/>
          <w:lang w:val="en-US" w:eastAsia="it-IT"/>
        </w:rPr>
        <w:t xml:space="preserve">Finally, it is true that the American </w:t>
      </w:r>
      <w:r w:rsidR="00A073E0">
        <w:rPr>
          <w:rFonts w:ascii="Times New Roman" w:eastAsia="Calibri" w:hAnsi="Times New Roman" w:cs="Times New Roman"/>
          <w:lang w:val="en-US"/>
        </w:rPr>
        <w:t>federal State declared such contestations “as incompatible with the nature of the union.”</w:t>
      </w:r>
      <w:r w:rsidR="00A073E0">
        <w:rPr>
          <w:rStyle w:val="FootnoteReference"/>
          <w:rFonts w:ascii="Times New Roman" w:eastAsia="Calibri" w:hAnsi="Times New Roman" w:cs="Times New Roman"/>
          <w:lang w:val="en-US"/>
        </w:rPr>
        <w:footnoteReference w:id="49"/>
      </w:r>
      <w:r w:rsidR="00A073E0">
        <w:rPr>
          <w:rFonts w:ascii="Times New Roman" w:eastAsia="Calibri" w:hAnsi="Times New Roman" w:cs="Times New Roman"/>
          <w:lang w:val="en-US"/>
        </w:rPr>
        <w:t xml:space="preserve"> As we shall see, the EU experience is different. </w:t>
      </w:r>
      <w:r w:rsidR="00560327">
        <w:rPr>
          <w:rFonts w:ascii="Times New Roman" w:eastAsia="Calibri" w:hAnsi="Times New Roman" w:cs="Times New Roman"/>
          <w:lang w:val="en-US"/>
        </w:rPr>
        <w:t>Although the EU institutions legally and politically contest nullification attempts, its</w:t>
      </w:r>
      <w:r w:rsidR="00A073E0">
        <w:rPr>
          <w:rFonts w:ascii="Times New Roman" w:eastAsia="Calibri" w:hAnsi="Times New Roman" w:cs="Times New Roman"/>
          <w:lang w:val="en-US"/>
        </w:rPr>
        <w:t xml:space="preserve"> flexibility has meant that the EU constitutional order of States </w:t>
      </w:r>
      <w:r w:rsidR="00560327">
        <w:rPr>
          <w:rFonts w:ascii="Times New Roman" w:eastAsia="Calibri" w:hAnsi="Times New Roman" w:cs="Times New Roman"/>
          <w:lang w:val="en-US"/>
        </w:rPr>
        <w:t>often</w:t>
      </w:r>
      <w:r w:rsidR="00A073E0">
        <w:rPr>
          <w:rFonts w:ascii="Times New Roman" w:eastAsia="Calibri" w:hAnsi="Times New Roman" w:cs="Times New Roman"/>
          <w:lang w:val="en-US"/>
        </w:rPr>
        <w:t xml:space="preserve"> manage</w:t>
      </w:r>
      <w:r w:rsidR="00560327">
        <w:rPr>
          <w:rFonts w:ascii="Times New Roman" w:eastAsia="Calibri" w:hAnsi="Times New Roman" w:cs="Times New Roman"/>
          <w:lang w:val="en-US"/>
        </w:rPr>
        <w:t>s</w:t>
      </w:r>
      <w:r w:rsidR="00A073E0">
        <w:rPr>
          <w:rFonts w:ascii="Times New Roman" w:eastAsia="Calibri" w:hAnsi="Times New Roman" w:cs="Times New Roman"/>
          <w:lang w:val="en-US"/>
        </w:rPr>
        <w:t xml:space="preserve"> to accommodate such forms of </w:t>
      </w:r>
      <w:proofErr w:type="spellStart"/>
      <w:r w:rsidR="00A073E0">
        <w:rPr>
          <w:rFonts w:ascii="Times New Roman" w:eastAsia="Calibri" w:hAnsi="Times New Roman" w:cs="Times New Roman"/>
          <w:lang w:val="en-US"/>
        </w:rPr>
        <w:t>contestatory</w:t>
      </w:r>
      <w:proofErr w:type="spellEnd"/>
      <w:r w:rsidR="00A073E0">
        <w:rPr>
          <w:rFonts w:ascii="Times New Roman" w:eastAsia="Calibri" w:hAnsi="Times New Roman" w:cs="Times New Roman"/>
          <w:lang w:val="en-US"/>
        </w:rPr>
        <w:t xml:space="preserve"> federalism. Article 50 TEU allows any Member State to functionally secede from the EU while it is even possible to ‘nullify’ a part of the constitutional contract if there is consensus. </w:t>
      </w:r>
    </w:p>
    <w:p w14:paraId="63E15287" w14:textId="77777777" w:rsidR="00875025" w:rsidRPr="00486DF6" w:rsidRDefault="00875025" w:rsidP="00875025">
      <w:pPr>
        <w:widowControl w:val="0"/>
        <w:suppressAutoHyphens/>
        <w:spacing w:line="480" w:lineRule="auto"/>
        <w:ind w:firstLine="720"/>
        <w:jc w:val="both"/>
        <w:rPr>
          <w:rFonts w:ascii="Times New Roman" w:eastAsia="MS Mincho" w:hAnsi="Times New Roman" w:cs="Times New Roman"/>
          <w:lang w:val="en-US" w:eastAsia="it-IT"/>
        </w:rPr>
      </w:pPr>
    </w:p>
    <w:p w14:paraId="42A4ECFA" w14:textId="48142AE5" w:rsidR="00997DE5" w:rsidRPr="001C57CC" w:rsidRDefault="00997DE5" w:rsidP="001C57CC">
      <w:pPr>
        <w:pStyle w:val="ListParagraph"/>
        <w:numPr>
          <w:ilvl w:val="0"/>
          <w:numId w:val="3"/>
        </w:numPr>
        <w:spacing w:line="480" w:lineRule="auto"/>
        <w:jc w:val="center"/>
        <w:rPr>
          <w:rFonts w:ascii="Times New Roman" w:eastAsia="Times New Roman" w:hAnsi="Times New Roman" w:cs="Times New Roman"/>
          <w:smallCaps/>
          <w:color w:val="000000"/>
          <w:lang w:val="en-US" w:eastAsia="en-GB"/>
        </w:rPr>
      </w:pPr>
      <w:r w:rsidRPr="001C57CC">
        <w:rPr>
          <w:rFonts w:ascii="Times New Roman" w:eastAsia="Times New Roman" w:hAnsi="Times New Roman" w:cs="Times New Roman"/>
          <w:smallCaps/>
          <w:color w:val="000000"/>
          <w:lang w:val="en-US" w:eastAsia="en-GB"/>
        </w:rPr>
        <w:t>Nullification in the EU Constitutional Order of States</w:t>
      </w:r>
    </w:p>
    <w:p w14:paraId="200BE9CA" w14:textId="22A03494" w:rsidR="00997DE5" w:rsidRPr="00486DF6" w:rsidRDefault="001F7885" w:rsidP="008612AD">
      <w:pPr>
        <w:spacing w:line="480" w:lineRule="auto"/>
        <w:ind w:firstLine="720"/>
        <w:jc w:val="both"/>
        <w:rPr>
          <w:rFonts w:ascii="Times New Roman" w:eastAsia="Times New Roman" w:hAnsi="Times New Roman" w:cs="Times New Roman"/>
          <w:color w:val="000000"/>
          <w:lang w:val="en-US" w:eastAsia="en-GB"/>
        </w:rPr>
      </w:pPr>
      <w:r>
        <w:rPr>
          <w:rFonts w:ascii="Times New Roman" w:eastAsia="Times New Roman" w:hAnsi="Times New Roman" w:cs="Times New Roman"/>
          <w:color w:val="000000"/>
          <w:lang w:val="en-US" w:eastAsia="en-GB"/>
        </w:rPr>
        <w:t xml:space="preserve">Like in the case of the US, the history of the EU is full of examples of constitutional conflicts that have occurred when Member States inserted themselves </w:t>
      </w:r>
      <w:r w:rsidR="00FF116E">
        <w:rPr>
          <w:rFonts w:ascii="Times New Roman" w:eastAsia="Times New Roman" w:hAnsi="Times New Roman" w:cs="Times New Roman"/>
          <w:color w:val="000000"/>
          <w:lang w:val="en-US" w:eastAsia="en-GB"/>
        </w:rPr>
        <w:t>between their citizens and Brussels to protect</w:t>
      </w:r>
      <w:r>
        <w:rPr>
          <w:rFonts w:ascii="Times New Roman" w:eastAsia="Times New Roman" w:hAnsi="Times New Roman" w:cs="Times New Roman"/>
          <w:color w:val="000000"/>
          <w:lang w:val="en-US" w:eastAsia="en-GB"/>
        </w:rPr>
        <w:t xml:space="preserve"> their rights or their national interests against what they perceived as </w:t>
      </w:r>
      <w:r w:rsidR="00997DE5" w:rsidRPr="00486DF6">
        <w:rPr>
          <w:rFonts w:ascii="Times New Roman" w:eastAsia="Times New Roman" w:hAnsi="Times New Roman" w:cs="Times New Roman"/>
          <w:color w:val="000000"/>
          <w:lang w:val="en-US" w:eastAsia="en-GB"/>
        </w:rPr>
        <w:t>an unwelcome advance of European integration</w:t>
      </w:r>
      <w:r w:rsidR="00923C4C" w:rsidRPr="00486DF6">
        <w:rPr>
          <w:rFonts w:ascii="Times New Roman" w:eastAsia="Times New Roman" w:hAnsi="Times New Roman" w:cs="Times New Roman"/>
          <w:color w:val="000000"/>
          <w:lang w:val="en-US" w:eastAsia="en-GB"/>
        </w:rPr>
        <w:t>,</w:t>
      </w:r>
      <w:r w:rsidR="00997DE5" w:rsidRPr="00486DF6">
        <w:rPr>
          <w:rFonts w:ascii="Times New Roman" w:eastAsia="Times New Roman" w:hAnsi="Times New Roman" w:cs="Times New Roman"/>
          <w:color w:val="000000"/>
          <w:lang w:val="en-US" w:eastAsia="en-GB"/>
        </w:rPr>
        <w:t xml:space="preserve"> or detrimental to their national interests. </w:t>
      </w:r>
      <w:r w:rsidR="002D1381">
        <w:rPr>
          <w:rFonts w:ascii="Times New Roman" w:eastAsia="Times New Roman" w:hAnsi="Times New Roman" w:cs="Times New Roman"/>
          <w:color w:val="000000"/>
          <w:lang w:val="en-US" w:eastAsia="en-GB"/>
        </w:rPr>
        <w:t>In the cases that we examine in this article, they have gone as far as</w:t>
      </w:r>
      <w:r w:rsidR="00FF116E">
        <w:rPr>
          <w:rFonts w:ascii="Times New Roman" w:eastAsia="Times New Roman" w:hAnsi="Times New Roman" w:cs="Times New Roman"/>
          <w:color w:val="000000"/>
          <w:lang w:val="en-US" w:eastAsia="en-GB"/>
        </w:rPr>
        <w:t xml:space="preserve"> attempt</w:t>
      </w:r>
      <w:r w:rsidR="002D1381">
        <w:rPr>
          <w:rFonts w:ascii="Times New Roman" w:eastAsia="Times New Roman" w:hAnsi="Times New Roman" w:cs="Times New Roman"/>
          <w:color w:val="000000"/>
          <w:lang w:val="en-US" w:eastAsia="en-GB"/>
        </w:rPr>
        <w:t>ing</w:t>
      </w:r>
      <w:r w:rsidR="00FF116E">
        <w:rPr>
          <w:rFonts w:ascii="Times New Roman" w:eastAsia="Times New Roman" w:hAnsi="Times New Roman" w:cs="Times New Roman"/>
          <w:color w:val="000000"/>
          <w:lang w:val="en-US" w:eastAsia="en-GB"/>
        </w:rPr>
        <w:t xml:space="preserve"> </w:t>
      </w:r>
      <w:r w:rsidR="00A002CB">
        <w:rPr>
          <w:rFonts w:ascii="Times New Roman" w:eastAsia="Times New Roman" w:hAnsi="Times New Roman" w:cs="Times New Roman"/>
          <w:color w:val="000000"/>
          <w:lang w:val="en-US" w:eastAsia="en-GB"/>
        </w:rPr>
        <w:t xml:space="preserve">to partially withdraw from the overall federal pact </w:t>
      </w:r>
      <w:r w:rsidR="00FF116E">
        <w:rPr>
          <w:rFonts w:ascii="Times New Roman" w:eastAsia="Times New Roman" w:hAnsi="Times New Roman" w:cs="Times New Roman"/>
          <w:color w:val="000000"/>
          <w:lang w:val="en-US" w:eastAsia="en-GB"/>
        </w:rPr>
        <w:t xml:space="preserve">either by judicial means as in the case of </w:t>
      </w:r>
      <w:r w:rsidR="00997DE5" w:rsidRPr="00486DF6">
        <w:rPr>
          <w:rFonts w:ascii="Times New Roman" w:eastAsia="Times New Roman" w:hAnsi="Times New Roman" w:cs="Times New Roman"/>
          <w:color w:val="000000"/>
          <w:lang w:val="en-US" w:eastAsia="en-GB"/>
        </w:rPr>
        <w:t xml:space="preserve">the May 2020 </w:t>
      </w:r>
      <w:proofErr w:type="spellStart"/>
      <w:r w:rsidR="00997DE5" w:rsidRPr="00486DF6">
        <w:rPr>
          <w:rFonts w:ascii="Times New Roman" w:eastAsia="Times New Roman" w:hAnsi="Times New Roman" w:cs="Times New Roman"/>
          <w:color w:val="000000"/>
          <w:lang w:val="en-US" w:eastAsia="en-GB"/>
        </w:rPr>
        <w:t>BV</w:t>
      </w:r>
      <w:r w:rsidR="00BF1010" w:rsidRPr="00486DF6">
        <w:rPr>
          <w:rFonts w:ascii="Times New Roman" w:eastAsia="Times New Roman" w:hAnsi="Times New Roman" w:cs="Times New Roman"/>
          <w:color w:val="000000"/>
          <w:lang w:val="en-US" w:eastAsia="en-GB"/>
        </w:rPr>
        <w:t>erf</w:t>
      </w:r>
      <w:r w:rsidR="00997DE5" w:rsidRPr="00486DF6">
        <w:rPr>
          <w:rFonts w:ascii="Times New Roman" w:eastAsia="Times New Roman" w:hAnsi="Times New Roman" w:cs="Times New Roman"/>
          <w:color w:val="000000"/>
          <w:lang w:val="en-US" w:eastAsia="en-GB"/>
        </w:rPr>
        <w:t>G</w:t>
      </w:r>
      <w:proofErr w:type="spellEnd"/>
      <w:r w:rsidR="00997DE5" w:rsidRPr="00486DF6">
        <w:rPr>
          <w:rFonts w:ascii="Times New Roman" w:eastAsia="Times New Roman" w:hAnsi="Times New Roman" w:cs="Times New Roman"/>
          <w:color w:val="000000"/>
          <w:lang w:val="en-US" w:eastAsia="en-GB"/>
        </w:rPr>
        <w:t xml:space="preserve"> ruling </w:t>
      </w:r>
      <w:r w:rsidR="00FF116E">
        <w:rPr>
          <w:rFonts w:ascii="Times New Roman" w:eastAsia="Times New Roman" w:hAnsi="Times New Roman" w:cs="Times New Roman"/>
          <w:color w:val="000000"/>
          <w:lang w:val="en-US" w:eastAsia="en-GB"/>
        </w:rPr>
        <w:t xml:space="preserve">or by political means as in the case of the </w:t>
      </w:r>
      <w:r w:rsidR="00997DE5" w:rsidRPr="00486DF6">
        <w:rPr>
          <w:rFonts w:ascii="Times New Roman" w:eastAsia="Times New Roman" w:hAnsi="Times New Roman" w:cs="Times New Roman"/>
          <w:color w:val="000000"/>
          <w:lang w:val="en-US" w:eastAsia="en-GB"/>
        </w:rPr>
        <w:t>2015 Grexit</w:t>
      </w:r>
      <w:r w:rsidR="00D618F7" w:rsidRPr="00486DF6">
        <w:rPr>
          <w:rStyle w:val="FootnoteReference"/>
          <w:rFonts w:ascii="Times New Roman" w:eastAsia="Times New Roman" w:hAnsi="Times New Roman" w:cs="Times New Roman"/>
          <w:color w:val="000000"/>
          <w:lang w:val="en-US" w:eastAsia="en-GB"/>
        </w:rPr>
        <w:footnoteReference w:id="50"/>
      </w:r>
      <w:r w:rsidR="00997DE5" w:rsidRPr="00486DF6">
        <w:rPr>
          <w:rFonts w:ascii="Times New Roman" w:eastAsia="Times New Roman" w:hAnsi="Times New Roman" w:cs="Times New Roman"/>
          <w:color w:val="000000"/>
          <w:lang w:val="en-US" w:eastAsia="en-GB"/>
        </w:rPr>
        <w:t xml:space="preserve"> referendum and the rule of law crisis</w:t>
      </w:r>
      <w:r w:rsidR="00FF116E">
        <w:rPr>
          <w:rFonts w:ascii="Times New Roman" w:eastAsia="Times New Roman" w:hAnsi="Times New Roman" w:cs="Times New Roman"/>
          <w:color w:val="000000"/>
          <w:lang w:val="en-US" w:eastAsia="en-GB"/>
        </w:rPr>
        <w:t xml:space="preserve"> in Eastern Europe</w:t>
      </w:r>
      <w:r w:rsidR="00997DE5" w:rsidRPr="00486DF6">
        <w:rPr>
          <w:rFonts w:ascii="Times New Roman" w:eastAsia="Times New Roman" w:hAnsi="Times New Roman" w:cs="Times New Roman"/>
          <w:color w:val="000000"/>
          <w:lang w:val="en-US" w:eastAsia="en-GB"/>
        </w:rPr>
        <w:t xml:space="preserve">. </w:t>
      </w:r>
      <w:r w:rsidR="002D1381">
        <w:rPr>
          <w:rFonts w:ascii="Times New Roman" w:eastAsia="Times New Roman" w:hAnsi="Times New Roman" w:cs="Times New Roman"/>
          <w:color w:val="000000"/>
          <w:lang w:val="en-US" w:eastAsia="en-GB"/>
        </w:rPr>
        <w:t>However, similarly to</w:t>
      </w:r>
      <w:r w:rsidR="008612AD">
        <w:rPr>
          <w:rFonts w:ascii="Times New Roman" w:eastAsia="Times New Roman" w:hAnsi="Times New Roman" w:cs="Times New Roman"/>
          <w:color w:val="000000"/>
          <w:lang w:val="en-US" w:eastAsia="en-GB"/>
        </w:rPr>
        <w:t xml:space="preserve"> the US where nullification was proved almost impossible to achieve, in all those examples,</w:t>
      </w:r>
      <w:r w:rsidR="00997DE5" w:rsidRPr="00486DF6">
        <w:rPr>
          <w:rFonts w:ascii="Times New Roman" w:eastAsia="Times New Roman" w:hAnsi="Times New Roman" w:cs="Times New Roman"/>
          <w:color w:val="000000"/>
          <w:lang w:val="en-US" w:eastAsia="en-GB"/>
        </w:rPr>
        <w:t xml:space="preserve"> </w:t>
      </w:r>
      <w:r w:rsidR="008612AD">
        <w:rPr>
          <w:rFonts w:ascii="Times New Roman" w:eastAsia="Times New Roman" w:hAnsi="Times New Roman" w:cs="Times New Roman"/>
          <w:color w:val="000000"/>
          <w:lang w:val="en-US" w:eastAsia="en-GB"/>
        </w:rPr>
        <w:t xml:space="preserve">the </w:t>
      </w:r>
      <w:r w:rsidR="002D1381">
        <w:rPr>
          <w:rFonts w:ascii="Times New Roman" w:eastAsia="Times New Roman" w:hAnsi="Times New Roman" w:cs="Times New Roman"/>
          <w:color w:val="000000"/>
          <w:lang w:val="en-US" w:eastAsia="en-GB"/>
        </w:rPr>
        <w:t xml:space="preserve">respective Member </w:t>
      </w:r>
      <w:r w:rsidR="00997DE5" w:rsidRPr="00486DF6">
        <w:rPr>
          <w:rFonts w:ascii="Times New Roman" w:eastAsia="Times New Roman" w:hAnsi="Times New Roman" w:cs="Times New Roman"/>
          <w:color w:val="000000"/>
          <w:lang w:val="en-US" w:eastAsia="en-GB"/>
        </w:rPr>
        <w:t xml:space="preserve">States </w:t>
      </w:r>
      <w:r w:rsidR="008612AD">
        <w:rPr>
          <w:rFonts w:ascii="Times New Roman" w:eastAsia="Times New Roman" w:hAnsi="Times New Roman" w:cs="Times New Roman"/>
          <w:color w:val="000000"/>
          <w:lang w:val="en-US" w:eastAsia="en-GB"/>
        </w:rPr>
        <w:t xml:space="preserve">faced </w:t>
      </w:r>
      <w:r w:rsidR="002D1381">
        <w:rPr>
          <w:rFonts w:ascii="Times New Roman" w:eastAsia="Times New Roman" w:hAnsi="Times New Roman" w:cs="Times New Roman"/>
          <w:color w:val="000000"/>
          <w:lang w:val="en-US" w:eastAsia="en-GB"/>
        </w:rPr>
        <w:t>serious impediments that did not allow them to successfully negotiate</w:t>
      </w:r>
      <w:r w:rsidR="00997DE5" w:rsidRPr="00486DF6">
        <w:rPr>
          <w:rFonts w:ascii="Times New Roman" w:eastAsia="Times New Roman" w:hAnsi="Times New Roman" w:cs="Times New Roman"/>
          <w:color w:val="000000"/>
          <w:lang w:val="en-US" w:eastAsia="en-GB"/>
        </w:rPr>
        <w:t xml:space="preserve"> iss</w:t>
      </w:r>
      <w:r w:rsidR="006F5403" w:rsidRPr="00486DF6">
        <w:rPr>
          <w:rFonts w:ascii="Times New Roman" w:eastAsia="Times New Roman" w:hAnsi="Times New Roman" w:cs="Times New Roman"/>
          <w:color w:val="000000"/>
          <w:lang w:val="en-US" w:eastAsia="en-GB"/>
        </w:rPr>
        <w:t>ue</w:t>
      </w:r>
      <w:r w:rsidR="00997DE5" w:rsidRPr="00486DF6">
        <w:rPr>
          <w:rFonts w:ascii="Times New Roman" w:eastAsia="Times New Roman" w:hAnsi="Times New Roman" w:cs="Times New Roman"/>
          <w:color w:val="000000"/>
          <w:lang w:val="en-US" w:eastAsia="en-GB"/>
        </w:rPr>
        <w:t xml:space="preserve">-based withdrawals. Having said that, </w:t>
      </w:r>
      <w:r w:rsidR="00272AE0">
        <w:rPr>
          <w:rFonts w:ascii="Times New Roman" w:hAnsi="Times New Roman" w:cs="Times New Roman"/>
          <w:lang w:val="en-US"/>
        </w:rPr>
        <w:t>unlike the case of the US where it became clear that nullification could not be accommodated,</w:t>
      </w:r>
      <w:r w:rsidR="00272AE0">
        <w:rPr>
          <w:rStyle w:val="FootnoteReference"/>
          <w:rFonts w:ascii="Times New Roman" w:hAnsi="Times New Roman" w:cs="Times New Roman"/>
          <w:lang w:val="en-US"/>
        </w:rPr>
        <w:footnoteReference w:id="51"/>
      </w:r>
      <w:r w:rsidR="00272AE0">
        <w:rPr>
          <w:rFonts w:ascii="Times New Roman" w:hAnsi="Times New Roman" w:cs="Times New Roman"/>
          <w:lang w:val="en-US"/>
        </w:rPr>
        <w:t xml:space="preserve"> the EU </w:t>
      </w:r>
      <w:r w:rsidR="00272AE0">
        <w:rPr>
          <w:rFonts w:ascii="Times New Roman" w:hAnsi="Times New Roman" w:cs="Times New Roman"/>
          <w:lang w:val="en-US"/>
        </w:rPr>
        <w:lastRenderedPageBreak/>
        <w:t xml:space="preserve">constitutional order of States seems markedly more flexible. The </w:t>
      </w:r>
      <w:r w:rsidR="00997DE5" w:rsidRPr="00486DF6">
        <w:rPr>
          <w:rFonts w:ascii="Times New Roman" w:hAnsi="Times New Roman" w:cs="Times New Roman"/>
          <w:lang w:val="en-US"/>
        </w:rPr>
        <w:t xml:space="preserve">Member States remain </w:t>
      </w:r>
      <w:r w:rsidR="00997DE5" w:rsidRPr="00486DF6">
        <w:rPr>
          <w:rStyle w:val="Emphasis"/>
          <w:rFonts w:ascii="Times New Roman" w:hAnsi="Times New Roman" w:cs="Times New Roman"/>
          <w:lang w:val="en-US"/>
        </w:rPr>
        <w:t xml:space="preserve">Herren der </w:t>
      </w:r>
      <w:proofErr w:type="spellStart"/>
      <w:r w:rsidR="00997DE5" w:rsidRPr="00486DF6">
        <w:rPr>
          <w:rStyle w:val="Emphasis"/>
          <w:rFonts w:ascii="Times New Roman" w:hAnsi="Times New Roman" w:cs="Times New Roman"/>
          <w:lang w:val="en-US"/>
        </w:rPr>
        <w:t>Verträge</w:t>
      </w:r>
      <w:proofErr w:type="spellEnd"/>
      <w:r w:rsidR="00997DE5" w:rsidRPr="00486DF6">
        <w:rPr>
          <w:rStyle w:val="Emphasis"/>
          <w:rFonts w:ascii="Times New Roman" w:hAnsi="Times New Roman" w:cs="Times New Roman"/>
          <w:i w:val="0"/>
          <w:iCs w:val="0"/>
          <w:lang w:val="en-US"/>
        </w:rPr>
        <w:t>. As such,</w:t>
      </w:r>
      <w:r w:rsidR="00997DE5" w:rsidRPr="00486DF6">
        <w:rPr>
          <w:rFonts w:ascii="Times New Roman" w:hAnsi="Times New Roman" w:cs="Times New Roman"/>
          <w:lang w:val="en-US"/>
        </w:rPr>
        <w:t xml:space="preserve"> they can amend the Treaties as they wish. In the third section of this part, we will refer to some of those examples pointing to the fact that issue-based withdrawal is possible provided that there is consensus by all Member States. </w:t>
      </w:r>
    </w:p>
    <w:p w14:paraId="29B8E767" w14:textId="22EE2D3F" w:rsidR="00997DE5" w:rsidRPr="00486DF6" w:rsidRDefault="0028158E" w:rsidP="001C57CC">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As we noted in the introduction</w:t>
      </w:r>
      <w:r w:rsidR="0077272D" w:rsidRPr="00486DF6">
        <w:rPr>
          <w:rFonts w:ascii="Times New Roman" w:eastAsia="Times New Roman" w:hAnsi="Times New Roman" w:cs="Times New Roman"/>
          <w:color w:val="000000"/>
          <w:lang w:val="en-US" w:eastAsia="en-GB"/>
        </w:rPr>
        <w:t>, however</w:t>
      </w:r>
      <w:r w:rsidRPr="00486DF6">
        <w:rPr>
          <w:rFonts w:ascii="Times New Roman" w:eastAsia="Times New Roman" w:hAnsi="Times New Roman" w:cs="Times New Roman"/>
          <w:color w:val="000000"/>
          <w:lang w:val="en-US" w:eastAsia="en-GB"/>
        </w:rPr>
        <w:t>,</w:t>
      </w:r>
      <w:r w:rsidR="00997DE5" w:rsidRPr="00486DF6">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t</w:t>
      </w:r>
      <w:r w:rsidR="00997DE5" w:rsidRPr="00486DF6">
        <w:rPr>
          <w:rFonts w:ascii="Times New Roman" w:eastAsia="Times New Roman" w:hAnsi="Times New Roman" w:cs="Times New Roman"/>
          <w:color w:val="000000"/>
          <w:lang w:val="en-US" w:eastAsia="en-GB"/>
        </w:rPr>
        <w:t>hese forms of disobedience should not, in fact, be confused with the forms of asymmetry provided for in the European Treaties</w:t>
      </w:r>
      <w:r w:rsidR="00670295" w:rsidRPr="00486DF6">
        <w:rPr>
          <w:rFonts w:ascii="Times New Roman" w:eastAsia="Times New Roman" w:hAnsi="Times New Roman" w:cs="Times New Roman"/>
          <w:color w:val="000000"/>
          <w:lang w:val="en-US" w:eastAsia="en-GB"/>
        </w:rPr>
        <w:t>.</w:t>
      </w:r>
      <w:r w:rsidR="00997DE5" w:rsidRPr="00486DF6">
        <w:rPr>
          <w:rStyle w:val="FootnoteReference"/>
          <w:rFonts w:ascii="Times New Roman" w:eastAsia="Times New Roman" w:hAnsi="Times New Roman" w:cs="Times New Roman"/>
          <w:color w:val="000000"/>
          <w:lang w:val="en-US" w:eastAsia="en-GB"/>
        </w:rPr>
        <w:footnoteReference w:id="52"/>
      </w:r>
      <w:r w:rsidR="00997DE5" w:rsidRPr="00486DF6">
        <w:rPr>
          <w:rFonts w:ascii="Times New Roman" w:eastAsia="Times New Roman" w:hAnsi="Times New Roman" w:cs="Times New Roman"/>
          <w:color w:val="000000"/>
          <w:lang w:val="en-US" w:eastAsia="en-GB"/>
        </w:rPr>
        <w:t xml:space="preserve"> </w:t>
      </w:r>
      <w:r w:rsidR="00410FEF" w:rsidRPr="00486DF6">
        <w:rPr>
          <w:rFonts w:ascii="Times New Roman" w:eastAsia="Times New Roman" w:hAnsi="Times New Roman" w:cs="Times New Roman"/>
          <w:color w:val="000000"/>
          <w:lang w:val="en-US" w:eastAsia="en-GB"/>
        </w:rPr>
        <w:t>I</w:t>
      </w:r>
      <w:r w:rsidR="00997DE5" w:rsidRPr="00486DF6">
        <w:rPr>
          <w:rFonts w:ascii="Times New Roman" w:eastAsia="Times New Roman" w:hAnsi="Times New Roman" w:cs="Times New Roman"/>
          <w:color w:val="000000"/>
          <w:lang w:val="en-US" w:eastAsia="en-GB"/>
        </w:rPr>
        <w:t xml:space="preserve">n order for asymmetry to function as an instrument of differentiated integration, the </w:t>
      </w:r>
      <w:r w:rsidR="005E0AC0">
        <w:rPr>
          <w:rFonts w:ascii="Times New Roman" w:eastAsia="Times New Roman" w:hAnsi="Times New Roman" w:cs="Times New Roman"/>
          <w:color w:val="000000"/>
          <w:lang w:val="en-US" w:eastAsia="en-GB"/>
        </w:rPr>
        <w:t>untouchable</w:t>
      </w:r>
      <w:r w:rsidR="00997DE5" w:rsidRPr="00486DF6">
        <w:rPr>
          <w:rFonts w:ascii="Times New Roman" w:eastAsia="Times New Roman" w:hAnsi="Times New Roman" w:cs="Times New Roman"/>
          <w:color w:val="000000"/>
          <w:lang w:val="en-US" w:eastAsia="en-GB"/>
        </w:rPr>
        <w:t xml:space="preserve"> core of the supranational order must be respected. </w:t>
      </w:r>
      <w:r w:rsidR="00997DE5" w:rsidRPr="00486DF6">
        <w:rPr>
          <w:rFonts w:ascii="Times New Roman" w:eastAsia="Calibri" w:hAnsi="Calibri" w:cs="Calibri"/>
          <w:color w:val="000000"/>
          <w:u w:color="000000"/>
          <w:bdr w:val="nil"/>
          <w:lang w:val="en-US"/>
        </w:rPr>
        <w:t>Against this background, the flexibility offered by asymmetry gives an added value to the life of a political system only when the identity of this system can be preserved. Otherwise</w:t>
      </w:r>
      <w:r w:rsidR="00670295" w:rsidRPr="00486DF6">
        <w:rPr>
          <w:rFonts w:ascii="Times New Roman" w:eastAsia="Calibri" w:hAnsi="Calibri" w:cs="Calibri"/>
          <w:color w:val="000000"/>
          <w:u w:color="000000"/>
          <w:bdr w:val="nil"/>
          <w:lang w:val="en-US"/>
        </w:rPr>
        <w:t>,</w:t>
      </w:r>
      <w:r w:rsidR="00997DE5" w:rsidRPr="00486DF6">
        <w:rPr>
          <w:rFonts w:ascii="Times New Roman" w:eastAsia="Calibri" w:hAnsi="Calibri" w:cs="Calibri"/>
          <w:color w:val="000000"/>
          <w:u w:color="000000"/>
          <w:bdr w:val="nil"/>
          <w:lang w:val="en-US"/>
        </w:rPr>
        <w:t xml:space="preserve"> flexibility would lead to a revolution in a technical sense, </w:t>
      </w:r>
      <w:proofErr w:type="gramStart"/>
      <w:r w:rsidR="00997DE5" w:rsidRPr="00486DF6">
        <w:rPr>
          <w:rFonts w:ascii="Times New Roman" w:eastAsia="Calibri" w:hAnsi="Calibri" w:cs="Calibri"/>
          <w:color w:val="000000"/>
          <w:u w:color="000000"/>
          <w:bdr w:val="nil"/>
          <w:lang w:val="en-US"/>
        </w:rPr>
        <w:t>i.e.</w:t>
      </w:r>
      <w:proofErr w:type="gramEnd"/>
      <w:r w:rsidR="00997DE5" w:rsidRPr="00486DF6">
        <w:rPr>
          <w:rFonts w:ascii="Times New Roman" w:eastAsia="Calibri" w:hAnsi="Calibri" w:cs="Calibri"/>
          <w:color w:val="000000"/>
          <w:u w:color="000000"/>
          <w:bdr w:val="nil"/>
          <w:lang w:val="en-US"/>
        </w:rPr>
        <w:t xml:space="preserve"> a transformation of the identity of the legal system, or in </w:t>
      </w:r>
      <w:proofErr w:type="spellStart"/>
      <w:r w:rsidR="00997DE5" w:rsidRPr="00486DF6">
        <w:rPr>
          <w:rFonts w:ascii="Times New Roman" w:eastAsia="Calibri" w:hAnsi="Calibri" w:cs="Calibri"/>
          <w:color w:val="000000"/>
          <w:u w:color="000000"/>
          <w:bdr w:val="nil"/>
          <w:lang w:val="en-US"/>
        </w:rPr>
        <w:t>Kelsenian</w:t>
      </w:r>
      <w:proofErr w:type="spellEnd"/>
      <w:r w:rsidR="00997DE5" w:rsidRPr="00486DF6">
        <w:rPr>
          <w:rFonts w:ascii="Times New Roman" w:eastAsia="Calibri" w:hAnsi="Calibri" w:cs="Calibri"/>
          <w:color w:val="000000"/>
          <w:u w:color="000000"/>
          <w:bdr w:val="nil"/>
          <w:lang w:val="en-US"/>
        </w:rPr>
        <w:t xml:space="preserve"> terms a new basic norm and the interruption of the chain of validity</w:t>
      </w:r>
      <w:r w:rsidR="00670295" w:rsidRPr="00486DF6">
        <w:rPr>
          <w:rFonts w:ascii="Times New Roman" w:eastAsia="Calibri" w:hAnsi="Calibri" w:cs="Calibri"/>
          <w:color w:val="000000"/>
          <w:u w:color="000000"/>
          <w:bdr w:val="nil"/>
          <w:lang w:val="en-US"/>
        </w:rPr>
        <w:t>.</w:t>
      </w:r>
      <w:r w:rsidR="00997DE5" w:rsidRPr="00486DF6">
        <w:rPr>
          <w:rFonts w:ascii="Times New Roman" w:eastAsia="Times New Roman" w:hAnsi="Times New Roman" w:cs="Times New Roman"/>
          <w:color w:val="000000"/>
          <w:u w:color="000000"/>
          <w:bdr w:val="nil"/>
          <w:vertAlign w:val="superscript"/>
          <w:lang w:val="en-US"/>
        </w:rPr>
        <w:footnoteReference w:id="53"/>
      </w:r>
      <w:r w:rsidR="00997DE5" w:rsidRPr="00486DF6">
        <w:rPr>
          <w:rFonts w:ascii="Times New Roman" w:eastAsia="Calibri" w:hAnsi="Calibri" w:cs="Calibri"/>
          <w:color w:val="000000"/>
          <w:u w:color="000000"/>
          <w:bdr w:val="nil"/>
          <w:lang w:val="en-US"/>
        </w:rPr>
        <w:t xml:space="preserve"> In order to avoid this</w:t>
      </w:r>
      <w:r w:rsidR="00410FEF" w:rsidRPr="00486DF6">
        <w:rPr>
          <w:rFonts w:ascii="Times New Roman" w:eastAsia="Calibri" w:hAnsi="Calibri" w:cs="Calibri"/>
          <w:color w:val="000000"/>
          <w:u w:color="000000"/>
          <w:bdr w:val="nil"/>
          <w:lang w:val="en-US"/>
        </w:rPr>
        <w:t>,</w:t>
      </w:r>
      <w:r w:rsidR="00997DE5" w:rsidRPr="00486DF6">
        <w:rPr>
          <w:rFonts w:ascii="Times New Roman" w:eastAsia="Calibri" w:hAnsi="Calibri" w:cs="Calibri"/>
          <w:color w:val="000000"/>
          <w:u w:color="000000"/>
          <w:bdr w:val="nil"/>
          <w:lang w:val="en-US"/>
        </w:rPr>
        <w:t xml:space="preserve"> a legal system allowing asymmetry presents some constitutional safeguards</w:t>
      </w:r>
      <w:r w:rsidR="00410FEF" w:rsidRPr="00486DF6">
        <w:rPr>
          <w:rFonts w:ascii="Times New Roman" w:eastAsia="Calibri" w:hAnsi="Calibri" w:cs="Calibri"/>
          <w:color w:val="000000"/>
          <w:u w:color="000000"/>
          <w:bdr w:val="nil"/>
          <w:lang w:val="en-US"/>
        </w:rPr>
        <w:t>.</w:t>
      </w:r>
      <w:r w:rsidR="00997DE5" w:rsidRPr="00486DF6">
        <w:rPr>
          <w:rFonts w:ascii="Times New Roman" w:eastAsia="Calibri" w:hAnsi="Calibri" w:cs="Calibri"/>
          <w:color w:val="000000"/>
          <w:u w:color="000000"/>
          <w:bdr w:val="nil"/>
          <w:lang w:val="en-US"/>
        </w:rPr>
        <w:t xml:space="preserve"> </w:t>
      </w:r>
      <w:r w:rsidR="00410FEF" w:rsidRPr="00486DF6">
        <w:rPr>
          <w:rFonts w:ascii="Times New Roman" w:eastAsia="Calibri" w:hAnsi="Calibri" w:cs="Calibri"/>
          <w:color w:val="000000"/>
          <w:u w:color="000000"/>
          <w:bdr w:val="nil"/>
          <w:lang w:val="en-US"/>
        </w:rPr>
        <w:t>For example</w:t>
      </w:r>
      <w:r w:rsidR="00E66F67" w:rsidRPr="00486DF6">
        <w:rPr>
          <w:rFonts w:ascii="Times New Roman" w:eastAsia="Calibri" w:hAnsi="Calibri" w:cs="Calibri"/>
          <w:color w:val="000000"/>
          <w:u w:color="000000"/>
          <w:bdr w:val="nil"/>
          <w:lang w:val="en-US"/>
        </w:rPr>
        <w:t>,</w:t>
      </w:r>
      <w:r w:rsidR="00997DE5" w:rsidRPr="00486DF6">
        <w:rPr>
          <w:rFonts w:ascii="Times New Roman" w:eastAsia="Times New Roman" w:hAnsi="Times New Roman" w:cs="Times New Roman"/>
          <w:color w:val="000000"/>
          <w:lang w:val="en-US" w:eastAsia="en-GB"/>
        </w:rPr>
        <w:t xml:space="preserve"> enhanced cooperation</w:t>
      </w:r>
      <w:r w:rsidR="00410FEF" w:rsidRPr="00486DF6">
        <w:rPr>
          <w:rFonts w:ascii="Times New Roman" w:eastAsia="Times New Roman" w:hAnsi="Times New Roman" w:cs="Times New Roman"/>
          <w:color w:val="000000"/>
          <w:lang w:val="en-US" w:eastAsia="en-GB"/>
        </w:rPr>
        <w:t xml:space="preserve"> allows for asymmetry</w:t>
      </w:r>
      <w:r w:rsidR="00997DE5" w:rsidRPr="00486DF6">
        <w:rPr>
          <w:rFonts w:ascii="Times New Roman" w:eastAsia="Times New Roman" w:hAnsi="Times New Roman" w:cs="Times New Roman"/>
          <w:color w:val="000000"/>
          <w:lang w:val="en-US" w:eastAsia="en-GB"/>
        </w:rPr>
        <w:t>. Ar</w:t>
      </w:r>
      <w:r w:rsidR="00410FEF" w:rsidRPr="00486DF6">
        <w:rPr>
          <w:rFonts w:ascii="Times New Roman" w:eastAsia="Times New Roman" w:hAnsi="Times New Roman" w:cs="Times New Roman"/>
          <w:color w:val="000000"/>
          <w:lang w:val="en-US" w:eastAsia="en-GB"/>
        </w:rPr>
        <w:t>ticle</w:t>
      </w:r>
      <w:r w:rsidR="00997DE5" w:rsidRPr="00486DF6">
        <w:rPr>
          <w:rFonts w:ascii="Times New Roman" w:eastAsia="Times New Roman" w:hAnsi="Times New Roman" w:cs="Times New Roman"/>
          <w:color w:val="000000"/>
          <w:lang w:val="en-US" w:eastAsia="en-GB"/>
        </w:rPr>
        <w:t xml:space="preserve"> 326 TFEU provides that:  </w:t>
      </w:r>
    </w:p>
    <w:p w14:paraId="01200D25" w14:textId="04F8A53A" w:rsidR="005D5832" w:rsidRDefault="00997DE5" w:rsidP="004160F1">
      <w:pPr>
        <w:spacing w:line="480" w:lineRule="auto"/>
        <w:ind w:left="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sz w:val="20"/>
          <w:szCs w:val="20"/>
          <w:lang w:val="en-US" w:eastAsia="en-GB"/>
        </w:rPr>
        <w:t>Any enhanced cooperation shall comply with the Treaties and Union law. Such cooperation shall not undermine the internal market or economic, social and territorial cohesion. It shall not constitute a barrier to or discrimination in trade between Member States, nor shall it distort competition between them</w:t>
      </w:r>
      <w:r w:rsidRPr="00486DF6">
        <w:rPr>
          <w:rFonts w:ascii="Times New Roman" w:eastAsia="Times New Roman" w:hAnsi="Times New Roman" w:cs="Times New Roman"/>
          <w:color w:val="000000"/>
          <w:lang w:val="en-US" w:eastAsia="en-GB"/>
        </w:rPr>
        <w:t xml:space="preserve">. </w:t>
      </w:r>
    </w:p>
    <w:p w14:paraId="3005B08E" w14:textId="30B2FBEB" w:rsidR="00997DE5" w:rsidRPr="00486DF6" w:rsidRDefault="00997DE5" w:rsidP="005E0AC0">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 xml:space="preserve">In so doing, this provision identifies the existence of a constitutional core of principles and values whose respect makes asymmetry </w:t>
      </w:r>
      <w:r w:rsidR="00266B43">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sustainable</w:t>
      </w:r>
      <w:r w:rsidR="00266B43">
        <w:rPr>
          <w:rFonts w:ascii="Times New Roman" w:eastAsia="Times New Roman" w:hAnsi="Times New Roman" w:cs="Times New Roman"/>
          <w:color w:val="000000"/>
          <w:lang w:val="en-US" w:eastAsia="en-GB"/>
        </w:rPr>
        <w:t>”</w:t>
      </w:r>
      <w:r w:rsidR="00BF1010" w:rsidRPr="00486DF6">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The forms of issue-based withdrawal </w:t>
      </w:r>
      <w:r w:rsidR="00670295" w:rsidRPr="00486DF6">
        <w:rPr>
          <w:rFonts w:ascii="Times New Roman" w:eastAsia="Times New Roman" w:hAnsi="Times New Roman" w:cs="Times New Roman"/>
          <w:color w:val="000000"/>
          <w:lang w:val="en-US" w:eastAsia="en-GB"/>
        </w:rPr>
        <w:t xml:space="preserve">that </w:t>
      </w:r>
      <w:r w:rsidRPr="00486DF6">
        <w:rPr>
          <w:rFonts w:ascii="Times New Roman" w:eastAsia="Times New Roman" w:hAnsi="Times New Roman" w:cs="Times New Roman"/>
          <w:color w:val="000000"/>
          <w:lang w:val="en-US" w:eastAsia="en-GB"/>
        </w:rPr>
        <w:t>we are going to take into account</w:t>
      </w:r>
      <w:r w:rsidR="00670295" w:rsidRPr="00486DF6">
        <w:rPr>
          <w:rFonts w:ascii="Times New Roman" w:eastAsia="Times New Roman" w:hAnsi="Times New Roman" w:cs="Times New Roman"/>
          <w:color w:val="000000"/>
          <w:lang w:val="en-US" w:eastAsia="en-GB"/>
        </w:rPr>
        <w:t xml:space="preserve"> imply</w:t>
      </w:r>
      <w:r w:rsidRPr="00486DF6">
        <w:rPr>
          <w:rFonts w:ascii="Times New Roman" w:eastAsia="Times New Roman" w:hAnsi="Times New Roman" w:cs="Times New Roman"/>
          <w:color w:val="000000"/>
          <w:lang w:val="en-US" w:eastAsia="en-GB"/>
        </w:rPr>
        <w:t>, instead, the denial of values that belong to the untouchable core of EU law.</w:t>
      </w:r>
    </w:p>
    <w:p w14:paraId="576D8E52" w14:textId="77777777" w:rsidR="006F5403" w:rsidRPr="00486DF6" w:rsidRDefault="006F5403" w:rsidP="000E4CEC">
      <w:pPr>
        <w:spacing w:line="480" w:lineRule="auto"/>
        <w:jc w:val="both"/>
        <w:rPr>
          <w:rFonts w:ascii="Times New Roman" w:hAnsi="Times New Roman" w:cs="Times New Roman"/>
          <w:lang w:val="en-US"/>
        </w:rPr>
      </w:pPr>
    </w:p>
    <w:p w14:paraId="6552F46D" w14:textId="125B357C" w:rsidR="00997DE5" w:rsidRPr="00004EC0" w:rsidRDefault="00997DE5" w:rsidP="000E4CEC">
      <w:pPr>
        <w:spacing w:line="480" w:lineRule="auto"/>
        <w:rPr>
          <w:rFonts w:ascii="Times New Roman" w:eastAsia="Times New Roman" w:hAnsi="Times New Roman" w:cs="Times New Roman"/>
          <w:i/>
          <w:iCs/>
          <w:color w:val="000000"/>
          <w:lang w:val="en-US" w:eastAsia="en-GB"/>
        </w:rPr>
      </w:pPr>
      <w:r w:rsidRPr="00004EC0">
        <w:rPr>
          <w:rFonts w:ascii="Times New Roman" w:eastAsia="Times New Roman" w:hAnsi="Times New Roman" w:cs="Times New Roman"/>
          <w:i/>
          <w:iCs/>
          <w:color w:val="000000"/>
          <w:lang w:val="en-US" w:eastAsia="en-GB"/>
        </w:rPr>
        <w:t xml:space="preserve">A. </w:t>
      </w:r>
      <w:r w:rsidRPr="00004EC0">
        <w:rPr>
          <w:rFonts w:ascii="Times New Roman" w:eastAsia="Times New Roman" w:hAnsi="Times New Roman" w:cs="Times New Roman"/>
          <w:i/>
          <w:iCs/>
          <w:color w:val="000000"/>
          <w:lang w:val="en-US" w:eastAsia="en-GB"/>
        </w:rPr>
        <w:tab/>
        <w:t xml:space="preserve">Issue-based Withdrawal via Judicial Means: the case of the </w:t>
      </w:r>
      <w:proofErr w:type="spellStart"/>
      <w:r w:rsidRPr="00004EC0">
        <w:rPr>
          <w:rFonts w:ascii="Times New Roman" w:eastAsia="Times New Roman" w:hAnsi="Times New Roman" w:cs="Times New Roman"/>
          <w:i/>
          <w:iCs/>
          <w:color w:val="000000"/>
          <w:lang w:val="en-US" w:eastAsia="en-GB"/>
        </w:rPr>
        <w:t>BV</w:t>
      </w:r>
      <w:r w:rsidR="002D04EE" w:rsidRPr="00004EC0">
        <w:rPr>
          <w:rFonts w:ascii="Times New Roman" w:eastAsia="Times New Roman" w:hAnsi="Times New Roman" w:cs="Times New Roman"/>
          <w:i/>
          <w:iCs/>
          <w:color w:val="000000"/>
          <w:lang w:val="en-US" w:eastAsia="en-GB"/>
        </w:rPr>
        <w:t>erf</w:t>
      </w:r>
      <w:r w:rsidRPr="00004EC0">
        <w:rPr>
          <w:rFonts w:ascii="Times New Roman" w:eastAsia="Times New Roman" w:hAnsi="Times New Roman" w:cs="Times New Roman"/>
          <w:i/>
          <w:iCs/>
          <w:color w:val="000000"/>
          <w:lang w:val="en-US" w:eastAsia="en-GB"/>
        </w:rPr>
        <w:t>G</w:t>
      </w:r>
      <w:proofErr w:type="spellEnd"/>
      <w:r w:rsidRPr="00004EC0">
        <w:rPr>
          <w:rFonts w:ascii="Times New Roman" w:eastAsia="Times New Roman" w:hAnsi="Times New Roman" w:cs="Times New Roman"/>
          <w:i/>
          <w:iCs/>
          <w:color w:val="000000"/>
          <w:lang w:val="en-US" w:eastAsia="en-GB"/>
        </w:rPr>
        <w:t xml:space="preserve"> Ruling</w:t>
      </w:r>
    </w:p>
    <w:p w14:paraId="3A77E652" w14:textId="36FE1DB5" w:rsidR="00997DE5" w:rsidRPr="00486DF6" w:rsidRDefault="00997DE5" w:rsidP="00001216">
      <w:pPr>
        <w:pBdr>
          <w:top w:val="nil"/>
          <w:left w:val="nil"/>
          <w:bottom w:val="nil"/>
          <w:right w:val="nil"/>
          <w:between w:val="nil"/>
          <w:bar w:val="nil"/>
        </w:pBdr>
        <w:spacing w:line="480" w:lineRule="auto"/>
        <w:ind w:firstLine="720"/>
        <w:jc w:val="both"/>
        <w:rPr>
          <w:rFonts w:ascii="Times New Roman" w:hAnsi="Times New Roman" w:cs="Times New Roman"/>
          <w:color w:val="000000"/>
          <w:lang w:val="en-US"/>
        </w:rPr>
      </w:pPr>
      <w:r w:rsidRPr="00486DF6">
        <w:rPr>
          <w:rFonts w:ascii="Times New Roman" w:eastAsia="Arial Unicode MS" w:hAnsi="Times New Roman" w:cs="Times New Roman"/>
          <w:color w:val="000000" w:themeColor="text1"/>
          <w:u w:color="000000"/>
          <w:bdr w:val="nil"/>
          <w:lang w:val="en-US" w:eastAsia="it-IT"/>
        </w:rPr>
        <w:t>Weiler has noted that transnational constitutionalism has been at the very core of the European project.</w:t>
      </w:r>
      <w:r w:rsidRPr="00486DF6">
        <w:rPr>
          <w:rStyle w:val="FootnoteReference"/>
          <w:rFonts w:ascii="Times New Roman" w:eastAsia="Arial Unicode MS" w:hAnsi="Times New Roman" w:cs="Times New Roman"/>
          <w:color w:val="000000" w:themeColor="text1"/>
          <w:u w:color="000000"/>
          <w:bdr w:val="nil"/>
          <w:lang w:val="en-US" w:eastAsia="it-IT"/>
        </w:rPr>
        <w:footnoteReference w:id="54"/>
      </w:r>
      <w:r w:rsidRPr="00486DF6">
        <w:rPr>
          <w:rFonts w:ascii="Times New Roman" w:eastAsia="Arial Unicode MS" w:hAnsi="Times New Roman" w:cs="Times New Roman"/>
          <w:color w:val="000000" w:themeColor="text1"/>
          <w:u w:color="000000"/>
          <w:bdr w:val="nil"/>
          <w:lang w:val="en-US" w:eastAsia="it-IT"/>
        </w:rPr>
        <w:t xml:space="preserve"> From the first years of its existence, the CJEU introduced the principle of direct effect</w:t>
      </w:r>
      <w:r w:rsidR="00A120D7" w:rsidRPr="00486DF6">
        <w:rPr>
          <w:rFonts w:ascii="Times New Roman" w:eastAsia="Arial Unicode MS" w:hAnsi="Times New Roman" w:cs="Times New Roman"/>
          <w:color w:val="000000" w:themeColor="text1"/>
          <w:u w:color="000000"/>
          <w:bdr w:val="nil"/>
          <w:lang w:val="en-US" w:eastAsia="it-IT"/>
        </w:rPr>
        <w:t>,</w:t>
      </w:r>
      <w:r w:rsidRPr="00486DF6">
        <w:rPr>
          <w:rStyle w:val="FootnoteReference"/>
          <w:rFonts w:ascii="Times New Roman" w:eastAsia="Arial Unicode MS" w:hAnsi="Times New Roman" w:cs="Times New Roman"/>
          <w:color w:val="000000" w:themeColor="text1"/>
          <w:u w:color="000000"/>
          <w:bdr w:val="nil"/>
          <w:lang w:val="en-US" w:eastAsia="it-IT"/>
        </w:rPr>
        <w:footnoteReference w:id="55"/>
      </w:r>
      <w:r w:rsidRPr="00486DF6">
        <w:rPr>
          <w:rFonts w:ascii="Times New Roman" w:eastAsia="Arial Unicode MS" w:hAnsi="Times New Roman" w:cs="Times New Roman"/>
          <w:color w:val="000000" w:themeColor="text1"/>
          <w:u w:color="000000"/>
          <w:bdr w:val="nil"/>
          <w:lang w:val="en-US" w:eastAsia="it-IT"/>
        </w:rPr>
        <w:t xml:space="preserve"> according to which individuals can rely on EU law provisions before national courts</w:t>
      </w:r>
      <w:r w:rsidR="00C20C5F" w:rsidRPr="00486DF6">
        <w:rPr>
          <w:rFonts w:ascii="Times New Roman" w:eastAsia="Arial Unicode MS" w:hAnsi="Times New Roman" w:cs="Times New Roman"/>
          <w:color w:val="000000" w:themeColor="text1"/>
          <w:u w:color="000000"/>
          <w:bdr w:val="nil"/>
          <w:lang w:val="en-US" w:eastAsia="it-IT"/>
        </w:rPr>
        <w:t>,</w:t>
      </w:r>
      <w:r w:rsidRPr="00486DF6">
        <w:rPr>
          <w:rFonts w:ascii="Times New Roman" w:eastAsia="Arial Unicode MS" w:hAnsi="Times New Roman" w:cs="Times New Roman"/>
          <w:color w:val="000000" w:themeColor="text1"/>
          <w:u w:color="000000"/>
          <w:bdr w:val="nil"/>
          <w:lang w:val="en-US" w:eastAsia="it-IT"/>
        </w:rPr>
        <w:t xml:space="preserve"> while in </w:t>
      </w:r>
      <w:r w:rsidRPr="00486DF6">
        <w:rPr>
          <w:rFonts w:ascii="Times New Roman" w:eastAsia="Arial Unicode MS" w:hAnsi="Times New Roman" w:cs="Times New Roman"/>
          <w:i/>
          <w:iCs/>
          <w:color w:val="000000" w:themeColor="text1"/>
          <w:u w:color="000000"/>
          <w:bdr w:val="nil"/>
          <w:lang w:val="en-US" w:eastAsia="it-IT"/>
        </w:rPr>
        <w:t>Costa</w:t>
      </w:r>
      <w:r w:rsidRPr="00486DF6">
        <w:rPr>
          <w:rStyle w:val="FootnoteReference"/>
          <w:rFonts w:ascii="Times New Roman" w:eastAsia="Arial Unicode MS" w:hAnsi="Times New Roman" w:cs="Times New Roman"/>
          <w:color w:val="000000" w:themeColor="text1"/>
          <w:u w:color="000000"/>
          <w:bdr w:val="nil"/>
          <w:lang w:val="en-US" w:eastAsia="it-IT"/>
        </w:rPr>
        <w:footnoteReference w:id="56"/>
      </w:r>
      <w:r w:rsidRPr="00486DF6">
        <w:rPr>
          <w:rFonts w:ascii="Times New Roman" w:eastAsia="Arial Unicode MS" w:hAnsi="Times New Roman" w:cs="Times New Roman"/>
          <w:color w:val="000000" w:themeColor="text1"/>
          <w:u w:color="000000"/>
          <w:bdr w:val="nil"/>
          <w:lang w:val="en-US" w:eastAsia="it-IT"/>
        </w:rPr>
        <w:t xml:space="preserve"> they held that EU law takes precedence over national law when the two are in conflict. Some years later, the </w:t>
      </w:r>
      <w:r w:rsidR="0048020F">
        <w:rPr>
          <w:rFonts w:ascii="Times New Roman" w:eastAsia="Arial Unicode MS" w:hAnsi="Times New Roman" w:cs="Times New Roman"/>
          <w:color w:val="000000" w:themeColor="text1"/>
          <w:u w:color="000000"/>
          <w:bdr w:val="nil"/>
          <w:lang w:val="en-US" w:eastAsia="it-IT"/>
        </w:rPr>
        <w:t>c</w:t>
      </w:r>
      <w:r w:rsidRPr="00486DF6">
        <w:rPr>
          <w:rFonts w:ascii="Times New Roman" w:eastAsia="Arial Unicode MS" w:hAnsi="Times New Roman" w:cs="Times New Roman"/>
          <w:color w:val="000000" w:themeColor="text1"/>
          <w:u w:color="000000"/>
          <w:bdr w:val="nil"/>
          <w:lang w:val="en-US" w:eastAsia="it-IT"/>
        </w:rPr>
        <w:t xml:space="preserve">ourt confirmed that the principle of primacy </w:t>
      </w:r>
      <w:r w:rsidR="00C20C5F" w:rsidRPr="00486DF6">
        <w:rPr>
          <w:rFonts w:ascii="Times New Roman" w:eastAsia="Arial Unicode MS" w:hAnsi="Times New Roman" w:cs="Times New Roman"/>
          <w:color w:val="000000" w:themeColor="text1"/>
          <w:u w:color="000000"/>
          <w:bdr w:val="nil"/>
          <w:lang w:val="en-US" w:eastAsia="it-IT"/>
        </w:rPr>
        <w:t xml:space="preserve">even </w:t>
      </w:r>
      <w:r w:rsidRPr="00486DF6">
        <w:rPr>
          <w:rFonts w:ascii="Times New Roman" w:eastAsia="Arial Unicode MS" w:hAnsi="Times New Roman" w:cs="Times New Roman"/>
          <w:color w:val="000000" w:themeColor="text1"/>
          <w:u w:color="000000"/>
          <w:bdr w:val="nil"/>
          <w:lang w:val="en-US" w:eastAsia="it-IT"/>
        </w:rPr>
        <w:t>covers conflicts between EU law and national constitutional law.</w:t>
      </w:r>
      <w:r w:rsidRPr="00486DF6">
        <w:rPr>
          <w:rStyle w:val="FootnoteReference"/>
          <w:rFonts w:ascii="Times New Roman" w:eastAsia="Arial Unicode MS" w:hAnsi="Times New Roman" w:cs="Times New Roman"/>
          <w:color w:val="000000" w:themeColor="text1"/>
          <w:u w:color="000000"/>
          <w:bdr w:val="nil"/>
          <w:lang w:val="en-US" w:eastAsia="it-IT"/>
        </w:rPr>
        <w:footnoteReference w:id="57"/>
      </w:r>
      <w:r w:rsidRPr="00486DF6">
        <w:rPr>
          <w:rFonts w:ascii="Times New Roman" w:eastAsia="Arial Unicode MS" w:hAnsi="Times New Roman" w:cs="Times New Roman"/>
          <w:color w:val="000000" w:themeColor="text1"/>
          <w:u w:color="000000"/>
          <w:bdr w:val="nil"/>
          <w:lang w:val="en-US" w:eastAsia="it-IT"/>
        </w:rPr>
        <w:t xml:space="preserve"> Such conception of EU law</w:t>
      </w:r>
      <w:r w:rsidR="00C20C5F" w:rsidRPr="00486DF6">
        <w:rPr>
          <w:rFonts w:ascii="Times New Roman" w:eastAsia="Arial Unicode MS" w:hAnsi="Times New Roman" w:cs="Times New Roman"/>
          <w:color w:val="000000" w:themeColor="text1"/>
          <w:u w:color="000000"/>
          <w:bdr w:val="nil"/>
          <w:lang w:val="en-US" w:eastAsia="it-IT"/>
        </w:rPr>
        <w:t xml:space="preserve"> </w:t>
      </w:r>
      <w:r w:rsidRPr="00486DF6">
        <w:rPr>
          <w:rFonts w:ascii="Times New Roman" w:eastAsia="Arial Unicode MS" w:hAnsi="Times New Roman" w:cs="Times New Roman"/>
          <w:color w:val="000000" w:themeColor="text1"/>
          <w:u w:color="000000"/>
          <w:bdr w:val="nil"/>
          <w:lang w:val="en-US" w:eastAsia="it-IT"/>
        </w:rPr>
        <w:t>has not</w:t>
      </w:r>
      <w:r w:rsidR="00C20C5F" w:rsidRPr="00486DF6">
        <w:rPr>
          <w:rFonts w:ascii="Times New Roman" w:eastAsia="Arial Unicode MS" w:hAnsi="Times New Roman" w:cs="Times New Roman"/>
          <w:color w:val="000000" w:themeColor="text1"/>
          <w:u w:color="000000"/>
          <w:bdr w:val="nil"/>
          <w:lang w:val="en-US" w:eastAsia="it-IT"/>
        </w:rPr>
        <w:t>, however,</w:t>
      </w:r>
      <w:r w:rsidRPr="00486DF6">
        <w:rPr>
          <w:rFonts w:ascii="Times New Roman" w:eastAsia="Arial Unicode MS" w:hAnsi="Times New Roman" w:cs="Times New Roman"/>
          <w:color w:val="000000" w:themeColor="text1"/>
          <w:u w:color="000000"/>
          <w:bdr w:val="nil"/>
          <w:lang w:val="en-US" w:eastAsia="it-IT"/>
        </w:rPr>
        <w:t xml:space="preserve"> </w:t>
      </w:r>
      <w:r w:rsidR="00B017E3" w:rsidRPr="00486DF6">
        <w:rPr>
          <w:rFonts w:ascii="Times New Roman" w:eastAsia="Arial Unicode MS" w:hAnsi="Times New Roman" w:cs="Times New Roman"/>
          <w:color w:val="000000" w:themeColor="text1"/>
          <w:u w:color="000000"/>
          <w:bdr w:val="nil"/>
          <w:lang w:val="en-US" w:eastAsia="it-IT"/>
        </w:rPr>
        <w:t xml:space="preserve">gone </w:t>
      </w:r>
      <w:r w:rsidR="00C20C5F" w:rsidRPr="00486DF6">
        <w:rPr>
          <w:rFonts w:ascii="Times New Roman" w:eastAsia="Arial Unicode MS" w:hAnsi="Times New Roman" w:cs="Times New Roman"/>
          <w:color w:val="000000" w:themeColor="text1"/>
          <w:u w:color="000000"/>
          <w:bdr w:val="nil"/>
          <w:lang w:val="en-US" w:eastAsia="it-IT"/>
        </w:rPr>
        <w:t>uncontested</w:t>
      </w:r>
      <w:r w:rsidRPr="00486DF6">
        <w:rPr>
          <w:rFonts w:ascii="Times New Roman" w:eastAsia="Arial Unicode MS" w:hAnsi="Times New Roman" w:cs="Times New Roman"/>
          <w:color w:val="000000" w:themeColor="text1"/>
          <w:u w:color="000000"/>
          <w:bdr w:val="nil"/>
          <w:lang w:val="en-US" w:eastAsia="it-IT"/>
        </w:rPr>
        <w:t xml:space="preserve">. </w:t>
      </w:r>
      <w:r w:rsidRPr="00486DF6">
        <w:rPr>
          <w:rStyle w:val="Emphasis"/>
          <w:rFonts w:ascii="Times New Roman" w:hAnsi="Times New Roman" w:cs="Times New Roman"/>
          <w:i w:val="0"/>
          <w:iCs w:val="0"/>
          <w:lang w:val="en-US"/>
        </w:rPr>
        <w:t xml:space="preserve">The decisions of the Italian </w:t>
      </w:r>
      <w:r w:rsidR="00001216">
        <w:rPr>
          <w:rStyle w:val="Emphasis"/>
          <w:rFonts w:ascii="Times New Roman" w:hAnsi="Times New Roman" w:cs="Times New Roman"/>
          <w:i w:val="0"/>
          <w:iCs w:val="0"/>
          <w:lang w:val="en-US"/>
        </w:rPr>
        <w:t>c</w:t>
      </w:r>
      <w:r w:rsidRPr="00486DF6">
        <w:rPr>
          <w:rStyle w:val="Emphasis"/>
          <w:rFonts w:ascii="Times New Roman" w:hAnsi="Times New Roman" w:cs="Times New Roman"/>
          <w:i w:val="0"/>
          <w:iCs w:val="0"/>
          <w:lang w:val="en-US"/>
        </w:rPr>
        <w:t>ourt</w:t>
      </w:r>
      <w:r w:rsidR="00001216">
        <w:rPr>
          <w:rStyle w:val="Emphasis"/>
          <w:rFonts w:ascii="Times New Roman" w:hAnsi="Times New Roman" w:cs="Times New Roman"/>
          <w:i w:val="0"/>
          <w:iCs w:val="0"/>
          <w:lang w:val="en-US"/>
        </w:rPr>
        <w:t>s</w:t>
      </w:r>
      <w:r w:rsidRPr="00486DF6">
        <w:rPr>
          <w:rStyle w:val="Emphasis"/>
          <w:rFonts w:ascii="Times New Roman" w:hAnsi="Times New Roman" w:cs="Times New Roman"/>
          <w:i w:val="0"/>
          <w:iCs w:val="0"/>
          <w:lang w:val="en-US"/>
        </w:rPr>
        <w:t xml:space="preserve"> in </w:t>
      </w:r>
      <w:proofErr w:type="spellStart"/>
      <w:r w:rsidRPr="00486DF6">
        <w:rPr>
          <w:rStyle w:val="Emphasis"/>
          <w:rFonts w:ascii="Times New Roman" w:hAnsi="Times New Roman" w:cs="Times New Roman"/>
          <w:lang w:val="en-US"/>
        </w:rPr>
        <w:t>Frontini</w:t>
      </w:r>
      <w:proofErr w:type="spellEnd"/>
      <w:r w:rsidR="00001216">
        <w:rPr>
          <w:rStyle w:val="Emphasis"/>
          <w:rFonts w:ascii="Times New Roman" w:hAnsi="Times New Roman" w:cs="Times New Roman"/>
          <w:lang w:val="en-US"/>
        </w:rPr>
        <w:t>,</w:t>
      </w:r>
      <w:r w:rsidRPr="00486DF6">
        <w:rPr>
          <w:rStyle w:val="FootnoteReference"/>
          <w:rFonts w:ascii="Times New Roman" w:hAnsi="Times New Roman" w:cs="Times New Roman"/>
          <w:lang w:val="en-US"/>
        </w:rPr>
        <w:footnoteReference w:id="58"/>
      </w:r>
      <w:r w:rsidRPr="00486DF6">
        <w:rPr>
          <w:rStyle w:val="Emphasis"/>
          <w:rFonts w:ascii="Times New Roman" w:hAnsi="Times New Roman" w:cs="Times New Roman"/>
          <w:i w:val="0"/>
          <w:iCs w:val="0"/>
          <w:lang w:val="en-US"/>
        </w:rPr>
        <w:t xml:space="preserve"> the </w:t>
      </w:r>
      <w:r w:rsidRPr="00486DF6">
        <w:rPr>
          <w:rStyle w:val="Emphasis"/>
          <w:rFonts w:ascii="Times New Roman" w:hAnsi="Times New Roman" w:cs="Times New Roman"/>
          <w:lang w:val="en-US"/>
        </w:rPr>
        <w:t>Solange</w:t>
      </w:r>
      <w:r w:rsidRPr="00486DF6">
        <w:rPr>
          <w:rStyle w:val="Emphasis"/>
          <w:rFonts w:ascii="Times New Roman" w:hAnsi="Times New Roman" w:cs="Times New Roman"/>
          <w:i w:val="0"/>
          <w:iCs w:val="0"/>
          <w:lang w:val="en-US"/>
        </w:rPr>
        <w:t xml:space="preserve"> cases</w:t>
      </w:r>
      <w:r w:rsidR="00001216">
        <w:rPr>
          <w:rStyle w:val="Emphasis"/>
          <w:rFonts w:ascii="Times New Roman" w:hAnsi="Times New Roman" w:cs="Times New Roman"/>
          <w:i w:val="0"/>
          <w:iCs w:val="0"/>
          <w:lang w:val="en-US"/>
        </w:rPr>
        <w:t>,</w:t>
      </w:r>
      <w:r w:rsidRPr="00486DF6">
        <w:rPr>
          <w:rStyle w:val="FootnoteReference"/>
          <w:rFonts w:ascii="Times New Roman" w:hAnsi="Times New Roman" w:cs="Times New Roman"/>
          <w:lang w:val="en-US"/>
        </w:rPr>
        <w:footnoteReference w:id="59"/>
      </w:r>
      <w:r w:rsidR="00C20C5F" w:rsidRPr="00486DF6">
        <w:rPr>
          <w:rStyle w:val="Emphasis"/>
          <w:rFonts w:ascii="Times New Roman" w:hAnsi="Times New Roman" w:cs="Times New Roman"/>
          <w:i w:val="0"/>
          <w:iCs w:val="0"/>
          <w:lang w:val="en-US"/>
        </w:rPr>
        <w:t xml:space="preserve"> </w:t>
      </w:r>
      <w:r w:rsidRPr="00486DF6">
        <w:rPr>
          <w:rStyle w:val="Emphasis"/>
          <w:rFonts w:ascii="Times New Roman" w:hAnsi="Times New Roman" w:cs="Times New Roman"/>
          <w:i w:val="0"/>
          <w:iCs w:val="0"/>
          <w:lang w:val="en-US"/>
        </w:rPr>
        <w:t xml:space="preserve">the </w:t>
      </w:r>
      <w:r w:rsidRPr="00486DF6">
        <w:rPr>
          <w:rStyle w:val="Emphasis"/>
          <w:rFonts w:ascii="Times New Roman" w:hAnsi="Times New Roman" w:cs="Times New Roman"/>
          <w:lang w:val="en-US"/>
        </w:rPr>
        <w:t>Maastricht-Urteil</w:t>
      </w:r>
      <w:r w:rsidRPr="00486DF6">
        <w:rPr>
          <w:rStyle w:val="FootnoteReference"/>
          <w:rFonts w:ascii="Times New Roman" w:hAnsi="Times New Roman" w:cs="Times New Roman"/>
          <w:lang w:val="en-US"/>
        </w:rPr>
        <w:footnoteReference w:id="60"/>
      </w:r>
      <w:r w:rsidR="00001216">
        <w:rPr>
          <w:rStyle w:val="Emphasis"/>
          <w:rFonts w:ascii="Times New Roman" w:hAnsi="Times New Roman" w:cs="Times New Roman"/>
          <w:lang w:val="en-US"/>
        </w:rPr>
        <w:t xml:space="preserve"> </w:t>
      </w:r>
      <w:r w:rsidR="00001216">
        <w:rPr>
          <w:rStyle w:val="Emphasis"/>
          <w:rFonts w:ascii="Times New Roman" w:hAnsi="Times New Roman" w:cs="Times New Roman"/>
          <w:i w:val="0"/>
          <w:iCs w:val="0"/>
          <w:lang w:val="en-US"/>
        </w:rPr>
        <w:t xml:space="preserve">decision </w:t>
      </w:r>
      <w:r w:rsidRPr="00486DF6">
        <w:rPr>
          <w:rStyle w:val="Emphasis"/>
          <w:rFonts w:ascii="Times New Roman" w:hAnsi="Times New Roman" w:cs="Times New Roman"/>
          <w:i w:val="0"/>
          <w:iCs w:val="0"/>
          <w:lang w:val="en-US"/>
        </w:rPr>
        <w:t>of the German Constitutional Court, among others,</w:t>
      </w:r>
      <w:r w:rsidRPr="00486DF6">
        <w:rPr>
          <w:rStyle w:val="FootnoteReference"/>
          <w:rFonts w:ascii="Times New Roman" w:hAnsi="Times New Roman" w:cs="Times New Roman"/>
          <w:lang w:val="en-US"/>
        </w:rPr>
        <w:t xml:space="preserve"> </w:t>
      </w:r>
      <w:r w:rsidRPr="00486DF6">
        <w:rPr>
          <w:rFonts w:ascii="Times New Roman" w:hAnsi="Times New Roman" w:cs="Times New Roman"/>
          <w:lang w:val="en-US"/>
        </w:rPr>
        <w:t xml:space="preserve">and </w:t>
      </w:r>
      <w:r w:rsidRPr="00486DF6">
        <w:rPr>
          <w:rStyle w:val="Emphasis"/>
          <w:rFonts w:ascii="Times New Roman" w:hAnsi="Times New Roman" w:cs="Times New Roman"/>
          <w:i w:val="0"/>
          <w:iCs w:val="0"/>
          <w:lang w:val="en-US"/>
        </w:rPr>
        <w:t>the Lisbon Treaty judgments of the Czech, German, and Polish Constitutional Courts</w:t>
      </w:r>
      <w:r w:rsidR="00266B43">
        <w:rPr>
          <w:rStyle w:val="Emphasis"/>
          <w:rFonts w:ascii="Times New Roman" w:hAnsi="Times New Roman" w:cs="Times New Roman"/>
          <w:i w:val="0"/>
          <w:iCs w:val="0"/>
          <w:lang w:val="en-US"/>
        </w:rPr>
        <w:t>,</w:t>
      </w:r>
      <w:r w:rsidRPr="00486DF6">
        <w:rPr>
          <w:rStyle w:val="FootnoteReference"/>
          <w:rFonts w:ascii="Times New Roman" w:hAnsi="Times New Roman" w:cs="Times New Roman"/>
          <w:lang w:val="en-US"/>
        </w:rPr>
        <w:footnoteReference w:id="61"/>
      </w:r>
      <w:r w:rsidRPr="00486DF6">
        <w:rPr>
          <w:rStyle w:val="Emphasis"/>
          <w:rFonts w:ascii="Times New Roman" w:hAnsi="Times New Roman" w:cs="Times New Roman"/>
          <w:i w:val="0"/>
          <w:iCs w:val="0"/>
          <w:lang w:val="en-US"/>
        </w:rPr>
        <w:t xml:space="preserve"> </w:t>
      </w:r>
      <w:r w:rsidR="00C20C5F" w:rsidRPr="00486DF6">
        <w:rPr>
          <w:rStyle w:val="Emphasis"/>
          <w:rFonts w:ascii="Times New Roman" w:hAnsi="Times New Roman" w:cs="Times New Roman"/>
          <w:i w:val="0"/>
          <w:iCs w:val="0"/>
          <w:lang w:val="en-US"/>
        </w:rPr>
        <w:t xml:space="preserve">all </w:t>
      </w:r>
      <w:r w:rsidRPr="00486DF6">
        <w:rPr>
          <w:rStyle w:val="Emphasis"/>
          <w:rFonts w:ascii="Times New Roman" w:hAnsi="Times New Roman" w:cs="Times New Roman"/>
          <w:i w:val="0"/>
          <w:iCs w:val="0"/>
          <w:lang w:val="en-US"/>
        </w:rPr>
        <w:t>suggest that certain Member States believe that an untouchable nucleus of sovereignty does exist and</w:t>
      </w:r>
      <w:r w:rsidR="00C20C5F" w:rsidRPr="00486DF6">
        <w:rPr>
          <w:rStyle w:val="Emphasis"/>
          <w:rFonts w:ascii="Times New Roman" w:hAnsi="Times New Roman" w:cs="Times New Roman"/>
          <w:i w:val="0"/>
          <w:iCs w:val="0"/>
          <w:lang w:val="en-US"/>
        </w:rPr>
        <w:t xml:space="preserve"> that</w:t>
      </w:r>
      <w:r w:rsidRPr="00486DF6">
        <w:rPr>
          <w:rStyle w:val="Emphasis"/>
          <w:rFonts w:ascii="Times New Roman" w:hAnsi="Times New Roman" w:cs="Times New Roman"/>
          <w:i w:val="0"/>
          <w:iCs w:val="0"/>
          <w:lang w:val="en-US"/>
        </w:rPr>
        <w:t xml:space="preserve"> it can be invoked against the Union. According to this understanding, </w:t>
      </w:r>
      <w:r w:rsidRPr="00486DF6">
        <w:rPr>
          <w:rFonts w:ascii="Times New Roman" w:hAnsi="Times New Roman" w:cs="Times New Roman"/>
          <w:color w:val="000000"/>
          <w:lang w:val="en-US"/>
        </w:rPr>
        <w:t xml:space="preserve">each </w:t>
      </w:r>
      <w:r w:rsidR="00266B43">
        <w:rPr>
          <w:rFonts w:ascii="Times New Roman" w:hAnsi="Times New Roman" w:cs="Times New Roman"/>
          <w:color w:val="000000"/>
          <w:lang w:val="en-US"/>
        </w:rPr>
        <w:t>M</w:t>
      </w:r>
      <w:r w:rsidRPr="00486DF6">
        <w:rPr>
          <w:rFonts w:ascii="Times New Roman" w:hAnsi="Times New Roman" w:cs="Times New Roman"/>
          <w:color w:val="000000"/>
          <w:lang w:val="en-US"/>
        </w:rPr>
        <w:t xml:space="preserve">ember </w:t>
      </w:r>
      <w:r w:rsidR="00266B43">
        <w:rPr>
          <w:rFonts w:ascii="Times New Roman" w:hAnsi="Times New Roman" w:cs="Times New Roman"/>
          <w:color w:val="000000"/>
          <w:lang w:val="en-US"/>
        </w:rPr>
        <w:t>S</w:t>
      </w:r>
      <w:r w:rsidRPr="00486DF6">
        <w:rPr>
          <w:rFonts w:ascii="Times New Roman" w:hAnsi="Times New Roman" w:cs="Times New Roman"/>
          <w:color w:val="000000"/>
          <w:lang w:val="en-US"/>
        </w:rPr>
        <w:t>tate is an autonomous unit that retains its self-determination and sovereignty, including the ability to revoke its consent to participate in international organizations.</w:t>
      </w:r>
      <w:r w:rsidRPr="00486DF6">
        <w:rPr>
          <w:rStyle w:val="FootnoteReference"/>
          <w:rFonts w:ascii="Times New Roman" w:hAnsi="Times New Roman" w:cs="Times New Roman"/>
          <w:color w:val="000000"/>
          <w:lang w:val="en-US"/>
        </w:rPr>
        <w:footnoteReference w:id="62"/>
      </w:r>
      <w:r w:rsidRPr="00486DF6">
        <w:rPr>
          <w:rFonts w:ascii="Times New Roman" w:hAnsi="Times New Roman" w:cs="Times New Roman"/>
          <w:color w:val="000000"/>
          <w:lang w:val="en-US"/>
        </w:rPr>
        <w:t xml:space="preserve"> The codification of the duty to respect “the equality of Member States before the Treaties as well as their national identities, inherent in their </w:t>
      </w:r>
      <w:r w:rsidRPr="00486DF6">
        <w:rPr>
          <w:rFonts w:ascii="Times New Roman" w:hAnsi="Times New Roman" w:cs="Times New Roman"/>
          <w:color w:val="000000"/>
          <w:lang w:val="en-US"/>
        </w:rPr>
        <w:lastRenderedPageBreak/>
        <w:t>fundamental structures, political and constitutional, inclusive of regional and local self-government”</w:t>
      </w:r>
      <w:r w:rsidRPr="00486DF6">
        <w:rPr>
          <w:rStyle w:val="FootnoteReference"/>
          <w:rFonts w:ascii="Times New Roman" w:hAnsi="Times New Roman" w:cs="Times New Roman"/>
          <w:color w:val="000000"/>
          <w:lang w:val="en-US"/>
        </w:rPr>
        <w:footnoteReference w:id="63"/>
      </w:r>
      <w:r w:rsidRPr="00486DF6">
        <w:rPr>
          <w:rFonts w:ascii="Times New Roman" w:hAnsi="Times New Roman" w:cs="Times New Roman"/>
          <w:color w:val="000000"/>
          <w:lang w:val="en-US"/>
        </w:rPr>
        <w:t xml:space="preserve"> has reinforced this position.</w:t>
      </w:r>
    </w:p>
    <w:p w14:paraId="32E37C42" w14:textId="68DE8F23" w:rsidR="00997DE5" w:rsidRPr="000E6567" w:rsidRDefault="00997DE5" w:rsidP="000E6567">
      <w:pPr>
        <w:pBdr>
          <w:top w:val="nil"/>
          <w:left w:val="nil"/>
          <w:bottom w:val="nil"/>
          <w:right w:val="nil"/>
          <w:between w:val="nil"/>
          <w:bar w:val="nil"/>
        </w:pBdr>
        <w:spacing w:line="480" w:lineRule="auto"/>
        <w:ind w:firstLine="720"/>
        <w:jc w:val="both"/>
        <w:rPr>
          <w:rFonts w:ascii="Times New Roman" w:hAnsi="Times New Roman" w:cs="Times New Roman"/>
          <w:color w:val="000000"/>
          <w:lang w:val="en-US"/>
        </w:rPr>
      </w:pPr>
      <w:r w:rsidRPr="00486DF6">
        <w:rPr>
          <w:rFonts w:ascii="Times New Roman" w:hAnsi="Times New Roman" w:cs="Times New Roman"/>
          <w:color w:val="000000" w:themeColor="text1"/>
          <w:lang w:val="en-US" w:eastAsia="it-IT"/>
        </w:rPr>
        <w:t xml:space="preserve">Conflicts </w:t>
      </w:r>
      <w:r w:rsidR="00B017E3" w:rsidRPr="00486DF6">
        <w:rPr>
          <w:rFonts w:ascii="Times New Roman" w:hAnsi="Times New Roman" w:cs="Times New Roman"/>
          <w:color w:val="000000" w:themeColor="text1"/>
          <w:lang w:val="en-US" w:eastAsia="it-IT"/>
        </w:rPr>
        <w:t>such as those which characteri</w:t>
      </w:r>
      <w:r w:rsidR="006829DF">
        <w:rPr>
          <w:rFonts w:ascii="Times New Roman" w:hAnsi="Times New Roman" w:cs="Times New Roman"/>
          <w:color w:val="000000" w:themeColor="text1"/>
          <w:lang w:val="en-US" w:eastAsia="it-IT"/>
        </w:rPr>
        <w:t>z</w:t>
      </w:r>
      <w:r w:rsidR="00B017E3" w:rsidRPr="00486DF6">
        <w:rPr>
          <w:rFonts w:ascii="Times New Roman" w:hAnsi="Times New Roman" w:cs="Times New Roman"/>
          <w:color w:val="000000" w:themeColor="text1"/>
          <w:lang w:val="en-US" w:eastAsia="it-IT"/>
        </w:rPr>
        <w:t xml:space="preserve">ed the seventies and lay at the heart of the Solange saga </w:t>
      </w:r>
      <w:r w:rsidRPr="00486DF6">
        <w:rPr>
          <w:rFonts w:ascii="Times New Roman" w:hAnsi="Times New Roman" w:cs="Times New Roman"/>
          <w:color w:val="000000" w:themeColor="text1"/>
          <w:lang w:val="en-US" w:eastAsia="it-IT"/>
        </w:rPr>
        <w:t xml:space="preserve">were due to the absence (at supranational level) of provisions comparable to those aimed at protecting </w:t>
      </w:r>
      <w:r w:rsidR="00266B43">
        <w:rPr>
          <w:rFonts w:ascii="Times New Roman" w:hAnsi="Times New Roman" w:cs="Times New Roman"/>
          <w:color w:val="000000" w:themeColor="text1"/>
          <w:lang w:val="en-US" w:eastAsia="it-IT"/>
        </w:rPr>
        <w:t>“</w:t>
      </w:r>
      <w:r w:rsidRPr="00486DF6">
        <w:rPr>
          <w:rFonts w:ascii="Times New Roman" w:hAnsi="Times New Roman" w:cs="Times New Roman"/>
          <w:color w:val="000000" w:themeColor="text1"/>
          <w:lang w:val="en-US" w:eastAsia="it-IT"/>
        </w:rPr>
        <w:t>fundamental rights</w:t>
      </w:r>
      <w:r w:rsidR="00266B43">
        <w:rPr>
          <w:rFonts w:ascii="Times New Roman" w:hAnsi="Times New Roman" w:cs="Times New Roman"/>
          <w:color w:val="000000" w:themeColor="text1"/>
          <w:lang w:val="en-US" w:eastAsia="it-IT"/>
        </w:rPr>
        <w:t>”</w:t>
      </w:r>
      <w:r w:rsidRPr="00486DF6">
        <w:rPr>
          <w:rFonts w:ascii="Times New Roman" w:hAnsi="Times New Roman" w:cs="Times New Roman"/>
          <w:color w:val="000000" w:themeColor="text1"/>
          <w:lang w:val="en-US" w:eastAsia="it-IT"/>
        </w:rPr>
        <w:t xml:space="preserve"> at national level, </w:t>
      </w:r>
      <w:proofErr w:type="gramStart"/>
      <w:r w:rsidRPr="00486DF6">
        <w:rPr>
          <w:rFonts w:ascii="Times New Roman" w:hAnsi="Times New Roman" w:cs="Times New Roman"/>
          <w:color w:val="000000" w:themeColor="text1"/>
          <w:lang w:val="en-US" w:eastAsia="it-IT"/>
        </w:rPr>
        <w:t>i.e.</w:t>
      </w:r>
      <w:proofErr w:type="gramEnd"/>
      <w:r w:rsidRPr="00486DF6">
        <w:rPr>
          <w:rFonts w:ascii="Times New Roman" w:hAnsi="Times New Roman" w:cs="Times New Roman"/>
          <w:color w:val="000000" w:themeColor="text1"/>
          <w:lang w:val="en-US" w:eastAsia="it-IT"/>
        </w:rPr>
        <w:t xml:space="preserve"> </w:t>
      </w:r>
      <w:r w:rsidRPr="00094A62">
        <w:rPr>
          <w:rFonts w:ascii="Times New Roman" w:hAnsi="Times New Roman" w:cs="Times New Roman"/>
          <w:iCs/>
          <w:color w:val="000000" w:themeColor="text1"/>
          <w:lang w:val="en-US" w:eastAsia="it-IT"/>
        </w:rPr>
        <w:t xml:space="preserve">conflicts by divergence or by absence </w:t>
      </w:r>
      <w:r w:rsidRPr="00486DF6">
        <w:rPr>
          <w:rFonts w:ascii="Times New Roman" w:hAnsi="Times New Roman" w:cs="Times New Roman"/>
          <w:color w:val="000000" w:themeColor="text1"/>
          <w:lang w:val="en-US" w:eastAsia="it-IT"/>
        </w:rPr>
        <w:t>of a comparable protection of fundamental rights in EU law.</w:t>
      </w:r>
      <w:r w:rsidR="000E6567">
        <w:rPr>
          <w:rFonts w:ascii="Times New Roman" w:hAnsi="Times New Roman" w:cs="Times New Roman"/>
          <w:color w:val="000000" w:themeColor="text1"/>
          <w:lang w:val="en-US" w:eastAsia="it-IT"/>
        </w:rPr>
        <w:t xml:space="preserve"> </w:t>
      </w:r>
      <w:r w:rsidR="00286F81">
        <w:rPr>
          <w:rFonts w:ascii="Times New Roman" w:hAnsi="Times New Roman" w:cs="Times New Roman"/>
          <w:color w:val="000000" w:themeColor="text1"/>
          <w:lang w:val="en-US" w:eastAsia="it-IT"/>
        </w:rPr>
        <w:t xml:space="preserve">Put differently, the national supreme courts were inserting themselves between the Court of Justice and their citizens to protect the rights of the latter. </w:t>
      </w:r>
      <w:r w:rsidR="000E6567" w:rsidRPr="00486DF6">
        <w:rPr>
          <w:rFonts w:ascii="Times New Roman" w:hAnsi="Times New Roman" w:cs="Times New Roman"/>
          <w:color w:val="000000"/>
          <w:lang w:val="en-US"/>
        </w:rPr>
        <w:t xml:space="preserve">Over the years, the </w:t>
      </w:r>
      <w:r w:rsidR="000E6567">
        <w:rPr>
          <w:rFonts w:ascii="Times New Roman" w:hAnsi="Times New Roman" w:cs="Times New Roman"/>
          <w:color w:val="000000"/>
          <w:lang w:val="en-US"/>
        </w:rPr>
        <w:t>Union legal order</w:t>
      </w:r>
      <w:r w:rsidR="000E6567" w:rsidRPr="00486DF6">
        <w:rPr>
          <w:rFonts w:ascii="Times New Roman" w:hAnsi="Times New Roman" w:cs="Times New Roman"/>
          <w:color w:val="000000"/>
          <w:lang w:val="en-US"/>
        </w:rPr>
        <w:t xml:space="preserve"> has codified its commitment to respect for fundamental rights, particularly since the entry into force of the Lisbon Treaty, which made the EU Charter of Fundamental Rights</w:t>
      </w:r>
      <w:r w:rsidR="000E6567">
        <w:rPr>
          <w:rFonts w:ascii="Times New Roman" w:hAnsi="Times New Roman" w:cs="Times New Roman"/>
          <w:color w:val="000000"/>
          <w:lang w:val="en-US"/>
        </w:rPr>
        <w:t xml:space="preserve"> </w:t>
      </w:r>
      <w:r w:rsidR="000E6567" w:rsidRPr="00486DF6">
        <w:rPr>
          <w:rFonts w:ascii="Times New Roman" w:hAnsi="Times New Roman" w:cs="Times New Roman"/>
          <w:color w:val="000000"/>
          <w:lang w:val="en-US"/>
        </w:rPr>
        <w:t>binding. However,</w:t>
      </w:r>
      <w:r w:rsidR="000E6567">
        <w:rPr>
          <w:rFonts w:ascii="Times New Roman" w:hAnsi="Times New Roman" w:cs="Times New Roman"/>
          <w:color w:val="000000"/>
          <w:lang w:val="en-US"/>
        </w:rPr>
        <w:t xml:space="preserve"> constitutional</w:t>
      </w:r>
      <w:r w:rsidR="000E6567" w:rsidRPr="00486DF6">
        <w:rPr>
          <w:rFonts w:ascii="Times New Roman" w:hAnsi="Times New Roman" w:cs="Times New Roman"/>
          <w:color w:val="000000"/>
          <w:lang w:val="en-US"/>
        </w:rPr>
        <w:t xml:space="preserve"> conflicts</w:t>
      </w:r>
      <w:r w:rsidR="000E6567">
        <w:rPr>
          <w:rFonts w:ascii="Times New Roman" w:hAnsi="Times New Roman" w:cs="Times New Roman"/>
          <w:color w:val="000000"/>
          <w:lang w:val="en-US"/>
        </w:rPr>
        <w:t xml:space="preserve"> between the Court of Justice and apex national courts</w:t>
      </w:r>
      <w:r w:rsidR="000E6567" w:rsidRPr="00486DF6">
        <w:rPr>
          <w:rFonts w:ascii="Times New Roman" w:hAnsi="Times New Roman" w:cs="Times New Roman"/>
          <w:color w:val="000000"/>
          <w:lang w:val="en-US"/>
        </w:rPr>
        <w:t xml:space="preserve"> have not disappeared, rather they have only changed their nature.</w:t>
      </w:r>
      <w:r w:rsidRPr="00486DF6">
        <w:rPr>
          <w:rFonts w:ascii="Times New Roman" w:hAnsi="Times New Roman" w:cs="Times New Roman"/>
          <w:color w:val="000000" w:themeColor="text1"/>
          <w:lang w:val="en-US" w:eastAsia="it-IT"/>
        </w:rPr>
        <w:t xml:space="preserve"> The </w:t>
      </w:r>
      <w:r w:rsidR="000E6567">
        <w:rPr>
          <w:rFonts w:ascii="Times New Roman" w:hAnsi="Times New Roman" w:cs="Times New Roman"/>
          <w:color w:val="000000" w:themeColor="text1"/>
          <w:lang w:val="en-US" w:eastAsia="it-IT"/>
        </w:rPr>
        <w:t>current</w:t>
      </w:r>
      <w:r w:rsidRPr="00486DF6">
        <w:rPr>
          <w:rFonts w:ascii="Times New Roman" w:hAnsi="Times New Roman" w:cs="Times New Roman"/>
          <w:color w:val="000000" w:themeColor="text1"/>
          <w:lang w:val="en-US" w:eastAsia="it-IT"/>
        </w:rPr>
        <w:t xml:space="preserve"> conflicts seem to be</w:t>
      </w:r>
      <w:r w:rsidR="000E6567">
        <w:rPr>
          <w:rFonts w:ascii="Times New Roman" w:hAnsi="Times New Roman" w:cs="Times New Roman"/>
          <w:color w:val="000000" w:themeColor="text1"/>
          <w:lang w:val="en-US" w:eastAsia="it-IT"/>
        </w:rPr>
        <w:t xml:space="preserve"> </w:t>
      </w:r>
      <w:r w:rsidRPr="00486DF6">
        <w:rPr>
          <w:rFonts w:ascii="Times New Roman" w:hAnsi="Times New Roman" w:cs="Times New Roman"/>
          <w:color w:val="000000" w:themeColor="text1"/>
          <w:lang w:val="en-US" w:eastAsia="it-IT"/>
        </w:rPr>
        <w:t xml:space="preserve">due to the existence of an area of overlap between the national and supranational level, </w:t>
      </w:r>
      <w:proofErr w:type="gramStart"/>
      <w:r w:rsidRPr="00486DF6">
        <w:rPr>
          <w:rFonts w:ascii="Times New Roman" w:hAnsi="Times New Roman" w:cs="Times New Roman"/>
          <w:color w:val="000000" w:themeColor="text1"/>
          <w:lang w:val="en-US" w:eastAsia="it-IT"/>
        </w:rPr>
        <w:t>i.e.</w:t>
      </w:r>
      <w:proofErr w:type="gramEnd"/>
      <w:r w:rsidRPr="00486DF6">
        <w:rPr>
          <w:rFonts w:ascii="Times New Roman" w:hAnsi="Times New Roman" w:cs="Times New Roman"/>
          <w:color w:val="000000" w:themeColor="text1"/>
          <w:lang w:val="en-US" w:eastAsia="it-IT"/>
        </w:rPr>
        <w:t xml:space="preserve"> conflicts </w:t>
      </w:r>
      <w:r w:rsidRPr="006829DF">
        <w:rPr>
          <w:rFonts w:ascii="Times New Roman" w:hAnsi="Times New Roman" w:cs="Times New Roman"/>
          <w:iCs/>
          <w:color w:val="000000" w:themeColor="text1"/>
          <w:lang w:val="en-US" w:eastAsia="it-IT"/>
        </w:rPr>
        <w:t>by convergence or by presence</w:t>
      </w:r>
      <w:r w:rsidRPr="00486DF6">
        <w:rPr>
          <w:rFonts w:ascii="Times New Roman" w:hAnsi="Times New Roman" w:cs="Times New Roman"/>
          <w:color w:val="000000" w:themeColor="text1"/>
          <w:lang w:val="en-US" w:eastAsia="it-IT"/>
        </w:rPr>
        <w:t xml:space="preserve"> (of an EU law discipline). </w:t>
      </w:r>
    </w:p>
    <w:p w14:paraId="3944B6DD" w14:textId="741914AA" w:rsidR="00581466" w:rsidRPr="00581466" w:rsidRDefault="00997DE5" w:rsidP="00A57357">
      <w:pPr>
        <w:pBdr>
          <w:top w:val="nil"/>
          <w:left w:val="nil"/>
          <w:bottom w:val="nil"/>
          <w:right w:val="nil"/>
          <w:between w:val="nil"/>
          <w:bar w:val="nil"/>
        </w:pBdr>
        <w:spacing w:line="480" w:lineRule="auto"/>
        <w:ind w:firstLine="720"/>
        <w:jc w:val="both"/>
        <w:rPr>
          <w:rFonts w:ascii="Times New Roman" w:eastAsia="Arial Unicode MS" w:hAnsi="Times New Roman" w:cs="Times New Roman"/>
          <w:color w:val="000000" w:themeColor="text1"/>
          <w:u w:color="000000"/>
          <w:bdr w:val="nil"/>
          <w:lang w:val="en-US" w:eastAsia="it-IT"/>
        </w:rPr>
      </w:pPr>
      <w:r w:rsidRPr="00486DF6">
        <w:rPr>
          <w:rFonts w:ascii="Times New Roman" w:hAnsi="Times New Roman" w:cs="Times New Roman"/>
          <w:color w:val="000000" w:themeColor="text1"/>
          <w:lang w:val="en-US"/>
        </w:rPr>
        <w:t xml:space="preserve">The current constitutional conflicts are the unexpected consequences of the </w:t>
      </w:r>
      <w:proofErr w:type="spellStart"/>
      <w:r w:rsidRPr="00486DF6">
        <w:rPr>
          <w:rFonts w:ascii="Times New Roman" w:hAnsi="Times New Roman" w:cs="Times New Roman"/>
          <w:color w:val="000000" w:themeColor="text1"/>
          <w:lang w:val="en-US"/>
        </w:rPr>
        <w:t>constitutionali</w:t>
      </w:r>
      <w:r w:rsidR="00B017E3" w:rsidRPr="00486DF6">
        <w:rPr>
          <w:rFonts w:ascii="Times New Roman" w:hAnsi="Times New Roman" w:cs="Times New Roman"/>
          <w:color w:val="000000" w:themeColor="text1"/>
          <w:lang w:val="en-US"/>
        </w:rPr>
        <w:t>z</w:t>
      </w:r>
      <w:r w:rsidRPr="00486DF6">
        <w:rPr>
          <w:rFonts w:ascii="Times New Roman" w:hAnsi="Times New Roman" w:cs="Times New Roman"/>
          <w:color w:val="000000" w:themeColor="text1"/>
          <w:lang w:val="en-US"/>
        </w:rPr>
        <w:t>ation</w:t>
      </w:r>
      <w:proofErr w:type="spellEnd"/>
      <w:r w:rsidRPr="00486DF6">
        <w:rPr>
          <w:rFonts w:ascii="Times New Roman" w:hAnsi="Times New Roman" w:cs="Times New Roman"/>
          <w:color w:val="000000" w:themeColor="text1"/>
          <w:lang w:val="en-US"/>
        </w:rPr>
        <w:t xml:space="preserve"> of the EU, </w:t>
      </w:r>
      <w:r w:rsidR="00063593">
        <w:rPr>
          <w:rFonts w:ascii="Times New Roman" w:hAnsi="Times New Roman" w:cs="Times New Roman"/>
          <w:color w:val="000000" w:themeColor="text1"/>
          <w:lang w:val="en-US"/>
        </w:rPr>
        <w:t>partially brought by the recognition that</w:t>
      </w:r>
      <w:r w:rsidRPr="00486DF6">
        <w:rPr>
          <w:rFonts w:ascii="Times New Roman" w:hAnsi="Times New Roman" w:cs="Times New Roman"/>
          <w:color w:val="000000" w:themeColor="text1"/>
          <w:lang w:val="en-US"/>
        </w:rPr>
        <w:t xml:space="preserve"> fundamental rights </w:t>
      </w:r>
      <w:r w:rsidR="00063593">
        <w:rPr>
          <w:rFonts w:ascii="Times New Roman" w:hAnsi="Times New Roman" w:cs="Times New Roman"/>
          <w:color w:val="000000" w:themeColor="text1"/>
          <w:lang w:val="en-US"/>
        </w:rPr>
        <w:t>are an integral part of the EU legal order</w:t>
      </w:r>
      <w:r w:rsidRPr="00486DF6">
        <w:rPr>
          <w:rFonts w:ascii="Times New Roman" w:hAnsi="Times New Roman" w:cs="Times New Roman"/>
          <w:color w:val="000000" w:themeColor="text1"/>
          <w:lang w:val="en-US"/>
        </w:rPr>
        <w:t xml:space="preserve">.  </w:t>
      </w:r>
      <w:r w:rsidR="00063593">
        <w:rPr>
          <w:rFonts w:ascii="Times New Roman" w:hAnsi="Times New Roman" w:cs="Times New Roman"/>
          <w:color w:val="000000" w:themeColor="text1"/>
          <w:lang w:val="en-US"/>
        </w:rPr>
        <w:t xml:space="preserve">Interestingly, </w:t>
      </w:r>
      <w:r w:rsidRPr="00486DF6">
        <w:rPr>
          <w:rFonts w:ascii="Times New Roman" w:hAnsi="Times New Roman" w:cs="Times New Roman"/>
          <w:color w:val="000000" w:themeColor="text1"/>
          <w:lang w:val="en-US"/>
        </w:rPr>
        <w:t>Boom</w:t>
      </w:r>
      <w:r w:rsidR="00063593">
        <w:rPr>
          <w:rFonts w:ascii="Times New Roman" w:hAnsi="Times New Roman" w:cs="Times New Roman"/>
          <w:color w:val="000000" w:themeColor="text1"/>
          <w:lang w:val="en-US"/>
        </w:rPr>
        <w:t xml:space="preserve"> read those processes through the lens of nullification.</w:t>
      </w:r>
      <w:r w:rsidRPr="00486DF6">
        <w:rPr>
          <w:rStyle w:val="FootnoteReference"/>
          <w:rFonts w:ascii="Times New Roman" w:hAnsi="Times New Roman" w:cs="Times New Roman"/>
          <w:color w:val="000000" w:themeColor="text1"/>
          <w:lang w:val="en-US"/>
        </w:rPr>
        <w:footnoteReference w:id="64"/>
      </w:r>
      <w:r w:rsidRPr="00486DF6">
        <w:rPr>
          <w:rFonts w:ascii="Times New Roman" w:hAnsi="Times New Roman" w:cs="Times New Roman"/>
          <w:color w:val="000000" w:themeColor="text1"/>
          <w:lang w:val="en-US"/>
        </w:rPr>
        <w:t xml:space="preserve"> </w:t>
      </w:r>
      <w:r w:rsidR="00581466">
        <w:rPr>
          <w:rFonts w:ascii="Times New Roman" w:hAnsi="Times New Roman" w:cs="Times New Roman"/>
          <w:color w:val="000000" w:themeColor="text1"/>
          <w:lang w:val="en-US"/>
        </w:rPr>
        <w:t>M</w:t>
      </w:r>
      <w:r w:rsidRPr="00486DF6">
        <w:rPr>
          <w:rFonts w:ascii="Times New Roman" w:hAnsi="Times New Roman" w:cs="Times New Roman"/>
          <w:color w:val="000000" w:themeColor="text1"/>
          <w:lang w:val="en-US"/>
        </w:rPr>
        <w:t>ore recently</w:t>
      </w:r>
      <w:r w:rsidR="00581466">
        <w:rPr>
          <w:rFonts w:ascii="Times New Roman" w:hAnsi="Times New Roman" w:cs="Times New Roman"/>
          <w:color w:val="000000" w:themeColor="text1"/>
          <w:lang w:val="en-US"/>
        </w:rPr>
        <w:t>,</w:t>
      </w:r>
      <w:r w:rsidRPr="00486DF6">
        <w:rPr>
          <w:rFonts w:ascii="Times New Roman" w:hAnsi="Times New Roman" w:cs="Times New Roman"/>
          <w:color w:val="000000" w:themeColor="text1"/>
          <w:lang w:val="en-US"/>
        </w:rPr>
        <w:t xml:space="preserve"> commentators</w:t>
      </w:r>
      <w:r w:rsidRPr="00486DF6">
        <w:rPr>
          <w:rStyle w:val="FootnoteReference"/>
          <w:rFonts w:ascii="Times New Roman" w:hAnsi="Times New Roman" w:cs="Times New Roman"/>
          <w:color w:val="000000" w:themeColor="text1"/>
          <w:lang w:val="en-US"/>
        </w:rPr>
        <w:footnoteReference w:id="65"/>
      </w:r>
      <w:r w:rsidRPr="00486DF6">
        <w:rPr>
          <w:rFonts w:ascii="Times New Roman" w:hAnsi="Times New Roman" w:cs="Times New Roman"/>
          <w:color w:val="000000" w:themeColor="text1"/>
          <w:lang w:val="en-US"/>
        </w:rPr>
        <w:t xml:space="preserve"> </w:t>
      </w:r>
      <w:r w:rsidR="000F1AE9" w:rsidRPr="00486DF6">
        <w:rPr>
          <w:rFonts w:ascii="Times New Roman" w:hAnsi="Times New Roman" w:cs="Times New Roman"/>
          <w:color w:val="000000" w:themeColor="text1"/>
          <w:lang w:val="en-US"/>
        </w:rPr>
        <w:t xml:space="preserve">have </w:t>
      </w:r>
      <w:r w:rsidRPr="00486DF6">
        <w:rPr>
          <w:rFonts w:ascii="Times New Roman" w:hAnsi="Times New Roman" w:cs="Times New Roman"/>
          <w:color w:val="000000" w:themeColor="text1"/>
          <w:lang w:val="en-US"/>
        </w:rPr>
        <w:t xml:space="preserve">evoked its </w:t>
      </w:r>
      <w:r w:rsidR="006829DF" w:rsidRPr="00486DF6">
        <w:rPr>
          <w:rFonts w:ascii="Times New Roman" w:hAnsi="Times New Roman" w:cs="Times New Roman"/>
          <w:color w:val="000000" w:themeColor="text1"/>
          <w:lang w:val="en-US"/>
        </w:rPr>
        <w:t>specter</w:t>
      </w:r>
      <w:r w:rsidRPr="00486DF6">
        <w:rPr>
          <w:rFonts w:ascii="Times New Roman" w:hAnsi="Times New Roman" w:cs="Times New Roman"/>
          <w:color w:val="000000" w:themeColor="text1"/>
          <w:lang w:val="en-US"/>
        </w:rPr>
        <w:t xml:space="preserve"> </w:t>
      </w:r>
      <w:r w:rsidR="00BA0713" w:rsidRPr="00486DF6">
        <w:rPr>
          <w:rFonts w:ascii="Times New Roman" w:hAnsi="Times New Roman" w:cs="Times New Roman"/>
          <w:color w:val="000000" w:themeColor="text1"/>
          <w:lang w:val="en-US"/>
        </w:rPr>
        <w:t xml:space="preserve">in the context of </w:t>
      </w:r>
      <w:r w:rsidRPr="00486DF6">
        <w:rPr>
          <w:rFonts w:ascii="Times New Roman" w:hAnsi="Times New Roman" w:cs="Times New Roman"/>
          <w:color w:val="000000" w:themeColor="text1"/>
          <w:lang w:val="en-US"/>
        </w:rPr>
        <w:t>the German Constitutional Court decision of 5 May 2020</w:t>
      </w:r>
      <w:r w:rsidR="00063593">
        <w:rPr>
          <w:rFonts w:ascii="Times New Roman" w:eastAsia="Arial Unicode MS" w:hAnsi="Times New Roman" w:cs="Times New Roman"/>
          <w:color w:val="000000" w:themeColor="text1"/>
          <w:u w:color="000000"/>
          <w:bdr w:val="nil"/>
          <w:lang w:val="en-US" w:eastAsia="it-IT"/>
        </w:rPr>
        <w:t>.</w:t>
      </w:r>
      <w:r w:rsidRPr="00486DF6">
        <w:rPr>
          <w:rFonts w:ascii="Times New Roman" w:eastAsia="Times New Roman" w:hAnsi="Times New Roman" w:cs="Times New Roman"/>
          <w:color w:val="000000" w:themeColor="text1"/>
          <w:u w:color="000000"/>
          <w:bdr w:val="nil"/>
          <w:vertAlign w:val="superscript"/>
          <w:lang w:val="en-US" w:eastAsia="it-IT"/>
        </w:rPr>
        <w:footnoteReference w:id="66"/>
      </w:r>
      <w:r w:rsidRPr="00486DF6">
        <w:rPr>
          <w:rFonts w:ascii="Times New Roman" w:eastAsia="Arial Unicode MS" w:hAnsi="Times New Roman" w:cs="Times New Roman"/>
          <w:color w:val="000000" w:themeColor="text1"/>
          <w:u w:color="000000"/>
          <w:bdr w:val="nil"/>
          <w:lang w:val="en-US" w:eastAsia="it-IT"/>
        </w:rPr>
        <w:t xml:space="preserve"> </w:t>
      </w:r>
      <w:r w:rsidR="00063593">
        <w:rPr>
          <w:rFonts w:ascii="Times New Roman" w:eastAsia="Arial Unicode MS" w:hAnsi="Times New Roman" w:cs="Times New Roman"/>
          <w:color w:val="000000" w:themeColor="text1"/>
          <w:u w:color="000000"/>
          <w:bdr w:val="nil"/>
          <w:lang w:val="en-US" w:eastAsia="it-IT"/>
        </w:rPr>
        <w:t>In this case, the apex court of Germany</w:t>
      </w:r>
      <w:r w:rsidRPr="00486DF6">
        <w:rPr>
          <w:rFonts w:ascii="Times New Roman" w:eastAsia="Arial Unicode MS" w:hAnsi="Times New Roman" w:cs="Times New Roman"/>
          <w:color w:val="000000" w:themeColor="text1"/>
          <w:u w:color="000000"/>
          <w:bdr w:val="nil"/>
          <w:lang w:val="en-US" w:eastAsia="it-IT"/>
        </w:rPr>
        <w:t xml:space="preserve"> declared that the CJ</w:t>
      </w:r>
      <w:r w:rsidR="00BE29B9">
        <w:rPr>
          <w:rFonts w:ascii="Times New Roman" w:eastAsia="Arial Unicode MS" w:hAnsi="Times New Roman" w:cs="Times New Roman"/>
          <w:color w:val="000000" w:themeColor="text1"/>
          <w:u w:color="000000"/>
          <w:bdr w:val="nil"/>
          <w:lang w:val="en-US" w:eastAsia="it-IT"/>
        </w:rPr>
        <w:t>EU</w:t>
      </w:r>
      <w:r w:rsidRPr="00486DF6">
        <w:rPr>
          <w:rFonts w:ascii="Times New Roman" w:eastAsia="Arial Unicode MS" w:hAnsi="Times New Roman" w:cs="Times New Roman"/>
          <w:color w:val="000000" w:themeColor="text1"/>
          <w:u w:color="000000"/>
          <w:bdr w:val="nil"/>
          <w:lang w:val="en-US" w:eastAsia="it-IT"/>
        </w:rPr>
        <w:t xml:space="preserve"> had acted </w:t>
      </w:r>
      <w:r w:rsidRPr="00486DF6">
        <w:rPr>
          <w:rFonts w:ascii="Times New Roman" w:eastAsia="Arial Unicode MS" w:hAnsi="Times New Roman" w:cs="Times New Roman"/>
          <w:i/>
          <w:iCs/>
          <w:color w:val="000000" w:themeColor="text1"/>
          <w:u w:color="000000"/>
          <w:bdr w:val="nil"/>
          <w:lang w:val="en-US" w:eastAsia="it-IT"/>
        </w:rPr>
        <w:t>ultra vires</w:t>
      </w:r>
      <w:r w:rsidRPr="00486DF6">
        <w:rPr>
          <w:rFonts w:ascii="Times New Roman" w:eastAsia="Arial Unicode MS" w:hAnsi="Times New Roman" w:cs="Times New Roman"/>
          <w:color w:val="000000" w:themeColor="text1"/>
          <w:u w:color="000000"/>
          <w:bdr w:val="nil"/>
          <w:lang w:val="en-US" w:eastAsia="it-IT"/>
        </w:rPr>
        <w:t xml:space="preserve"> </w:t>
      </w:r>
      <w:r w:rsidR="00063593">
        <w:rPr>
          <w:rFonts w:ascii="Times New Roman" w:eastAsia="Arial Unicode MS" w:hAnsi="Times New Roman" w:cs="Times New Roman"/>
          <w:color w:val="000000" w:themeColor="text1"/>
          <w:u w:color="000000"/>
          <w:bdr w:val="nil"/>
          <w:lang w:val="en-US" w:eastAsia="it-IT"/>
        </w:rPr>
        <w:t xml:space="preserve">when </w:t>
      </w:r>
      <w:r w:rsidRPr="00486DF6">
        <w:rPr>
          <w:rFonts w:ascii="Times New Roman" w:eastAsia="Arial Unicode MS" w:hAnsi="Times New Roman" w:cs="Times New Roman"/>
          <w:color w:val="000000" w:themeColor="text1"/>
          <w:u w:color="000000"/>
          <w:bdr w:val="nil"/>
          <w:lang w:val="en-US" w:eastAsia="it-IT"/>
        </w:rPr>
        <w:t>exercis</w:t>
      </w:r>
      <w:r w:rsidR="00063593">
        <w:rPr>
          <w:rFonts w:ascii="Times New Roman" w:eastAsia="Arial Unicode MS" w:hAnsi="Times New Roman" w:cs="Times New Roman"/>
          <w:color w:val="000000" w:themeColor="text1"/>
          <w:u w:color="000000"/>
          <w:bdr w:val="nil"/>
          <w:lang w:val="en-US" w:eastAsia="it-IT"/>
        </w:rPr>
        <w:t>ing</w:t>
      </w:r>
      <w:r w:rsidRPr="00486DF6">
        <w:rPr>
          <w:rFonts w:ascii="Times New Roman" w:eastAsia="Arial Unicode MS" w:hAnsi="Times New Roman" w:cs="Times New Roman"/>
          <w:color w:val="000000" w:themeColor="text1"/>
          <w:u w:color="000000"/>
          <w:bdr w:val="nil"/>
          <w:lang w:val="en-US" w:eastAsia="it-IT"/>
        </w:rPr>
        <w:t xml:space="preserve"> the proportionality review in the </w:t>
      </w:r>
      <w:r w:rsidRPr="00486DF6">
        <w:rPr>
          <w:rFonts w:ascii="Times New Roman" w:eastAsia="Arial Unicode MS" w:hAnsi="Times New Roman" w:cs="Times New Roman"/>
          <w:i/>
          <w:iCs/>
          <w:color w:val="000000" w:themeColor="text1"/>
          <w:u w:color="000000"/>
          <w:bdr w:val="nil"/>
          <w:lang w:val="en-US" w:eastAsia="it-IT"/>
        </w:rPr>
        <w:t>Weiss</w:t>
      </w:r>
      <w:r w:rsidRPr="00486DF6">
        <w:rPr>
          <w:rFonts w:ascii="Times New Roman" w:eastAsia="Arial Unicode MS" w:hAnsi="Times New Roman" w:cs="Times New Roman"/>
          <w:color w:val="000000" w:themeColor="text1"/>
          <w:u w:color="000000"/>
          <w:bdr w:val="nil"/>
          <w:lang w:val="en-US" w:eastAsia="it-IT"/>
        </w:rPr>
        <w:t xml:space="preserve"> case.</w:t>
      </w:r>
      <w:r w:rsidRPr="00486DF6">
        <w:rPr>
          <w:rFonts w:ascii="Times New Roman" w:eastAsia="Arial Unicode MS" w:hAnsi="Times New Roman" w:cs="Times New Roman"/>
          <w:color w:val="000000" w:themeColor="text1"/>
          <w:u w:color="000000"/>
          <w:bdr w:val="nil"/>
          <w:vertAlign w:val="superscript"/>
          <w:lang w:val="en-US" w:eastAsia="it-IT"/>
        </w:rPr>
        <w:footnoteReference w:id="67"/>
      </w:r>
      <w:r w:rsidR="00A57357">
        <w:rPr>
          <w:rFonts w:ascii="Times New Roman" w:eastAsia="Arial Unicode MS" w:hAnsi="Times New Roman" w:cs="Times New Roman"/>
          <w:color w:val="000000" w:themeColor="text1"/>
          <w:u w:color="000000"/>
          <w:bdr w:val="nil"/>
          <w:lang w:val="en-US" w:eastAsia="it-IT"/>
        </w:rPr>
        <w:t xml:space="preserve"> </w:t>
      </w:r>
      <w:r w:rsidR="00581466" w:rsidRPr="00581466">
        <w:rPr>
          <w:rFonts w:ascii="Times New Roman" w:eastAsia="Arial Unicode MS" w:hAnsi="Times New Roman" w:cs="Times New Roman"/>
          <w:color w:val="000000" w:themeColor="text1"/>
          <w:u w:color="000000"/>
          <w:bdr w:val="nil"/>
          <w:lang w:val="en-US" w:eastAsia="it-IT"/>
        </w:rPr>
        <w:lastRenderedPageBreak/>
        <w:t xml:space="preserve">By </w:t>
      </w:r>
      <w:r w:rsidR="00581466">
        <w:rPr>
          <w:rFonts w:ascii="Times New Roman" w:eastAsia="Arial Unicode MS" w:hAnsi="Times New Roman" w:cs="Times New Roman"/>
          <w:color w:val="000000" w:themeColor="text1"/>
          <w:u w:color="000000"/>
          <w:bdr w:val="nil"/>
          <w:lang w:val="en-US" w:eastAsia="it-IT"/>
        </w:rPr>
        <w:t xml:space="preserve">questioning </w:t>
      </w:r>
      <w:r w:rsidR="00581466" w:rsidRPr="00581466">
        <w:rPr>
          <w:rFonts w:ascii="Times New Roman" w:eastAsia="Arial Unicode MS" w:hAnsi="Times New Roman" w:cs="Times New Roman"/>
          <w:color w:val="000000" w:themeColor="text1"/>
          <w:u w:color="000000"/>
          <w:bdr w:val="nil"/>
          <w:lang w:val="en-US"/>
        </w:rPr>
        <w:t>one of the fundamental pillars of European integration: the principle of primacy of EU law</w:t>
      </w:r>
      <w:r w:rsidR="00581466">
        <w:rPr>
          <w:rFonts w:ascii="Times New Roman" w:eastAsia="Arial Unicode MS" w:hAnsi="Times New Roman" w:cs="Times New Roman"/>
          <w:color w:val="000000" w:themeColor="text1"/>
          <w:u w:color="000000"/>
          <w:bdr w:val="nil"/>
          <w:lang w:val="en-US"/>
        </w:rPr>
        <w:t xml:space="preserve">, the German </w:t>
      </w:r>
      <w:r w:rsidR="00A57357">
        <w:rPr>
          <w:rFonts w:ascii="Times New Roman" w:eastAsia="Arial Unicode MS" w:hAnsi="Times New Roman" w:cs="Times New Roman"/>
          <w:color w:val="000000" w:themeColor="text1"/>
          <w:u w:color="000000"/>
          <w:bdr w:val="nil"/>
          <w:lang w:val="en-US"/>
        </w:rPr>
        <w:t>highest</w:t>
      </w:r>
      <w:r w:rsidR="00581466">
        <w:rPr>
          <w:rFonts w:ascii="Times New Roman" w:eastAsia="Arial Unicode MS" w:hAnsi="Times New Roman" w:cs="Times New Roman"/>
          <w:color w:val="000000" w:themeColor="text1"/>
          <w:u w:color="000000"/>
          <w:bdr w:val="nil"/>
          <w:lang w:val="en-US"/>
        </w:rPr>
        <w:t xml:space="preserve"> court </w:t>
      </w:r>
      <w:r w:rsidR="00581466">
        <w:rPr>
          <w:rFonts w:ascii="Times New Roman" w:eastAsia="Arial Unicode MS" w:hAnsi="Times New Roman" w:cs="Times New Roman"/>
          <w:color w:val="000000" w:themeColor="text1"/>
          <w:u w:color="000000"/>
          <w:bdr w:val="nil"/>
          <w:lang w:val="en-US" w:eastAsia="it-IT"/>
        </w:rPr>
        <w:t>pointed</w:t>
      </w:r>
      <w:r w:rsidR="00A57357">
        <w:rPr>
          <w:rFonts w:ascii="Times New Roman" w:eastAsia="Arial Unicode MS" w:hAnsi="Times New Roman" w:cs="Times New Roman"/>
          <w:color w:val="000000" w:themeColor="text1"/>
          <w:u w:color="000000"/>
          <w:bdr w:val="nil"/>
          <w:lang w:val="en-US" w:eastAsia="it-IT"/>
        </w:rPr>
        <w:t xml:space="preserve"> out</w:t>
      </w:r>
      <w:r w:rsidR="00581466">
        <w:rPr>
          <w:rFonts w:ascii="Times New Roman" w:eastAsia="Arial Unicode MS" w:hAnsi="Times New Roman" w:cs="Times New Roman"/>
          <w:color w:val="000000" w:themeColor="text1"/>
          <w:u w:color="000000"/>
          <w:bdr w:val="nil"/>
          <w:lang w:val="en-US" w:eastAsia="it-IT"/>
        </w:rPr>
        <w:t xml:space="preserve"> to the other</w:t>
      </w:r>
      <w:r w:rsidR="00581466" w:rsidRPr="00486DF6">
        <w:rPr>
          <w:rFonts w:ascii="Times New Roman" w:eastAsia="Arial Unicode MS" w:hAnsi="Times New Roman" w:cs="Times New Roman"/>
          <w:color w:val="000000" w:themeColor="text1"/>
          <w:u w:color="000000"/>
          <w:bdr w:val="nil"/>
          <w:lang w:val="en-US" w:eastAsia="it-IT"/>
        </w:rPr>
        <w:t xml:space="preserve"> German institutions </w:t>
      </w:r>
      <w:r w:rsidR="00581466">
        <w:rPr>
          <w:rFonts w:ascii="Times New Roman" w:eastAsia="Arial Unicode MS" w:hAnsi="Times New Roman" w:cs="Times New Roman"/>
          <w:color w:val="000000" w:themeColor="text1"/>
          <w:u w:color="000000"/>
          <w:bdr w:val="nil"/>
          <w:lang w:val="en-US" w:eastAsia="it-IT"/>
        </w:rPr>
        <w:t xml:space="preserve">that they were not bound </w:t>
      </w:r>
      <w:r w:rsidR="00581466" w:rsidRPr="00486DF6">
        <w:rPr>
          <w:rFonts w:ascii="Times New Roman" w:eastAsia="Arial Unicode MS" w:hAnsi="Times New Roman" w:cs="Times New Roman"/>
          <w:color w:val="000000" w:themeColor="text1"/>
          <w:u w:color="000000"/>
          <w:bdr w:val="nil"/>
          <w:lang w:val="en-US" w:eastAsia="it-IT"/>
        </w:rPr>
        <w:t xml:space="preserve">by any of </w:t>
      </w:r>
      <w:r w:rsidR="00581466">
        <w:rPr>
          <w:rFonts w:ascii="Times New Roman" w:eastAsia="Arial Unicode MS" w:hAnsi="Times New Roman" w:cs="Times New Roman"/>
          <w:color w:val="000000" w:themeColor="text1"/>
          <w:u w:color="000000"/>
          <w:bdr w:val="nil"/>
          <w:lang w:val="en-US" w:eastAsia="it-IT"/>
        </w:rPr>
        <w:t>the</w:t>
      </w:r>
      <w:r w:rsidR="00581466" w:rsidRPr="00486DF6">
        <w:rPr>
          <w:rFonts w:ascii="Times New Roman" w:eastAsia="Arial Unicode MS" w:hAnsi="Times New Roman" w:cs="Times New Roman"/>
          <w:color w:val="000000" w:themeColor="text1"/>
          <w:u w:color="000000"/>
          <w:bdr w:val="nil"/>
          <w:lang w:val="en-US" w:eastAsia="it-IT"/>
        </w:rPr>
        <w:t xml:space="preserve"> relevant effects</w:t>
      </w:r>
      <w:r w:rsidR="00581466">
        <w:rPr>
          <w:rFonts w:ascii="Times New Roman" w:eastAsia="Arial Unicode MS" w:hAnsi="Times New Roman" w:cs="Times New Roman"/>
          <w:color w:val="000000" w:themeColor="text1"/>
          <w:u w:color="000000"/>
          <w:bdr w:val="nil"/>
          <w:lang w:val="en-US" w:eastAsia="it-IT"/>
        </w:rPr>
        <w:t xml:space="preserve"> of the </w:t>
      </w:r>
      <w:r w:rsidR="00581466" w:rsidRPr="00486DF6">
        <w:rPr>
          <w:rFonts w:ascii="Times New Roman" w:eastAsia="Arial Unicode MS" w:hAnsi="Times New Roman" w:cs="Times New Roman"/>
          <w:i/>
          <w:iCs/>
          <w:color w:val="000000" w:themeColor="text1"/>
          <w:u w:color="000000"/>
          <w:bdr w:val="nil"/>
          <w:lang w:val="en-US" w:eastAsia="it-IT"/>
        </w:rPr>
        <w:t xml:space="preserve">Weiss </w:t>
      </w:r>
      <w:r w:rsidR="00581466">
        <w:rPr>
          <w:rFonts w:ascii="Times New Roman" w:eastAsia="Arial Unicode MS" w:hAnsi="Times New Roman" w:cs="Times New Roman"/>
          <w:color w:val="000000" w:themeColor="text1"/>
          <w:u w:color="000000"/>
          <w:bdr w:val="nil"/>
          <w:lang w:val="en-US" w:eastAsia="it-IT"/>
        </w:rPr>
        <w:t>judgment</w:t>
      </w:r>
      <w:r w:rsidR="00581466" w:rsidRPr="00486DF6">
        <w:rPr>
          <w:rFonts w:ascii="Times New Roman" w:eastAsia="Arial Unicode MS" w:hAnsi="Times New Roman" w:cs="Times New Roman"/>
          <w:color w:val="000000" w:themeColor="text1"/>
          <w:u w:color="000000"/>
          <w:bdr w:val="nil"/>
          <w:lang w:val="en-US" w:eastAsia="it-IT"/>
        </w:rPr>
        <w:t>.</w:t>
      </w:r>
      <w:r w:rsidR="00581466">
        <w:rPr>
          <w:rFonts w:ascii="Times New Roman" w:eastAsia="Arial Unicode MS" w:hAnsi="Times New Roman" w:cs="Times New Roman"/>
          <w:color w:val="000000" w:themeColor="text1"/>
          <w:u w:color="000000"/>
          <w:bdr w:val="nil"/>
          <w:lang w:val="en-US" w:eastAsia="it-IT"/>
        </w:rPr>
        <w:t xml:space="preserve"> In other words, it decided the unilateral withdrawal of Germany from this part of the overall </w:t>
      </w:r>
      <w:r w:rsidR="008E3F55">
        <w:rPr>
          <w:rFonts w:ascii="Times New Roman" w:eastAsia="Arial Unicode MS" w:hAnsi="Times New Roman" w:cs="Times New Roman"/>
          <w:color w:val="000000" w:themeColor="text1"/>
          <w:u w:color="000000"/>
          <w:bdr w:val="nil"/>
          <w:lang w:val="en-US" w:eastAsia="it-IT"/>
        </w:rPr>
        <w:t>“</w:t>
      </w:r>
      <w:r w:rsidR="00581466">
        <w:rPr>
          <w:rFonts w:ascii="Times New Roman" w:eastAsia="Arial Unicode MS" w:hAnsi="Times New Roman" w:cs="Times New Roman"/>
          <w:color w:val="000000" w:themeColor="text1"/>
          <w:u w:color="000000"/>
          <w:bdr w:val="nil"/>
          <w:lang w:val="en-US" w:eastAsia="it-IT"/>
        </w:rPr>
        <w:t>federal</w:t>
      </w:r>
      <w:r w:rsidR="008E3F55">
        <w:rPr>
          <w:rFonts w:ascii="Times New Roman" w:eastAsia="Arial Unicode MS" w:hAnsi="Times New Roman" w:cs="Times New Roman"/>
          <w:color w:val="000000" w:themeColor="text1"/>
          <w:u w:color="000000"/>
          <w:bdr w:val="nil"/>
          <w:lang w:val="en-US" w:eastAsia="it-IT"/>
        </w:rPr>
        <w:t>”</w:t>
      </w:r>
      <w:r w:rsidR="00581466">
        <w:rPr>
          <w:rFonts w:ascii="Times New Roman" w:eastAsia="Arial Unicode MS" w:hAnsi="Times New Roman" w:cs="Times New Roman"/>
          <w:color w:val="000000" w:themeColor="text1"/>
          <w:u w:color="000000"/>
          <w:bdr w:val="nil"/>
          <w:lang w:val="en-US" w:eastAsia="it-IT"/>
        </w:rPr>
        <w:t xml:space="preserve"> pact.</w:t>
      </w:r>
    </w:p>
    <w:p w14:paraId="1257380A" w14:textId="53767473" w:rsidR="00CD1870" w:rsidRPr="00486DF6" w:rsidRDefault="00997DE5" w:rsidP="006829DF">
      <w:pPr>
        <w:pBdr>
          <w:top w:val="nil"/>
          <w:left w:val="nil"/>
          <w:bottom w:val="nil"/>
          <w:right w:val="nil"/>
          <w:between w:val="nil"/>
          <w:bar w:val="nil"/>
        </w:pBdr>
        <w:spacing w:line="480" w:lineRule="auto"/>
        <w:ind w:firstLine="720"/>
        <w:jc w:val="both"/>
        <w:rPr>
          <w:rFonts w:ascii="Times New Roman" w:eastAsia="Arial Unicode MS" w:hAnsi="Times New Roman" w:cs="Times New Roman"/>
          <w:color w:val="000000" w:themeColor="text1"/>
          <w:sz w:val="20"/>
          <w:szCs w:val="20"/>
          <w:u w:color="000000"/>
          <w:bdr w:val="nil"/>
          <w:lang w:val="en-US" w:eastAsia="it-IT"/>
        </w:rPr>
      </w:pPr>
      <w:r w:rsidRPr="00486DF6">
        <w:rPr>
          <w:rFonts w:ascii="Times New Roman" w:eastAsia="Arial Unicode MS" w:hAnsi="Times New Roman" w:cs="Times New Roman"/>
          <w:color w:val="000000" w:themeColor="text1"/>
          <w:u w:color="000000"/>
          <w:bdr w:val="nil"/>
          <w:lang w:val="en-US" w:eastAsia="it-IT"/>
        </w:rPr>
        <w:t>In particular, the German Constitutional Court somehow questioned the way in which the CJ</w:t>
      </w:r>
      <w:r w:rsidR="00BE29B9">
        <w:rPr>
          <w:rFonts w:ascii="Times New Roman" w:eastAsia="Arial Unicode MS" w:hAnsi="Times New Roman" w:cs="Times New Roman"/>
          <w:color w:val="000000" w:themeColor="text1"/>
          <w:u w:color="000000"/>
          <w:bdr w:val="nil"/>
          <w:lang w:val="en-US" w:eastAsia="it-IT"/>
        </w:rPr>
        <w:t>EU</w:t>
      </w:r>
      <w:r w:rsidRPr="00486DF6">
        <w:rPr>
          <w:rFonts w:ascii="Times New Roman" w:eastAsia="Arial Unicode MS" w:hAnsi="Times New Roman" w:cs="Times New Roman"/>
          <w:color w:val="000000" w:themeColor="text1"/>
          <w:u w:color="000000"/>
          <w:bdr w:val="nil"/>
          <w:lang w:val="en-US" w:eastAsia="it-IT"/>
        </w:rPr>
        <w:t xml:space="preserve"> had carried out the proportionality test in </w:t>
      </w:r>
      <w:r w:rsidRPr="00486DF6">
        <w:rPr>
          <w:rFonts w:ascii="Times New Roman" w:eastAsia="Arial Unicode MS" w:hAnsi="Times New Roman" w:cs="Times New Roman"/>
          <w:i/>
          <w:iCs/>
          <w:color w:val="000000" w:themeColor="text1"/>
          <w:u w:color="000000"/>
          <w:bdr w:val="nil"/>
          <w:lang w:val="en-US" w:eastAsia="it-IT"/>
        </w:rPr>
        <w:t>Weiss.</w:t>
      </w:r>
      <w:r w:rsidRPr="00486DF6">
        <w:rPr>
          <w:rFonts w:ascii="Times New Roman" w:eastAsia="Times New Roman" w:hAnsi="Times New Roman" w:cs="Times New Roman"/>
          <w:color w:val="000000" w:themeColor="text1"/>
          <w:u w:color="000000"/>
          <w:bdr w:val="nil"/>
          <w:vertAlign w:val="superscript"/>
          <w:lang w:val="en-US" w:eastAsia="it-IT"/>
        </w:rPr>
        <w:footnoteReference w:id="68"/>
      </w:r>
      <w:r w:rsidRPr="00486DF6">
        <w:rPr>
          <w:rFonts w:ascii="Times New Roman" w:eastAsia="Arial Unicode MS" w:hAnsi="Times New Roman" w:cs="Times New Roman"/>
          <w:color w:val="000000" w:themeColor="text1"/>
          <w:u w:color="000000"/>
          <w:bdr w:val="nil"/>
          <w:lang w:val="en-US" w:eastAsia="it-IT"/>
        </w:rPr>
        <w:t xml:space="preserve"> In the </w:t>
      </w:r>
      <w:r w:rsidR="000F1AE9" w:rsidRPr="00486DF6">
        <w:rPr>
          <w:rFonts w:ascii="Times New Roman" w:eastAsia="Arial Unicode MS" w:hAnsi="Times New Roman" w:cs="Times New Roman"/>
          <w:color w:val="000000" w:themeColor="text1"/>
          <w:u w:color="000000"/>
          <w:bdr w:val="nil"/>
          <w:lang w:val="en-US" w:eastAsia="it-IT"/>
        </w:rPr>
        <w:t xml:space="preserve">words of the </w:t>
      </w:r>
      <w:r w:rsidRPr="00486DF6">
        <w:rPr>
          <w:rFonts w:ascii="Times New Roman" w:eastAsia="Arial Unicode MS" w:hAnsi="Times New Roman" w:cs="Times New Roman"/>
          <w:color w:val="000000" w:themeColor="text1"/>
          <w:u w:color="000000"/>
          <w:bdr w:val="nil"/>
          <w:lang w:val="en-US" w:eastAsia="it-IT"/>
        </w:rPr>
        <w:t>German Constitutional Court</w:t>
      </w:r>
      <w:r w:rsidR="000F1AE9" w:rsidRPr="00486DF6">
        <w:rPr>
          <w:rFonts w:ascii="Times New Roman" w:eastAsia="Arial Unicode MS" w:hAnsi="Times New Roman" w:cs="Times New Roman"/>
          <w:color w:val="000000" w:themeColor="text1"/>
          <w:u w:color="000000"/>
          <w:bdr w:val="nil"/>
          <w:lang w:val="en-US" w:eastAsia="it-IT"/>
        </w:rPr>
        <w:t>:</w:t>
      </w:r>
    </w:p>
    <w:p w14:paraId="5855021A" w14:textId="4D181528" w:rsidR="005D5832" w:rsidRDefault="00997DE5" w:rsidP="00C057ED">
      <w:pPr>
        <w:pBdr>
          <w:top w:val="nil"/>
          <w:left w:val="nil"/>
          <w:bottom w:val="nil"/>
          <w:right w:val="nil"/>
          <w:between w:val="nil"/>
          <w:bar w:val="nil"/>
        </w:pBdr>
        <w:spacing w:line="480" w:lineRule="auto"/>
        <w:ind w:left="720"/>
        <w:jc w:val="both"/>
        <w:rPr>
          <w:rFonts w:ascii="Times New Roman" w:eastAsia="Arial Unicode MS" w:hAnsi="Times New Roman" w:cs="Times New Roman"/>
          <w:color w:val="000000" w:themeColor="text1"/>
          <w:u w:color="000000"/>
          <w:bdr w:val="nil"/>
          <w:lang w:val="en-US" w:eastAsia="it-IT"/>
        </w:rPr>
      </w:pPr>
      <w:r w:rsidRPr="00486DF6">
        <w:rPr>
          <w:rFonts w:ascii="Times New Roman" w:eastAsia="Arial Unicode MS" w:hAnsi="Times New Roman" w:cs="Times New Roman"/>
          <w:color w:val="000000" w:themeColor="text1"/>
          <w:sz w:val="20"/>
          <w:szCs w:val="20"/>
          <w:u w:color="000000"/>
          <w:bdr w:val="nil"/>
          <w:lang w:val="en-US" w:eastAsia="it-IT"/>
        </w:rPr>
        <w:t>The specific manner in which the CJEU applies the principle of proportionality in the case at hand renders that principle meaningless for the purposes of distinguishing, in relation to the PSPP, between monetary policy and economic policy, i.e. between the exclusive monetary policy competence conferred upon the EU (Art. 3(1) lit. c TFEU) and the limited conferral upon the EU of the competence to coordinate general economic policies, with the Member States retaining the competence for economic policy at large (Art. 4(1) TEU; Art. 5(1) TFEU)</w:t>
      </w:r>
      <w:r w:rsidR="00026116">
        <w:rPr>
          <w:rFonts w:ascii="Times New Roman" w:eastAsia="Arial Unicode MS" w:hAnsi="Times New Roman" w:cs="Times New Roman"/>
          <w:color w:val="000000" w:themeColor="text1"/>
          <w:sz w:val="20"/>
          <w:szCs w:val="20"/>
          <w:u w:color="000000"/>
          <w:bdr w:val="nil"/>
          <w:lang w:val="en-US" w:eastAsia="it-IT"/>
        </w:rPr>
        <w:t>.</w:t>
      </w:r>
      <w:r w:rsidRPr="00486DF6">
        <w:rPr>
          <w:rFonts w:ascii="Times New Roman" w:eastAsia="Times New Roman" w:hAnsi="Times New Roman" w:cs="Times New Roman"/>
          <w:color w:val="000000" w:themeColor="text1"/>
          <w:u w:color="000000"/>
          <w:bdr w:val="nil"/>
          <w:vertAlign w:val="superscript"/>
          <w:lang w:val="en-US" w:eastAsia="it-IT"/>
        </w:rPr>
        <w:footnoteReference w:id="69"/>
      </w:r>
    </w:p>
    <w:p w14:paraId="6841BE7D" w14:textId="381D3E58" w:rsidR="00997DE5" w:rsidRPr="006829DF" w:rsidRDefault="00997DE5" w:rsidP="006829DF">
      <w:pPr>
        <w:pBdr>
          <w:top w:val="nil"/>
          <w:left w:val="nil"/>
          <w:bottom w:val="nil"/>
          <w:right w:val="nil"/>
          <w:between w:val="nil"/>
          <w:bar w:val="nil"/>
        </w:pBdr>
        <w:spacing w:line="480" w:lineRule="auto"/>
        <w:ind w:firstLine="720"/>
        <w:jc w:val="both"/>
        <w:rPr>
          <w:rFonts w:ascii="Times New Roman" w:eastAsia="Arial Unicode MS" w:hAnsi="Times New Roman" w:cs="Times New Roman"/>
          <w:color w:val="000000" w:themeColor="text1"/>
          <w:u w:color="000000"/>
          <w:bdr w:val="nil"/>
          <w:lang w:val="en-US" w:eastAsia="it-IT"/>
        </w:rPr>
      </w:pPr>
      <w:r w:rsidRPr="00486DF6">
        <w:rPr>
          <w:rFonts w:ascii="Times New Roman" w:eastAsia="Arial Unicode MS" w:hAnsi="Times New Roman" w:cs="Times New Roman"/>
          <w:color w:val="000000" w:themeColor="text1"/>
          <w:u w:color="000000"/>
          <w:bdr w:val="nil"/>
          <w:lang w:val="en-US" w:eastAsia="it-IT"/>
        </w:rPr>
        <w:t xml:space="preserve">In </w:t>
      </w:r>
      <w:r w:rsidR="00BA0713" w:rsidRPr="00486DF6">
        <w:rPr>
          <w:rFonts w:ascii="Times New Roman" w:eastAsia="Arial Unicode MS" w:hAnsi="Times New Roman" w:cs="Times New Roman"/>
          <w:color w:val="000000" w:themeColor="text1"/>
          <w:u w:color="000000"/>
          <w:bdr w:val="nil"/>
          <w:lang w:val="en-US" w:eastAsia="it-IT"/>
        </w:rPr>
        <w:t>essence</w:t>
      </w:r>
      <w:r w:rsidRPr="00486DF6">
        <w:rPr>
          <w:rFonts w:ascii="Times New Roman" w:eastAsia="Arial Unicode MS" w:hAnsi="Times New Roman" w:cs="Times New Roman"/>
          <w:color w:val="000000" w:themeColor="text1"/>
          <w:u w:color="000000"/>
          <w:bdr w:val="nil"/>
          <w:lang w:val="en-US" w:eastAsia="it-IT"/>
        </w:rPr>
        <w:t xml:space="preserve">, the German Constitutional Court gave the </w:t>
      </w:r>
      <w:r w:rsidR="00251AB5" w:rsidRPr="00486DF6">
        <w:rPr>
          <w:rFonts w:ascii="Times New Roman" w:eastAsia="Arial Unicode MS" w:hAnsi="Times New Roman" w:cs="Times New Roman"/>
          <w:color w:val="000000" w:themeColor="text1"/>
          <w:u w:color="000000"/>
          <w:bdr w:val="nil"/>
          <w:lang w:val="en-US" w:eastAsia="it-IT"/>
        </w:rPr>
        <w:t>European Central Bank (</w:t>
      </w:r>
      <w:r w:rsidRPr="00486DF6">
        <w:rPr>
          <w:rFonts w:ascii="Times New Roman" w:eastAsia="Arial Unicode MS" w:hAnsi="Times New Roman" w:cs="Times New Roman"/>
          <w:color w:val="000000" w:themeColor="text1"/>
          <w:u w:color="000000"/>
          <w:bdr w:val="nil"/>
          <w:lang w:val="en-US" w:eastAsia="it-IT"/>
        </w:rPr>
        <w:t>ECB</w:t>
      </w:r>
      <w:r w:rsidR="00251AB5" w:rsidRPr="00486DF6">
        <w:rPr>
          <w:rFonts w:ascii="Times New Roman" w:eastAsia="Arial Unicode MS" w:hAnsi="Times New Roman" w:cs="Times New Roman"/>
          <w:color w:val="000000" w:themeColor="text1"/>
          <w:u w:color="000000"/>
          <w:bdr w:val="nil"/>
          <w:lang w:val="en-US" w:eastAsia="it-IT"/>
        </w:rPr>
        <w:t>)</w:t>
      </w:r>
      <w:r w:rsidRPr="00486DF6">
        <w:rPr>
          <w:rFonts w:ascii="Times New Roman" w:eastAsia="Arial Unicode MS" w:hAnsi="Times New Roman" w:cs="Times New Roman"/>
          <w:color w:val="000000" w:themeColor="text1"/>
          <w:u w:color="000000"/>
          <w:bdr w:val="nil"/>
          <w:lang w:val="en-US" w:eastAsia="it-IT"/>
        </w:rPr>
        <w:t xml:space="preserve"> Governing Council a three-month ultimatum to adopt </w:t>
      </w:r>
      <w:r w:rsidR="006829DF">
        <w:rPr>
          <w:rFonts w:ascii="Times New Roman" w:eastAsia="Arial Unicode MS" w:hAnsi="Times New Roman" w:cs="Times New Roman"/>
          <w:color w:val="000000" w:themeColor="text1"/>
          <w:u w:color="000000"/>
          <w:bdr w:val="nil"/>
          <w:lang w:val="en-US" w:eastAsia="it-IT"/>
        </w:rPr>
        <w:t>“</w:t>
      </w:r>
      <w:r w:rsidRPr="00486DF6">
        <w:rPr>
          <w:rFonts w:ascii="Times New Roman" w:eastAsia="Arial Unicode MS" w:hAnsi="Times New Roman" w:cs="Times New Roman"/>
          <w:color w:val="000000" w:themeColor="text1"/>
          <w:u w:color="000000"/>
          <w:bdr w:val="nil"/>
          <w:lang w:val="en-US" w:eastAsia="it-IT"/>
        </w:rPr>
        <w:t xml:space="preserve">a new decision that demonstrates in a comprehensible and substantiated manner that the monetary policy objectives pursued by the ECB are not disproportionate to the economic and fiscal policy effects resulting from the </w:t>
      </w:r>
      <w:proofErr w:type="spellStart"/>
      <w:r w:rsidRPr="00486DF6">
        <w:rPr>
          <w:rFonts w:ascii="Times New Roman" w:eastAsia="Arial Unicode MS" w:hAnsi="Times New Roman" w:cs="Times New Roman"/>
          <w:color w:val="000000" w:themeColor="text1"/>
          <w:u w:color="000000"/>
          <w:bdr w:val="nil"/>
          <w:lang w:val="en-US" w:eastAsia="it-IT"/>
        </w:rPr>
        <w:t>programme</w:t>
      </w:r>
      <w:proofErr w:type="spellEnd"/>
      <w:r w:rsidRPr="00486DF6">
        <w:rPr>
          <w:rFonts w:ascii="Times New Roman" w:eastAsia="Arial Unicode MS" w:hAnsi="Times New Roman" w:cs="Times New Roman"/>
          <w:color w:val="000000" w:themeColor="text1"/>
          <w:u w:color="000000"/>
          <w:bdr w:val="nil"/>
          <w:lang w:val="en-US" w:eastAsia="it-IT"/>
        </w:rPr>
        <w:t>.</w:t>
      </w:r>
      <w:r w:rsidR="00A5563C">
        <w:rPr>
          <w:rFonts w:ascii="Times New Roman" w:eastAsia="Arial Unicode MS" w:hAnsi="Times New Roman" w:cs="Times New Roman"/>
          <w:color w:val="000000" w:themeColor="text1"/>
          <w:u w:color="000000"/>
          <w:bdr w:val="nil"/>
          <w:lang w:val="en-US" w:eastAsia="it-IT"/>
        </w:rPr>
        <w:t>”</w:t>
      </w:r>
      <w:r w:rsidRPr="00486DF6">
        <w:rPr>
          <w:rFonts w:ascii="Times New Roman" w:eastAsia="Times New Roman" w:hAnsi="Times New Roman" w:cs="Times New Roman"/>
          <w:color w:val="000000" w:themeColor="text1"/>
          <w:u w:color="000000"/>
          <w:bdr w:val="nil"/>
          <w:vertAlign w:val="superscript"/>
          <w:lang w:val="en-US" w:eastAsia="it-IT"/>
        </w:rPr>
        <w:footnoteReference w:id="70"/>
      </w:r>
      <w:r w:rsidRPr="00486DF6">
        <w:rPr>
          <w:rFonts w:ascii="Times New Roman" w:eastAsia="Arial Unicode MS" w:hAnsi="Times New Roman" w:cs="Times New Roman"/>
          <w:color w:val="000000" w:themeColor="text1"/>
          <w:u w:color="000000"/>
          <w:bdr w:val="nil"/>
          <w:lang w:val="en-US" w:eastAsia="it-IT"/>
        </w:rPr>
        <w:t xml:space="preserve"> </w:t>
      </w:r>
      <w:r w:rsidRPr="00486DF6">
        <w:rPr>
          <w:rFonts w:ascii="Times New Roman" w:eastAsia="Arial Unicode MS" w:hAnsi="Times New Roman" w:cs="Times New Roman"/>
          <w:color w:val="000000" w:themeColor="text1"/>
          <w:u w:color="000000"/>
          <w:bdr w:val="nil"/>
          <w:lang w:val="en-US" w:eastAsia="it-IT"/>
        </w:rPr>
        <w:lastRenderedPageBreak/>
        <w:t xml:space="preserve">While the tone of the German Constitutional Court is </w:t>
      </w:r>
      <w:r w:rsidR="00F35AAD" w:rsidRPr="00486DF6">
        <w:rPr>
          <w:rFonts w:ascii="Times New Roman" w:eastAsia="Arial Unicode MS" w:hAnsi="Times New Roman" w:cs="Times New Roman"/>
          <w:color w:val="000000" w:themeColor="text1"/>
          <w:u w:color="000000"/>
          <w:bdr w:val="nil"/>
          <w:lang w:val="en-US" w:eastAsia="it-IT"/>
        </w:rPr>
        <w:t>unusual</w:t>
      </w:r>
      <w:r w:rsidRPr="00486DF6">
        <w:rPr>
          <w:rFonts w:ascii="Times New Roman" w:eastAsia="Arial Unicode MS" w:hAnsi="Times New Roman" w:cs="Times New Roman"/>
          <w:color w:val="000000" w:themeColor="text1"/>
          <w:u w:color="000000"/>
          <w:bdr w:val="nil"/>
          <w:lang w:val="en-US" w:eastAsia="it-IT"/>
        </w:rPr>
        <w:t xml:space="preserve">, scholars stressed that there </w:t>
      </w:r>
      <w:r w:rsidR="002D04EE" w:rsidRPr="00486DF6">
        <w:rPr>
          <w:rFonts w:ascii="Times New Roman" w:eastAsia="Arial Unicode MS" w:hAnsi="Times New Roman" w:cs="Times New Roman"/>
          <w:color w:val="000000" w:themeColor="text1"/>
          <w:u w:color="000000"/>
          <w:bdr w:val="nil"/>
          <w:lang w:val="en-US" w:eastAsia="it-IT"/>
        </w:rPr>
        <w:t>we</w:t>
      </w:r>
      <w:r w:rsidRPr="00486DF6">
        <w:rPr>
          <w:rFonts w:ascii="Times New Roman" w:eastAsia="Arial Unicode MS" w:hAnsi="Times New Roman" w:cs="Times New Roman"/>
          <w:color w:val="000000" w:themeColor="text1"/>
          <w:u w:color="000000"/>
          <w:bdr w:val="nil"/>
          <w:lang w:val="en-US" w:eastAsia="it-IT"/>
        </w:rPr>
        <w:t>re many ways of overcoming the impasse</w:t>
      </w:r>
      <w:r w:rsidR="006829DF">
        <w:rPr>
          <w:rFonts w:ascii="Times New Roman" w:eastAsia="Arial Unicode MS" w:hAnsi="Times New Roman" w:cs="Times New Roman"/>
          <w:color w:val="000000" w:themeColor="text1"/>
          <w:u w:color="000000"/>
          <w:bdr w:val="nil"/>
          <w:lang w:val="en-US" w:eastAsia="it-IT"/>
        </w:rPr>
        <w:t>.</w:t>
      </w:r>
      <w:r w:rsidRPr="00486DF6">
        <w:rPr>
          <w:rFonts w:ascii="Times New Roman" w:eastAsia="Times New Roman" w:hAnsi="Times New Roman" w:cs="Times New Roman"/>
          <w:color w:val="000000" w:themeColor="text1"/>
          <w:u w:color="000000"/>
          <w:bdr w:val="nil"/>
          <w:vertAlign w:val="superscript"/>
          <w:lang w:val="en-US" w:eastAsia="it-IT"/>
        </w:rPr>
        <w:footnoteReference w:id="71"/>
      </w:r>
      <w:r w:rsidR="00BA0713" w:rsidRPr="00486DF6">
        <w:rPr>
          <w:lang w:val="en-US"/>
        </w:rPr>
        <w:t xml:space="preserve"> </w:t>
      </w:r>
      <w:r w:rsidR="00BA0713" w:rsidRPr="006829DF">
        <w:rPr>
          <w:rFonts w:ascii="Times New Roman" w:hAnsi="Times New Roman" w:cs="Times New Roman"/>
          <w:lang w:val="en-US"/>
        </w:rPr>
        <w:t xml:space="preserve">And </w:t>
      </w:r>
      <w:r w:rsidR="00BA0713" w:rsidRPr="006829DF">
        <w:rPr>
          <w:rFonts w:ascii="Times New Roman" w:eastAsia="Arial Unicode MS" w:hAnsi="Times New Roman" w:cs="Times New Roman"/>
          <w:color w:val="000000" w:themeColor="text1"/>
          <w:u w:color="000000"/>
          <w:bdr w:val="nil"/>
          <w:lang w:val="en-US" w:eastAsia="it-IT"/>
        </w:rPr>
        <w:t>indeed</w:t>
      </w:r>
      <w:r w:rsidR="00BA0713" w:rsidRPr="00486DF6">
        <w:rPr>
          <w:rFonts w:ascii="Times New Roman" w:eastAsia="Arial Unicode MS" w:hAnsi="Times New Roman" w:cs="Times New Roman"/>
          <w:color w:val="000000" w:themeColor="text1"/>
          <w:u w:color="000000"/>
          <w:bdr w:val="nil"/>
          <w:lang w:val="en-US" w:eastAsia="it-IT"/>
        </w:rPr>
        <w:t>, the conflict was overcome thanks to the involvement of political actors</w:t>
      </w:r>
      <w:r w:rsidR="00B27DEB" w:rsidRPr="00486DF6">
        <w:rPr>
          <w:rFonts w:ascii="Times New Roman" w:eastAsia="Arial Unicode MS" w:hAnsi="Times New Roman" w:cs="Times New Roman"/>
          <w:color w:val="000000" w:themeColor="text1"/>
          <w:u w:color="000000"/>
          <w:bdr w:val="nil"/>
          <w:lang w:val="en-US" w:eastAsia="it-IT"/>
        </w:rPr>
        <w:t>.</w:t>
      </w:r>
      <w:r w:rsidR="00CC5B88" w:rsidRPr="00486DF6">
        <w:rPr>
          <w:rStyle w:val="FootnoteReference"/>
          <w:rFonts w:ascii="Times New Roman" w:hAnsi="Times New Roman" w:cs="Times New Roman"/>
          <w:lang w:val="en-US"/>
        </w:rPr>
        <w:footnoteReference w:id="72"/>
      </w:r>
      <w:r w:rsidR="00CC5B88" w:rsidRPr="00486DF6">
        <w:rPr>
          <w:rFonts w:ascii="Times New Roman" w:eastAsia="Arial Unicode MS" w:hAnsi="Times New Roman" w:cs="Times New Roman"/>
          <w:color w:val="000000" w:themeColor="text1"/>
          <w:u w:color="000000"/>
          <w:bdr w:val="nil"/>
          <w:lang w:val="en-US" w:eastAsia="it-IT"/>
        </w:rPr>
        <w:t xml:space="preserve"> </w:t>
      </w:r>
      <w:r w:rsidRPr="00486DF6">
        <w:rPr>
          <w:rFonts w:ascii="Times New Roman" w:eastAsia="Arial Unicode MS" w:hAnsi="Times New Roman" w:cs="Times New Roman"/>
          <w:color w:val="000000" w:themeColor="text1"/>
          <w:u w:color="000000"/>
          <w:bdr w:val="nil"/>
          <w:lang w:val="en-US" w:eastAsia="it-IT"/>
        </w:rPr>
        <w:t>Moreover, as the German Constitutional Court explicitly stated, this decision d</w:t>
      </w:r>
      <w:r w:rsidR="002D04EE" w:rsidRPr="00486DF6">
        <w:rPr>
          <w:rFonts w:ascii="Times New Roman" w:eastAsia="Arial Unicode MS" w:hAnsi="Times New Roman" w:cs="Times New Roman"/>
          <w:color w:val="000000" w:themeColor="text1"/>
          <w:u w:color="000000"/>
          <w:bdr w:val="nil"/>
          <w:lang w:val="en-US" w:eastAsia="it-IT"/>
        </w:rPr>
        <w:t>id</w:t>
      </w:r>
      <w:r w:rsidRPr="00486DF6">
        <w:rPr>
          <w:rFonts w:ascii="Times New Roman" w:eastAsia="Arial Unicode MS" w:hAnsi="Times New Roman" w:cs="Times New Roman"/>
          <w:color w:val="000000" w:themeColor="text1"/>
          <w:u w:color="000000"/>
          <w:bdr w:val="nil"/>
          <w:lang w:val="en-US" w:eastAsia="it-IT"/>
        </w:rPr>
        <w:t xml:space="preserve"> not affect the new Pandemic Purchasing Program of the ECB. This judgment confirms a recent trend, according to which courts have been eager to intervene despite the technicalities of the question by making a series of important decisions concerning European economic governance.</w:t>
      </w:r>
      <w:r w:rsidRPr="00486DF6">
        <w:rPr>
          <w:rFonts w:ascii="Times New Roman" w:eastAsia="Times New Roman" w:hAnsi="Times New Roman" w:cs="Times New Roman"/>
          <w:color w:val="000000" w:themeColor="text1"/>
          <w:u w:color="000000"/>
          <w:bdr w:val="nil"/>
          <w:vertAlign w:val="superscript"/>
          <w:lang w:val="en-US" w:eastAsia="it-IT"/>
        </w:rPr>
        <w:footnoteReference w:id="73"/>
      </w:r>
      <w:r w:rsidRPr="00486DF6">
        <w:rPr>
          <w:rFonts w:ascii="Times New Roman" w:eastAsia="Arial Unicode MS" w:hAnsi="Times New Roman" w:cs="Times New Roman"/>
          <w:color w:val="000000" w:themeColor="text1"/>
          <w:u w:color="000000"/>
          <w:bdr w:val="nil"/>
          <w:lang w:val="en-US" w:eastAsia="it-IT"/>
        </w:rPr>
        <w:t xml:space="preserve"> In spite of th</w:t>
      </w:r>
      <w:r w:rsidR="00BA0713" w:rsidRPr="00486DF6">
        <w:rPr>
          <w:rFonts w:ascii="Times New Roman" w:eastAsia="Arial Unicode MS" w:hAnsi="Times New Roman" w:cs="Times New Roman"/>
          <w:color w:val="000000" w:themeColor="text1"/>
          <w:u w:color="000000"/>
          <w:bdr w:val="nil"/>
          <w:lang w:val="en-US" w:eastAsia="it-IT"/>
        </w:rPr>
        <w:t>e</w:t>
      </w:r>
      <w:r w:rsidRPr="00486DF6">
        <w:rPr>
          <w:rFonts w:ascii="Times New Roman" w:eastAsia="Arial Unicode MS" w:hAnsi="Times New Roman" w:cs="Times New Roman"/>
          <w:color w:val="000000" w:themeColor="text1"/>
          <w:u w:color="000000"/>
          <w:bdr w:val="nil"/>
          <w:lang w:val="en-US" w:eastAsia="it-IT"/>
        </w:rPr>
        <w:t xml:space="preserve"> </w:t>
      </w:r>
      <w:r w:rsidR="00BA0713" w:rsidRPr="00486DF6">
        <w:rPr>
          <w:rFonts w:ascii="Times New Roman" w:eastAsia="Arial Unicode MS" w:hAnsi="Times New Roman" w:cs="Times New Roman"/>
          <w:color w:val="000000" w:themeColor="text1"/>
          <w:u w:color="000000"/>
          <w:bdr w:val="nil"/>
          <w:lang w:val="en-US" w:eastAsia="it-IT"/>
        </w:rPr>
        <w:t xml:space="preserve">PSPP </w:t>
      </w:r>
      <w:r w:rsidRPr="00486DF6">
        <w:rPr>
          <w:rFonts w:ascii="Times New Roman" w:eastAsia="Arial Unicode MS" w:hAnsi="Times New Roman" w:cs="Times New Roman"/>
          <w:color w:val="000000" w:themeColor="text1"/>
          <w:u w:color="000000"/>
          <w:bdr w:val="nil"/>
          <w:lang w:val="en-US" w:eastAsia="it-IT"/>
        </w:rPr>
        <w:t xml:space="preserve">decision, the ECB confirmed its intention to insist on its expansive monetary policy approach </w:t>
      </w:r>
      <w:r w:rsidR="0057440C" w:rsidRPr="00486DF6">
        <w:rPr>
          <w:rFonts w:ascii="Times New Roman" w:eastAsia="Arial Unicode MS" w:hAnsi="Times New Roman" w:cs="Times New Roman"/>
          <w:color w:val="000000" w:themeColor="text1"/>
          <w:u w:color="000000"/>
          <w:bdr w:val="nil"/>
          <w:lang w:val="en-US" w:eastAsia="it-IT"/>
        </w:rPr>
        <w:t xml:space="preserve">in </w:t>
      </w:r>
      <w:r w:rsidRPr="00486DF6">
        <w:rPr>
          <w:rFonts w:ascii="Times New Roman" w:eastAsia="Arial Unicode MS" w:hAnsi="Times New Roman" w:cs="Times New Roman"/>
          <w:color w:val="000000" w:themeColor="text1"/>
          <w:u w:color="000000"/>
          <w:bdr w:val="nil"/>
          <w:lang w:val="en-US" w:eastAsia="it-IT"/>
        </w:rPr>
        <w:t>a press release following the judgment of the German Constitutional Court of 5 May 2020</w:t>
      </w:r>
      <w:r w:rsidR="00B27DEB" w:rsidRPr="00486DF6">
        <w:rPr>
          <w:rFonts w:ascii="Times New Roman" w:eastAsia="Arial Unicode MS" w:hAnsi="Times New Roman" w:cs="Times New Roman"/>
          <w:color w:val="000000" w:themeColor="text1"/>
          <w:u w:color="000000"/>
          <w:bdr w:val="nil"/>
          <w:lang w:val="en-US" w:eastAsia="it-IT"/>
        </w:rPr>
        <w:t>.</w:t>
      </w:r>
      <w:r w:rsidRPr="005E0AC0">
        <w:rPr>
          <w:rStyle w:val="FootnoteReference"/>
          <w:rFonts w:ascii="Times New Roman" w:eastAsia="Arial Unicode MS" w:hAnsi="Times New Roman" w:cs="Times New Roman"/>
          <w:color w:val="000000" w:themeColor="text1"/>
          <w:u w:color="000000"/>
          <w:bdr w:val="nil"/>
          <w:lang w:val="en-US" w:eastAsia="it-IT"/>
        </w:rPr>
        <w:footnoteReference w:id="74"/>
      </w:r>
    </w:p>
    <w:p w14:paraId="344C6C42" w14:textId="54FEB595" w:rsidR="00997DE5" w:rsidRPr="00486DF6" w:rsidRDefault="00A57357" w:rsidP="004029A0">
      <w:pPr>
        <w:pBdr>
          <w:top w:val="nil"/>
          <w:left w:val="nil"/>
          <w:bottom w:val="nil"/>
          <w:right w:val="nil"/>
          <w:between w:val="nil"/>
          <w:bar w:val="nil"/>
        </w:pBdr>
        <w:spacing w:line="480" w:lineRule="auto"/>
        <w:ind w:firstLine="720"/>
        <w:jc w:val="both"/>
        <w:rPr>
          <w:rFonts w:eastAsia="Arial Unicode MS"/>
          <w:color w:val="000000" w:themeColor="text1"/>
          <w:u w:color="000000"/>
          <w:bdr w:val="nil"/>
          <w:lang w:val="en-US"/>
        </w:rPr>
      </w:pPr>
      <w:r>
        <w:rPr>
          <w:rFonts w:ascii="Times New Roman" w:eastAsia="Arial Unicode MS" w:hAnsi="Times New Roman" w:cs="Times New Roman"/>
          <w:color w:val="000000" w:themeColor="text1"/>
          <w:u w:color="000000"/>
          <w:bdr w:val="nil"/>
          <w:lang w:val="en-US" w:eastAsia="it-IT"/>
        </w:rPr>
        <w:t>Precisely because t</w:t>
      </w:r>
      <w:r w:rsidR="00BA0713" w:rsidRPr="00486DF6">
        <w:rPr>
          <w:rFonts w:ascii="Times New Roman" w:eastAsia="Arial Unicode MS" w:hAnsi="Times New Roman" w:cs="Times New Roman"/>
          <w:color w:val="000000" w:themeColor="text1"/>
          <w:u w:color="000000"/>
          <w:bdr w:val="nil"/>
          <w:lang w:val="en-US" w:eastAsia="it-IT"/>
        </w:rPr>
        <w:t xml:space="preserve">he German ruling of 5 May 2020 </w:t>
      </w:r>
      <w:r>
        <w:rPr>
          <w:rFonts w:ascii="Times New Roman" w:eastAsia="Arial Unicode MS" w:hAnsi="Times New Roman" w:cs="Times New Roman"/>
          <w:color w:val="000000" w:themeColor="text1"/>
          <w:u w:color="000000"/>
          <w:bdr w:val="nil"/>
          <w:lang w:val="en-US" w:eastAsia="it-IT"/>
        </w:rPr>
        <w:t>questioned one of the fundamental pillars of European integration and created doubts as to whether the German constitutional order abides by the rules of the EU legal order, a number of scholars</w:t>
      </w:r>
      <w:r w:rsidR="00BA0713" w:rsidRPr="00486DF6">
        <w:rPr>
          <w:rFonts w:ascii="Times New Roman" w:eastAsia="Arial Unicode MS" w:hAnsi="Times New Roman" w:cs="Times New Roman"/>
          <w:color w:val="000000" w:themeColor="text1"/>
          <w:u w:color="000000"/>
          <w:bdr w:val="nil"/>
          <w:lang w:val="en-US" w:eastAsia="it-IT"/>
        </w:rPr>
        <w:t xml:space="preserve"> </w:t>
      </w:r>
      <w:r w:rsidR="00E66F67" w:rsidRPr="00486DF6">
        <w:rPr>
          <w:rFonts w:ascii="Times New Roman" w:eastAsia="Arial Unicode MS" w:hAnsi="Times New Roman" w:cs="Times New Roman"/>
          <w:color w:val="000000" w:themeColor="text1"/>
          <w:u w:color="000000"/>
          <w:bdr w:val="nil"/>
          <w:lang w:val="en-US" w:eastAsia="it-IT"/>
        </w:rPr>
        <w:t>suggested</w:t>
      </w:r>
      <w:r w:rsidR="00997DE5" w:rsidRPr="00486DF6">
        <w:rPr>
          <w:rFonts w:ascii="Times New Roman" w:eastAsia="Arial Unicode MS" w:hAnsi="Times New Roman" w:cs="Times New Roman"/>
          <w:color w:val="000000" w:themeColor="text1"/>
          <w:u w:color="000000"/>
          <w:bdr w:val="nil"/>
          <w:lang w:val="en-US" w:eastAsia="it-IT"/>
        </w:rPr>
        <w:t xml:space="preserve"> the activation of </w:t>
      </w:r>
      <w:r>
        <w:rPr>
          <w:rFonts w:ascii="Times New Roman" w:eastAsia="Arial Unicode MS" w:hAnsi="Times New Roman" w:cs="Times New Roman"/>
          <w:color w:val="000000" w:themeColor="text1"/>
          <w:u w:color="000000"/>
          <w:bdr w:val="nil"/>
          <w:lang w:val="en-US" w:eastAsia="it-IT"/>
        </w:rPr>
        <w:t>the</w:t>
      </w:r>
      <w:r w:rsidR="00997DE5" w:rsidRPr="00486DF6">
        <w:rPr>
          <w:rFonts w:ascii="Times New Roman" w:eastAsia="Arial Unicode MS" w:hAnsi="Times New Roman" w:cs="Times New Roman"/>
          <w:color w:val="000000" w:themeColor="text1"/>
          <w:u w:color="000000"/>
          <w:bdr w:val="nil"/>
          <w:lang w:val="en-US" w:eastAsia="it-IT"/>
        </w:rPr>
        <w:t xml:space="preserve"> </w:t>
      </w:r>
      <w:r w:rsidR="00997DE5" w:rsidRPr="00486DF6">
        <w:rPr>
          <w:rFonts w:ascii="Times New Roman" w:eastAsia="Arial Unicode MS" w:hAnsi="Times New Roman" w:cs="Times New Roman"/>
          <w:color w:val="000000" w:themeColor="text1"/>
          <w:u w:color="000000"/>
          <w:bdr w:val="nil"/>
          <w:lang w:val="en-US" w:eastAsia="it-IT"/>
        </w:rPr>
        <w:lastRenderedPageBreak/>
        <w:t>infringement</w:t>
      </w:r>
      <w:r>
        <w:rPr>
          <w:rFonts w:ascii="Times New Roman" w:eastAsia="Arial Unicode MS" w:hAnsi="Times New Roman" w:cs="Times New Roman"/>
          <w:color w:val="000000" w:themeColor="text1"/>
          <w:u w:color="000000"/>
          <w:bdr w:val="nil"/>
          <w:lang w:val="en-US" w:eastAsia="it-IT"/>
        </w:rPr>
        <w:t xml:space="preserve"> procedure</w:t>
      </w:r>
      <w:r w:rsidR="00997DE5" w:rsidRPr="00486DF6">
        <w:rPr>
          <w:rFonts w:ascii="Times New Roman" w:eastAsia="Arial Unicode MS" w:hAnsi="Times New Roman" w:cs="Times New Roman"/>
          <w:color w:val="000000" w:themeColor="text1"/>
          <w:u w:color="000000"/>
          <w:bdr w:val="nil"/>
          <w:lang w:val="en-US" w:eastAsia="it-IT"/>
        </w:rPr>
        <w:t xml:space="preserve"> against Germany</w:t>
      </w:r>
      <w:r>
        <w:rPr>
          <w:rFonts w:ascii="Times New Roman" w:eastAsia="Arial Unicode MS" w:hAnsi="Times New Roman" w:cs="Times New Roman"/>
          <w:color w:val="000000" w:themeColor="text1"/>
          <w:u w:color="000000"/>
          <w:bdr w:val="nil"/>
          <w:lang w:val="en-US" w:eastAsia="it-IT"/>
        </w:rPr>
        <w:t xml:space="preserve"> </w:t>
      </w:r>
      <w:r w:rsidR="00997DE5" w:rsidRPr="00486DF6">
        <w:rPr>
          <w:rFonts w:ascii="Times New Roman" w:eastAsia="Arial Unicode MS" w:hAnsi="Times New Roman" w:cs="Times New Roman"/>
          <w:color w:val="000000" w:themeColor="text1"/>
          <w:u w:color="000000"/>
          <w:bdr w:val="nil"/>
          <w:lang w:val="en-US" w:eastAsia="it-IT"/>
        </w:rPr>
        <w:t>under Article 258 TFEU</w:t>
      </w:r>
      <w:r w:rsidR="008E3F55">
        <w:rPr>
          <w:rFonts w:ascii="Times New Roman" w:eastAsia="Arial Unicode MS" w:hAnsi="Times New Roman" w:cs="Times New Roman"/>
          <w:color w:val="000000" w:themeColor="text1"/>
          <w:u w:color="000000"/>
          <w:bdr w:val="nil"/>
          <w:lang w:val="en-US" w:eastAsia="it-IT"/>
        </w:rPr>
        <w:t>.</w:t>
      </w:r>
      <w:r w:rsidR="00997DE5" w:rsidRPr="00486DF6">
        <w:rPr>
          <w:rFonts w:ascii="Times New Roman" w:eastAsia="Times New Roman" w:hAnsi="Times New Roman" w:cs="Times New Roman"/>
          <w:color w:val="000000" w:themeColor="text1"/>
          <w:u w:color="000000"/>
          <w:bdr w:val="nil"/>
          <w:vertAlign w:val="superscript"/>
          <w:lang w:val="en-US" w:eastAsia="it-IT"/>
        </w:rPr>
        <w:footnoteReference w:id="75"/>
      </w:r>
      <w:r w:rsidR="006829DF">
        <w:rPr>
          <w:rFonts w:ascii="Times New Roman" w:eastAsia="Arial Unicode MS" w:hAnsi="Times New Roman" w:cs="Times New Roman"/>
          <w:color w:val="000000" w:themeColor="text1"/>
          <w:u w:color="000000"/>
          <w:bdr w:val="nil"/>
          <w:lang w:val="en-US" w:eastAsia="it-IT"/>
        </w:rPr>
        <w:t xml:space="preserve"> </w:t>
      </w:r>
      <w:r w:rsidR="008E3F55">
        <w:rPr>
          <w:rFonts w:ascii="Times New Roman" w:eastAsia="Arial Unicode MS" w:hAnsi="Times New Roman" w:cs="Times New Roman"/>
          <w:color w:val="000000" w:themeColor="text1"/>
          <w:u w:color="000000"/>
          <w:bdr w:val="nil"/>
          <w:lang w:val="en-US" w:eastAsia="it-IT"/>
        </w:rPr>
        <w:t>I</w:t>
      </w:r>
      <w:r w:rsidR="00BA0713" w:rsidRPr="00486DF6">
        <w:rPr>
          <w:rFonts w:ascii="Times New Roman" w:eastAsia="Arial Unicode MS" w:hAnsi="Times New Roman" w:cs="Times New Roman"/>
          <w:color w:val="000000" w:themeColor="text1"/>
          <w:u w:color="000000"/>
          <w:bdr w:val="nil"/>
          <w:lang w:val="en-US" w:eastAsia="it-IT"/>
        </w:rPr>
        <w:t>ndeed</w:t>
      </w:r>
      <w:r w:rsidR="00997DE5" w:rsidRPr="00486DF6">
        <w:rPr>
          <w:rFonts w:ascii="Times New Roman" w:eastAsia="Arial Unicode MS" w:hAnsi="Times New Roman" w:cs="Times New Roman"/>
          <w:color w:val="000000" w:themeColor="text1"/>
          <w:u w:color="000000"/>
          <w:bdr w:val="nil"/>
          <w:lang w:val="en-US" w:eastAsia="it-IT"/>
        </w:rPr>
        <w:t xml:space="preserve"> </w:t>
      </w:r>
      <w:r w:rsidR="00BA0713" w:rsidRPr="00486DF6">
        <w:rPr>
          <w:rFonts w:ascii="Times New Roman" w:eastAsia="Arial Unicode MS" w:hAnsi="Times New Roman" w:cs="Times New Roman"/>
          <w:color w:val="000000" w:themeColor="text1"/>
          <w:u w:color="000000"/>
          <w:bdr w:val="nil"/>
          <w:lang w:val="en-US" w:eastAsia="it-IT"/>
        </w:rPr>
        <w:t>o</w:t>
      </w:r>
      <w:r w:rsidR="00997DE5" w:rsidRPr="00486DF6">
        <w:rPr>
          <w:rFonts w:ascii="Times New Roman" w:eastAsia="Arial Unicode MS" w:hAnsi="Times New Roman" w:cs="Times New Roman"/>
          <w:color w:val="000000" w:themeColor="text1"/>
          <w:u w:color="000000"/>
          <w:bdr w:val="nil"/>
          <w:lang w:val="en-US" w:eastAsia="it-IT"/>
        </w:rPr>
        <w:t>n 9 June 2021, the Commission sent</w:t>
      </w:r>
      <w:r w:rsidR="00F35AAD" w:rsidRPr="00486DF6">
        <w:rPr>
          <w:rFonts w:ascii="Times New Roman" w:eastAsia="Arial Unicode MS" w:hAnsi="Times New Roman" w:cs="Times New Roman"/>
          <w:color w:val="000000" w:themeColor="text1"/>
          <w:u w:color="000000"/>
          <w:bdr w:val="nil"/>
          <w:lang w:val="en-US" w:eastAsia="it-IT"/>
        </w:rPr>
        <w:t xml:space="preserve"> a</w:t>
      </w:r>
      <w:r w:rsidR="00997DE5" w:rsidRPr="00486DF6">
        <w:rPr>
          <w:rFonts w:ascii="Times New Roman" w:eastAsia="Arial Unicode MS" w:hAnsi="Times New Roman" w:cs="Times New Roman"/>
          <w:color w:val="000000" w:themeColor="text1"/>
          <w:u w:color="000000"/>
          <w:bdr w:val="nil"/>
          <w:lang w:val="en-US" w:eastAsia="it-IT"/>
        </w:rPr>
        <w:t xml:space="preserve"> letter of notice to Germany.</w:t>
      </w:r>
      <w:r w:rsidR="00997DE5" w:rsidRPr="00486DF6">
        <w:rPr>
          <w:rFonts w:ascii="Times New Roman" w:eastAsia="Arial Unicode MS" w:hAnsi="Times New Roman" w:cs="Times New Roman"/>
          <w:color w:val="000000" w:themeColor="text1"/>
          <w:u w:color="000000"/>
          <w:bdr w:val="nil"/>
          <w:vertAlign w:val="superscript"/>
          <w:lang w:val="en-US" w:eastAsia="it-IT"/>
        </w:rPr>
        <w:footnoteReference w:id="76"/>
      </w:r>
      <w:r w:rsidR="00997DE5" w:rsidRPr="00486DF6">
        <w:rPr>
          <w:rFonts w:ascii="Times New Roman" w:eastAsia="Arial Unicode MS" w:hAnsi="Times New Roman" w:cs="Times New Roman"/>
          <w:color w:val="000000" w:themeColor="text1"/>
          <w:u w:color="000000"/>
          <w:bdr w:val="nil"/>
          <w:lang w:val="en-US" w:eastAsia="it-IT"/>
        </w:rPr>
        <w:t xml:space="preserve"> This was came only a few days after a</w:t>
      </w:r>
      <w:r>
        <w:rPr>
          <w:rFonts w:ascii="Times New Roman" w:eastAsia="Arial Unicode MS" w:hAnsi="Times New Roman" w:cs="Times New Roman"/>
          <w:color w:val="000000" w:themeColor="text1"/>
          <w:u w:color="000000"/>
          <w:bdr w:val="nil"/>
          <w:lang w:val="en-US" w:eastAsia="it-IT"/>
        </w:rPr>
        <w:t>nother</w:t>
      </w:r>
      <w:r w:rsidR="00997DE5" w:rsidRPr="00486DF6">
        <w:rPr>
          <w:rFonts w:ascii="Times New Roman" w:eastAsia="Arial Unicode MS" w:hAnsi="Times New Roman" w:cs="Times New Roman"/>
          <w:color w:val="000000" w:themeColor="text1"/>
          <w:u w:color="000000"/>
          <w:bdr w:val="nil"/>
          <w:lang w:val="en-US" w:eastAsia="it-IT"/>
        </w:rPr>
        <w:t xml:space="preserve"> decision of the German Constitutional Court in which </w:t>
      </w:r>
      <w:r w:rsidR="008231A0" w:rsidRPr="00486DF6">
        <w:rPr>
          <w:rFonts w:ascii="Times New Roman" w:eastAsia="Arial Unicode MS" w:hAnsi="Times New Roman" w:cs="Times New Roman"/>
          <w:color w:val="000000" w:themeColor="text1"/>
          <w:u w:color="000000"/>
          <w:bdr w:val="nil"/>
          <w:lang w:val="en-US" w:eastAsia="it-IT"/>
        </w:rPr>
        <w:t>it</w:t>
      </w:r>
      <w:r w:rsidR="00427D25" w:rsidRPr="00486DF6">
        <w:rPr>
          <w:rFonts w:ascii="Times New Roman" w:eastAsia="Arial Unicode MS" w:hAnsi="Times New Roman" w:cs="Times New Roman"/>
          <w:color w:val="000000" w:themeColor="text1"/>
          <w:u w:color="000000"/>
          <w:bdr w:val="nil"/>
          <w:lang w:val="en-US" w:eastAsia="it-IT"/>
        </w:rPr>
        <w:t xml:space="preserve"> </w:t>
      </w:r>
      <w:r w:rsidR="00997DE5" w:rsidRPr="00486DF6">
        <w:rPr>
          <w:rFonts w:ascii="Times New Roman" w:eastAsia="Arial Unicode MS" w:hAnsi="Times New Roman" w:cs="Times New Roman"/>
          <w:color w:val="000000" w:themeColor="text1"/>
          <w:u w:color="000000"/>
          <w:bdr w:val="nil"/>
          <w:lang w:val="en-US" w:eastAsia="it-IT"/>
        </w:rPr>
        <w:t xml:space="preserve">dismissed two applications for an order of execution that had been lodged after the </w:t>
      </w:r>
      <w:proofErr w:type="spellStart"/>
      <w:r w:rsidR="00997DE5" w:rsidRPr="00486DF6">
        <w:rPr>
          <w:rFonts w:ascii="Times New Roman" w:eastAsia="Arial Unicode MS" w:hAnsi="Times New Roman" w:cs="Times New Roman"/>
          <w:color w:val="000000" w:themeColor="text1"/>
          <w:u w:color="000000"/>
          <w:bdr w:val="nil"/>
          <w:lang w:val="en-US" w:eastAsia="it-IT"/>
        </w:rPr>
        <w:t>BV</w:t>
      </w:r>
      <w:r w:rsidR="008231A0" w:rsidRPr="00486DF6">
        <w:rPr>
          <w:rFonts w:ascii="Times New Roman" w:eastAsia="Arial Unicode MS" w:hAnsi="Times New Roman" w:cs="Times New Roman"/>
          <w:color w:val="000000" w:themeColor="text1"/>
          <w:u w:color="000000"/>
          <w:bdr w:val="nil"/>
          <w:lang w:val="en-US" w:eastAsia="it-IT"/>
        </w:rPr>
        <w:t>erf</w:t>
      </w:r>
      <w:r w:rsidR="00997DE5" w:rsidRPr="00486DF6">
        <w:rPr>
          <w:rFonts w:ascii="Times New Roman" w:eastAsia="Arial Unicode MS" w:hAnsi="Times New Roman" w:cs="Times New Roman"/>
          <w:color w:val="000000" w:themeColor="text1"/>
          <w:u w:color="000000"/>
          <w:bdr w:val="nil"/>
          <w:lang w:val="en-US" w:eastAsia="it-IT"/>
        </w:rPr>
        <w:t>G’s</w:t>
      </w:r>
      <w:proofErr w:type="spellEnd"/>
      <w:r w:rsidR="00997DE5" w:rsidRPr="00486DF6">
        <w:rPr>
          <w:rFonts w:ascii="Times New Roman" w:eastAsia="Arial Unicode MS" w:hAnsi="Times New Roman" w:cs="Times New Roman"/>
          <w:color w:val="000000" w:themeColor="text1"/>
          <w:u w:color="000000"/>
          <w:bdr w:val="nil"/>
          <w:lang w:val="en-US" w:eastAsia="it-IT"/>
        </w:rPr>
        <w:t xml:space="preserve"> judgment of 5 May 2020 on the PSPP.</w:t>
      </w:r>
      <w:r w:rsidR="00997DE5" w:rsidRPr="00486DF6">
        <w:rPr>
          <w:rFonts w:ascii="Times New Roman" w:eastAsia="Arial Unicode MS" w:hAnsi="Times New Roman" w:cs="Times New Roman"/>
          <w:color w:val="000000" w:themeColor="text1"/>
          <w:u w:color="000000"/>
          <w:bdr w:val="nil"/>
          <w:vertAlign w:val="superscript"/>
          <w:lang w:val="en-US" w:eastAsia="it-IT"/>
        </w:rPr>
        <w:footnoteReference w:id="77"/>
      </w:r>
      <w:r w:rsidR="00997DE5" w:rsidRPr="00486DF6">
        <w:rPr>
          <w:rFonts w:ascii="Times New Roman" w:eastAsia="Arial Unicode MS" w:hAnsi="Times New Roman" w:cs="Times New Roman"/>
          <w:color w:val="000000" w:themeColor="text1"/>
          <w:u w:color="000000"/>
          <w:bdr w:val="nil"/>
          <w:lang w:val="en-US" w:eastAsia="it-IT"/>
        </w:rPr>
        <w:t xml:space="preserve"> However</w:t>
      </w:r>
      <w:r>
        <w:rPr>
          <w:rFonts w:ascii="Times New Roman" w:eastAsia="Arial Unicode MS" w:hAnsi="Times New Roman" w:cs="Times New Roman"/>
          <w:color w:val="000000" w:themeColor="text1"/>
          <w:u w:color="000000"/>
          <w:bdr w:val="nil"/>
          <w:lang w:val="en-US" w:eastAsia="it-IT"/>
        </w:rPr>
        <w:t xml:space="preserve">, </w:t>
      </w:r>
      <w:r w:rsidRPr="00486DF6">
        <w:rPr>
          <w:rFonts w:ascii="Times New Roman" w:eastAsia="Arial Unicode MS" w:hAnsi="Times New Roman" w:cs="Times New Roman"/>
          <w:color w:val="000000" w:themeColor="text1"/>
          <w:u w:color="000000"/>
          <w:bdr w:val="nil"/>
          <w:lang w:val="en-US" w:eastAsia="it-IT"/>
        </w:rPr>
        <w:t>in light of the German reply to the letter of formal notice</w:t>
      </w:r>
      <w:r>
        <w:rPr>
          <w:rFonts w:ascii="Times New Roman" w:eastAsia="Arial Unicode MS" w:hAnsi="Times New Roman" w:cs="Times New Roman"/>
          <w:color w:val="000000" w:themeColor="text1"/>
          <w:u w:color="000000"/>
          <w:bdr w:val="nil"/>
          <w:lang w:val="en-US" w:eastAsia="it-IT"/>
        </w:rPr>
        <w:t xml:space="preserve">, </w:t>
      </w:r>
      <w:r w:rsidR="00997DE5" w:rsidRPr="00486DF6">
        <w:rPr>
          <w:rFonts w:ascii="Times New Roman" w:eastAsia="Arial Unicode MS" w:hAnsi="Times New Roman" w:cs="Times New Roman"/>
          <w:color w:val="000000" w:themeColor="text1"/>
          <w:u w:color="000000"/>
          <w:bdr w:val="nil"/>
          <w:lang w:val="en-US" w:eastAsia="it-IT"/>
        </w:rPr>
        <w:t xml:space="preserve">the Commission announced the decision to end its infringement proceedings against Germany on 2 December 2021. </w:t>
      </w:r>
    </w:p>
    <w:p w14:paraId="4F223609" w14:textId="77777777" w:rsidR="00CF535A" w:rsidRDefault="00A57357" w:rsidP="006829DF">
      <w:pPr>
        <w:pStyle w:val="pf0"/>
        <w:spacing w:before="0" w:beforeAutospacing="0" w:after="0" w:afterAutospacing="0" w:line="480" w:lineRule="auto"/>
        <w:ind w:firstLine="720"/>
        <w:jc w:val="both"/>
        <w:rPr>
          <w:rFonts w:eastAsia="Arial Unicode MS"/>
          <w:color w:val="000000" w:themeColor="text1"/>
          <w:u w:color="000000"/>
          <w:bdr w:val="nil"/>
          <w:lang w:val="en-US"/>
        </w:rPr>
      </w:pPr>
      <w:r>
        <w:rPr>
          <w:rFonts w:eastAsia="Arial Unicode MS"/>
          <w:color w:val="000000" w:themeColor="text1"/>
          <w:u w:color="000000"/>
          <w:bdr w:val="nil"/>
          <w:lang w:val="en-US"/>
        </w:rPr>
        <w:t>Overall</w:t>
      </w:r>
      <w:r w:rsidR="00444E97">
        <w:rPr>
          <w:rFonts w:eastAsia="Arial Unicode MS"/>
          <w:color w:val="000000" w:themeColor="text1"/>
          <w:u w:color="000000"/>
          <w:bdr w:val="nil"/>
          <w:lang w:val="en-US"/>
        </w:rPr>
        <w:t>,</w:t>
      </w:r>
      <w:r w:rsidR="00997DE5" w:rsidRPr="00486DF6">
        <w:rPr>
          <w:rFonts w:eastAsia="Arial Unicode MS"/>
          <w:color w:val="000000" w:themeColor="text1"/>
          <w:u w:color="000000"/>
          <w:bdr w:val="nil"/>
          <w:lang w:val="en-US"/>
        </w:rPr>
        <w:t xml:space="preserve"> the concept of nullification is</w:t>
      </w:r>
      <w:r>
        <w:rPr>
          <w:rFonts w:eastAsia="Arial Unicode MS"/>
          <w:color w:val="000000" w:themeColor="text1"/>
          <w:u w:color="000000"/>
          <w:bdr w:val="nil"/>
          <w:lang w:val="en-US"/>
        </w:rPr>
        <w:t xml:space="preserve"> normally</w:t>
      </w:r>
      <w:r w:rsidR="00997DE5" w:rsidRPr="00486DF6">
        <w:rPr>
          <w:rFonts w:eastAsia="Arial Unicode MS"/>
          <w:color w:val="000000" w:themeColor="text1"/>
          <w:u w:color="000000"/>
          <w:bdr w:val="nil"/>
          <w:lang w:val="en-US"/>
        </w:rPr>
        <w:t xml:space="preserve"> used with reference to acts of political actors</w:t>
      </w:r>
      <w:r w:rsidR="00CF535A">
        <w:rPr>
          <w:rFonts w:eastAsia="Arial Unicode MS"/>
          <w:color w:val="000000" w:themeColor="text1"/>
          <w:u w:color="000000"/>
          <w:bdr w:val="nil"/>
          <w:lang w:val="en-US"/>
        </w:rPr>
        <w:t xml:space="preserve"> not least because</w:t>
      </w:r>
    </w:p>
    <w:p w14:paraId="1481D020" w14:textId="77777777" w:rsidR="00CF535A" w:rsidRDefault="00CF535A" w:rsidP="00CF535A">
      <w:pPr>
        <w:pStyle w:val="pf0"/>
        <w:spacing w:before="0" w:beforeAutospacing="0" w:after="0" w:afterAutospacing="0" w:line="480" w:lineRule="auto"/>
        <w:ind w:left="720"/>
        <w:jc w:val="both"/>
        <w:rPr>
          <w:rFonts w:eastAsia="Calibri"/>
          <w:color w:val="000000"/>
          <w:sz w:val="20"/>
          <w:szCs w:val="20"/>
          <w:u w:color="000000"/>
          <w:bdr w:val="nil"/>
          <w:lang w:val="en-US"/>
        </w:rPr>
      </w:pPr>
      <w:r w:rsidRPr="00486DF6">
        <w:rPr>
          <w:rFonts w:eastAsia="Calibri"/>
          <w:color w:val="000000"/>
          <w:sz w:val="20"/>
          <w:szCs w:val="20"/>
          <w:u w:color="000000"/>
          <w:bdr w:val="nil"/>
          <w:lang w:val="en-US"/>
        </w:rPr>
        <w:t xml:space="preserve">courts are in general reactive institutions: they are called upon to adjudicate on the initiative of the parties that come before them. They thus react on the initiative of the parties, rather than on their own initiative, to the positions taken by other courts [...] They may not be allowed to consider </w:t>
      </w:r>
      <w:r w:rsidRPr="00486DF6">
        <w:rPr>
          <w:rFonts w:eastAsia="Calibri"/>
          <w:i/>
          <w:iCs/>
          <w:color w:val="000000"/>
          <w:sz w:val="20"/>
          <w:szCs w:val="20"/>
          <w:u w:color="000000"/>
          <w:bdr w:val="nil"/>
          <w:lang w:val="en-US"/>
        </w:rPr>
        <w:t>proprio motu</w:t>
      </w:r>
      <w:r w:rsidRPr="00486DF6">
        <w:rPr>
          <w:rFonts w:eastAsia="Calibri"/>
          <w:color w:val="000000"/>
          <w:sz w:val="20"/>
          <w:szCs w:val="20"/>
          <w:u w:color="000000"/>
          <w:bdr w:val="nil"/>
          <w:lang w:val="en-US"/>
        </w:rPr>
        <w:t xml:space="preserve"> points not raised by the parties.</w:t>
      </w:r>
      <w:r w:rsidRPr="00486DF6">
        <w:rPr>
          <w:color w:val="000000"/>
          <w:sz w:val="20"/>
          <w:szCs w:val="20"/>
          <w:u w:color="000000"/>
          <w:bdr w:val="nil"/>
          <w:vertAlign w:val="superscript"/>
          <w:lang w:val="en-US"/>
        </w:rPr>
        <w:footnoteReference w:id="78"/>
      </w:r>
    </w:p>
    <w:p w14:paraId="0AC2BB17" w14:textId="1BD57F4D" w:rsidR="00721993" w:rsidRPr="00CF535A" w:rsidRDefault="00444E97" w:rsidP="00CF535A">
      <w:pPr>
        <w:pStyle w:val="pf0"/>
        <w:spacing w:before="0" w:beforeAutospacing="0" w:after="0" w:afterAutospacing="0" w:line="480" w:lineRule="auto"/>
        <w:jc w:val="both"/>
        <w:rPr>
          <w:rFonts w:eastAsia="Calibri"/>
          <w:color w:val="000000"/>
          <w:sz w:val="20"/>
          <w:szCs w:val="20"/>
          <w:u w:color="000000"/>
          <w:bdr w:val="nil"/>
          <w:lang w:val="en-US"/>
        </w:rPr>
      </w:pPr>
      <w:r>
        <w:rPr>
          <w:rFonts w:eastAsia="Arial Unicode MS"/>
          <w:color w:val="000000" w:themeColor="text1"/>
          <w:u w:color="000000"/>
          <w:bdr w:val="nil"/>
          <w:lang w:val="en-US"/>
        </w:rPr>
        <w:t>However,</w:t>
      </w:r>
      <w:r w:rsidR="00997DE5" w:rsidRPr="00486DF6">
        <w:rPr>
          <w:rFonts w:eastAsia="Arial Unicode MS"/>
          <w:color w:val="000000" w:themeColor="text1"/>
          <w:u w:color="000000"/>
          <w:bdr w:val="nil"/>
          <w:lang w:val="en-US"/>
        </w:rPr>
        <w:t xml:space="preserve"> </w:t>
      </w:r>
      <w:r w:rsidR="00E109E9" w:rsidRPr="00486DF6">
        <w:rPr>
          <w:rFonts w:eastAsia="Arial Unicode MS"/>
          <w:color w:val="000000" w:themeColor="text1"/>
          <w:u w:color="000000"/>
          <w:bdr w:val="nil"/>
          <w:lang w:val="en-US"/>
        </w:rPr>
        <w:t>in this instance</w:t>
      </w:r>
      <w:r>
        <w:rPr>
          <w:rFonts w:eastAsia="Arial Unicode MS"/>
          <w:color w:val="000000" w:themeColor="text1"/>
          <w:u w:color="000000"/>
          <w:bdr w:val="nil"/>
          <w:lang w:val="en-US"/>
        </w:rPr>
        <w:t>,</w:t>
      </w:r>
      <w:r w:rsidR="00E109E9" w:rsidRPr="00486DF6">
        <w:rPr>
          <w:rFonts w:eastAsia="Arial Unicode MS"/>
          <w:color w:val="000000" w:themeColor="text1"/>
          <w:u w:color="000000"/>
          <w:bdr w:val="nil"/>
          <w:lang w:val="en-US"/>
        </w:rPr>
        <w:t xml:space="preserve"> </w:t>
      </w:r>
      <w:r w:rsidR="00997DE5" w:rsidRPr="00486DF6">
        <w:rPr>
          <w:rFonts w:eastAsia="Arial Unicode MS"/>
          <w:color w:val="000000" w:themeColor="text1"/>
          <w:u w:color="000000"/>
          <w:bdr w:val="nil"/>
          <w:lang w:val="en-US"/>
        </w:rPr>
        <w:t xml:space="preserve">commentators have used it with reference to a constitutional court ruling. </w:t>
      </w:r>
      <w:r w:rsidR="00721993" w:rsidRPr="00486DF6">
        <w:rPr>
          <w:rFonts w:eastAsia="Arial Unicode MS"/>
          <w:color w:val="000000" w:themeColor="text1"/>
          <w:u w:color="000000"/>
          <w:bdr w:val="nil"/>
          <w:lang w:val="en-US"/>
        </w:rPr>
        <w:t xml:space="preserve">The reason being that the German Constitutional Court somehow questioned one of the fundamental </w:t>
      </w:r>
      <w:r w:rsidR="008206F5" w:rsidRPr="00486DF6">
        <w:rPr>
          <w:rFonts w:eastAsia="Arial Unicode MS"/>
          <w:color w:val="000000" w:themeColor="text1"/>
          <w:u w:color="000000"/>
          <w:bdr w:val="nil"/>
          <w:lang w:val="en-US"/>
        </w:rPr>
        <w:t>pillars</w:t>
      </w:r>
      <w:r w:rsidR="00721993" w:rsidRPr="00486DF6">
        <w:rPr>
          <w:rFonts w:eastAsia="Arial Unicode MS"/>
          <w:color w:val="000000" w:themeColor="text1"/>
          <w:u w:color="000000"/>
          <w:bdr w:val="nil"/>
          <w:lang w:val="en-US"/>
        </w:rPr>
        <w:t xml:space="preserve"> of European integration: the principle </w:t>
      </w:r>
      <w:r w:rsidR="006829DF">
        <w:rPr>
          <w:rFonts w:eastAsia="Arial Unicode MS"/>
          <w:color w:val="000000" w:themeColor="text1"/>
          <w:u w:color="000000"/>
          <w:bdr w:val="nil"/>
          <w:lang w:val="en-US"/>
        </w:rPr>
        <w:t xml:space="preserve">of </w:t>
      </w:r>
      <w:r w:rsidR="00721993" w:rsidRPr="00486DF6">
        <w:rPr>
          <w:rFonts w:eastAsia="Arial Unicode MS"/>
          <w:color w:val="000000" w:themeColor="text1"/>
          <w:u w:color="000000"/>
          <w:bdr w:val="nil"/>
          <w:lang w:val="en-US"/>
        </w:rPr>
        <w:t>primacy</w:t>
      </w:r>
      <w:r w:rsidR="006829DF">
        <w:rPr>
          <w:rFonts w:eastAsia="Arial Unicode MS"/>
          <w:color w:val="000000" w:themeColor="text1"/>
          <w:u w:color="000000"/>
          <w:bdr w:val="nil"/>
          <w:lang w:val="en-US"/>
        </w:rPr>
        <w:t xml:space="preserve"> </w:t>
      </w:r>
      <w:r w:rsidR="006829DF" w:rsidRPr="00486DF6">
        <w:rPr>
          <w:rFonts w:eastAsia="Arial Unicode MS"/>
          <w:color w:val="000000" w:themeColor="text1"/>
          <w:u w:color="000000"/>
          <w:bdr w:val="nil"/>
          <w:lang w:val="en-US"/>
        </w:rPr>
        <w:t>of EU law</w:t>
      </w:r>
      <w:r w:rsidR="00721993" w:rsidRPr="00486DF6">
        <w:rPr>
          <w:rFonts w:eastAsia="Arial Unicode MS"/>
          <w:color w:val="000000" w:themeColor="text1"/>
          <w:u w:color="000000"/>
          <w:bdr w:val="nil"/>
          <w:lang w:val="en-US"/>
        </w:rPr>
        <w:t xml:space="preserve">. </w:t>
      </w:r>
      <w:r w:rsidR="00E109E9" w:rsidRPr="00486DF6">
        <w:rPr>
          <w:rFonts w:eastAsia="Arial Unicode MS"/>
          <w:color w:val="000000" w:themeColor="text1"/>
          <w:u w:color="000000"/>
          <w:bdr w:val="nil"/>
          <w:lang w:val="en-US"/>
        </w:rPr>
        <w:t xml:space="preserve">However, </w:t>
      </w:r>
      <w:r w:rsidR="00721993" w:rsidRPr="00486DF6">
        <w:rPr>
          <w:rFonts w:eastAsia="Arial Unicode MS"/>
          <w:color w:val="000000" w:themeColor="text1"/>
          <w:u w:color="000000"/>
          <w:bdr w:val="nil"/>
          <w:lang w:val="en-US"/>
        </w:rPr>
        <w:t>and in line with what we have argued above, it seems that the intention of the German Court –</w:t>
      </w:r>
      <w:r w:rsidR="000E05BC">
        <w:rPr>
          <w:rFonts w:eastAsia="Arial Unicode MS"/>
          <w:color w:val="000000" w:themeColor="text1"/>
          <w:u w:color="000000"/>
          <w:bdr w:val="nil"/>
          <w:lang w:val="en-US"/>
        </w:rPr>
        <w:t xml:space="preserve"> </w:t>
      </w:r>
      <w:r w:rsidR="00721993" w:rsidRPr="00486DF6">
        <w:rPr>
          <w:rFonts w:eastAsia="Arial Unicode MS"/>
          <w:color w:val="000000" w:themeColor="text1"/>
          <w:u w:color="000000"/>
          <w:bdr w:val="nil"/>
          <w:lang w:val="en-US"/>
        </w:rPr>
        <w:t>at least ostensibly</w:t>
      </w:r>
      <w:r w:rsidR="000E05BC">
        <w:rPr>
          <w:rFonts w:eastAsia="Arial Unicode MS"/>
          <w:color w:val="000000" w:themeColor="text1"/>
          <w:u w:color="000000"/>
          <w:bdr w:val="nil"/>
          <w:lang w:val="en-US"/>
        </w:rPr>
        <w:t xml:space="preserve"> –</w:t>
      </w:r>
      <w:r w:rsidR="00721993" w:rsidRPr="00486DF6">
        <w:rPr>
          <w:rFonts w:eastAsia="Arial Unicode MS"/>
          <w:color w:val="000000" w:themeColor="text1"/>
          <w:u w:color="000000"/>
          <w:bdr w:val="nil"/>
          <w:lang w:val="en-US"/>
        </w:rPr>
        <w:t xml:space="preserve"> was to protect the rights of Germany and its citizens from an intrusive decision of a federal institution. The dialogue between the EU and the German institutions that took place following this judgment point to the fact that nullification could be seen as a vehicle of a </w:t>
      </w:r>
      <w:r w:rsidR="00721993" w:rsidRPr="00486DF6">
        <w:rPr>
          <w:rFonts w:eastAsia="Arial Unicode MS"/>
          <w:color w:val="000000" w:themeColor="text1"/>
          <w:u w:color="000000"/>
          <w:bdr w:val="nil"/>
          <w:lang w:val="en-US"/>
        </w:rPr>
        <w:lastRenderedPageBreak/>
        <w:t>constitutional conflict within the EU</w:t>
      </w:r>
      <w:r w:rsidR="00581466">
        <w:rPr>
          <w:rFonts w:eastAsia="Arial Unicode MS"/>
          <w:color w:val="000000" w:themeColor="text1"/>
          <w:u w:color="000000"/>
          <w:bdr w:val="nil"/>
          <w:lang w:val="en-US"/>
        </w:rPr>
        <w:t xml:space="preserve">, another </w:t>
      </w:r>
      <w:r w:rsidR="00CF535A">
        <w:rPr>
          <w:rFonts w:eastAsia="Arial Unicode MS"/>
          <w:color w:val="000000" w:themeColor="text1"/>
          <w:u w:color="000000"/>
          <w:bdr w:val="nil"/>
          <w:lang w:val="en-US"/>
        </w:rPr>
        <w:t>form</w:t>
      </w:r>
      <w:r w:rsidR="00581466">
        <w:rPr>
          <w:rFonts w:eastAsia="Arial Unicode MS"/>
          <w:color w:val="000000" w:themeColor="text1"/>
          <w:u w:color="000000"/>
          <w:bdr w:val="nil"/>
          <w:lang w:val="en-US"/>
        </w:rPr>
        <w:t xml:space="preserve"> of </w:t>
      </w:r>
      <w:proofErr w:type="spellStart"/>
      <w:r w:rsidR="00581466">
        <w:rPr>
          <w:rFonts w:eastAsia="Arial Unicode MS"/>
          <w:color w:val="000000" w:themeColor="text1"/>
          <w:u w:color="000000"/>
          <w:bdr w:val="nil"/>
          <w:lang w:val="en-US"/>
        </w:rPr>
        <w:t>contestatory</w:t>
      </w:r>
      <w:proofErr w:type="spellEnd"/>
      <w:r w:rsidR="00581466">
        <w:rPr>
          <w:rFonts w:eastAsia="Arial Unicode MS"/>
          <w:color w:val="000000" w:themeColor="text1"/>
          <w:u w:color="000000"/>
          <w:bdr w:val="nil"/>
          <w:lang w:val="en-US"/>
        </w:rPr>
        <w:t xml:space="preserve"> federalism</w:t>
      </w:r>
      <w:r w:rsidR="00721993" w:rsidRPr="00486DF6">
        <w:rPr>
          <w:rFonts w:eastAsia="Arial Unicode MS"/>
          <w:color w:val="000000" w:themeColor="text1"/>
          <w:u w:color="000000"/>
          <w:bdr w:val="nil"/>
          <w:lang w:val="en-US"/>
        </w:rPr>
        <w:t>.</w:t>
      </w:r>
      <w:r w:rsidR="00CC363E">
        <w:rPr>
          <w:rFonts w:eastAsia="Arial Unicode MS"/>
          <w:color w:val="000000" w:themeColor="text1"/>
          <w:u w:color="000000"/>
          <w:bdr w:val="nil"/>
          <w:lang w:val="en-US"/>
        </w:rPr>
        <w:t xml:space="preserve"> In this process, the EU institutions used the available legal toolkit including the threat of an infringement procedure to combat </w:t>
      </w:r>
      <w:r w:rsidR="003E519F">
        <w:rPr>
          <w:rFonts w:eastAsia="Arial Unicode MS"/>
          <w:color w:val="000000" w:themeColor="text1"/>
          <w:u w:color="000000"/>
          <w:bdr w:val="nil"/>
          <w:lang w:val="en-US"/>
        </w:rPr>
        <w:t>this judicial issue-based withdrawal.</w:t>
      </w:r>
    </w:p>
    <w:p w14:paraId="60370FBF" w14:textId="7104F8C1" w:rsidR="00997DE5" w:rsidRPr="00CF535A" w:rsidRDefault="00CF535A" w:rsidP="00CF535A">
      <w:pPr>
        <w:pStyle w:val="pf0"/>
        <w:spacing w:before="0" w:beforeAutospacing="0" w:after="0" w:afterAutospacing="0" w:line="480" w:lineRule="auto"/>
        <w:ind w:firstLine="720"/>
        <w:jc w:val="both"/>
        <w:rPr>
          <w:rFonts w:eastAsia="Arial Unicode MS"/>
          <w:color w:val="000000" w:themeColor="text1"/>
          <w:u w:color="000000"/>
          <w:bdr w:val="nil"/>
          <w:lang w:val="en-US"/>
        </w:rPr>
      </w:pPr>
      <w:r>
        <w:rPr>
          <w:rFonts w:eastAsia="Arial Unicode MS"/>
          <w:color w:val="000000" w:themeColor="text1"/>
          <w:u w:color="000000"/>
          <w:bdr w:val="nil"/>
          <w:lang w:val="en-US"/>
        </w:rPr>
        <w:t>In any case,</w:t>
      </w:r>
      <w:r w:rsidR="00997DE5" w:rsidRPr="00486DF6">
        <w:rPr>
          <w:rFonts w:eastAsia="Arial Unicode MS"/>
          <w:color w:val="000000" w:themeColor="text1"/>
          <w:u w:color="000000"/>
          <w:bdr w:val="nil"/>
          <w:lang w:val="en-US"/>
        </w:rPr>
        <w:t xml:space="preserve"> </w:t>
      </w:r>
      <w:r w:rsidR="00721993" w:rsidRPr="00486DF6">
        <w:rPr>
          <w:rFonts w:eastAsia="Arial Unicode MS"/>
          <w:color w:val="000000" w:themeColor="text1"/>
          <w:u w:color="000000"/>
          <w:bdr w:val="nil"/>
          <w:lang w:val="en-US"/>
        </w:rPr>
        <w:t>for a judge-made nullification attempt</w:t>
      </w:r>
      <w:r w:rsidR="00997DE5" w:rsidRPr="00486DF6">
        <w:rPr>
          <w:rFonts w:eastAsia="Arial Unicode MS"/>
          <w:color w:val="000000" w:themeColor="text1"/>
          <w:u w:color="000000"/>
          <w:bdr w:val="nil"/>
          <w:lang w:val="en-US"/>
        </w:rPr>
        <w:t xml:space="preserve"> to be </w:t>
      </w:r>
      <w:r>
        <w:rPr>
          <w:rFonts w:eastAsia="Arial Unicode MS"/>
          <w:color w:val="000000" w:themeColor="text1"/>
          <w:u w:color="000000"/>
          <w:bdr w:val="nil"/>
          <w:lang w:val="en-US"/>
        </w:rPr>
        <w:t xml:space="preserve">successful, the political institutions of the respective State should also </w:t>
      </w:r>
      <w:r w:rsidR="003E519F">
        <w:rPr>
          <w:rFonts w:eastAsia="Arial Unicode MS"/>
          <w:color w:val="000000" w:themeColor="text1"/>
          <w:u w:color="000000"/>
          <w:bdr w:val="nil"/>
          <w:lang w:val="en-US"/>
        </w:rPr>
        <w:t>“</w:t>
      </w:r>
      <w:r>
        <w:rPr>
          <w:rFonts w:eastAsia="Arial Unicode MS"/>
          <w:color w:val="000000" w:themeColor="text1"/>
          <w:u w:color="000000"/>
          <w:bdr w:val="nil"/>
          <w:lang w:val="en-US"/>
        </w:rPr>
        <w:t>adopt</w:t>
      </w:r>
      <w:r w:rsidR="003E519F">
        <w:rPr>
          <w:rFonts w:eastAsia="Arial Unicode MS"/>
          <w:color w:val="000000" w:themeColor="text1"/>
          <w:u w:color="000000"/>
          <w:bdr w:val="nil"/>
          <w:lang w:val="en-US"/>
        </w:rPr>
        <w:t>”</w:t>
      </w:r>
      <w:r>
        <w:rPr>
          <w:rFonts w:eastAsia="Arial Unicode MS"/>
          <w:color w:val="000000" w:themeColor="text1"/>
          <w:u w:color="000000"/>
          <w:bdr w:val="nil"/>
          <w:lang w:val="en-US"/>
        </w:rPr>
        <w:t xml:space="preserve"> it and convince their counterparts in the other Member States to accommodate it within the Union constitutional order of States, as we shall see. Precisely, because it is unimaginable</w:t>
      </w:r>
      <w:r w:rsidR="00895BBA">
        <w:rPr>
          <w:rFonts w:eastAsia="Arial Unicode MS"/>
          <w:color w:val="000000" w:themeColor="text1"/>
          <w:u w:color="000000"/>
          <w:bdr w:val="nil"/>
          <w:lang w:val="en-US"/>
        </w:rPr>
        <w:t xml:space="preserve"> at the current state of affairs</w:t>
      </w:r>
      <w:r>
        <w:rPr>
          <w:rFonts w:eastAsia="Arial Unicode MS"/>
          <w:color w:val="000000" w:themeColor="text1"/>
          <w:u w:color="000000"/>
          <w:bdr w:val="nil"/>
          <w:lang w:val="en-US"/>
        </w:rPr>
        <w:t xml:space="preserve"> that there will be consensus among all the contracting parties to challenge the primacy of EU law, functional secession from the EU remains the only realistic option for this to happen.</w:t>
      </w:r>
    </w:p>
    <w:p w14:paraId="1F99DD4A" w14:textId="77777777" w:rsidR="00CF535A" w:rsidRPr="00CF535A" w:rsidRDefault="00CF535A" w:rsidP="000E4CEC">
      <w:pPr>
        <w:pStyle w:val="pf0"/>
        <w:spacing w:before="0" w:beforeAutospacing="0" w:after="0" w:afterAutospacing="0" w:line="480" w:lineRule="auto"/>
        <w:jc w:val="both"/>
        <w:rPr>
          <w:rFonts w:eastAsia="Calibri"/>
          <w:color w:val="000000"/>
          <w:u w:color="000000"/>
          <w:bdr w:val="nil"/>
          <w:lang w:val="en-US"/>
        </w:rPr>
      </w:pPr>
    </w:p>
    <w:p w14:paraId="3B63F49E" w14:textId="77777777" w:rsidR="00997DE5" w:rsidRPr="006829DF" w:rsidRDefault="00997DE5" w:rsidP="000E4CEC">
      <w:pPr>
        <w:spacing w:line="480" w:lineRule="auto"/>
        <w:jc w:val="both"/>
        <w:rPr>
          <w:rFonts w:ascii="Times New Roman" w:eastAsia="Times New Roman" w:hAnsi="Times New Roman" w:cs="Times New Roman"/>
          <w:i/>
          <w:iCs/>
          <w:color w:val="000000"/>
          <w:lang w:val="en-US" w:eastAsia="en-GB"/>
        </w:rPr>
      </w:pPr>
      <w:r w:rsidRPr="006829DF">
        <w:rPr>
          <w:rFonts w:ascii="Times New Roman" w:eastAsia="Times New Roman" w:hAnsi="Times New Roman" w:cs="Times New Roman"/>
          <w:i/>
          <w:iCs/>
          <w:color w:val="000000"/>
          <w:lang w:val="en-US" w:eastAsia="en-GB"/>
        </w:rPr>
        <w:t xml:space="preserve">B. </w:t>
      </w:r>
      <w:r w:rsidRPr="006829DF">
        <w:rPr>
          <w:rFonts w:ascii="Times New Roman" w:eastAsia="Times New Roman" w:hAnsi="Times New Roman" w:cs="Times New Roman"/>
          <w:i/>
          <w:iCs/>
          <w:color w:val="000000"/>
          <w:lang w:val="en-US" w:eastAsia="en-GB"/>
        </w:rPr>
        <w:tab/>
        <w:t xml:space="preserve">Issue-based Withdrawal via Political Means </w:t>
      </w:r>
    </w:p>
    <w:p w14:paraId="04AC3043" w14:textId="435EF11F" w:rsidR="00997DE5" w:rsidRPr="00486DF6" w:rsidRDefault="00997DE5" w:rsidP="00FC49F8">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 xml:space="preserve">The principle of judicial independence </w:t>
      </w:r>
      <w:r w:rsidR="008104B8" w:rsidRPr="00486DF6">
        <w:rPr>
          <w:rFonts w:ascii="Times New Roman" w:eastAsia="Times New Roman" w:hAnsi="Times New Roman" w:cs="Times New Roman"/>
          <w:color w:val="000000"/>
          <w:lang w:val="en-US" w:eastAsia="en-GB"/>
        </w:rPr>
        <w:t xml:space="preserve">sometimes </w:t>
      </w:r>
      <w:r w:rsidRPr="00486DF6">
        <w:rPr>
          <w:rFonts w:ascii="Times New Roman" w:eastAsia="Times New Roman" w:hAnsi="Times New Roman" w:cs="Times New Roman"/>
          <w:color w:val="000000"/>
          <w:lang w:val="en-US" w:eastAsia="en-GB"/>
        </w:rPr>
        <w:t xml:space="preserve">makes </w:t>
      </w:r>
      <w:r w:rsidR="008104B8" w:rsidRPr="00486DF6">
        <w:rPr>
          <w:rFonts w:ascii="Times New Roman" w:eastAsia="Times New Roman" w:hAnsi="Times New Roman" w:cs="Times New Roman"/>
          <w:color w:val="000000"/>
          <w:lang w:val="en-US" w:eastAsia="en-GB"/>
        </w:rPr>
        <w:t xml:space="preserve">it </w:t>
      </w:r>
      <w:r w:rsidRPr="00486DF6">
        <w:rPr>
          <w:rFonts w:ascii="Times New Roman" w:eastAsia="Times New Roman" w:hAnsi="Times New Roman" w:cs="Times New Roman"/>
          <w:color w:val="000000"/>
          <w:lang w:val="en-US" w:eastAsia="en-GB"/>
        </w:rPr>
        <w:t xml:space="preserve">difficult to attribute direct responsibility to a Member State as a whole for a judicial decision that might be interpreted as an attempt for an issue-based withdrawal. However, national political elites have also tried to </w:t>
      </w:r>
      <w:r w:rsidR="00FC49F8">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nullify</w:t>
      </w:r>
      <w:r w:rsidR="00FC49F8">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certain EU decisions</w:t>
      </w:r>
      <w:r w:rsidR="00493CB5">
        <w:rPr>
          <w:rFonts w:ascii="Times New Roman" w:eastAsia="Times New Roman" w:hAnsi="Times New Roman" w:cs="Times New Roman"/>
          <w:color w:val="000000"/>
          <w:lang w:val="en-US" w:eastAsia="en-GB"/>
        </w:rPr>
        <w:t xml:space="preserve"> in order to protect their citizens from what they perceived as policies that they threaten their rights and the national interests</w:t>
      </w:r>
      <w:r w:rsidRPr="00486DF6">
        <w:rPr>
          <w:rFonts w:ascii="Times New Roman" w:eastAsia="Times New Roman" w:hAnsi="Times New Roman" w:cs="Times New Roman"/>
          <w:color w:val="000000"/>
          <w:lang w:val="en-US" w:eastAsia="en-GB"/>
        </w:rPr>
        <w:t xml:space="preserve">. In this section we will revisit two of those attempts. The 2015 Grexit referendum underlines how difficult it is for a Member State to </w:t>
      </w:r>
      <w:r w:rsidR="00493CB5">
        <w:rPr>
          <w:rFonts w:ascii="Times New Roman" w:eastAsia="Times New Roman" w:hAnsi="Times New Roman" w:cs="Times New Roman"/>
          <w:color w:val="000000"/>
          <w:lang w:val="en-US" w:eastAsia="en-GB"/>
        </w:rPr>
        <w:t xml:space="preserve">partially </w:t>
      </w:r>
      <w:r w:rsidRPr="00486DF6">
        <w:rPr>
          <w:rFonts w:ascii="Times New Roman" w:eastAsia="Times New Roman" w:hAnsi="Times New Roman" w:cs="Times New Roman"/>
          <w:color w:val="000000"/>
          <w:lang w:val="en-US" w:eastAsia="en-GB"/>
        </w:rPr>
        <w:t xml:space="preserve">withdraw from </w:t>
      </w:r>
      <w:r w:rsidR="00493CB5">
        <w:rPr>
          <w:rFonts w:ascii="Times New Roman" w:eastAsia="Times New Roman" w:hAnsi="Times New Roman" w:cs="Times New Roman"/>
          <w:color w:val="000000"/>
          <w:lang w:val="en-US" w:eastAsia="en-GB"/>
        </w:rPr>
        <w:t>the EU legislative framework</w:t>
      </w:r>
      <w:r w:rsidRPr="00486DF6">
        <w:rPr>
          <w:rFonts w:ascii="Times New Roman" w:eastAsia="Times New Roman" w:hAnsi="Times New Roman" w:cs="Times New Roman"/>
          <w:color w:val="000000"/>
          <w:lang w:val="en-US" w:eastAsia="en-GB"/>
        </w:rPr>
        <w:t xml:space="preserve"> when its actual financial survival is at stake</w:t>
      </w:r>
      <w:r w:rsidR="008104B8" w:rsidRPr="00486DF6">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even when there is an overwhelming majority for such an option. The rule of law crisis on the other hand highlight</w:t>
      </w:r>
      <w:r w:rsidR="008104B8" w:rsidRPr="00486DF6">
        <w:rPr>
          <w:rFonts w:ascii="Times New Roman" w:eastAsia="Times New Roman" w:hAnsi="Times New Roman" w:cs="Times New Roman"/>
          <w:color w:val="000000"/>
          <w:lang w:val="en-US" w:eastAsia="en-GB"/>
        </w:rPr>
        <w:t>s</w:t>
      </w:r>
      <w:r w:rsidRPr="00486DF6">
        <w:rPr>
          <w:rFonts w:ascii="Times New Roman" w:eastAsia="Times New Roman" w:hAnsi="Times New Roman" w:cs="Times New Roman"/>
          <w:color w:val="000000"/>
          <w:lang w:val="en-US" w:eastAsia="en-GB"/>
        </w:rPr>
        <w:t xml:space="preserve"> how some Member States have been trying to challenge the notion that respect to the foundational values enshrined in Article 2 TEU is a </w:t>
      </w:r>
      <w:proofErr w:type="spellStart"/>
      <w:r w:rsidRPr="00486DF6">
        <w:rPr>
          <w:rFonts w:ascii="Times New Roman" w:eastAsia="Times New Roman" w:hAnsi="Times New Roman" w:cs="Times New Roman"/>
          <w:i/>
          <w:iCs/>
          <w:color w:val="000000"/>
          <w:lang w:val="en-US" w:eastAsia="en-GB"/>
        </w:rPr>
        <w:t>conditio</w:t>
      </w:r>
      <w:proofErr w:type="spellEnd"/>
      <w:r w:rsidRPr="00486DF6">
        <w:rPr>
          <w:rFonts w:ascii="Times New Roman" w:eastAsia="Times New Roman" w:hAnsi="Times New Roman" w:cs="Times New Roman"/>
          <w:i/>
          <w:iCs/>
          <w:color w:val="000000"/>
          <w:lang w:val="en-US" w:eastAsia="en-GB"/>
        </w:rPr>
        <w:t xml:space="preserve"> sine qua non</w:t>
      </w:r>
      <w:r w:rsidRPr="00486DF6">
        <w:rPr>
          <w:rFonts w:ascii="Times New Roman" w:eastAsia="Times New Roman" w:hAnsi="Times New Roman" w:cs="Times New Roman"/>
          <w:color w:val="000000"/>
          <w:lang w:val="en-US" w:eastAsia="en-GB"/>
        </w:rPr>
        <w:t xml:space="preserve"> for EU membership. Despite the rather modest EU response, the Article 7 TEU procedure and the rule of law </w:t>
      </w:r>
      <w:r w:rsidRPr="00486DF6">
        <w:rPr>
          <w:rFonts w:ascii="Times New Roman" w:eastAsia="Times New Roman" w:hAnsi="Times New Roman" w:cs="Times New Roman"/>
          <w:color w:val="000000"/>
          <w:lang w:val="en-US" w:eastAsia="en-GB"/>
        </w:rPr>
        <w:lastRenderedPageBreak/>
        <w:t xml:space="preserve">conditionality mechanism point to the limits of such attempts to </w:t>
      </w:r>
      <w:r w:rsidR="00FC49F8">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nullify</w:t>
      </w:r>
      <w:r w:rsidR="00FC49F8">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the foundational principles of the EU legal order.</w:t>
      </w:r>
    </w:p>
    <w:p w14:paraId="5CC42C2A" w14:textId="77777777" w:rsidR="00997DE5" w:rsidRPr="00486DF6" w:rsidRDefault="00997DE5" w:rsidP="000E4CEC">
      <w:pPr>
        <w:spacing w:line="480" w:lineRule="auto"/>
        <w:jc w:val="both"/>
        <w:rPr>
          <w:rFonts w:ascii="Times New Roman" w:eastAsia="Times New Roman" w:hAnsi="Times New Roman" w:cs="Times New Roman"/>
          <w:color w:val="000000"/>
          <w:lang w:val="en-US" w:eastAsia="en-GB"/>
        </w:rPr>
      </w:pPr>
    </w:p>
    <w:p w14:paraId="6CDF3F71" w14:textId="005C769E" w:rsidR="00997DE5" w:rsidRPr="00FC49F8" w:rsidRDefault="00FC49F8" w:rsidP="00850307">
      <w:pPr>
        <w:spacing w:line="480" w:lineRule="auto"/>
        <w:ind w:firstLine="720"/>
        <w:rPr>
          <w:rFonts w:ascii="Times New Roman" w:eastAsia="Times New Roman" w:hAnsi="Times New Roman" w:cs="Times New Roman"/>
          <w:color w:val="000000"/>
          <w:lang w:val="en-US" w:eastAsia="en-GB"/>
        </w:rPr>
      </w:pPr>
      <w:r>
        <w:rPr>
          <w:rFonts w:ascii="Times New Roman" w:eastAsia="Times New Roman" w:hAnsi="Times New Roman" w:cs="Times New Roman"/>
          <w:color w:val="000000"/>
          <w:lang w:val="en-US" w:eastAsia="en-GB"/>
        </w:rPr>
        <w:t>1</w:t>
      </w:r>
      <w:r w:rsidR="00997DE5" w:rsidRPr="00486DF6">
        <w:rPr>
          <w:rFonts w:ascii="Times New Roman" w:eastAsia="Times New Roman" w:hAnsi="Times New Roman" w:cs="Times New Roman"/>
          <w:i/>
          <w:iCs/>
          <w:color w:val="000000"/>
          <w:lang w:val="en-US" w:eastAsia="en-GB"/>
        </w:rPr>
        <w:t xml:space="preserve">. </w:t>
      </w:r>
      <w:r w:rsidR="00997DE5" w:rsidRPr="00486DF6">
        <w:rPr>
          <w:rFonts w:ascii="Times New Roman" w:eastAsia="Times New Roman" w:hAnsi="Times New Roman" w:cs="Times New Roman"/>
          <w:i/>
          <w:iCs/>
          <w:color w:val="000000"/>
          <w:lang w:val="en-US" w:eastAsia="en-GB"/>
        </w:rPr>
        <w:tab/>
      </w:r>
      <w:r w:rsidR="00997DE5" w:rsidRPr="00FC49F8">
        <w:rPr>
          <w:rFonts w:ascii="Times New Roman" w:eastAsia="Times New Roman" w:hAnsi="Times New Roman" w:cs="Times New Roman"/>
          <w:color w:val="000000"/>
          <w:lang w:val="en-US" w:eastAsia="en-GB"/>
        </w:rPr>
        <w:t>The case of the Grexit Referendum</w:t>
      </w:r>
    </w:p>
    <w:p w14:paraId="269B148C" w14:textId="65F29260" w:rsidR="00D618F7" w:rsidRPr="00486DF6" w:rsidRDefault="00997DE5" w:rsidP="00FC49F8">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 xml:space="preserve">The prospect of Grexit was on and off the table since the Eurozone crisis erupted. In 2010, it was nearly avoided when </w:t>
      </w:r>
      <w:r w:rsidRPr="00486DF6">
        <w:rPr>
          <w:rFonts w:ascii="Times New Roman" w:hAnsi="Times New Roman" w:cs="Times New Roman"/>
          <w:lang w:val="en-US"/>
        </w:rPr>
        <w:t xml:space="preserve">a financing mechanism was </w:t>
      </w:r>
      <w:r w:rsidR="00FC49F8">
        <w:rPr>
          <w:rFonts w:ascii="Times New Roman" w:hAnsi="Times New Roman" w:cs="Times New Roman"/>
          <w:lang w:val="en-US"/>
        </w:rPr>
        <w:t>“</w:t>
      </w:r>
      <w:r w:rsidRPr="00486DF6">
        <w:rPr>
          <w:rFonts w:ascii="Times New Roman" w:hAnsi="Times New Roman" w:cs="Times New Roman"/>
          <w:lang w:val="en-US"/>
        </w:rPr>
        <w:t>established involving a substantial IMF financing and a majority of European financing and taking the form of bilateral loans from the Member States.</w:t>
      </w:r>
      <w:r w:rsidR="00FC49F8">
        <w:rPr>
          <w:rFonts w:ascii="Times New Roman" w:hAnsi="Times New Roman" w:cs="Times New Roman"/>
          <w:lang w:val="en-US"/>
        </w:rPr>
        <w:t>”</w:t>
      </w:r>
      <w:r w:rsidRPr="00486DF6">
        <w:rPr>
          <w:rFonts w:ascii="Times New Roman" w:hAnsi="Times New Roman" w:cs="Times New Roman"/>
          <w:vertAlign w:val="superscript"/>
          <w:lang w:val="en-US"/>
        </w:rPr>
        <w:footnoteReference w:id="79"/>
      </w:r>
      <w:r w:rsidRPr="00486DF6">
        <w:rPr>
          <w:rFonts w:ascii="Times New Roman" w:hAnsi="Times New Roman" w:cs="Times New Roman"/>
          <w:lang w:val="en-US"/>
        </w:rPr>
        <w:t xml:space="preserve"> </w:t>
      </w:r>
      <w:r w:rsidRPr="00486DF6">
        <w:rPr>
          <w:rFonts w:ascii="Times New Roman" w:eastAsia="Times New Roman" w:hAnsi="Times New Roman" w:cs="Times New Roman"/>
          <w:color w:val="000000"/>
          <w:lang w:val="en-US" w:eastAsia="en-GB"/>
        </w:rPr>
        <w:t xml:space="preserve"> Two years later, a cross-party majority in the Greek Parliament supported the second bailout and the associated debt restructuring preventing</w:t>
      </w:r>
      <w:r w:rsidR="008104B8" w:rsidRPr="00486DF6">
        <w:rPr>
          <w:rFonts w:ascii="Times New Roman" w:eastAsia="Times New Roman" w:hAnsi="Times New Roman" w:cs="Times New Roman"/>
          <w:color w:val="000000"/>
          <w:lang w:val="en-US" w:eastAsia="en-GB"/>
        </w:rPr>
        <w:t xml:space="preserve">, once </w:t>
      </w:r>
      <w:r w:rsidRPr="00486DF6">
        <w:rPr>
          <w:rFonts w:ascii="Times New Roman" w:eastAsia="Times New Roman" w:hAnsi="Times New Roman" w:cs="Times New Roman"/>
          <w:color w:val="000000"/>
          <w:lang w:val="en-US" w:eastAsia="en-GB"/>
        </w:rPr>
        <w:t>again</w:t>
      </w:r>
      <w:r w:rsidR="008104B8" w:rsidRPr="00486DF6">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the prospect of Grexit.</w:t>
      </w:r>
      <w:r w:rsidRPr="00486DF6">
        <w:rPr>
          <w:rFonts w:ascii="Times New Roman" w:hAnsi="Times New Roman" w:cs="Times New Roman"/>
          <w:color w:val="4A4A4A"/>
          <w:lang w:val="en-US"/>
        </w:rPr>
        <w:t xml:space="preserve"> </w:t>
      </w:r>
      <w:r w:rsidR="00FC49F8">
        <w:rPr>
          <w:rFonts w:ascii="Times New Roman" w:hAnsi="Times New Roman" w:cs="Times New Roman"/>
          <w:color w:val="4A4A4A"/>
          <w:lang w:val="en-US"/>
        </w:rPr>
        <w:t>“</w:t>
      </w:r>
      <w:r w:rsidRPr="00486DF6">
        <w:rPr>
          <w:rFonts w:ascii="Times New Roman" w:hAnsi="Times New Roman" w:cs="Times New Roman"/>
          <w:color w:val="000000" w:themeColor="text1"/>
          <w:lang w:val="en-US"/>
        </w:rPr>
        <w:t xml:space="preserve">The threat subsided even further after European Central Bank President Mario Draghi said that summer that the ECB was ready to do </w:t>
      </w:r>
      <w:r w:rsidR="00FC49F8">
        <w:rPr>
          <w:rFonts w:ascii="Times New Roman" w:hAnsi="Times New Roman" w:cs="Times New Roman"/>
          <w:color w:val="000000" w:themeColor="text1"/>
          <w:lang w:val="en-US"/>
        </w:rPr>
        <w:t>‘</w:t>
      </w:r>
      <w:r w:rsidRPr="00486DF6">
        <w:rPr>
          <w:rFonts w:ascii="Times New Roman" w:hAnsi="Times New Roman" w:cs="Times New Roman"/>
          <w:color w:val="000000" w:themeColor="text1"/>
          <w:lang w:val="en-US"/>
        </w:rPr>
        <w:t xml:space="preserve">whatever </w:t>
      </w:r>
      <w:proofErr w:type="gramStart"/>
      <w:r w:rsidRPr="00486DF6">
        <w:rPr>
          <w:rFonts w:ascii="Times New Roman" w:hAnsi="Times New Roman" w:cs="Times New Roman"/>
          <w:color w:val="000000" w:themeColor="text1"/>
          <w:lang w:val="en-US"/>
        </w:rPr>
        <w:t>it</w:t>
      </w:r>
      <w:proofErr w:type="gramEnd"/>
      <w:r w:rsidRPr="00486DF6">
        <w:rPr>
          <w:rFonts w:ascii="Times New Roman" w:hAnsi="Times New Roman" w:cs="Times New Roman"/>
          <w:color w:val="000000" w:themeColor="text1"/>
          <w:lang w:val="en-US"/>
        </w:rPr>
        <w:t xml:space="preserve"> takes</w:t>
      </w:r>
      <w:r w:rsidR="00FC49F8">
        <w:rPr>
          <w:rFonts w:ascii="Times New Roman" w:hAnsi="Times New Roman" w:cs="Times New Roman"/>
          <w:color w:val="000000" w:themeColor="text1"/>
          <w:lang w:val="en-US"/>
        </w:rPr>
        <w:t>’</w:t>
      </w:r>
      <w:r w:rsidRPr="00486DF6">
        <w:rPr>
          <w:rFonts w:ascii="Times New Roman" w:hAnsi="Times New Roman" w:cs="Times New Roman"/>
          <w:color w:val="000000" w:themeColor="text1"/>
          <w:lang w:val="en-US"/>
        </w:rPr>
        <w:t xml:space="preserve"> to preserve the euro.</w:t>
      </w:r>
      <w:r w:rsidR="00FC49F8">
        <w:rPr>
          <w:rFonts w:ascii="Times New Roman" w:hAnsi="Times New Roman" w:cs="Times New Roman"/>
          <w:color w:val="4A4A4A"/>
          <w:lang w:val="en-US"/>
        </w:rPr>
        <w:t>”</w:t>
      </w:r>
      <w:r w:rsidRPr="00486DF6">
        <w:rPr>
          <w:rStyle w:val="FootnoteReference"/>
          <w:rFonts w:ascii="Times New Roman" w:hAnsi="Times New Roman" w:cs="Times New Roman"/>
          <w:color w:val="4A4A4A"/>
          <w:lang w:val="en-US"/>
        </w:rPr>
        <w:footnoteReference w:id="80"/>
      </w:r>
      <w:r w:rsidRPr="00486DF6">
        <w:rPr>
          <w:rFonts w:ascii="Times New Roman" w:eastAsia="Times New Roman" w:hAnsi="Times New Roman" w:cs="Times New Roman"/>
          <w:color w:val="000000"/>
          <w:lang w:val="en-US" w:eastAsia="en-GB"/>
        </w:rPr>
        <w:t xml:space="preserve"> </w:t>
      </w:r>
    </w:p>
    <w:p w14:paraId="3B2A8571" w14:textId="5CED7E86" w:rsidR="00997DE5" w:rsidRPr="00486DF6" w:rsidRDefault="00D618F7" w:rsidP="00FC49F8">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hAnsi="Times New Roman" w:cs="Times New Roman"/>
          <w:lang w:val="en-US"/>
        </w:rPr>
        <w:t>All this, however, precipitated an economic malaise, significantly strained Greece’s population and engendered a growing sentiment of social discontent.</w:t>
      </w:r>
      <w:r w:rsidR="00997DE5" w:rsidRPr="00486DF6">
        <w:rPr>
          <w:rFonts w:ascii="Times New Roman" w:eastAsia="Times New Roman" w:hAnsi="Times New Roman" w:cs="Times New Roman"/>
          <w:color w:val="000000" w:themeColor="text1"/>
          <w:lang w:val="en-US" w:eastAsia="en-GB"/>
        </w:rPr>
        <w:t xml:space="preserve"> </w:t>
      </w:r>
      <w:r w:rsidR="009130DC" w:rsidRPr="00486DF6">
        <w:rPr>
          <w:rFonts w:ascii="Times New Roman" w:eastAsia="Times New Roman" w:hAnsi="Times New Roman" w:cs="Times New Roman"/>
          <w:color w:val="000000" w:themeColor="text1"/>
          <w:lang w:val="en-US" w:eastAsia="en-GB"/>
        </w:rPr>
        <w:t>The leader of</w:t>
      </w:r>
      <w:r w:rsidR="00997DE5" w:rsidRPr="00486DF6">
        <w:rPr>
          <w:rFonts w:ascii="Times New Roman" w:eastAsia="Times New Roman" w:hAnsi="Times New Roman" w:cs="Times New Roman"/>
          <w:color w:val="000000" w:themeColor="text1"/>
          <w:lang w:val="en-US" w:eastAsia="en-GB"/>
        </w:rPr>
        <w:t xml:space="preserve"> the official opposition</w:t>
      </w:r>
      <w:r w:rsidR="009130DC" w:rsidRPr="00486DF6">
        <w:rPr>
          <w:rFonts w:ascii="Times New Roman" w:eastAsia="Times New Roman" w:hAnsi="Times New Roman" w:cs="Times New Roman"/>
          <w:color w:val="000000" w:themeColor="text1"/>
          <w:lang w:val="en-US" w:eastAsia="en-GB"/>
        </w:rPr>
        <w:t xml:space="preserve"> at the time,</w:t>
      </w:r>
      <w:r w:rsidR="00997DE5" w:rsidRPr="00486DF6">
        <w:rPr>
          <w:rFonts w:ascii="Times New Roman" w:eastAsia="Times New Roman" w:hAnsi="Times New Roman" w:cs="Times New Roman"/>
          <w:color w:val="000000" w:themeColor="text1"/>
          <w:lang w:val="en-US" w:eastAsia="en-GB"/>
        </w:rPr>
        <w:t xml:space="preserve"> Alexis Tsipras</w:t>
      </w:r>
      <w:r w:rsidR="009130DC" w:rsidRPr="00486DF6">
        <w:rPr>
          <w:rFonts w:ascii="Times New Roman" w:eastAsia="Times New Roman" w:hAnsi="Times New Roman" w:cs="Times New Roman"/>
          <w:color w:val="000000" w:themeColor="text1"/>
          <w:lang w:val="en-US" w:eastAsia="en-GB"/>
        </w:rPr>
        <w:t>,</w:t>
      </w:r>
      <w:r w:rsidR="00997DE5" w:rsidRPr="00486DF6">
        <w:rPr>
          <w:rFonts w:ascii="Times New Roman" w:eastAsia="Times New Roman" w:hAnsi="Times New Roman" w:cs="Times New Roman"/>
          <w:color w:val="000000" w:themeColor="text1"/>
          <w:lang w:val="en-US" w:eastAsia="en-GB"/>
        </w:rPr>
        <w:t xml:space="preserve"> promised that if his party Syriza [Coalition of Radical Left] won the January 2015 elections, he would tear the Memoranda (economic measures) to pieces. According to its election platform, Syriza did not want Greece to withdraw either from the EU as a whole or from the EMU. </w:t>
      </w:r>
      <w:r w:rsidR="00997DE5" w:rsidRPr="00486DF6">
        <w:rPr>
          <w:rFonts w:ascii="Times New Roman" w:hAnsi="Times New Roman" w:cs="Times New Roman"/>
          <w:color w:val="000000" w:themeColor="text1"/>
          <w:shd w:val="clear" w:color="auto" w:fill="FFFFFF"/>
          <w:lang w:val="en-US"/>
        </w:rPr>
        <w:t>Their aim was somewhat more modest</w:t>
      </w:r>
      <w:r w:rsidR="009130DC" w:rsidRPr="00486DF6">
        <w:rPr>
          <w:rFonts w:ascii="Times New Roman" w:hAnsi="Times New Roman" w:cs="Times New Roman"/>
          <w:color w:val="000000" w:themeColor="text1"/>
          <w:shd w:val="clear" w:color="auto" w:fill="FFFFFF"/>
          <w:lang w:val="en-US"/>
        </w:rPr>
        <w:t>: t</w:t>
      </w:r>
      <w:r w:rsidR="00997DE5" w:rsidRPr="00486DF6">
        <w:rPr>
          <w:rFonts w:ascii="Times New Roman" w:hAnsi="Times New Roman" w:cs="Times New Roman"/>
          <w:color w:val="000000" w:themeColor="text1"/>
          <w:shd w:val="clear" w:color="auto" w:fill="FFFFFF"/>
          <w:lang w:val="en-US"/>
        </w:rPr>
        <w:t xml:space="preserve">hey wanted Greece’s debt to be forgiven, and the terms of the remaining debt to be renegotiated, along with an abolition of the austerity demands made upon Greece as </w:t>
      </w:r>
      <w:r w:rsidR="00DC4D03">
        <w:rPr>
          <w:rFonts w:ascii="Times New Roman" w:hAnsi="Times New Roman" w:cs="Times New Roman"/>
          <w:color w:val="000000" w:themeColor="text1"/>
          <w:shd w:val="clear" w:color="auto" w:fill="FFFFFF"/>
          <w:lang w:val="en-US"/>
        </w:rPr>
        <w:t xml:space="preserve">a </w:t>
      </w:r>
      <w:r w:rsidR="00997DE5" w:rsidRPr="00486DF6">
        <w:rPr>
          <w:rFonts w:ascii="Times New Roman" w:hAnsi="Times New Roman" w:cs="Times New Roman"/>
          <w:color w:val="000000" w:themeColor="text1"/>
          <w:shd w:val="clear" w:color="auto" w:fill="FFFFFF"/>
          <w:lang w:val="en-US"/>
        </w:rPr>
        <w:t xml:space="preserve">condition of previous bailouts. </w:t>
      </w:r>
      <w:r w:rsidR="00997DE5" w:rsidRPr="00486DF6">
        <w:rPr>
          <w:rFonts w:ascii="Times New Roman" w:eastAsia="Times New Roman" w:hAnsi="Times New Roman" w:cs="Times New Roman"/>
          <w:color w:val="000000" w:themeColor="text1"/>
          <w:lang w:val="en-US" w:eastAsia="en-GB"/>
        </w:rPr>
        <w:t>Syriza indeed won the election and together with the Independent Greeks –</w:t>
      </w:r>
      <w:r w:rsidR="00DC4D03">
        <w:rPr>
          <w:rFonts w:ascii="Times New Roman" w:eastAsia="Times New Roman" w:hAnsi="Times New Roman" w:cs="Times New Roman"/>
          <w:color w:val="000000" w:themeColor="text1"/>
          <w:lang w:val="en-US" w:eastAsia="en-GB"/>
        </w:rPr>
        <w:t xml:space="preserve"> </w:t>
      </w:r>
      <w:r w:rsidR="00997DE5" w:rsidRPr="00486DF6">
        <w:rPr>
          <w:rFonts w:ascii="Times New Roman" w:eastAsia="Times New Roman" w:hAnsi="Times New Roman" w:cs="Times New Roman"/>
          <w:color w:val="000000" w:themeColor="text1"/>
          <w:lang w:val="en-US" w:eastAsia="en-GB"/>
        </w:rPr>
        <w:t>an anti-austerity right-wing populist party</w:t>
      </w:r>
      <w:r w:rsidR="00DC4D03">
        <w:rPr>
          <w:rFonts w:ascii="Times New Roman" w:eastAsia="Times New Roman" w:hAnsi="Times New Roman" w:cs="Times New Roman"/>
          <w:color w:val="000000" w:themeColor="text1"/>
          <w:lang w:val="en-US" w:eastAsia="en-GB"/>
        </w:rPr>
        <w:t xml:space="preserve"> –</w:t>
      </w:r>
      <w:r w:rsidR="00997DE5" w:rsidRPr="00486DF6">
        <w:rPr>
          <w:rFonts w:ascii="Times New Roman" w:eastAsia="Times New Roman" w:hAnsi="Times New Roman" w:cs="Times New Roman"/>
          <w:color w:val="000000" w:themeColor="text1"/>
          <w:lang w:val="en-US" w:eastAsia="en-GB"/>
        </w:rPr>
        <w:t xml:space="preserve"> </w:t>
      </w:r>
      <w:r w:rsidR="00997DE5" w:rsidRPr="00486DF6">
        <w:rPr>
          <w:rFonts w:ascii="Times New Roman" w:eastAsia="Times New Roman" w:hAnsi="Times New Roman" w:cs="Times New Roman"/>
          <w:color w:val="000000" w:themeColor="text1"/>
          <w:lang w:val="en-US" w:eastAsia="en-GB"/>
        </w:rPr>
        <w:lastRenderedPageBreak/>
        <w:t xml:space="preserve">formed a coalition government that led the efforts to renegotiate </w:t>
      </w:r>
      <w:r w:rsidR="00997DE5" w:rsidRPr="00486DF6">
        <w:rPr>
          <w:rFonts w:ascii="Times New Roman" w:hAnsi="Times New Roman" w:cs="Times New Roman"/>
          <w:color w:val="000000" w:themeColor="text1"/>
          <w:shd w:val="clear" w:color="auto" w:fill="FFFFFF"/>
          <w:lang w:val="en-US"/>
        </w:rPr>
        <w:t>Greece’s debts and the related austerity obligations.</w:t>
      </w:r>
    </w:p>
    <w:p w14:paraId="74F6497B" w14:textId="184C0249" w:rsidR="00997DE5" w:rsidRPr="00486DF6" w:rsidRDefault="00997DE5" w:rsidP="00FC49F8">
      <w:pPr>
        <w:spacing w:line="480" w:lineRule="auto"/>
        <w:ind w:firstLine="720"/>
        <w:jc w:val="both"/>
        <w:rPr>
          <w:rStyle w:val="apple-converted-space"/>
          <w:rFonts w:ascii="Times New Roman" w:hAnsi="Times New Roman" w:cs="Times New Roman"/>
          <w:color w:val="000000" w:themeColor="text1"/>
          <w:shd w:val="clear" w:color="auto" w:fill="FFFFFF"/>
          <w:lang w:val="en-US"/>
        </w:rPr>
      </w:pPr>
      <w:r w:rsidRPr="00486DF6">
        <w:rPr>
          <w:rFonts w:ascii="Times New Roman" w:hAnsi="Times New Roman" w:cs="Times New Roman"/>
          <w:color w:val="000000" w:themeColor="text1"/>
          <w:shd w:val="clear" w:color="auto" w:fill="FFFFFF"/>
          <w:lang w:val="en-US"/>
        </w:rPr>
        <w:t xml:space="preserve">After </w:t>
      </w:r>
      <w:r w:rsidR="00DC4D03">
        <w:rPr>
          <w:rFonts w:ascii="Times New Roman" w:hAnsi="Times New Roman" w:cs="Times New Roman"/>
          <w:color w:val="000000" w:themeColor="text1"/>
          <w:shd w:val="clear" w:color="auto" w:fill="FFFFFF"/>
          <w:lang w:val="en-US"/>
        </w:rPr>
        <w:t>five</w:t>
      </w:r>
      <w:r w:rsidRPr="00486DF6">
        <w:rPr>
          <w:rFonts w:ascii="Times New Roman" w:hAnsi="Times New Roman" w:cs="Times New Roman"/>
          <w:color w:val="000000" w:themeColor="text1"/>
          <w:shd w:val="clear" w:color="auto" w:fill="FFFFFF"/>
          <w:lang w:val="en-US"/>
        </w:rPr>
        <w:t xml:space="preserve"> months of intensive negotiations, on 25 June 2015, Greece’s creditors tabled an austerity-laden bailout offer. It consisted of two documents: </w:t>
      </w:r>
      <w:r w:rsidR="00FC49F8">
        <w:rPr>
          <w:rFonts w:ascii="Times New Roman" w:hAnsi="Times New Roman" w:cs="Times New Roman"/>
          <w:color w:val="000000" w:themeColor="text1"/>
          <w:shd w:val="clear" w:color="auto" w:fill="FFFFFF"/>
          <w:lang w:val="en-US"/>
        </w:rPr>
        <w:t>“</w:t>
      </w:r>
      <w:r w:rsidRPr="00486DF6">
        <w:rPr>
          <w:rFonts w:ascii="Times New Roman" w:hAnsi="Times New Roman" w:cs="Times New Roman"/>
          <w:color w:val="202122"/>
          <w:shd w:val="clear" w:color="auto" w:fill="FFFFFF"/>
          <w:lang w:val="en-US"/>
        </w:rPr>
        <w:t>Reforms for the completion of the Current Program and Beyond</w:t>
      </w:r>
      <w:r w:rsidR="00FC49F8">
        <w:rPr>
          <w:rFonts w:ascii="Times New Roman" w:hAnsi="Times New Roman" w:cs="Times New Roman"/>
          <w:color w:val="202122"/>
          <w:shd w:val="clear" w:color="auto" w:fill="FFFFFF"/>
          <w:lang w:val="en-US"/>
        </w:rPr>
        <w:t>”</w:t>
      </w:r>
      <w:r w:rsidRPr="00486DF6">
        <w:rPr>
          <w:rFonts w:ascii="Times New Roman" w:hAnsi="Times New Roman" w:cs="Times New Roman"/>
          <w:color w:val="202122"/>
          <w:shd w:val="clear" w:color="auto" w:fill="FFFFFF"/>
          <w:lang w:val="en-US"/>
        </w:rPr>
        <w:t xml:space="preserve"> and </w:t>
      </w:r>
      <w:r w:rsidR="00FC49F8">
        <w:rPr>
          <w:rFonts w:ascii="Times New Roman" w:hAnsi="Times New Roman" w:cs="Times New Roman"/>
          <w:color w:val="202122"/>
          <w:shd w:val="clear" w:color="auto" w:fill="FFFFFF"/>
          <w:lang w:val="en-US"/>
        </w:rPr>
        <w:t>“</w:t>
      </w:r>
      <w:r w:rsidRPr="00486DF6">
        <w:rPr>
          <w:rFonts w:ascii="Times New Roman" w:hAnsi="Times New Roman" w:cs="Times New Roman"/>
          <w:color w:val="202122"/>
          <w:shd w:val="clear" w:color="auto" w:fill="FFFFFF"/>
          <w:lang w:val="en-US"/>
        </w:rPr>
        <w:t>Preliminary Debt sustainability analysis</w:t>
      </w:r>
      <w:r w:rsidR="00A5563C">
        <w:rPr>
          <w:rFonts w:ascii="Times New Roman" w:hAnsi="Times New Roman" w:cs="Times New Roman"/>
          <w:color w:val="202122"/>
          <w:shd w:val="clear" w:color="auto" w:fill="FFFFFF"/>
          <w:lang w:val="en-US"/>
        </w:rPr>
        <w:t>.</w:t>
      </w:r>
      <w:r w:rsidR="00FC49F8">
        <w:rPr>
          <w:rFonts w:ascii="Times New Roman" w:hAnsi="Times New Roman" w:cs="Times New Roman"/>
          <w:color w:val="202122"/>
          <w:shd w:val="clear" w:color="auto" w:fill="FFFFFF"/>
          <w:lang w:val="en-US"/>
        </w:rPr>
        <w:t>”</w:t>
      </w:r>
      <w:r w:rsidRPr="00486DF6">
        <w:rPr>
          <w:rFonts w:ascii="Times New Roman" w:hAnsi="Times New Roman" w:cs="Times New Roman"/>
          <w:color w:val="202122"/>
          <w:shd w:val="clear" w:color="auto" w:fill="FFFFFF"/>
          <w:lang w:val="en-US"/>
        </w:rPr>
        <w:t xml:space="preserve"> The proposal fell well short of what the Syriza-led Government </w:t>
      </w:r>
      <w:r w:rsidR="009130DC" w:rsidRPr="00486DF6">
        <w:rPr>
          <w:rFonts w:ascii="Times New Roman" w:hAnsi="Times New Roman" w:cs="Times New Roman"/>
          <w:color w:val="202122"/>
          <w:shd w:val="clear" w:color="auto" w:fill="FFFFFF"/>
          <w:lang w:val="en-US"/>
        </w:rPr>
        <w:t xml:space="preserve">had </w:t>
      </w:r>
      <w:r w:rsidRPr="00486DF6">
        <w:rPr>
          <w:rFonts w:ascii="Times New Roman" w:hAnsi="Times New Roman" w:cs="Times New Roman"/>
          <w:color w:val="202122"/>
          <w:shd w:val="clear" w:color="auto" w:fill="FFFFFF"/>
          <w:lang w:val="en-US"/>
        </w:rPr>
        <w:t xml:space="preserve">hoped for. Two days later, Tsipras called for a referendum. The following day, the Greek Parliament approved the </w:t>
      </w:r>
      <w:r w:rsidR="00FC49F8" w:rsidRPr="00486DF6">
        <w:rPr>
          <w:rFonts w:ascii="Times New Roman" w:hAnsi="Times New Roman" w:cs="Times New Roman"/>
          <w:color w:val="202122"/>
          <w:shd w:val="clear" w:color="auto" w:fill="FFFFFF"/>
          <w:lang w:val="en-US"/>
        </w:rPr>
        <w:t>organization</w:t>
      </w:r>
      <w:r w:rsidRPr="00486DF6">
        <w:rPr>
          <w:rFonts w:ascii="Times New Roman" w:hAnsi="Times New Roman" w:cs="Times New Roman"/>
          <w:color w:val="202122"/>
          <w:shd w:val="clear" w:color="auto" w:fill="FFFFFF"/>
          <w:lang w:val="en-US"/>
        </w:rPr>
        <w:t xml:space="preserve"> of such </w:t>
      </w:r>
      <w:r w:rsidR="00DC4D03">
        <w:rPr>
          <w:rFonts w:ascii="Times New Roman" w:hAnsi="Times New Roman" w:cs="Times New Roman"/>
          <w:color w:val="202122"/>
          <w:shd w:val="clear" w:color="auto" w:fill="FFFFFF"/>
          <w:lang w:val="en-US"/>
        </w:rPr>
        <w:t xml:space="preserve">a </w:t>
      </w:r>
      <w:r w:rsidRPr="00486DF6">
        <w:rPr>
          <w:rFonts w:ascii="Times New Roman" w:hAnsi="Times New Roman" w:cs="Times New Roman"/>
          <w:color w:val="202122"/>
          <w:shd w:val="clear" w:color="auto" w:fill="FFFFFF"/>
          <w:lang w:val="en-US"/>
        </w:rPr>
        <w:t>referendum for the following week</w:t>
      </w:r>
      <w:r w:rsidR="009130DC" w:rsidRPr="00486DF6">
        <w:rPr>
          <w:rFonts w:ascii="Times New Roman" w:hAnsi="Times New Roman" w:cs="Times New Roman"/>
          <w:color w:val="202122"/>
          <w:shd w:val="clear" w:color="auto" w:fill="FFFFFF"/>
          <w:lang w:val="en-US"/>
        </w:rPr>
        <w:t>,</w:t>
      </w:r>
      <w:r w:rsidRPr="00486DF6">
        <w:rPr>
          <w:rFonts w:ascii="Times New Roman" w:hAnsi="Times New Roman" w:cs="Times New Roman"/>
          <w:color w:val="202122"/>
          <w:shd w:val="clear" w:color="auto" w:fill="FFFFFF"/>
          <w:lang w:val="en-US"/>
        </w:rPr>
        <w:t xml:space="preserve"> Sunday 5 July 2015. The question put to the Greek electorate was not whether they want</w:t>
      </w:r>
      <w:r w:rsidR="009130DC" w:rsidRPr="00486DF6">
        <w:rPr>
          <w:rFonts w:ascii="Times New Roman" w:hAnsi="Times New Roman" w:cs="Times New Roman"/>
          <w:color w:val="202122"/>
          <w:shd w:val="clear" w:color="auto" w:fill="FFFFFF"/>
          <w:lang w:val="en-US"/>
        </w:rPr>
        <w:t>ed</w:t>
      </w:r>
      <w:r w:rsidRPr="00486DF6">
        <w:rPr>
          <w:rFonts w:ascii="Times New Roman" w:hAnsi="Times New Roman" w:cs="Times New Roman"/>
          <w:color w:val="202122"/>
          <w:shd w:val="clear" w:color="auto" w:fill="FFFFFF"/>
          <w:lang w:val="en-US"/>
        </w:rPr>
        <w:t xml:space="preserve"> Greece to remain in the EU or the EMU. Instead, they were asked to approve the bailout package as described in the two aforementioned documents. Having said that, the stakes were clear to everybody. </w:t>
      </w:r>
      <w:r w:rsidRPr="00486DF6">
        <w:rPr>
          <w:rFonts w:ascii="Times New Roman" w:hAnsi="Times New Roman" w:cs="Times New Roman"/>
          <w:color w:val="000000" w:themeColor="text1"/>
          <w:shd w:val="clear" w:color="auto" w:fill="FFFFFF"/>
          <w:lang w:val="en-US"/>
        </w:rPr>
        <w:t>If the voters rejected the proposal, Greece faced the uncharted waters of a bankruptcy that might have even led to a parallel currency.</w:t>
      </w:r>
      <w:r w:rsidRPr="00486DF6">
        <w:rPr>
          <w:rStyle w:val="apple-converted-space"/>
          <w:rFonts w:ascii="Times New Roman" w:hAnsi="Times New Roman" w:cs="Times New Roman"/>
          <w:color w:val="000000" w:themeColor="text1"/>
          <w:shd w:val="clear" w:color="auto" w:fill="FFFFFF"/>
          <w:lang w:val="en-US"/>
        </w:rPr>
        <w:t> The reason being that its continued existence in the single currency could have been made impossible either by the ECB restricting or ending emergency assistance to Greece or by the ECB limiting or removing Greek access to payment systems.</w:t>
      </w:r>
      <w:r w:rsidRPr="00486DF6">
        <w:rPr>
          <w:rStyle w:val="FootnoteReference"/>
          <w:rFonts w:ascii="Times New Roman" w:hAnsi="Times New Roman" w:cs="Times New Roman"/>
          <w:color w:val="000000" w:themeColor="text1"/>
          <w:shd w:val="clear" w:color="auto" w:fill="FFFFFF"/>
          <w:lang w:val="en-US"/>
        </w:rPr>
        <w:footnoteReference w:id="81"/>
      </w:r>
      <w:r w:rsidRPr="00486DF6">
        <w:rPr>
          <w:rStyle w:val="apple-converted-space"/>
          <w:rFonts w:ascii="Times New Roman" w:hAnsi="Times New Roman" w:cs="Times New Roman"/>
          <w:color w:val="000000" w:themeColor="text1"/>
          <w:shd w:val="clear" w:color="auto" w:fill="FFFFFF"/>
          <w:lang w:val="en-US"/>
        </w:rPr>
        <w:t xml:space="preserve"> And yet the Syriza-led Government unequivocally supported </w:t>
      </w:r>
      <w:r w:rsidR="00DF31F9">
        <w:rPr>
          <w:rStyle w:val="apple-converted-space"/>
          <w:rFonts w:ascii="Times New Roman" w:hAnsi="Times New Roman" w:cs="Times New Roman"/>
          <w:color w:val="000000" w:themeColor="text1"/>
          <w:shd w:val="clear" w:color="auto" w:fill="FFFFFF"/>
          <w:lang w:val="en-US"/>
        </w:rPr>
        <w:t>“</w:t>
      </w:r>
      <w:r w:rsidRPr="00486DF6">
        <w:rPr>
          <w:rStyle w:val="apple-converted-space"/>
          <w:rFonts w:ascii="Times New Roman" w:hAnsi="Times New Roman" w:cs="Times New Roman"/>
          <w:color w:val="000000" w:themeColor="text1"/>
          <w:shd w:val="clear" w:color="auto" w:fill="FFFFFF"/>
          <w:lang w:val="en-US"/>
        </w:rPr>
        <w:t>No</w:t>
      </w:r>
      <w:r w:rsidR="00DF31F9">
        <w:rPr>
          <w:rStyle w:val="apple-converted-space"/>
          <w:rFonts w:ascii="Times New Roman" w:hAnsi="Times New Roman" w:cs="Times New Roman"/>
          <w:color w:val="000000" w:themeColor="text1"/>
          <w:shd w:val="clear" w:color="auto" w:fill="FFFFFF"/>
          <w:lang w:val="en-US"/>
        </w:rPr>
        <w:t>”</w:t>
      </w:r>
      <w:r w:rsidR="009130DC" w:rsidRPr="00486DF6">
        <w:rPr>
          <w:rStyle w:val="apple-converted-space"/>
          <w:rFonts w:ascii="Times New Roman" w:hAnsi="Times New Roman" w:cs="Times New Roman"/>
          <w:color w:val="000000" w:themeColor="text1"/>
          <w:shd w:val="clear" w:color="auto" w:fill="FFFFFF"/>
          <w:lang w:val="en-US"/>
        </w:rPr>
        <w:t>,</w:t>
      </w:r>
      <w:r w:rsidRPr="00486DF6">
        <w:rPr>
          <w:rStyle w:val="apple-converted-space"/>
          <w:rFonts w:ascii="Times New Roman" w:hAnsi="Times New Roman" w:cs="Times New Roman"/>
          <w:color w:val="000000" w:themeColor="text1"/>
          <w:shd w:val="clear" w:color="auto" w:fill="FFFFFF"/>
          <w:lang w:val="en-US"/>
        </w:rPr>
        <w:t xml:space="preserve"> as did the Greek electorate who overwhelmingly rejected the proposal.</w:t>
      </w:r>
    </w:p>
    <w:p w14:paraId="3C5549B3" w14:textId="72F91858" w:rsidR="00997DE5" w:rsidRPr="00486DF6" w:rsidRDefault="00997DE5" w:rsidP="00FC49F8">
      <w:pPr>
        <w:spacing w:line="480" w:lineRule="auto"/>
        <w:ind w:firstLine="720"/>
        <w:jc w:val="both"/>
        <w:rPr>
          <w:rStyle w:val="apple-converted-space"/>
          <w:rFonts w:ascii="Times New Roman" w:hAnsi="Times New Roman" w:cs="Times New Roman"/>
          <w:color w:val="000000" w:themeColor="text1"/>
          <w:shd w:val="clear" w:color="auto" w:fill="FFFFFF"/>
          <w:lang w:val="en-US"/>
        </w:rPr>
      </w:pPr>
      <w:r w:rsidRPr="00486DF6">
        <w:rPr>
          <w:rStyle w:val="apple-converted-space"/>
          <w:rFonts w:ascii="Times New Roman" w:hAnsi="Times New Roman" w:cs="Times New Roman"/>
          <w:color w:val="000000" w:themeColor="text1"/>
          <w:shd w:val="clear" w:color="auto" w:fill="FFFFFF"/>
          <w:lang w:val="en-US"/>
        </w:rPr>
        <w:t xml:space="preserve">What is particularly interesting for the purposes of the present </w:t>
      </w:r>
      <w:r w:rsidR="00F934A2" w:rsidRPr="00486DF6">
        <w:rPr>
          <w:rStyle w:val="apple-converted-space"/>
          <w:rFonts w:ascii="Times New Roman" w:hAnsi="Times New Roman" w:cs="Times New Roman"/>
          <w:color w:val="000000" w:themeColor="text1"/>
          <w:shd w:val="clear" w:color="auto" w:fill="FFFFFF"/>
          <w:lang w:val="en-US"/>
        </w:rPr>
        <w:t>article</w:t>
      </w:r>
      <w:r w:rsidRPr="00486DF6">
        <w:rPr>
          <w:rStyle w:val="apple-converted-space"/>
          <w:rFonts w:ascii="Times New Roman" w:hAnsi="Times New Roman" w:cs="Times New Roman"/>
          <w:color w:val="000000" w:themeColor="text1"/>
          <w:shd w:val="clear" w:color="auto" w:fill="FFFFFF"/>
          <w:lang w:val="en-US"/>
        </w:rPr>
        <w:t xml:space="preserve">, however, is how this political debate was inextricably linked with the issues of nullification and secession within the EU. First, </w:t>
      </w:r>
      <w:r w:rsidR="00D618F7" w:rsidRPr="00486DF6">
        <w:rPr>
          <w:rStyle w:val="apple-converted-space"/>
          <w:rFonts w:ascii="Times New Roman" w:hAnsi="Times New Roman" w:cs="Times New Roman"/>
          <w:color w:val="000000" w:themeColor="text1"/>
          <w:shd w:val="clear" w:color="auto" w:fill="FFFFFF"/>
          <w:lang w:val="en-US"/>
        </w:rPr>
        <w:t>in line with the finding of the CJEU in</w:t>
      </w:r>
      <w:r w:rsidRPr="00486DF6">
        <w:rPr>
          <w:rStyle w:val="apple-converted-space"/>
          <w:rFonts w:ascii="Times New Roman" w:hAnsi="Times New Roman" w:cs="Times New Roman"/>
          <w:color w:val="000000" w:themeColor="text1"/>
          <w:shd w:val="clear" w:color="auto" w:fill="FFFFFF"/>
          <w:lang w:val="en-US"/>
        </w:rPr>
        <w:t xml:space="preserve"> </w:t>
      </w:r>
      <w:r w:rsidRPr="00486DF6">
        <w:rPr>
          <w:rStyle w:val="apple-converted-space"/>
          <w:rFonts w:ascii="Times New Roman" w:hAnsi="Times New Roman" w:cs="Times New Roman"/>
          <w:i/>
          <w:iCs/>
          <w:color w:val="000000" w:themeColor="text1"/>
          <w:shd w:val="clear" w:color="auto" w:fill="FFFFFF"/>
          <w:lang w:val="en-US"/>
        </w:rPr>
        <w:t>Pringle</w:t>
      </w:r>
      <w:r w:rsidR="002A2AFB" w:rsidRPr="00486DF6">
        <w:rPr>
          <w:rStyle w:val="apple-converted-space"/>
          <w:rFonts w:ascii="Times New Roman" w:hAnsi="Times New Roman" w:cs="Times New Roman"/>
          <w:i/>
          <w:iCs/>
          <w:color w:val="000000" w:themeColor="text1"/>
          <w:shd w:val="clear" w:color="auto" w:fill="FFFFFF"/>
          <w:lang w:val="en-US"/>
        </w:rPr>
        <w:t>,</w:t>
      </w:r>
      <w:r w:rsidRPr="00486DF6">
        <w:rPr>
          <w:rStyle w:val="apple-converted-space"/>
          <w:rFonts w:ascii="Times New Roman" w:hAnsi="Times New Roman" w:cs="Times New Roman"/>
          <w:i/>
          <w:iCs/>
          <w:color w:val="000000" w:themeColor="text1"/>
          <w:shd w:val="clear" w:color="auto" w:fill="FFFFFF"/>
          <w:lang w:val="en-US"/>
        </w:rPr>
        <w:t xml:space="preserve"> </w:t>
      </w:r>
      <w:r w:rsidRPr="00486DF6">
        <w:rPr>
          <w:rStyle w:val="apple-converted-space"/>
          <w:rFonts w:ascii="Times New Roman" w:hAnsi="Times New Roman" w:cs="Times New Roman"/>
          <w:color w:val="000000" w:themeColor="text1"/>
          <w:shd w:val="clear" w:color="auto" w:fill="FFFFFF"/>
          <w:lang w:val="en-US"/>
        </w:rPr>
        <w:t xml:space="preserve">the </w:t>
      </w:r>
      <w:r w:rsidR="00FC49F8">
        <w:rPr>
          <w:rStyle w:val="apple-converted-space"/>
          <w:rFonts w:ascii="Times New Roman" w:hAnsi="Times New Roman" w:cs="Times New Roman"/>
          <w:color w:val="000000" w:themeColor="text1"/>
          <w:shd w:val="clear" w:color="auto" w:fill="FFFFFF"/>
          <w:lang w:val="en-US"/>
        </w:rPr>
        <w:t>“</w:t>
      </w:r>
      <w:r w:rsidRPr="00486DF6">
        <w:rPr>
          <w:rStyle w:val="apple-converted-space"/>
          <w:rFonts w:ascii="Times New Roman" w:hAnsi="Times New Roman" w:cs="Times New Roman"/>
          <w:color w:val="000000" w:themeColor="text1"/>
          <w:shd w:val="clear" w:color="auto" w:fill="FFFFFF"/>
          <w:lang w:val="en-US"/>
        </w:rPr>
        <w:t>no bail-out</w:t>
      </w:r>
      <w:r w:rsidR="00FC49F8">
        <w:rPr>
          <w:rStyle w:val="apple-converted-space"/>
          <w:rFonts w:ascii="Times New Roman" w:hAnsi="Times New Roman" w:cs="Times New Roman"/>
          <w:color w:val="000000" w:themeColor="text1"/>
          <w:shd w:val="clear" w:color="auto" w:fill="FFFFFF"/>
          <w:lang w:val="en-US"/>
        </w:rPr>
        <w:t>”</w:t>
      </w:r>
      <w:r w:rsidRPr="00486DF6">
        <w:rPr>
          <w:rStyle w:val="apple-converted-space"/>
          <w:rFonts w:ascii="Times New Roman" w:hAnsi="Times New Roman" w:cs="Times New Roman"/>
          <w:color w:val="000000" w:themeColor="text1"/>
          <w:shd w:val="clear" w:color="auto" w:fill="FFFFFF"/>
          <w:lang w:val="en-US"/>
        </w:rPr>
        <w:t xml:space="preserve"> clause contained in Article 125 TFEU allowed Member States to loan money to another Member State </w:t>
      </w:r>
      <w:r w:rsidR="00FC49F8">
        <w:rPr>
          <w:rStyle w:val="apple-converted-space"/>
          <w:rFonts w:ascii="Times New Roman" w:hAnsi="Times New Roman" w:cs="Times New Roman"/>
          <w:color w:val="000000" w:themeColor="text1"/>
          <w:shd w:val="clear" w:color="auto" w:fill="FFFFFF"/>
          <w:lang w:val="en-US"/>
        </w:rPr>
        <w:t>“</w:t>
      </w:r>
      <w:r w:rsidRPr="00486DF6">
        <w:rPr>
          <w:rFonts w:ascii="Times New Roman" w:hAnsi="Times New Roman" w:cs="Times New Roman"/>
          <w:color w:val="000000"/>
          <w:lang w:val="en-US"/>
        </w:rPr>
        <w:t xml:space="preserve">provided that the conditions attached to such assistance are such as to prompt that Member State to implement </w:t>
      </w:r>
      <w:r w:rsidRPr="00486DF6">
        <w:rPr>
          <w:rFonts w:ascii="Times New Roman" w:hAnsi="Times New Roman" w:cs="Times New Roman"/>
          <w:color w:val="000000"/>
          <w:lang w:val="en-US"/>
        </w:rPr>
        <w:lastRenderedPageBreak/>
        <w:t>a sound budgetary policy.</w:t>
      </w:r>
      <w:r w:rsidR="00FC49F8">
        <w:rPr>
          <w:rStyle w:val="apple-converted-space"/>
          <w:rFonts w:ascii="Times New Roman" w:hAnsi="Times New Roman" w:cs="Times New Roman"/>
          <w:color w:val="000000" w:themeColor="text1"/>
          <w:shd w:val="clear" w:color="auto" w:fill="FFFFFF"/>
          <w:lang w:val="en-US"/>
        </w:rPr>
        <w:t>”</w:t>
      </w:r>
      <w:r w:rsidRPr="00486DF6">
        <w:rPr>
          <w:rStyle w:val="FootnoteReference"/>
          <w:rFonts w:ascii="Times New Roman" w:hAnsi="Times New Roman" w:cs="Times New Roman"/>
          <w:color w:val="000000" w:themeColor="text1"/>
          <w:shd w:val="clear" w:color="auto" w:fill="FFFFFF"/>
          <w:lang w:val="en-US"/>
        </w:rPr>
        <w:footnoteReference w:id="82"/>
      </w:r>
      <w:r w:rsidRPr="00486DF6">
        <w:rPr>
          <w:rStyle w:val="apple-converted-space"/>
          <w:rFonts w:ascii="Times New Roman" w:hAnsi="Times New Roman" w:cs="Times New Roman"/>
          <w:color w:val="000000" w:themeColor="text1"/>
          <w:shd w:val="clear" w:color="auto" w:fill="FFFFFF"/>
          <w:lang w:val="en-US"/>
        </w:rPr>
        <w:t xml:space="preserve"> In other words, they could not </w:t>
      </w:r>
      <w:r w:rsidR="00FC49F8">
        <w:rPr>
          <w:rStyle w:val="apple-converted-space"/>
          <w:rFonts w:ascii="Times New Roman" w:hAnsi="Times New Roman" w:cs="Times New Roman"/>
          <w:color w:val="000000" w:themeColor="text1"/>
          <w:shd w:val="clear" w:color="auto" w:fill="FFFFFF"/>
          <w:lang w:val="en-US"/>
        </w:rPr>
        <w:t>“</w:t>
      </w:r>
      <w:r w:rsidRPr="00486DF6">
        <w:rPr>
          <w:rStyle w:val="apple-converted-space"/>
          <w:rFonts w:ascii="Times New Roman" w:hAnsi="Times New Roman" w:cs="Times New Roman"/>
          <w:color w:val="000000" w:themeColor="text1"/>
          <w:shd w:val="clear" w:color="auto" w:fill="FFFFFF"/>
          <w:lang w:val="en-US"/>
        </w:rPr>
        <w:t>simply assume</w:t>
      </w:r>
      <w:r w:rsidR="002A2AFB" w:rsidRPr="00486DF6">
        <w:rPr>
          <w:rStyle w:val="apple-converted-space"/>
          <w:rFonts w:ascii="Times New Roman" w:hAnsi="Times New Roman" w:cs="Times New Roman"/>
          <w:color w:val="000000" w:themeColor="text1"/>
          <w:shd w:val="clear" w:color="auto" w:fill="FFFFFF"/>
          <w:lang w:val="en-US"/>
        </w:rPr>
        <w:t>[]</w:t>
      </w:r>
      <w:r w:rsidRPr="00486DF6">
        <w:rPr>
          <w:rStyle w:val="apple-converted-space"/>
          <w:rFonts w:ascii="Times New Roman" w:hAnsi="Times New Roman" w:cs="Times New Roman"/>
          <w:color w:val="000000" w:themeColor="text1"/>
          <w:shd w:val="clear" w:color="auto" w:fill="FFFFFF"/>
          <w:lang w:val="en-US"/>
        </w:rPr>
        <w:t xml:space="preserve"> responsibility for Greek government debts.</w:t>
      </w:r>
      <w:r w:rsidR="00FC49F8">
        <w:rPr>
          <w:rStyle w:val="apple-converted-space"/>
          <w:rFonts w:ascii="Times New Roman" w:hAnsi="Times New Roman" w:cs="Times New Roman"/>
          <w:color w:val="000000" w:themeColor="text1"/>
          <w:shd w:val="clear" w:color="auto" w:fill="FFFFFF"/>
          <w:lang w:val="en-US"/>
        </w:rPr>
        <w:t>”</w:t>
      </w:r>
      <w:r w:rsidRPr="00486DF6">
        <w:rPr>
          <w:rStyle w:val="FootnoteReference"/>
          <w:rFonts w:ascii="Times New Roman" w:hAnsi="Times New Roman" w:cs="Times New Roman"/>
          <w:color w:val="000000" w:themeColor="text1"/>
          <w:shd w:val="clear" w:color="auto" w:fill="FFFFFF"/>
          <w:lang w:val="en-US"/>
        </w:rPr>
        <w:footnoteReference w:id="83"/>
      </w:r>
      <w:r w:rsidRPr="00486DF6">
        <w:rPr>
          <w:rStyle w:val="apple-converted-space"/>
          <w:rFonts w:ascii="Times New Roman" w:hAnsi="Times New Roman" w:cs="Times New Roman"/>
          <w:color w:val="000000" w:themeColor="text1"/>
          <w:shd w:val="clear" w:color="auto" w:fill="FFFFFF"/>
          <w:lang w:val="en-US"/>
        </w:rPr>
        <w:t xml:space="preserve"> This mean</w:t>
      </w:r>
      <w:r w:rsidR="00D81284">
        <w:rPr>
          <w:rStyle w:val="apple-converted-space"/>
          <w:rFonts w:ascii="Times New Roman" w:hAnsi="Times New Roman" w:cs="Times New Roman"/>
          <w:color w:val="000000" w:themeColor="text1"/>
          <w:shd w:val="clear" w:color="auto" w:fill="FFFFFF"/>
          <w:lang w:val="en-US"/>
        </w:rPr>
        <w:t>t</w:t>
      </w:r>
      <w:r w:rsidRPr="00486DF6">
        <w:rPr>
          <w:rStyle w:val="apple-converted-space"/>
          <w:rFonts w:ascii="Times New Roman" w:hAnsi="Times New Roman" w:cs="Times New Roman"/>
          <w:color w:val="000000" w:themeColor="text1"/>
          <w:shd w:val="clear" w:color="auto" w:fill="FFFFFF"/>
          <w:lang w:val="en-US"/>
        </w:rPr>
        <w:t xml:space="preserve"> that the negotiating space of the Greek </w:t>
      </w:r>
      <w:r w:rsidR="00BE43AF" w:rsidRPr="00486DF6">
        <w:rPr>
          <w:rStyle w:val="apple-converted-space"/>
          <w:rFonts w:ascii="Times New Roman" w:hAnsi="Times New Roman" w:cs="Times New Roman"/>
          <w:color w:val="000000" w:themeColor="text1"/>
          <w:shd w:val="clear" w:color="auto" w:fill="FFFFFF"/>
          <w:lang w:val="en-US"/>
        </w:rPr>
        <w:t>g</w:t>
      </w:r>
      <w:r w:rsidRPr="00486DF6">
        <w:rPr>
          <w:rStyle w:val="apple-converted-space"/>
          <w:rFonts w:ascii="Times New Roman" w:hAnsi="Times New Roman" w:cs="Times New Roman"/>
          <w:color w:val="000000" w:themeColor="text1"/>
          <w:shd w:val="clear" w:color="auto" w:fill="FFFFFF"/>
          <w:lang w:val="en-US"/>
        </w:rPr>
        <w:t xml:space="preserve">overnment was rather narrow from the very beginning. </w:t>
      </w:r>
    </w:p>
    <w:p w14:paraId="29AFFB2D" w14:textId="0BCCBC32" w:rsidR="00997DE5" w:rsidRPr="00486DF6" w:rsidRDefault="00997DE5" w:rsidP="00FC49F8">
      <w:pPr>
        <w:spacing w:line="480" w:lineRule="auto"/>
        <w:ind w:firstLine="720"/>
        <w:jc w:val="both"/>
        <w:rPr>
          <w:rFonts w:ascii="Times New Roman" w:hAnsi="Times New Roman" w:cs="Times New Roman"/>
          <w:color w:val="000000" w:themeColor="text1"/>
          <w:shd w:val="clear" w:color="auto" w:fill="FFFFFF"/>
          <w:lang w:val="en-US"/>
        </w:rPr>
      </w:pPr>
      <w:r w:rsidRPr="00486DF6">
        <w:rPr>
          <w:rStyle w:val="apple-converted-space"/>
          <w:rFonts w:ascii="Times New Roman" w:hAnsi="Times New Roman" w:cs="Times New Roman"/>
          <w:color w:val="000000" w:themeColor="text1"/>
          <w:shd w:val="clear" w:color="auto" w:fill="FFFFFF"/>
          <w:lang w:val="en-US"/>
        </w:rPr>
        <w:t>More importantly, the Treaties do not provide for an explicit procedure for a State to leave the Eurozone. Instead, they include a number of references highlighting the irrevocability of the Euro</w:t>
      </w:r>
      <w:r w:rsidR="006F5403" w:rsidRPr="00486DF6">
        <w:rPr>
          <w:rStyle w:val="apple-converted-space"/>
          <w:rFonts w:ascii="Times New Roman" w:hAnsi="Times New Roman" w:cs="Times New Roman"/>
          <w:color w:val="000000" w:themeColor="text1"/>
          <w:shd w:val="clear" w:color="auto" w:fill="FFFFFF"/>
          <w:lang w:val="en-US"/>
        </w:rPr>
        <w:t>zone</w:t>
      </w:r>
      <w:r w:rsidRPr="00486DF6">
        <w:rPr>
          <w:rStyle w:val="apple-converted-space"/>
          <w:rFonts w:ascii="Times New Roman" w:hAnsi="Times New Roman" w:cs="Times New Roman"/>
          <w:color w:val="000000" w:themeColor="text1"/>
          <w:shd w:val="clear" w:color="auto" w:fill="FFFFFF"/>
          <w:lang w:val="en-US"/>
        </w:rPr>
        <w:t xml:space="preserve">. For instance, Article 140(3) TFEU provides that in the process of </w:t>
      </w:r>
      <w:r w:rsidRPr="00486DF6">
        <w:rPr>
          <w:rFonts w:ascii="Times New Roman" w:hAnsi="Times New Roman" w:cs="Times New Roman"/>
          <w:lang w:val="en-US"/>
        </w:rPr>
        <w:t xml:space="preserve">integrating new members into the Eurozone, the European Council will </w:t>
      </w:r>
      <w:r w:rsidR="00FC49F8">
        <w:rPr>
          <w:rFonts w:ascii="Times New Roman" w:hAnsi="Times New Roman" w:cs="Times New Roman"/>
          <w:lang w:val="en-US"/>
        </w:rPr>
        <w:t>“</w:t>
      </w:r>
      <w:r w:rsidRPr="00486DF6">
        <w:rPr>
          <w:rFonts w:ascii="Times New Roman" w:hAnsi="Times New Roman" w:cs="Times New Roman"/>
          <w:lang w:val="en-US"/>
        </w:rPr>
        <w:t>irrevocably fix the rate at which the euro shall be substituted for the currency of the Member State concerned.</w:t>
      </w:r>
      <w:r w:rsidR="00FC49F8">
        <w:rPr>
          <w:rFonts w:ascii="Times New Roman" w:hAnsi="Times New Roman" w:cs="Times New Roman"/>
          <w:lang w:val="en-US"/>
        </w:rPr>
        <w:t>”</w:t>
      </w:r>
      <w:r w:rsidRPr="00486DF6">
        <w:rPr>
          <w:rStyle w:val="FootnoteReference"/>
          <w:rFonts w:ascii="Times New Roman" w:hAnsi="Times New Roman" w:cs="Times New Roman"/>
          <w:lang w:val="en-US"/>
        </w:rPr>
        <w:footnoteReference w:id="84"/>
      </w:r>
      <w:r w:rsidRPr="00486DF6">
        <w:rPr>
          <w:rFonts w:ascii="Times New Roman" w:hAnsi="Times New Roman" w:cs="Times New Roman"/>
          <w:lang w:val="en-US"/>
        </w:rPr>
        <w:t xml:space="preserve"> This means that if Greece decided to voluntarily withdraw from the Eurozone, either the Treaties would have had to be amended or Greece would have had to trigger the Article 50 TEU process. In other words, Greece’s issue-based withdrawal from the Eurozone could only have been achieved if the remaining Member States would have consented to it. Given that such </w:t>
      </w:r>
      <w:r w:rsidR="004754D2">
        <w:rPr>
          <w:rFonts w:ascii="Times New Roman" w:hAnsi="Times New Roman" w:cs="Times New Roman"/>
          <w:lang w:val="en-US"/>
        </w:rPr>
        <w:t xml:space="preserve">an </w:t>
      </w:r>
      <w:r w:rsidRPr="00486DF6">
        <w:rPr>
          <w:rFonts w:ascii="Times New Roman" w:hAnsi="Times New Roman" w:cs="Times New Roman"/>
          <w:lang w:val="en-US"/>
        </w:rPr>
        <w:t>event would have also led to Greece defaulting on its debts to its creditors</w:t>
      </w:r>
      <w:r w:rsidR="003F55FF" w:rsidRPr="00486DF6">
        <w:rPr>
          <w:rFonts w:ascii="Times New Roman" w:hAnsi="Times New Roman" w:cs="Times New Roman"/>
          <w:lang w:val="en-US"/>
        </w:rPr>
        <w:t>,</w:t>
      </w:r>
      <w:r w:rsidRPr="00486DF6">
        <w:rPr>
          <w:rFonts w:ascii="Times New Roman" w:hAnsi="Times New Roman" w:cs="Times New Roman"/>
          <w:lang w:val="en-US"/>
        </w:rPr>
        <w:t xml:space="preserve"> including the relevant Member States, it is hard to see how consent could </w:t>
      </w:r>
      <w:r w:rsidR="003F55FF" w:rsidRPr="00486DF6">
        <w:rPr>
          <w:rFonts w:ascii="Times New Roman" w:hAnsi="Times New Roman" w:cs="Times New Roman"/>
          <w:lang w:val="en-US"/>
        </w:rPr>
        <w:t xml:space="preserve">have </w:t>
      </w:r>
      <w:r w:rsidRPr="00486DF6">
        <w:rPr>
          <w:rFonts w:ascii="Times New Roman" w:hAnsi="Times New Roman" w:cs="Times New Roman"/>
          <w:lang w:val="en-US"/>
        </w:rPr>
        <w:t>be</w:t>
      </w:r>
      <w:r w:rsidR="003F55FF" w:rsidRPr="00486DF6">
        <w:rPr>
          <w:rFonts w:ascii="Times New Roman" w:hAnsi="Times New Roman" w:cs="Times New Roman"/>
          <w:lang w:val="en-US"/>
        </w:rPr>
        <w:t>en</w:t>
      </w:r>
      <w:r w:rsidRPr="00486DF6">
        <w:rPr>
          <w:rFonts w:ascii="Times New Roman" w:hAnsi="Times New Roman" w:cs="Times New Roman"/>
          <w:lang w:val="en-US"/>
        </w:rPr>
        <w:t xml:space="preserve"> reached. </w:t>
      </w:r>
      <w:r w:rsidR="003F55FF" w:rsidRPr="00486DF6">
        <w:rPr>
          <w:rFonts w:ascii="Times New Roman" w:hAnsi="Times New Roman" w:cs="Times New Roman"/>
          <w:lang w:val="en-US"/>
        </w:rPr>
        <w:t>Hence</w:t>
      </w:r>
      <w:r w:rsidRPr="00486DF6">
        <w:rPr>
          <w:rFonts w:ascii="Times New Roman" w:hAnsi="Times New Roman" w:cs="Times New Roman"/>
          <w:lang w:val="en-US"/>
        </w:rPr>
        <w:t>, the very real danger of having to default within</w:t>
      </w:r>
      <w:r w:rsidR="004754D2">
        <w:rPr>
          <w:rFonts w:ascii="Times New Roman" w:hAnsi="Times New Roman" w:cs="Times New Roman"/>
          <w:lang w:val="en-US"/>
        </w:rPr>
        <w:t xml:space="preserve"> the</w:t>
      </w:r>
      <w:r w:rsidRPr="00486DF6">
        <w:rPr>
          <w:rFonts w:ascii="Times New Roman" w:hAnsi="Times New Roman" w:cs="Times New Roman"/>
          <w:lang w:val="en-US"/>
        </w:rPr>
        <w:t xml:space="preserve"> Eurozone and/or having to withdraw from the EU as a whole in order to survive</w:t>
      </w:r>
      <w:r w:rsidR="003F55FF" w:rsidRPr="00486DF6">
        <w:rPr>
          <w:rFonts w:ascii="Times New Roman" w:hAnsi="Times New Roman" w:cs="Times New Roman"/>
          <w:lang w:val="en-US"/>
        </w:rPr>
        <w:t xml:space="preserve"> financially</w:t>
      </w:r>
      <w:r w:rsidR="004754D2">
        <w:rPr>
          <w:rFonts w:ascii="Times New Roman" w:hAnsi="Times New Roman" w:cs="Times New Roman"/>
          <w:lang w:val="en-US"/>
        </w:rPr>
        <w:t>,</w:t>
      </w:r>
      <w:r w:rsidRPr="00486DF6">
        <w:rPr>
          <w:rFonts w:ascii="Times New Roman" w:hAnsi="Times New Roman" w:cs="Times New Roman"/>
          <w:lang w:val="en-US"/>
        </w:rPr>
        <w:t xml:space="preserve"> made the initial recalcitrance of Greece non-viable in the long term</w:t>
      </w:r>
      <w:r w:rsidRPr="00486DF6">
        <w:rPr>
          <w:rFonts w:ascii="Times New Roman" w:hAnsi="Times New Roman" w:cs="Times New Roman"/>
          <w:color w:val="000000" w:themeColor="text1"/>
          <w:shd w:val="clear" w:color="auto" w:fill="FFFFFF"/>
          <w:lang w:val="en-US"/>
        </w:rPr>
        <w:t xml:space="preserve">. </w:t>
      </w:r>
      <w:r w:rsidRPr="00486DF6">
        <w:rPr>
          <w:rFonts w:ascii="Times New Roman" w:hAnsi="Times New Roman" w:cs="Times New Roman"/>
          <w:lang w:val="en-US"/>
        </w:rPr>
        <w:t xml:space="preserve">When this dilemma became blatantly obvious, </w:t>
      </w:r>
      <w:r w:rsidR="00850307">
        <w:rPr>
          <w:rFonts w:ascii="Times New Roman" w:hAnsi="Times New Roman" w:cs="Times New Roman"/>
          <w:lang w:val="en-US"/>
        </w:rPr>
        <w:t>“</w:t>
      </w:r>
      <w:r w:rsidRPr="00486DF6">
        <w:rPr>
          <w:rFonts w:ascii="Times New Roman" w:hAnsi="Times New Roman" w:cs="Times New Roman"/>
          <w:lang w:val="en-US"/>
        </w:rPr>
        <w:t>the Greek parliament passed a</w:t>
      </w:r>
      <w:r w:rsidRPr="00486DF6">
        <w:rPr>
          <w:rFonts w:ascii="Times New Roman" w:hAnsi="Times New Roman" w:cs="Times New Roman"/>
          <w:color w:val="000000" w:themeColor="text1"/>
          <w:shd w:val="clear" w:color="auto" w:fill="FFFFFF"/>
          <w:lang w:val="en-US"/>
        </w:rPr>
        <w:t xml:space="preserve"> </w:t>
      </w:r>
      <w:r w:rsidRPr="00486DF6">
        <w:rPr>
          <w:rFonts w:ascii="Times New Roman" w:hAnsi="Times New Roman" w:cs="Times New Roman"/>
          <w:lang w:val="en-US"/>
        </w:rPr>
        <w:t xml:space="preserve">law (4333/2015) delegating full authority to the prime minister and several other ministers to negotiate the conclusion of the third Memorandum without </w:t>
      </w:r>
      <w:r w:rsidRPr="00486DF6">
        <w:rPr>
          <w:rFonts w:ascii="Times New Roman" w:hAnsi="Times New Roman" w:cs="Times New Roman"/>
          <w:lang w:val="en-US"/>
        </w:rPr>
        <w:lastRenderedPageBreak/>
        <w:t>any specific instruction.</w:t>
      </w:r>
      <w:r w:rsidR="00850307">
        <w:rPr>
          <w:rFonts w:ascii="Times New Roman" w:hAnsi="Times New Roman" w:cs="Times New Roman"/>
          <w:lang w:val="en-US"/>
        </w:rPr>
        <w:t>”</w:t>
      </w:r>
      <w:r w:rsidRPr="00486DF6">
        <w:rPr>
          <w:rStyle w:val="FootnoteReference"/>
          <w:rFonts w:ascii="Times New Roman" w:hAnsi="Times New Roman" w:cs="Times New Roman"/>
          <w:lang w:val="en-US"/>
        </w:rPr>
        <w:footnoteReference w:id="85"/>
      </w:r>
      <w:r w:rsidRPr="00486DF6">
        <w:rPr>
          <w:rFonts w:ascii="Times New Roman" w:hAnsi="Times New Roman" w:cs="Times New Roman"/>
          <w:lang w:val="en-US"/>
        </w:rPr>
        <w:t xml:space="preserve"> In other words, the impossibility of nullification and the cost of secession</w:t>
      </w:r>
      <w:r w:rsidR="003F55FF" w:rsidRPr="00486DF6">
        <w:rPr>
          <w:rFonts w:ascii="Times New Roman" w:hAnsi="Times New Roman" w:cs="Times New Roman"/>
          <w:lang w:val="en-US"/>
        </w:rPr>
        <w:t>,</w:t>
      </w:r>
      <w:r w:rsidRPr="00486DF6">
        <w:rPr>
          <w:rFonts w:ascii="Times New Roman" w:hAnsi="Times New Roman" w:cs="Times New Roman"/>
          <w:lang w:val="en-US"/>
        </w:rPr>
        <w:t xml:space="preserve"> combined with the fear of bankruptcy</w:t>
      </w:r>
      <w:r w:rsidR="003F55FF" w:rsidRPr="00486DF6">
        <w:rPr>
          <w:rFonts w:ascii="Times New Roman" w:hAnsi="Times New Roman" w:cs="Times New Roman"/>
          <w:lang w:val="en-US"/>
        </w:rPr>
        <w:t>,</w:t>
      </w:r>
      <w:r w:rsidRPr="00486DF6">
        <w:rPr>
          <w:rFonts w:ascii="Times New Roman" w:hAnsi="Times New Roman" w:cs="Times New Roman"/>
          <w:lang w:val="en-US"/>
        </w:rPr>
        <w:t xml:space="preserve"> convinced the Greek government to compromise and not question the EU policy </w:t>
      </w:r>
      <w:r w:rsidR="003F55FF" w:rsidRPr="00486DF6">
        <w:rPr>
          <w:rFonts w:ascii="Times New Roman" w:hAnsi="Times New Roman" w:cs="Times New Roman"/>
          <w:lang w:val="en-US"/>
        </w:rPr>
        <w:t xml:space="preserve">that </w:t>
      </w:r>
      <w:r w:rsidRPr="00486DF6">
        <w:rPr>
          <w:rFonts w:ascii="Times New Roman" w:hAnsi="Times New Roman" w:cs="Times New Roman"/>
          <w:lang w:val="en-US"/>
        </w:rPr>
        <w:t>the Grexit referendum challenged in the first place.</w:t>
      </w:r>
    </w:p>
    <w:p w14:paraId="5F43A94A" w14:textId="3B47C2B0" w:rsidR="00997DE5" w:rsidRPr="00486DF6" w:rsidRDefault="00260C0D" w:rsidP="00850307">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 xml:space="preserve">Again, this episode </w:t>
      </w:r>
      <w:r w:rsidR="00867BB6">
        <w:rPr>
          <w:rFonts w:ascii="Times New Roman" w:eastAsia="Times New Roman" w:hAnsi="Times New Roman" w:cs="Times New Roman"/>
          <w:color w:val="000000"/>
          <w:lang w:val="en-US" w:eastAsia="en-GB"/>
        </w:rPr>
        <w:t xml:space="preserve">confirms the </w:t>
      </w:r>
      <w:r w:rsidR="00A43773">
        <w:rPr>
          <w:rFonts w:ascii="Times New Roman" w:eastAsia="Times New Roman" w:hAnsi="Times New Roman" w:cs="Times New Roman"/>
          <w:color w:val="000000"/>
          <w:lang w:val="en-US" w:eastAsia="en-GB"/>
        </w:rPr>
        <w:t xml:space="preserve">overall </w:t>
      </w:r>
      <w:r w:rsidR="00867BB6">
        <w:rPr>
          <w:rFonts w:ascii="Times New Roman" w:eastAsia="Times New Roman" w:hAnsi="Times New Roman" w:cs="Times New Roman"/>
          <w:color w:val="000000"/>
          <w:lang w:val="en-US" w:eastAsia="en-GB"/>
        </w:rPr>
        <w:t>thesis of the article</w:t>
      </w:r>
      <w:r w:rsidRPr="00486DF6">
        <w:rPr>
          <w:rFonts w:ascii="Times New Roman" w:eastAsia="Times New Roman" w:hAnsi="Times New Roman" w:cs="Times New Roman"/>
          <w:color w:val="000000"/>
          <w:lang w:val="en-US" w:eastAsia="en-GB"/>
        </w:rPr>
        <w:t xml:space="preserve">. The Greek political elites attempted to nullify one of the </w:t>
      </w:r>
      <w:r w:rsidR="00A43773">
        <w:rPr>
          <w:rFonts w:ascii="Times New Roman" w:eastAsia="Times New Roman" w:hAnsi="Times New Roman" w:cs="Times New Roman"/>
          <w:color w:val="000000"/>
          <w:lang w:val="en-US" w:eastAsia="en-GB"/>
        </w:rPr>
        <w:t xml:space="preserve">areas of </w:t>
      </w:r>
      <w:r w:rsidR="008C2E0E" w:rsidRPr="00486DF6">
        <w:rPr>
          <w:rFonts w:ascii="Times New Roman" w:eastAsia="Times New Roman" w:hAnsi="Times New Roman" w:cs="Times New Roman"/>
          <w:color w:val="000000"/>
          <w:lang w:val="en-US" w:eastAsia="en-GB"/>
        </w:rPr>
        <w:t>the law regulating the Eurozone to protect the interests of their State and its people. Th</w:t>
      </w:r>
      <w:r w:rsidR="00A43773">
        <w:rPr>
          <w:rFonts w:ascii="Times New Roman" w:eastAsia="Times New Roman" w:hAnsi="Times New Roman" w:cs="Times New Roman"/>
          <w:color w:val="000000"/>
          <w:lang w:val="en-US" w:eastAsia="en-GB"/>
        </w:rPr>
        <w:t>eir attempt to withdraw partially from the Union federal pact</w:t>
      </w:r>
      <w:r w:rsidR="008C2E0E" w:rsidRPr="00486DF6">
        <w:rPr>
          <w:rFonts w:ascii="Times New Roman" w:eastAsia="Times New Roman" w:hAnsi="Times New Roman" w:cs="Times New Roman"/>
          <w:color w:val="000000"/>
          <w:lang w:val="en-US" w:eastAsia="en-GB"/>
        </w:rPr>
        <w:t xml:space="preserve"> triggered a dialectic process under suffocating pressures and existential political dilemmas</w:t>
      </w:r>
      <w:r w:rsidR="00A43773">
        <w:rPr>
          <w:rFonts w:ascii="Times New Roman" w:eastAsia="Times New Roman" w:hAnsi="Times New Roman" w:cs="Times New Roman"/>
          <w:color w:val="000000"/>
          <w:lang w:val="en-US" w:eastAsia="en-GB"/>
        </w:rPr>
        <w:t>.</w:t>
      </w:r>
      <w:r w:rsidR="004754D2">
        <w:rPr>
          <w:rFonts w:ascii="Times New Roman" w:eastAsia="Times New Roman" w:hAnsi="Times New Roman" w:cs="Times New Roman"/>
          <w:color w:val="000000"/>
          <w:lang w:val="en-US" w:eastAsia="en-GB"/>
        </w:rPr>
        <w:t xml:space="preserve"> </w:t>
      </w:r>
      <w:r w:rsidR="00A43773">
        <w:rPr>
          <w:rFonts w:ascii="Times New Roman" w:eastAsia="Times New Roman" w:hAnsi="Times New Roman" w:cs="Times New Roman"/>
          <w:color w:val="000000"/>
          <w:lang w:val="en-US" w:eastAsia="en-GB"/>
        </w:rPr>
        <w:t xml:space="preserve">The accommodation of nullification would have necessitated the consent of the other contracting parties. </w:t>
      </w:r>
      <w:r w:rsidR="00FF4B3C">
        <w:rPr>
          <w:rFonts w:ascii="Times New Roman" w:eastAsia="Times New Roman" w:hAnsi="Times New Roman" w:cs="Times New Roman"/>
          <w:color w:val="000000"/>
          <w:lang w:val="en-US" w:eastAsia="en-GB"/>
        </w:rPr>
        <w:t>The EU institutions and the other Member States made clear that this would be</w:t>
      </w:r>
      <w:r w:rsidR="00A43773">
        <w:rPr>
          <w:rFonts w:ascii="Times New Roman" w:eastAsia="Times New Roman" w:hAnsi="Times New Roman" w:cs="Times New Roman"/>
          <w:color w:val="000000"/>
          <w:lang w:val="en-US" w:eastAsia="en-GB"/>
        </w:rPr>
        <w:t xml:space="preserve"> impossible and as a result Greece was left with the option of functional secession fraught with imminent dangers for the political and social stability</w:t>
      </w:r>
      <w:r w:rsidR="008C2E0E" w:rsidRPr="00486DF6">
        <w:rPr>
          <w:rFonts w:ascii="Times New Roman" w:eastAsia="Times New Roman" w:hAnsi="Times New Roman" w:cs="Times New Roman"/>
          <w:color w:val="000000"/>
          <w:lang w:val="en-US" w:eastAsia="en-GB"/>
        </w:rPr>
        <w:t>.</w:t>
      </w:r>
      <w:r w:rsidR="00A43773">
        <w:rPr>
          <w:rFonts w:ascii="Times New Roman" w:eastAsia="Times New Roman" w:hAnsi="Times New Roman" w:cs="Times New Roman"/>
          <w:color w:val="000000"/>
          <w:lang w:val="en-US" w:eastAsia="en-GB"/>
        </w:rPr>
        <w:t xml:space="preserve"> </w:t>
      </w:r>
      <w:r w:rsidR="00196D85">
        <w:rPr>
          <w:rFonts w:ascii="Times New Roman" w:eastAsia="Times New Roman" w:hAnsi="Times New Roman" w:cs="Times New Roman"/>
          <w:color w:val="000000"/>
          <w:lang w:val="en-US" w:eastAsia="en-GB"/>
        </w:rPr>
        <w:t>This way, th</w:t>
      </w:r>
      <w:r w:rsidR="003210C2">
        <w:rPr>
          <w:rFonts w:ascii="Times New Roman" w:eastAsia="Times New Roman" w:hAnsi="Times New Roman" w:cs="Times New Roman"/>
          <w:color w:val="000000"/>
          <w:lang w:val="en-US" w:eastAsia="en-GB"/>
        </w:rPr>
        <w:t>e Greek</w:t>
      </w:r>
      <w:r w:rsidR="00196D85">
        <w:rPr>
          <w:rFonts w:ascii="Times New Roman" w:eastAsia="Times New Roman" w:hAnsi="Times New Roman" w:cs="Times New Roman"/>
          <w:color w:val="000000"/>
          <w:lang w:val="en-US" w:eastAsia="en-GB"/>
        </w:rPr>
        <w:t xml:space="preserve"> nullification attempt was combatted.</w:t>
      </w:r>
    </w:p>
    <w:p w14:paraId="6F1FBBAD" w14:textId="77777777" w:rsidR="00260C0D" w:rsidRPr="00486DF6" w:rsidRDefault="00260C0D" w:rsidP="000E4CEC">
      <w:pPr>
        <w:spacing w:line="480" w:lineRule="auto"/>
        <w:jc w:val="both"/>
        <w:rPr>
          <w:rFonts w:ascii="Times New Roman" w:eastAsia="Times New Roman" w:hAnsi="Times New Roman" w:cs="Times New Roman"/>
          <w:color w:val="000000"/>
          <w:lang w:val="en-US" w:eastAsia="en-GB"/>
        </w:rPr>
      </w:pPr>
    </w:p>
    <w:p w14:paraId="6EBC9EA2" w14:textId="1875CCF3" w:rsidR="00997DE5" w:rsidRPr="00850307" w:rsidRDefault="00850307" w:rsidP="00850307">
      <w:pPr>
        <w:spacing w:line="480" w:lineRule="auto"/>
        <w:ind w:firstLine="720"/>
        <w:jc w:val="both"/>
        <w:rPr>
          <w:rFonts w:ascii="Times New Roman" w:eastAsia="Times New Roman" w:hAnsi="Times New Roman" w:cs="Times New Roman"/>
          <w:color w:val="000000"/>
          <w:lang w:val="en-US" w:eastAsia="en-GB"/>
        </w:rPr>
      </w:pPr>
      <w:r w:rsidRPr="00850307">
        <w:rPr>
          <w:rFonts w:ascii="Times New Roman" w:eastAsia="Times New Roman" w:hAnsi="Times New Roman" w:cs="Times New Roman"/>
          <w:color w:val="000000"/>
          <w:lang w:val="en-US" w:eastAsia="en-GB"/>
        </w:rPr>
        <w:t>2</w:t>
      </w:r>
      <w:r w:rsidR="00997DE5" w:rsidRPr="00850307">
        <w:rPr>
          <w:rFonts w:ascii="Times New Roman" w:eastAsia="Times New Roman" w:hAnsi="Times New Roman" w:cs="Times New Roman"/>
          <w:color w:val="000000"/>
          <w:lang w:val="en-US" w:eastAsia="en-GB"/>
        </w:rPr>
        <w:t xml:space="preserve">. </w:t>
      </w:r>
      <w:r w:rsidR="00997DE5" w:rsidRPr="00850307">
        <w:rPr>
          <w:rFonts w:ascii="Times New Roman" w:eastAsia="Times New Roman" w:hAnsi="Times New Roman" w:cs="Times New Roman"/>
          <w:color w:val="000000"/>
          <w:lang w:val="en-US" w:eastAsia="en-GB"/>
        </w:rPr>
        <w:tab/>
        <w:t xml:space="preserve">The Rule of </w:t>
      </w:r>
      <w:r w:rsidR="004754D2">
        <w:rPr>
          <w:rFonts w:ascii="Times New Roman" w:eastAsia="Times New Roman" w:hAnsi="Times New Roman" w:cs="Times New Roman"/>
          <w:color w:val="000000"/>
          <w:lang w:val="en-US" w:eastAsia="en-GB"/>
        </w:rPr>
        <w:t>L</w:t>
      </w:r>
      <w:r w:rsidR="00997DE5" w:rsidRPr="00850307">
        <w:rPr>
          <w:rFonts w:ascii="Times New Roman" w:eastAsia="Times New Roman" w:hAnsi="Times New Roman" w:cs="Times New Roman"/>
          <w:color w:val="000000"/>
          <w:lang w:val="en-US" w:eastAsia="en-GB"/>
        </w:rPr>
        <w:t xml:space="preserve">aw crisis in the </w:t>
      </w:r>
      <w:r w:rsidR="00591FD4" w:rsidRPr="00850307">
        <w:rPr>
          <w:rFonts w:ascii="Times New Roman" w:eastAsia="Times New Roman" w:hAnsi="Times New Roman" w:cs="Times New Roman"/>
          <w:color w:val="000000"/>
          <w:lang w:val="en-US" w:eastAsia="en-GB"/>
        </w:rPr>
        <w:t>EU</w:t>
      </w:r>
      <w:r w:rsidR="00997DE5" w:rsidRPr="00850307">
        <w:rPr>
          <w:rFonts w:ascii="Times New Roman" w:eastAsia="Times New Roman" w:hAnsi="Times New Roman" w:cs="Times New Roman"/>
          <w:color w:val="000000"/>
          <w:lang w:val="en-US" w:eastAsia="en-GB"/>
        </w:rPr>
        <w:t xml:space="preserve"> </w:t>
      </w:r>
    </w:p>
    <w:p w14:paraId="551E90A8" w14:textId="4F2E7F0D" w:rsidR="00997DE5" w:rsidRPr="00486DF6" w:rsidRDefault="00997DE5" w:rsidP="00850307">
      <w:pPr>
        <w:spacing w:line="480" w:lineRule="auto"/>
        <w:ind w:firstLine="720"/>
        <w:jc w:val="both"/>
        <w:rPr>
          <w:rFonts w:ascii="Times New Roman" w:eastAsia="Times New Roman" w:hAnsi="Times New Roman" w:cs="Times New Roman"/>
          <w:color w:val="000000"/>
          <w:lang w:val="en-US"/>
        </w:rPr>
      </w:pPr>
      <w:r w:rsidRPr="00486DF6">
        <w:rPr>
          <w:rFonts w:ascii="Times New Roman" w:eastAsia="Arial Unicode MS" w:hAnsi="Times New Roman" w:cs="Times New Roman"/>
          <w:color w:val="000000"/>
          <w:u w:color="000000"/>
          <w:bdr w:val="nil"/>
          <w:lang w:val="en-US" w:eastAsia="it-IT"/>
        </w:rPr>
        <w:t xml:space="preserve">Scholars have suggested “that the Polish and Hungarian governments’ continued and deliberate defiance of the core principles of membership </w:t>
      </w:r>
      <w:r w:rsidR="0020405F">
        <w:rPr>
          <w:rFonts w:ascii="Times New Roman" w:eastAsia="Arial Unicode MS" w:hAnsi="Times New Roman" w:cs="Times New Roman"/>
          <w:color w:val="000000"/>
          <w:u w:color="000000"/>
          <w:bdr w:val="nil"/>
          <w:lang w:val="en-US" w:eastAsia="it-IT"/>
        </w:rPr>
        <w:t>is an expression of</w:t>
      </w:r>
      <w:r w:rsidRPr="00486DF6">
        <w:rPr>
          <w:rFonts w:ascii="Times New Roman" w:eastAsia="Arial Unicode MS" w:hAnsi="Times New Roman" w:cs="Times New Roman"/>
          <w:color w:val="000000"/>
          <w:u w:color="000000"/>
          <w:bdr w:val="nil"/>
          <w:lang w:val="en-US" w:eastAsia="it-IT"/>
        </w:rPr>
        <w:t xml:space="preserve"> their respective intention no longer to </w:t>
      </w:r>
      <w:r w:rsidR="0020405F">
        <w:rPr>
          <w:rFonts w:ascii="Times New Roman" w:eastAsia="Arial Unicode MS" w:hAnsi="Times New Roman" w:cs="Times New Roman"/>
          <w:color w:val="000000"/>
          <w:u w:color="000000"/>
          <w:bdr w:val="nil"/>
          <w:lang w:val="en-US" w:eastAsia="it-IT"/>
        </w:rPr>
        <w:t>be subject to the</w:t>
      </w:r>
      <w:r w:rsidRPr="00486DF6">
        <w:rPr>
          <w:rFonts w:ascii="Times New Roman" w:eastAsia="Arial Unicode MS" w:hAnsi="Times New Roman" w:cs="Times New Roman"/>
          <w:color w:val="000000"/>
          <w:u w:color="000000"/>
          <w:bdr w:val="nil"/>
          <w:lang w:val="en-US" w:eastAsia="it-IT"/>
        </w:rPr>
        <w:t xml:space="preserve"> EU Treaties. These conducts could thus qualify as notification for the purpose of Article 50(2) TEU</w:t>
      </w:r>
      <w:r w:rsidR="00A5563C">
        <w:rPr>
          <w:rFonts w:ascii="Times New Roman" w:eastAsia="Arial Unicode MS" w:hAnsi="Times New Roman" w:cs="Times New Roman"/>
          <w:color w:val="000000"/>
          <w:u w:color="000000"/>
          <w:bdr w:val="nil"/>
          <w:lang w:val="en-US" w:eastAsia="it-IT"/>
        </w:rPr>
        <w:t>.</w:t>
      </w:r>
      <w:r w:rsidRPr="00486DF6">
        <w:rPr>
          <w:rFonts w:ascii="Times New Roman" w:eastAsia="Arial Unicode MS" w:hAnsi="Times New Roman" w:cs="Times New Roman"/>
          <w:color w:val="000000"/>
          <w:u w:color="000000"/>
          <w:bdr w:val="nil"/>
          <w:lang w:val="en-US" w:eastAsia="it-IT"/>
        </w:rPr>
        <w:t>”</w:t>
      </w:r>
      <w:r w:rsidRPr="00486DF6">
        <w:rPr>
          <w:rStyle w:val="FootnoteReference"/>
          <w:rFonts w:ascii="Times New Roman" w:eastAsia="Arial Unicode MS" w:hAnsi="Times New Roman" w:cs="Times New Roman"/>
          <w:color w:val="000000"/>
          <w:u w:color="000000"/>
          <w:bdr w:val="nil"/>
          <w:lang w:val="en-US" w:eastAsia="it-IT"/>
        </w:rPr>
        <w:footnoteReference w:id="86"/>
      </w:r>
      <w:r w:rsidRPr="00486DF6">
        <w:rPr>
          <w:rFonts w:ascii="Times New Roman" w:eastAsia="Arial Unicode MS" w:hAnsi="Times New Roman" w:cs="Times New Roman"/>
          <w:color w:val="000000"/>
          <w:u w:color="000000"/>
          <w:bdr w:val="nil"/>
          <w:lang w:val="en-US" w:eastAsia="it-IT"/>
        </w:rPr>
        <w:t xml:space="preserve"> </w:t>
      </w:r>
      <w:r w:rsidRPr="00486DF6">
        <w:rPr>
          <w:rFonts w:ascii="Times New Roman" w:eastAsia="Times New Roman" w:hAnsi="Times New Roman" w:cs="Times New Roman"/>
          <w:color w:val="000000"/>
          <w:lang w:val="en-US" w:eastAsia="en-GB"/>
        </w:rPr>
        <w:t xml:space="preserve"> From this perspective, the systematic violation</w:t>
      </w:r>
      <w:r w:rsidR="001B3E46">
        <w:rPr>
          <w:rFonts w:ascii="Times New Roman" w:eastAsia="Times New Roman" w:hAnsi="Times New Roman" w:cs="Times New Roman"/>
          <w:color w:val="000000"/>
          <w:lang w:val="en-US" w:eastAsia="en-GB"/>
        </w:rPr>
        <w:t xml:space="preserve"> of Article 2 TEU</w:t>
      </w:r>
      <w:r w:rsidRPr="00486DF6">
        <w:rPr>
          <w:rFonts w:ascii="Times New Roman" w:eastAsia="Times New Roman" w:hAnsi="Times New Roman" w:cs="Times New Roman"/>
          <w:color w:val="000000"/>
          <w:lang w:val="en-US" w:eastAsia="en-GB"/>
        </w:rPr>
        <w:t xml:space="preserve"> has been compared to a </w:t>
      </w:r>
      <w:r w:rsidRPr="00486DF6">
        <w:rPr>
          <w:rFonts w:ascii="Times New Roman" w:eastAsia="Times New Roman" w:hAnsi="Times New Roman" w:cs="Times New Roman"/>
          <w:i/>
          <w:iCs/>
          <w:color w:val="000000"/>
          <w:lang w:val="en-US" w:eastAsia="en-GB"/>
        </w:rPr>
        <w:t>de facto</w:t>
      </w:r>
      <w:r w:rsidRPr="00486DF6">
        <w:rPr>
          <w:rFonts w:ascii="Times New Roman" w:eastAsia="Times New Roman" w:hAnsi="Times New Roman" w:cs="Times New Roman"/>
          <w:color w:val="000000"/>
          <w:lang w:val="en-US" w:eastAsia="en-GB"/>
        </w:rPr>
        <w:t xml:space="preserve"> form of withdrawal. </w:t>
      </w:r>
      <w:r w:rsidR="00D85BAA">
        <w:rPr>
          <w:rFonts w:ascii="Times New Roman" w:eastAsia="Times New Roman" w:hAnsi="Times New Roman" w:cs="Times New Roman"/>
          <w:color w:val="000000"/>
          <w:lang w:val="en-US" w:eastAsia="en-GB"/>
        </w:rPr>
        <w:t>This is</w:t>
      </w:r>
      <w:r w:rsidR="00850307">
        <w:rPr>
          <w:rFonts w:ascii="Times New Roman" w:eastAsia="Times New Roman" w:hAnsi="Times New Roman" w:cs="Times New Roman"/>
          <w:color w:val="000000"/>
          <w:lang w:val="en-US" w:eastAsia="en-GB"/>
        </w:rPr>
        <w:t xml:space="preserve"> unconvincing</w:t>
      </w:r>
      <w:r w:rsidR="003F55FF" w:rsidRPr="00486DF6">
        <w:rPr>
          <w:rFonts w:ascii="Times New Roman" w:eastAsia="Times New Roman" w:hAnsi="Times New Roman" w:cs="Times New Roman"/>
          <w:color w:val="000000"/>
          <w:lang w:val="en-US" w:eastAsia="en-GB"/>
        </w:rPr>
        <w:t>,</w:t>
      </w:r>
      <w:r w:rsidR="00F82E79" w:rsidRPr="00486DF6">
        <w:rPr>
          <w:rFonts w:ascii="Times New Roman" w:eastAsia="Times New Roman" w:hAnsi="Times New Roman" w:cs="Times New Roman"/>
          <w:color w:val="000000"/>
          <w:lang w:val="en-US" w:eastAsia="en-GB"/>
        </w:rPr>
        <w:t xml:space="preserve"> </w:t>
      </w:r>
      <w:r w:rsidR="00850307">
        <w:rPr>
          <w:rFonts w:ascii="Times New Roman" w:eastAsia="Times New Roman" w:hAnsi="Times New Roman" w:cs="Times New Roman"/>
          <w:color w:val="000000"/>
          <w:lang w:val="en-US" w:eastAsia="en-GB"/>
        </w:rPr>
        <w:t>not least because</w:t>
      </w:r>
      <w:r w:rsidR="00F82E79" w:rsidRPr="00486DF6">
        <w:rPr>
          <w:rFonts w:ascii="Times New Roman" w:eastAsia="Times New Roman" w:hAnsi="Times New Roman" w:cs="Times New Roman"/>
          <w:color w:val="000000"/>
          <w:lang w:val="en-US" w:eastAsia="en-GB"/>
        </w:rPr>
        <w:t xml:space="preserve"> withdrawal </w:t>
      </w:r>
      <w:r w:rsidR="003F55FF" w:rsidRPr="00486DF6">
        <w:rPr>
          <w:rFonts w:ascii="Times New Roman" w:eastAsia="Times New Roman" w:hAnsi="Times New Roman" w:cs="Times New Roman"/>
          <w:color w:val="000000"/>
          <w:lang w:val="en-US" w:eastAsia="en-GB"/>
        </w:rPr>
        <w:t xml:space="preserve">from </w:t>
      </w:r>
      <w:r w:rsidR="00F82E79" w:rsidRPr="00486DF6">
        <w:rPr>
          <w:rFonts w:ascii="Times New Roman" w:eastAsia="Times New Roman" w:hAnsi="Times New Roman" w:cs="Times New Roman"/>
          <w:color w:val="000000"/>
          <w:lang w:val="en-US" w:eastAsia="en-GB"/>
        </w:rPr>
        <w:t>the EU cannot be reduced to an “involuntary action</w:t>
      </w:r>
      <w:r w:rsidR="00A5563C">
        <w:rPr>
          <w:rFonts w:ascii="Times New Roman" w:eastAsia="Times New Roman" w:hAnsi="Times New Roman" w:cs="Times New Roman"/>
          <w:color w:val="000000"/>
          <w:lang w:val="en-US" w:eastAsia="en-GB"/>
        </w:rPr>
        <w:t>.</w:t>
      </w:r>
      <w:r w:rsidR="00F82E79" w:rsidRPr="00486DF6">
        <w:rPr>
          <w:rFonts w:ascii="Times New Roman" w:eastAsia="Times New Roman" w:hAnsi="Times New Roman" w:cs="Times New Roman"/>
          <w:color w:val="000000"/>
          <w:lang w:val="en-US" w:eastAsia="en-GB"/>
        </w:rPr>
        <w:t xml:space="preserve">” </w:t>
      </w:r>
      <w:r w:rsidR="00F82E79" w:rsidRPr="00486DF6">
        <w:rPr>
          <w:rFonts w:ascii="Times New Roman" w:hAnsi="Times New Roman" w:cs="Times New Roman"/>
          <w:bCs/>
          <w:lang w:val="en-US"/>
        </w:rPr>
        <w:t>As t</w:t>
      </w:r>
      <w:r w:rsidR="00C419E7" w:rsidRPr="00486DF6">
        <w:rPr>
          <w:rFonts w:ascii="Times New Roman" w:hAnsi="Times New Roman" w:cs="Times New Roman"/>
          <w:bCs/>
          <w:lang w:val="en-US"/>
        </w:rPr>
        <w:t xml:space="preserve">he CJEU stressed no less than five times in </w:t>
      </w:r>
      <w:r w:rsidR="00C419E7" w:rsidRPr="00486DF6">
        <w:rPr>
          <w:rFonts w:ascii="Times New Roman" w:hAnsi="Times New Roman" w:cs="Times New Roman"/>
          <w:bCs/>
          <w:i/>
          <w:iCs/>
          <w:lang w:val="en-US"/>
        </w:rPr>
        <w:t>Wightman</w:t>
      </w:r>
      <w:r w:rsidR="00F82E79" w:rsidRPr="00486DF6">
        <w:rPr>
          <w:rFonts w:ascii="Times New Roman" w:hAnsi="Times New Roman" w:cs="Times New Roman"/>
          <w:bCs/>
          <w:lang w:val="en-US"/>
        </w:rPr>
        <w:t>,</w:t>
      </w:r>
      <w:r w:rsidR="00C419E7" w:rsidRPr="00486DF6">
        <w:rPr>
          <w:rFonts w:ascii="Times New Roman" w:hAnsi="Times New Roman" w:cs="Times New Roman"/>
          <w:bCs/>
          <w:lang w:val="en-US"/>
        </w:rPr>
        <w:t xml:space="preserve"> withdrawal from the EU </w:t>
      </w:r>
      <w:r w:rsidR="00C419E7" w:rsidRPr="00486DF6">
        <w:rPr>
          <w:rFonts w:ascii="Times New Roman" w:hAnsi="Times New Roman" w:cs="Times New Roman"/>
          <w:bCs/>
          <w:lang w:val="en-US"/>
        </w:rPr>
        <w:lastRenderedPageBreak/>
        <w:t>concerns a sovereign right or choice.</w:t>
      </w:r>
      <w:r w:rsidR="00C419E7" w:rsidRPr="00486DF6">
        <w:rPr>
          <w:rStyle w:val="FootnoteReference"/>
          <w:rFonts w:ascii="Times New Roman" w:hAnsi="Times New Roman" w:cs="Times New Roman"/>
          <w:bCs/>
          <w:lang w:val="en-US"/>
        </w:rPr>
        <w:footnoteReference w:id="87"/>
      </w:r>
      <w:r w:rsidR="00C419E7" w:rsidRPr="00486DF6">
        <w:rPr>
          <w:rFonts w:ascii="Times New Roman" w:hAnsi="Times New Roman" w:cs="Times New Roman"/>
          <w:bCs/>
          <w:lang w:val="en-US"/>
        </w:rPr>
        <w:t xml:space="preserve"> </w:t>
      </w:r>
      <w:r w:rsidR="00F82E79" w:rsidRPr="00486DF6">
        <w:rPr>
          <w:rFonts w:ascii="Times New Roman" w:hAnsi="Times New Roman" w:cs="Times New Roman"/>
          <w:bCs/>
          <w:lang w:val="en-US"/>
        </w:rPr>
        <w:t xml:space="preserve">Instead, </w:t>
      </w:r>
      <w:r w:rsidR="00D85BAA">
        <w:rPr>
          <w:rFonts w:ascii="Times New Roman" w:hAnsi="Times New Roman" w:cs="Times New Roman"/>
          <w:bCs/>
          <w:lang w:val="en-US"/>
        </w:rPr>
        <w:t xml:space="preserve">the rule of law crisis could be better understood as an attempt to partially withdraw from the overall federal pact </w:t>
      </w:r>
      <w:proofErr w:type="spellStart"/>
      <w:r w:rsidR="00D85BAA">
        <w:rPr>
          <w:rFonts w:ascii="Times New Roman" w:hAnsi="Times New Roman" w:cs="Times New Roman"/>
          <w:bCs/>
          <w:lang w:val="en-US"/>
        </w:rPr>
        <w:t>ie</w:t>
      </w:r>
      <w:proofErr w:type="spellEnd"/>
      <w:r w:rsidR="00D85BAA">
        <w:rPr>
          <w:rFonts w:ascii="Times New Roman" w:hAnsi="Times New Roman" w:cs="Times New Roman"/>
          <w:bCs/>
          <w:lang w:val="en-US"/>
        </w:rPr>
        <w:t>.</w:t>
      </w:r>
      <w:r w:rsidRPr="00486DF6">
        <w:rPr>
          <w:rFonts w:ascii="Times New Roman" w:eastAsia="Times New Roman" w:hAnsi="Times New Roman" w:cs="Times New Roman"/>
          <w:color w:val="000000"/>
          <w:lang w:val="en-US" w:eastAsia="en-GB"/>
        </w:rPr>
        <w:t xml:space="preserve"> nullification</w:t>
      </w:r>
      <w:r w:rsidR="00C419E7" w:rsidRPr="00486DF6">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rPr>
        <w:t xml:space="preserve"> </w:t>
      </w:r>
      <w:r w:rsidR="000F64ED">
        <w:rPr>
          <w:rFonts w:ascii="Times New Roman" w:eastAsia="Times New Roman" w:hAnsi="Times New Roman" w:cs="Times New Roman"/>
          <w:color w:val="000000"/>
          <w:lang w:val="en-US"/>
        </w:rPr>
        <w:t>By challenging the foundational values of the EU legal order</w:t>
      </w:r>
      <w:r w:rsidR="009324F1">
        <w:rPr>
          <w:rFonts w:ascii="Times New Roman" w:eastAsia="Times New Roman" w:hAnsi="Times New Roman" w:cs="Times New Roman"/>
          <w:color w:val="000000"/>
          <w:lang w:val="en-US"/>
        </w:rPr>
        <w:t>,</w:t>
      </w:r>
      <w:r w:rsidR="000F64ED">
        <w:rPr>
          <w:rFonts w:ascii="Times New Roman" w:eastAsia="Times New Roman" w:hAnsi="Times New Roman" w:cs="Times New Roman"/>
          <w:color w:val="000000"/>
          <w:lang w:val="en-US"/>
        </w:rPr>
        <w:t xml:space="preserve"> those States d</w:t>
      </w:r>
      <w:r w:rsidR="00196D85">
        <w:rPr>
          <w:rFonts w:ascii="Times New Roman" w:eastAsia="Times New Roman" w:hAnsi="Times New Roman" w:cs="Times New Roman"/>
          <w:color w:val="000000"/>
          <w:lang w:val="en-US"/>
        </w:rPr>
        <w:t>o</w:t>
      </w:r>
      <w:r w:rsidR="000F64ED">
        <w:rPr>
          <w:rFonts w:ascii="Times New Roman" w:eastAsia="Times New Roman" w:hAnsi="Times New Roman" w:cs="Times New Roman"/>
          <w:color w:val="000000"/>
          <w:lang w:val="en-US"/>
        </w:rPr>
        <w:t xml:space="preserve"> not aim at withdrawing from the EU</w:t>
      </w:r>
      <w:r w:rsidR="00313592">
        <w:rPr>
          <w:rFonts w:ascii="Times New Roman" w:eastAsia="Times New Roman" w:hAnsi="Times New Roman" w:cs="Times New Roman"/>
          <w:color w:val="000000"/>
          <w:lang w:val="en-US"/>
        </w:rPr>
        <w:t xml:space="preserve"> as a whole</w:t>
      </w:r>
      <w:r w:rsidR="000F64ED">
        <w:rPr>
          <w:rFonts w:ascii="Times New Roman" w:eastAsia="Times New Roman" w:hAnsi="Times New Roman" w:cs="Times New Roman"/>
          <w:color w:val="000000"/>
          <w:lang w:val="en-US"/>
        </w:rPr>
        <w:t>. Instead, they wish to withdraw from the application of part of the Union legal order</w:t>
      </w:r>
      <w:r w:rsidR="00313592">
        <w:rPr>
          <w:rFonts w:ascii="Times New Roman" w:eastAsia="Times New Roman" w:hAnsi="Times New Roman" w:cs="Times New Roman"/>
          <w:color w:val="000000"/>
          <w:lang w:val="en-US"/>
        </w:rPr>
        <w:t>: Article 2 TEU</w:t>
      </w:r>
      <w:r w:rsidR="000F64ED">
        <w:rPr>
          <w:rFonts w:ascii="Times New Roman" w:eastAsia="Times New Roman" w:hAnsi="Times New Roman" w:cs="Times New Roman"/>
          <w:color w:val="000000"/>
          <w:lang w:val="en-US"/>
        </w:rPr>
        <w:t>.</w:t>
      </w:r>
      <w:r w:rsidR="00402FC7">
        <w:rPr>
          <w:rFonts w:ascii="Times New Roman" w:eastAsia="Times New Roman" w:hAnsi="Times New Roman" w:cs="Times New Roman"/>
          <w:color w:val="000000"/>
          <w:lang w:val="en-US"/>
        </w:rPr>
        <w:t xml:space="preserve"> </w:t>
      </w:r>
      <w:r w:rsidR="009324F1">
        <w:rPr>
          <w:rFonts w:ascii="Times New Roman" w:eastAsia="Times New Roman" w:hAnsi="Times New Roman" w:cs="Times New Roman"/>
          <w:color w:val="000000"/>
          <w:lang w:val="en-US"/>
        </w:rPr>
        <w:t xml:space="preserve">On the other hand, the EU institutions </w:t>
      </w:r>
      <w:r w:rsidR="00196D85">
        <w:rPr>
          <w:rFonts w:ascii="Times New Roman" w:eastAsia="Times New Roman" w:hAnsi="Times New Roman" w:cs="Times New Roman"/>
          <w:color w:val="000000"/>
          <w:lang w:val="en-US"/>
        </w:rPr>
        <w:t xml:space="preserve">have been </w:t>
      </w:r>
      <w:r w:rsidR="009324F1">
        <w:rPr>
          <w:rFonts w:ascii="Times New Roman" w:eastAsia="Times New Roman" w:hAnsi="Times New Roman" w:cs="Times New Roman"/>
          <w:color w:val="000000"/>
          <w:lang w:val="en-US"/>
        </w:rPr>
        <w:t>tr</w:t>
      </w:r>
      <w:r w:rsidR="00196D85">
        <w:rPr>
          <w:rFonts w:ascii="Times New Roman" w:eastAsia="Times New Roman" w:hAnsi="Times New Roman" w:cs="Times New Roman"/>
          <w:color w:val="000000"/>
          <w:lang w:val="en-US"/>
        </w:rPr>
        <w:t>ying</w:t>
      </w:r>
      <w:r w:rsidR="009324F1">
        <w:rPr>
          <w:rFonts w:ascii="Times New Roman" w:eastAsia="Times New Roman" w:hAnsi="Times New Roman" w:cs="Times New Roman"/>
          <w:color w:val="000000"/>
          <w:lang w:val="en-US"/>
        </w:rPr>
        <w:t xml:space="preserve"> to </w:t>
      </w:r>
      <w:r w:rsidR="00313592">
        <w:rPr>
          <w:rFonts w:ascii="Times New Roman" w:eastAsia="Times New Roman" w:hAnsi="Times New Roman" w:cs="Times New Roman"/>
          <w:color w:val="000000"/>
          <w:lang w:val="en-US"/>
        </w:rPr>
        <w:t>use the</w:t>
      </w:r>
      <w:r w:rsidR="00196D85">
        <w:rPr>
          <w:rFonts w:ascii="Times New Roman" w:eastAsia="Times New Roman" w:hAnsi="Times New Roman" w:cs="Times New Roman"/>
          <w:color w:val="000000"/>
          <w:lang w:val="en-US"/>
        </w:rPr>
        <w:t xml:space="preserve"> available</w:t>
      </w:r>
      <w:r w:rsidR="00313592">
        <w:rPr>
          <w:rFonts w:ascii="Times New Roman" w:eastAsia="Times New Roman" w:hAnsi="Times New Roman" w:cs="Times New Roman"/>
          <w:color w:val="000000"/>
          <w:lang w:val="en-US"/>
        </w:rPr>
        <w:t xml:space="preserve"> legal toolkit to ensure that the nullification of the</w:t>
      </w:r>
      <w:r w:rsidR="001B3E46">
        <w:rPr>
          <w:rFonts w:ascii="Times New Roman" w:eastAsia="Times New Roman" w:hAnsi="Times New Roman" w:cs="Times New Roman"/>
          <w:color w:val="000000"/>
          <w:lang w:val="en-US"/>
        </w:rPr>
        <w:t xml:space="preserve"> Union</w:t>
      </w:r>
      <w:r w:rsidR="00313592">
        <w:rPr>
          <w:rFonts w:ascii="Times New Roman" w:eastAsia="Times New Roman" w:hAnsi="Times New Roman" w:cs="Times New Roman"/>
          <w:color w:val="000000"/>
          <w:lang w:val="en-US"/>
        </w:rPr>
        <w:t xml:space="preserve"> foundational values </w:t>
      </w:r>
      <w:r w:rsidR="00196D85">
        <w:rPr>
          <w:rFonts w:ascii="Times New Roman" w:eastAsia="Times New Roman" w:hAnsi="Times New Roman" w:cs="Times New Roman"/>
          <w:color w:val="000000"/>
          <w:lang w:val="en-US"/>
        </w:rPr>
        <w:t>is not</w:t>
      </w:r>
      <w:r w:rsidR="00313592">
        <w:rPr>
          <w:rFonts w:ascii="Times New Roman" w:eastAsia="Times New Roman" w:hAnsi="Times New Roman" w:cs="Times New Roman"/>
          <w:color w:val="000000"/>
          <w:lang w:val="en-US"/>
        </w:rPr>
        <w:t xml:space="preserve"> successful.</w:t>
      </w:r>
    </w:p>
    <w:p w14:paraId="71E0FE4D" w14:textId="17511B4A" w:rsidR="00997DE5" w:rsidRPr="00850307" w:rsidRDefault="00850307" w:rsidP="00850307">
      <w:pPr>
        <w:spacing w:line="480" w:lineRule="auto"/>
        <w:ind w:firstLine="720"/>
        <w:jc w:val="both"/>
        <w:rPr>
          <w:rFonts w:ascii="Times New Roman" w:eastAsia="Times New Roman" w:hAnsi="Times New Roman" w:cs="Times New Roman"/>
          <w:color w:val="000000"/>
          <w:lang w:val="en-US"/>
        </w:rPr>
      </w:pPr>
      <w:r>
        <w:rPr>
          <w:rFonts w:ascii="Times New Roman" w:eastAsia="Arial Unicode MS" w:hAnsi="Times New Roman" w:cs="Times New Roman"/>
          <w:color w:val="000000"/>
          <w:u w:color="000000"/>
          <w:bdr w:val="nil"/>
          <w:lang w:val="en-US" w:eastAsia="it-IT"/>
        </w:rPr>
        <w:t>T</w:t>
      </w:r>
      <w:r w:rsidR="00997DE5" w:rsidRPr="00486DF6">
        <w:rPr>
          <w:rFonts w:ascii="Times New Roman" w:eastAsia="Arial Unicode MS" w:hAnsi="Times New Roman" w:cs="Times New Roman"/>
          <w:color w:val="000000"/>
          <w:u w:color="000000"/>
          <w:bdr w:val="nil"/>
          <w:lang w:val="en-US" w:eastAsia="it-IT"/>
        </w:rPr>
        <w:t>he approval of measures</w:t>
      </w:r>
      <w:r>
        <w:rPr>
          <w:rFonts w:ascii="Times New Roman" w:eastAsia="Arial Unicode MS" w:hAnsi="Times New Roman" w:cs="Times New Roman"/>
          <w:color w:val="000000"/>
          <w:u w:color="000000"/>
          <w:bdr w:val="nil"/>
          <w:lang w:val="en-US" w:eastAsia="it-IT"/>
        </w:rPr>
        <w:t xml:space="preserve"> in Poland and Hungary</w:t>
      </w:r>
      <w:r w:rsidR="00997DE5" w:rsidRPr="00486DF6">
        <w:rPr>
          <w:rFonts w:ascii="Times New Roman" w:eastAsia="Arial Unicode MS" w:hAnsi="Times New Roman" w:cs="Times New Roman"/>
          <w:color w:val="000000"/>
          <w:u w:color="000000"/>
          <w:bdr w:val="nil"/>
          <w:lang w:val="en-US" w:eastAsia="it-IT"/>
        </w:rPr>
        <w:t xml:space="preserve"> that attack the independence of the judiciary, </w:t>
      </w:r>
      <w:r w:rsidRPr="00486DF6">
        <w:rPr>
          <w:rFonts w:ascii="Times New Roman" w:eastAsia="Arial Unicode MS" w:hAnsi="Times New Roman" w:cs="Times New Roman"/>
          <w:color w:val="000000"/>
          <w:u w:color="000000"/>
          <w:bdr w:val="nil"/>
          <w:lang w:val="en-US" w:eastAsia="it-IT"/>
        </w:rPr>
        <w:t>centralize</w:t>
      </w:r>
      <w:r w:rsidR="00997DE5" w:rsidRPr="00486DF6">
        <w:rPr>
          <w:rFonts w:ascii="Times New Roman" w:eastAsia="Arial Unicode MS" w:hAnsi="Times New Roman" w:cs="Times New Roman"/>
          <w:color w:val="000000"/>
          <w:u w:color="000000"/>
          <w:bdr w:val="nil"/>
          <w:lang w:val="en-US" w:eastAsia="it-IT"/>
        </w:rPr>
        <w:t xml:space="preserve"> the power of the executives in office</w:t>
      </w:r>
      <w:r w:rsidR="004C1427" w:rsidRPr="00486DF6">
        <w:rPr>
          <w:rFonts w:ascii="Times New Roman" w:eastAsia="Arial Unicode MS" w:hAnsi="Times New Roman" w:cs="Times New Roman"/>
          <w:color w:val="000000"/>
          <w:u w:color="000000"/>
          <w:bdr w:val="nil"/>
          <w:lang w:val="en-US" w:eastAsia="it-IT"/>
        </w:rPr>
        <w:t>,</w:t>
      </w:r>
      <w:r w:rsidR="00997DE5" w:rsidRPr="00486DF6">
        <w:rPr>
          <w:rFonts w:ascii="Times New Roman" w:eastAsia="Arial Unicode MS" w:hAnsi="Times New Roman" w:cs="Times New Roman"/>
          <w:color w:val="000000"/>
          <w:u w:color="000000"/>
          <w:bdr w:val="nil"/>
          <w:lang w:val="en-US" w:eastAsia="it-IT"/>
        </w:rPr>
        <w:t xml:space="preserve"> restrict the freedom of the press and close universities</w:t>
      </w:r>
      <w:r>
        <w:rPr>
          <w:rFonts w:ascii="Times New Roman" w:eastAsia="Arial Unicode MS" w:hAnsi="Times New Roman" w:cs="Times New Roman"/>
          <w:color w:val="000000"/>
          <w:u w:color="000000"/>
          <w:bdr w:val="nil"/>
          <w:lang w:val="en-US" w:eastAsia="it-IT"/>
        </w:rPr>
        <w:t xml:space="preserve"> </w:t>
      </w:r>
      <w:r w:rsidR="00A242DD">
        <w:rPr>
          <w:rFonts w:ascii="Times New Roman" w:eastAsia="Arial Unicode MS" w:hAnsi="Times New Roman" w:cs="Times New Roman"/>
          <w:color w:val="000000"/>
          <w:u w:color="000000"/>
          <w:bdr w:val="nil"/>
          <w:lang w:val="en-US" w:eastAsia="it-IT"/>
        </w:rPr>
        <w:t>represents</w:t>
      </w:r>
      <w:r w:rsidR="008F0125">
        <w:rPr>
          <w:rFonts w:ascii="Times New Roman" w:eastAsia="Arial Unicode MS" w:hAnsi="Times New Roman" w:cs="Times New Roman"/>
          <w:color w:val="000000"/>
          <w:u w:color="000000"/>
          <w:bdr w:val="nil"/>
          <w:lang w:val="en-US" w:eastAsia="it-IT"/>
        </w:rPr>
        <w:t xml:space="preserve"> a threat to</w:t>
      </w:r>
      <w:r w:rsidRPr="00486DF6">
        <w:rPr>
          <w:rFonts w:ascii="Times New Roman" w:eastAsia="Arial Unicode MS" w:hAnsi="Times New Roman" w:cs="Times New Roman"/>
          <w:color w:val="000000"/>
          <w:u w:color="000000"/>
          <w:bdr w:val="nil"/>
          <w:lang w:val="en-US" w:eastAsia="it-IT"/>
        </w:rPr>
        <w:t xml:space="preserve"> the EU values enshrined in Article 2 TEU</w:t>
      </w:r>
      <w:r w:rsidR="00997DE5" w:rsidRPr="00486DF6">
        <w:rPr>
          <w:rFonts w:ascii="Times New Roman" w:eastAsia="Arial Unicode MS" w:hAnsi="Times New Roman" w:cs="Times New Roman"/>
          <w:color w:val="000000"/>
          <w:u w:color="000000"/>
          <w:bdr w:val="nil"/>
          <w:lang w:val="en-US" w:eastAsia="it-IT"/>
        </w:rPr>
        <w:t>.</w:t>
      </w:r>
      <w:r w:rsidR="00997DE5" w:rsidRPr="00486DF6">
        <w:rPr>
          <w:rFonts w:ascii="Times New Roman" w:eastAsia="Arial Unicode MS" w:hAnsi="Times New Roman" w:cs="Times New Roman"/>
          <w:color w:val="000000"/>
          <w:u w:color="000000"/>
          <w:bdr w:val="nil"/>
          <w:vertAlign w:val="superscript"/>
          <w:lang w:val="en-US" w:eastAsia="it-IT"/>
        </w:rPr>
        <w:footnoteReference w:id="88"/>
      </w:r>
      <w:r w:rsidR="00997DE5" w:rsidRPr="00486DF6">
        <w:rPr>
          <w:rFonts w:ascii="Times New Roman" w:eastAsia="Arial Unicode MS" w:hAnsi="Times New Roman" w:cs="Times New Roman"/>
          <w:color w:val="000000"/>
          <w:u w:color="000000"/>
          <w:bdr w:val="nil"/>
          <w:lang w:val="en-US" w:eastAsia="it-IT"/>
        </w:rPr>
        <w:t xml:space="preserve"> </w:t>
      </w:r>
      <w:r>
        <w:rPr>
          <w:rFonts w:ascii="Times New Roman" w:eastAsia="Times New Roman" w:hAnsi="Times New Roman" w:cs="Times New Roman"/>
          <w:color w:val="000000"/>
          <w:lang w:val="en-US"/>
        </w:rPr>
        <w:t xml:space="preserve"> </w:t>
      </w:r>
      <w:r w:rsidR="00997DE5" w:rsidRPr="00486DF6">
        <w:rPr>
          <w:rFonts w:ascii="Times New Roman" w:eastAsia="Arial Unicode MS" w:hAnsi="Times New Roman" w:cs="Times New Roman"/>
          <w:color w:val="000000"/>
          <w:u w:color="000000"/>
          <w:bdr w:val="nil"/>
          <w:lang w:val="en-US" w:eastAsia="it-IT"/>
        </w:rPr>
        <w:t>Article 7 TEU provides for the possibility of sanctions</w:t>
      </w:r>
      <w:r w:rsidR="003130D9">
        <w:rPr>
          <w:rFonts w:ascii="Times New Roman" w:eastAsia="Arial Unicode MS" w:hAnsi="Times New Roman" w:cs="Times New Roman"/>
          <w:color w:val="000000"/>
          <w:u w:color="000000"/>
          <w:bdr w:val="nil"/>
          <w:lang w:val="en-US" w:eastAsia="it-IT"/>
        </w:rPr>
        <w:t xml:space="preserve"> in cases of </w:t>
      </w:r>
      <w:r w:rsidR="003130D9" w:rsidRPr="00486DF6">
        <w:rPr>
          <w:rFonts w:ascii="Times New Roman" w:eastAsia="Arial Unicode MS" w:hAnsi="Times New Roman" w:cs="Times New Roman"/>
          <w:color w:val="000000"/>
          <w:u w:color="000000"/>
          <w:bdr w:val="nil"/>
          <w:lang w:val="en-US" w:eastAsia="it-IT"/>
        </w:rPr>
        <w:t>serious and persistent breach</w:t>
      </w:r>
      <w:r w:rsidR="003130D9">
        <w:rPr>
          <w:rFonts w:ascii="Times New Roman" w:eastAsia="Arial Unicode MS" w:hAnsi="Times New Roman" w:cs="Times New Roman"/>
          <w:color w:val="000000"/>
          <w:u w:color="000000"/>
          <w:bdr w:val="nil"/>
          <w:lang w:val="en-US" w:eastAsia="it-IT"/>
        </w:rPr>
        <w:t>es</w:t>
      </w:r>
      <w:r w:rsidR="003130D9" w:rsidRPr="00486DF6">
        <w:rPr>
          <w:rFonts w:ascii="Times New Roman" w:eastAsia="Arial Unicode MS" w:hAnsi="Times New Roman" w:cs="Times New Roman"/>
          <w:color w:val="000000"/>
          <w:u w:color="000000"/>
          <w:bdr w:val="nil"/>
          <w:lang w:val="en-US" w:eastAsia="it-IT"/>
        </w:rPr>
        <w:t xml:space="preserve"> </w:t>
      </w:r>
      <w:r w:rsidR="003130D9">
        <w:rPr>
          <w:rFonts w:ascii="Times New Roman" w:eastAsia="Arial Unicode MS" w:hAnsi="Times New Roman" w:cs="Times New Roman"/>
          <w:color w:val="000000"/>
          <w:u w:color="000000"/>
          <w:bdr w:val="nil"/>
          <w:lang w:val="en-US" w:eastAsia="it-IT"/>
        </w:rPr>
        <w:t>to the Article 2 TEU foundational values</w:t>
      </w:r>
      <w:r w:rsidR="00997DE5" w:rsidRPr="00486DF6">
        <w:rPr>
          <w:rFonts w:ascii="Times New Roman" w:eastAsia="Arial Unicode MS" w:hAnsi="Times New Roman" w:cs="Times New Roman"/>
          <w:color w:val="000000"/>
          <w:u w:color="000000"/>
          <w:bdr w:val="nil"/>
          <w:lang w:val="en-US" w:eastAsia="it-IT"/>
        </w:rPr>
        <w:t xml:space="preserve">, following a complicated procedure. </w:t>
      </w:r>
      <w:r w:rsidR="003130D9">
        <w:rPr>
          <w:rFonts w:ascii="Times New Roman" w:eastAsia="Arial Unicode MS" w:hAnsi="Times New Roman" w:cs="Times New Roman"/>
          <w:color w:val="000000"/>
          <w:u w:color="000000"/>
          <w:bdr w:val="nil"/>
          <w:lang w:val="en-US" w:eastAsia="it-IT"/>
        </w:rPr>
        <w:t>And although</w:t>
      </w:r>
      <w:r w:rsidR="00997DE5" w:rsidRPr="00486DF6">
        <w:rPr>
          <w:rFonts w:ascii="Times New Roman" w:eastAsia="Arial Unicode MS" w:hAnsi="Times New Roman" w:cs="Times New Roman"/>
          <w:color w:val="000000"/>
          <w:u w:color="000000"/>
          <w:bdr w:val="nil"/>
          <w:lang w:val="en-US" w:eastAsia="it-IT"/>
        </w:rPr>
        <w:t xml:space="preserve"> Article 7 TEU has </w:t>
      </w:r>
      <w:r w:rsidR="003130D9">
        <w:rPr>
          <w:rFonts w:ascii="Times New Roman" w:eastAsia="Arial Unicode MS" w:hAnsi="Times New Roman" w:cs="Times New Roman"/>
          <w:color w:val="000000"/>
          <w:u w:color="000000"/>
          <w:bdr w:val="nil"/>
          <w:lang w:val="en-US" w:eastAsia="it-IT"/>
        </w:rPr>
        <w:t>proven</w:t>
      </w:r>
      <w:r w:rsidR="00997DE5" w:rsidRPr="00486DF6">
        <w:rPr>
          <w:rFonts w:ascii="Times New Roman" w:eastAsia="Arial Unicode MS" w:hAnsi="Times New Roman" w:cs="Times New Roman"/>
          <w:color w:val="000000"/>
          <w:u w:color="000000"/>
          <w:bdr w:val="nil"/>
          <w:lang w:val="en-US" w:eastAsia="it-IT"/>
        </w:rPr>
        <w:t xml:space="preserve"> </w:t>
      </w:r>
      <w:r w:rsidR="00E109E9" w:rsidRPr="00486DF6">
        <w:rPr>
          <w:rFonts w:ascii="Times New Roman" w:eastAsia="Arial Unicode MS" w:hAnsi="Times New Roman" w:cs="Times New Roman"/>
          <w:color w:val="000000"/>
          <w:u w:color="000000"/>
          <w:bdr w:val="nil"/>
          <w:lang w:val="en-US" w:eastAsia="it-IT"/>
        </w:rPr>
        <w:t xml:space="preserve">ineffective </w:t>
      </w:r>
      <w:r w:rsidR="00997DE5" w:rsidRPr="00486DF6">
        <w:rPr>
          <w:rFonts w:ascii="Times New Roman" w:eastAsia="Arial Unicode MS" w:hAnsi="Times New Roman" w:cs="Times New Roman"/>
          <w:color w:val="000000"/>
          <w:u w:color="000000"/>
          <w:bdr w:val="nil"/>
          <w:lang w:val="en-US" w:eastAsia="it-IT"/>
        </w:rPr>
        <w:t>so far, the CJ</w:t>
      </w:r>
      <w:r>
        <w:rPr>
          <w:rFonts w:ascii="Times New Roman" w:eastAsia="Arial Unicode MS" w:hAnsi="Times New Roman" w:cs="Times New Roman"/>
          <w:color w:val="000000"/>
          <w:u w:color="000000"/>
          <w:bdr w:val="nil"/>
          <w:lang w:val="en-US" w:eastAsia="it-IT"/>
        </w:rPr>
        <w:t>EU</w:t>
      </w:r>
      <w:r w:rsidR="00997DE5" w:rsidRPr="00486DF6">
        <w:rPr>
          <w:rFonts w:ascii="Times New Roman" w:eastAsia="Arial Unicode MS" w:hAnsi="Times New Roman" w:cs="Times New Roman"/>
          <w:color w:val="000000"/>
          <w:u w:color="000000"/>
          <w:bdr w:val="nil"/>
          <w:lang w:val="en-US" w:eastAsia="it-IT"/>
        </w:rPr>
        <w:t xml:space="preserve"> has </w:t>
      </w:r>
      <w:r w:rsidR="003130D9">
        <w:rPr>
          <w:rFonts w:ascii="Times New Roman" w:eastAsia="Arial Unicode MS" w:hAnsi="Times New Roman" w:cs="Times New Roman"/>
          <w:color w:val="000000"/>
          <w:u w:color="000000"/>
          <w:bdr w:val="nil"/>
          <w:lang w:val="en-US" w:eastAsia="it-IT"/>
        </w:rPr>
        <w:t xml:space="preserve">managed to </w:t>
      </w:r>
      <w:r w:rsidR="00997DE5" w:rsidRPr="00486DF6">
        <w:rPr>
          <w:rFonts w:ascii="Times New Roman" w:eastAsia="Arial Unicode MS" w:hAnsi="Times New Roman" w:cs="Times New Roman"/>
          <w:color w:val="000000"/>
          <w:u w:color="000000"/>
          <w:bdr w:val="nil"/>
          <w:lang w:val="en-US" w:eastAsia="it-IT"/>
        </w:rPr>
        <w:t>remed</w:t>
      </w:r>
      <w:r w:rsidR="003130D9">
        <w:rPr>
          <w:rFonts w:ascii="Times New Roman" w:eastAsia="Arial Unicode MS" w:hAnsi="Times New Roman" w:cs="Times New Roman"/>
          <w:color w:val="000000"/>
          <w:u w:color="000000"/>
          <w:bdr w:val="nil"/>
          <w:lang w:val="en-US" w:eastAsia="it-IT"/>
        </w:rPr>
        <w:t>y this</w:t>
      </w:r>
      <w:r w:rsidR="00997DE5" w:rsidRPr="00486DF6">
        <w:rPr>
          <w:rFonts w:ascii="Times New Roman" w:eastAsia="Arial Unicode MS" w:hAnsi="Times New Roman" w:cs="Times New Roman"/>
          <w:color w:val="000000"/>
          <w:u w:color="000000"/>
          <w:bdr w:val="nil"/>
          <w:lang w:val="en-US" w:eastAsia="it-IT"/>
        </w:rPr>
        <w:t xml:space="preserve"> by adapting the infringement procedure to comply with cases of violation of values.</w:t>
      </w:r>
      <w:r w:rsidR="00997DE5" w:rsidRPr="00486DF6">
        <w:rPr>
          <w:rFonts w:ascii="Times New Roman" w:eastAsia="Arial Unicode MS" w:hAnsi="Times New Roman" w:cs="Times New Roman"/>
          <w:color w:val="000000"/>
          <w:u w:color="000000"/>
          <w:bdr w:val="nil"/>
          <w:vertAlign w:val="superscript"/>
          <w:lang w:val="en-US" w:eastAsia="it-IT"/>
        </w:rPr>
        <w:footnoteReference w:id="89"/>
      </w:r>
      <w:r w:rsidR="00997DE5" w:rsidRPr="00486DF6">
        <w:rPr>
          <w:rFonts w:ascii="Times New Roman" w:eastAsia="Arial Unicode MS" w:hAnsi="Times New Roman" w:cs="Times New Roman"/>
          <w:color w:val="000000"/>
          <w:u w:color="000000"/>
          <w:bdr w:val="nil"/>
          <w:lang w:val="en-US" w:eastAsia="it-IT"/>
        </w:rPr>
        <w:t xml:space="preserve"> Thanks to this, the CJ</w:t>
      </w:r>
      <w:r>
        <w:rPr>
          <w:rFonts w:ascii="Times New Roman" w:eastAsia="Arial Unicode MS" w:hAnsi="Times New Roman" w:cs="Times New Roman"/>
          <w:color w:val="000000"/>
          <w:u w:color="000000"/>
          <w:bdr w:val="nil"/>
          <w:lang w:val="en-US" w:eastAsia="it-IT"/>
        </w:rPr>
        <w:t>EU</w:t>
      </w:r>
      <w:r w:rsidR="00997DE5" w:rsidRPr="00486DF6">
        <w:rPr>
          <w:rFonts w:ascii="Times New Roman" w:eastAsia="Arial Unicode MS" w:hAnsi="Times New Roman" w:cs="Times New Roman"/>
          <w:color w:val="000000"/>
          <w:u w:color="000000"/>
          <w:bdr w:val="nil"/>
          <w:lang w:val="en-US" w:eastAsia="it-IT"/>
        </w:rPr>
        <w:t xml:space="preserve"> has recogni</w:t>
      </w:r>
      <w:r>
        <w:rPr>
          <w:rFonts w:ascii="Times New Roman" w:eastAsia="Arial Unicode MS" w:hAnsi="Times New Roman" w:cs="Times New Roman"/>
          <w:color w:val="000000"/>
          <w:u w:color="000000"/>
          <w:bdr w:val="nil"/>
          <w:lang w:val="en-US" w:eastAsia="it-IT"/>
        </w:rPr>
        <w:t>z</w:t>
      </w:r>
      <w:r w:rsidR="00997DE5" w:rsidRPr="00486DF6">
        <w:rPr>
          <w:rFonts w:ascii="Times New Roman" w:eastAsia="Arial Unicode MS" w:hAnsi="Times New Roman" w:cs="Times New Roman"/>
          <w:color w:val="000000"/>
          <w:u w:color="000000"/>
          <w:bdr w:val="nil"/>
          <w:lang w:val="en-US" w:eastAsia="it-IT"/>
        </w:rPr>
        <w:t>ed the breach of EU values committed by Poland, Hungary and other countries in many cases.</w:t>
      </w:r>
      <w:r w:rsidR="00E109E9" w:rsidRPr="00486DF6">
        <w:rPr>
          <w:rFonts w:ascii="Times New Roman" w:eastAsia="Times New Roman" w:hAnsi="Times New Roman" w:cs="Times New Roman"/>
          <w:color w:val="000000"/>
          <w:u w:color="000000"/>
          <w:bdr w:val="nil"/>
          <w:vertAlign w:val="superscript"/>
          <w:lang w:val="en-US" w:eastAsia="it-IT"/>
        </w:rPr>
        <w:footnoteReference w:id="90"/>
      </w:r>
      <w:r w:rsidR="00997DE5" w:rsidRPr="00486DF6">
        <w:rPr>
          <w:rFonts w:ascii="Times New Roman" w:eastAsia="Arial Unicode MS" w:hAnsi="Times New Roman" w:cs="Times New Roman"/>
          <w:color w:val="000000"/>
          <w:u w:color="000000"/>
          <w:bdr w:val="nil"/>
          <w:lang w:val="en-US" w:eastAsia="it-IT"/>
        </w:rPr>
        <w:t xml:space="preserve"> In other cases, originating from preliminary ruling </w:t>
      </w:r>
      <w:r w:rsidR="00A87AB2">
        <w:rPr>
          <w:rFonts w:ascii="Times New Roman" w:eastAsia="Arial Unicode MS" w:hAnsi="Times New Roman" w:cs="Times New Roman"/>
          <w:color w:val="000000"/>
          <w:u w:color="000000"/>
          <w:bdr w:val="nil"/>
          <w:lang w:val="en-US" w:eastAsia="it-IT"/>
        </w:rPr>
        <w:t>references under Article 267 TFEU</w:t>
      </w:r>
      <w:r w:rsidR="00997DE5" w:rsidRPr="00486DF6">
        <w:rPr>
          <w:rFonts w:ascii="Times New Roman" w:eastAsia="Arial Unicode MS" w:hAnsi="Times New Roman" w:cs="Times New Roman"/>
          <w:color w:val="000000"/>
          <w:u w:color="000000"/>
          <w:bdr w:val="nil"/>
          <w:lang w:val="en-US" w:eastAsia="it-IT"/>
        </w:rPr>
        <w:t>, the CJ</w:t>
      </w:r>
      <w:r w:rsidR="00BE29B9">
        <w:rPr>
          <w:rFonts w:ascii="Times New Roman" w:eastAsia="Arial Unicode MS" w:hAnsi="Times New Roman" w:cs="Times New Roman"/>
          <w:color w:val="000000"/>
          <w:u w:color="000000"/>
          <w:bdr w:val="nil"/>
          <w:lang w:val="en-US" w:eastAsia="it-IT"/>
        </w:rPr>
        <w:t>EU</w:t>
      </w:r>
      <w:r w:rsidR="00997DE5" w:rsidRPr="00486DF6">
        <w:rPr>
          <w:rFonts w:ascii="Times New Roman" w:eastAsia="Arial Unicode MS" w:hAnsi="Times New Roman" w:cs="Times New Roman"/>
          <w:color w:val="000000"/>
          <w:u w:color="000000"/>
          <w:bdr w:val="nil"/>
          <w:lang w:val="en-US" w:eastAsia="it-IT"/>
        </w:rPr>
        <w:t xml:space="preserve"> </w:t>
      </w:r>
      <w:r w:rsidR="00CA3EE0" w:rsidRPr="00486DF6">
        <w:rPr>
          <w:rFonts w:ascii="Times New Roman" w:eastAsia="Arial Unicode MS" w:hAnsi="Times New Roman" w:cs="Times New Roman"/>
          <w:color w:val="000000"/>
          <w:u w:color="000000"/>
          <w:bdr w:val="nil"/>
          <w:lang w:val="en-US" w:eastAsia="it-IT"/>
        </w:rPr>
        <w:t>recognized</w:t>
      </w:r>
      <w:r w:rsidR="00997DE5" w:rsidRPr="00486DF6">
        <w:rPr>
          <w:rFonts w:ascii="Times New Roman" w:eastAsia="Arial Unicode MS" w:hAnsi="Times New Roman" w:cs="Times New Roman"/>
          <w:color w:val="000000"/>
          <w:u w:color="000000"/>
          <w:bdr w:val="nil"/>
          <w:lang w:val="en-US" w:eastAsia="it-IT"/>
        </w:rPr>
        <w:t xml:space="preserve"> the conflict between EU law and national measures as </w:t>
      </w:r>
      <w:r w:rsidR="00CA3EE0" w:rsidRPr="00486DF6">
        <w:rPr>
          <w:rFonts w:ascii="Times New Roman" w:eastAsia="Arial Unicode MS" w:hAnsi="Times New Roman" w:cs="Times New Roman"/>
          <w:color w:val="000000"/>
          <w:u w:color="000000"/>
          <w:bdr w:val="nil"/>
          <w:lang w:val="en-US" w:eastAsia="it-IT"/>
        </w:rPr>
        <w:t>jeopardizing</w:t>
      </w:r>
      <w:r w:rsidR="00997DE5" w:rsidRPr="00486DF6">
        <w:rPr>
          <w:rFonts w:ascii="Times New Roman" w:eastAsia="Arial Unicode MS" w:hAnsi="Times New Roman" w:cs="Times New Roman"/>
          <w:color w:val="000000"/>
          <w:u w:color="000000"/>
          <w:bdr w:val="nil"/>
          <w:lang w:val="en-US" w:eastAsia="it-IT"/>
        </w:rPr>
        <w:t xml:space="preserve"> the independence </w:t>
      </w:r>
      <w:r w:rsidR="00997DE5" w:rsidRPr="00486DF6">
        <w:rPr>
          <w:rFonts w:ascii="Times New Roman" w:eastAsia="Arial Unicode MS" w:hAnsi="Times New Roman" w:cs="Times New Roman"/>
          <w:color w:val="000000"/>
          <w:u w:color="000000"/>
          <w:bdr w:val="nil"/>
          <w:lang w:val="en-US" w:eastAsia="it-IT"/>
        </w:rPr>
        <w:lastRenderedPageBreak/>
        <w:t xml:space="preserve">of the judiciary by confirming the </w:t>
      </w:r>
      <w:r w:rsidR="00A87AB2">
        <w:rPr>
          <w:rFonts w:ascii="Times New Roman" w:eastAsia="Arial Unicode MS" w:hAnsi="Times New Roman" w:cs="Times New Roman"/>
          <w:color w:val="000000"/>
          <w:u w:color="000000"/>
          <w:bdr w:val="nil"/>
          <w:lang w:val="en-US" w:eastAsia="it-IT"/>
        </w:rPr>
        <w:t>importance</w:t>
      </w:r>
      <w:r w:rsidR="00997DE5" w:rsidRPr="00486DF6">
        <w:rPr>
          <w:rFonts w:ascii="Times New Roman" w:eastAsia="Arial Unicode MS" w:hAnsi="Times New Roman" w:cs="Times New Roman"/>
          <w:color w:val="000000"/>
          <w:u w:color="000000"/>
          <w:bdr w:val="nil"/>
          <w:lang w:val="en-US" w:eastAsia="it-IT"/>
        </w:rPr>
        <w:t xml:space="preserve"> of EU law in the preservation of constitutional values and safeguards.</w:t>
      </w:r>
      <w:r w:rsidR="00997DE5" w:rsidRPr="00486DF6">
        <w:rPr>
          <w:rFonts w:ascii="Times New Roman" w:eastAsia="Times New Roman" w:hAnsi="Times New Roman" w:cs="Times New Roman"/>
          <w:color w:val="000000"/>
          <w:u w:color="000000"/>
          <w:bdr w:val="nil"/>
          <w:vertAlign w:val="superscript"/>
          <w:lang w:val="en-US" w:eastAsia="it-IT"/>
        </w:rPr>
        <w:footnoteReference w:id="91"/>
      </w:r>
    </w:p>
    <w:p w14:paraId="3D3D924A" w14:textId="77777777" w:rsidR="0048781C" w:rsidRDefault="00CA3EE0" w:rsidP="00A87AB2">
      <w:pPr>
        <w:pBdr>
          <w:top w:val="nil"/>
          <w:left w:val="nil"/>
          <w:bottom w:val="nil"/>
          <w:right w:val="nil"/>
          <w:between w:val="nil"/>
          <w:bar w:val="nil"/>
        </w:pBdr>
        <w:spacing w:line="480" w:lineRule="auto"/>
        <w:ind w:firstLine="720"/>
        <w:jc w:val="both"/>
        <w:rPr>
          <w:rFonts w:ascii="Times New Roman" w:eastAsia="Times New Roman" w:hAnsi="Times New Roman" w:cs="Times New Roman"/>
          <w:color w:val="000000"/>
          <w:lang w:val="en-US"/>
        </w:rPr>
      </w:pPr>
      <w:r>
        <w:rPr>
          <w:rFonts w:ascii="Times New Roman" w:eastAsia="Arial Unicode MS" w:hAnsi="Times New Roman" w:cs="Times New Roman"/>
          <w:color w:val="000000"/>
          <w:u w:color="000000"/>
          <w:bdr w:val="nil"/>
          <w:lang w:val="en-US" w:eastAsia="it-IT"/>
        </w:rPr>
        <w:t>Captured by political power, t</w:t>
      </w:r>
      <w:r w:rsidR="00997DE5" w:rsidRPr="00486DF6">
        <w:rPr>
          <w:rFonts w:ascii="Times New Roman" w:eastAsia="Arial Unicode MS" w:hAnsi="Times New Roman" w:cs="Times New Roman"/>
          <w:color w:val="000000"/>
          <w:u w:color="000000"/>
          <w:bdr w:val="nil"/>
          <w:lang w:val="en-US" w:eastAsia="it-IT"/>
        </w:rPr>
        <w:t>he constitutional courts of these countries</w:t>
      </w:r>
      <w:r w:rsidR="003F55FF" w:rsidRPr="00486DF6">
        <w:rPr>
          <w:rFonts w:ascii="Times New Roman" w:eastAsia="Arial Unicode MS" w:hAnsi="Times New Roman" w:cs="Times New Roman"/>
          <w:color w:val="000000"/>
          <w:u w:color="000000"/>
          <w:bdr w:val="nil"/>
          <w:lang w:val="en-US" w:eastAsia="it-IT"/>
        </w:rPr>
        <w:t xml:space="preserve"> have</w:t>
      </w:r>
      <w:r w:rsidR="00997DE5" w:rsidRPr="00486DF6">
        <w:rPr>
          <w:rFonts w:ascii="Times New Roman" w:eastAsia="Arial Unicode MS" w:hAnsi="Times New Roman" w:cs="Times New Roman"/>
          <w:color w:val="000000"/>
          <w:u w:color="000000"/>
          <w:bdr w:val="nil"/>
          <w:lang w:val="en-US" w:eastAsia="it-IT"/>
        </w:rPr>
        <w:t xml:space="preserve"> </w:t>
      </w:r>
      <w:r w:rsidR="00A87AB2">
        <w:rPr>
          <w:rFonts w:ascii="Times New Roman" w:eastAsia="Arial Unicode MS" w:hAnsi="Times New Roman" w:cs="Times New Roman"/>
          <w:color w:val="000000"/>
          <w:u w:color="000000"/>
          <w:bdr w:val="nil"/>
          <w:lang w:val="en-US" w:eastAsia="it-IT"/>
        </w:rPr>
        <w:t>been</w:t>
      </w:r>
      <w:r w:rsidR="003F55FF" w:rsidRPr="00486DF6">
        <w:rPr>
          <w:rFonts w:ascii="Times New Roman" w:eastAsia="Arial Unicode MS" w:hAnsi="Times New Roman" w:cs="Times New Roman"/>
          <w:color w:val="000000"/>
          <w:u w:color="000000"/>
          <w:bdr w:val="nil"/>
          <w:lang w:val="en-US" w:eastAsia="it-IT"/>
        </w:rPr>
        <w:t xml:space="preserve"> </w:t>
      </w:r>
      <w:r w:rsidR="00997DE5" w:rsidRPr="00486DF6">
        <w:rPr>
          <w:rFonts w:ascii="Times New Roman" w:eastAsia="Arial Unicode MS" w:hAnsi="Times New Roman" w:cs="Times New Roman"/>
          <w:color w:val="000000"/>
          <w:u w:color="000000"/>
          <w:bdr w:val="nil"/>
          <w:lang w:val="en-US" w:eastAsia="it-IT"/>
        </w:rPr>
        <w:t>questioning</w:t>
      </w:r>
      <w:r w:rsidR="003F55FF" w:rsidRPr="00486DF6">
        <w:rPr>
          <w:rFonts w:ascii="Times New Roman" w:eastAsia="Arial Unicode MS" w:hAnsi="Times New Roman" w:cs="Times New Roman"/>
          <w:color w:val="000000"/>
          <w:u w:color="000000"/>
          <w:bdr w:val="nil"/>
          <w:lang w:val="en-US" w:eastAsia="it-IT"/>
        </w:rPr>
        <w:t xml:space="preserve"> </w:t>
      </w:r>
      <w:r w:rsidR="00997DE5" w:rsidRPr="00486DF6">
        <w:rPr>
          <w:rFonts w:ascii="Times New Roman" w:eastAsia="Arial Unicode MS" w:hAnsi="Times New Roman" w:cs="Times New Roman"/>
          <w:color w:val="000000"/>
          <w:u w:color="000000"/>
          <w:bdr w:val="nil"/>
          <w:lang w:val="en-US" w:eastAsia="it-IT"/>
        </w:rPr>
        <w:t xml:space="preserve">the legitimacy of the European integration process by borrowing judicial doctrines invented </w:t>
      </w:r>
      <w:r w:rsidR="00A87AB2">
        <w:rPr>
          <w:rFonts w:ascii="Times New Roman" w:eastAsia="Arial Unicode MS" w:hAnsi="Times New Roman" w:cs="Times New Roman"/>
          <w:color w:val="000000"/>
          <w:u w:color="000000"/>
          <w:bdr w:val="nil"/>
          <w:lang w:val="en-US" w:eastAsia="it-IT"/>
        </w:rPr>
        <w:t>in</w:t>
      </w:r>
      <w:r w:rsidR="00997DE5" w:rsidRPr="00486DF6">
        <w:rPr>
          <w:rFonts w:ascii="Times New Roman" w:eastAsia="Arial Unicode MS" w:hAnsi="Times New Roman" w:cs="Times New Roman"/>
          <w:color w:val="000000"/>
          <w:u w:color="000000"/>
          <w:bdr w:val="nil"/>
          <w:lang w:val="en-US" w:eastAsia="it-IT"/>
        </w:rPr>
        <w:t xml:space="preserve"> German case law. </w:t>
      </w:r>
      <w:r w:rsidR="00A87AB2">
        <w:rPr>
          <w:rFonts w:ascii="Times New Roman" w:eastAsia="Arial Unicode MS" w:hAnsi="Times New Roman" w:cs="Times New Roman"/>
          <w:color w:val="000000"/>
          <w:u w:color="000000"/>
          <w:bdr w:val="nil"/>
          <w:lang w:val="en-US" w:eastAsia="it-IT"/>
        </w:rPr>
        <w:t xml:space="preserve">In turn, </w:t>
      </w:r>
      <w:r w:rsidR="00A87AB2">
        <w:rPr>
          <w:rFonts w:ascii="Times New Roman" w:eastAsia="Times New Roman" w:hAnsi="Times New Roman" w:cs="Times New Roman"/>
          <w:color w:val="000000"/>
          <w:lang w:val="en-US" w:eastAsia="it-IT"/>
        </w:rPr>
        <w:t>b</w:t>
      </w:r>
      <w:r w:rsidR="00997DE5" w:rsidRPr="00486DF6">
        <w:rPr>
          <w:rFonts w:ascii="Times New Roman" w:eastAsia="Times New Roman" w:hAnsi="Times New Roman" w:cs="Times New Roman"/>
          <w:color w:val="000000"/>
          <w:lang w:val="en-US" w:eastAsia="it-IT"/>
        </w:rPr>
        <w:t>y attempting to challenge the authoritarian drift in Poland and Hungary, the EU</w:t>
      </w:r>
      <w:r w:rsidR="00A87AB2">
        <w:rPr>
          <w:rFonts w:ascii="Times New Roman" w:eastAsia="Times New Roman" w:hAnsi="Times New Roman" w:cs="Times New Roman"/>
          <w:color w:val="000000"/>
          <w:lang w:val="en-US" w:eastAsia="it-IT"/>
        </w:rPr>
        <w:t>,</w:t>
      </w:r>
      <w:r w:rsidR="00997DE5" w:rsidRPr="00486DF6">
        <w:rPr>
          <w:rFonts w:ascii="Times New Roman" w:eastAsia="Times New Roman" w:hAnsi="Times New Roman" w:cs="Times New Roman"/>
          <w:color w:val="000000"/>
          <w:lang w:val="en-US" w:eastAsia="it-IT"/>
        </w:rPr>
        <w:t xml:space="preserve"> </w:t>
      </w:r>
      <w:r w:rsidR="00A87AB2">
        <w:rPr>
          <w:rFonts w:ascii="Times New Roman" w:eastAsia="Times New Roman" w:hAnsi="Times New Roman" w:cs="Times New Roman"/>
          <w:color w:val="000000"/>
          <w:lang w:val="en-US" w:eastAsia="it-IT"/>
        </w:rPr>
        <w:t>and</w:t>
      </w:r>
      <w:r w:rsidR="00997DE5" w:rsidRPr="00486DF6">
        <w:rPr>
          <w:rFonts w:ascii="Times New Roman" w:eastAsia="Times New Roman" w:hAnsi="Times New Roman" w:cs="Times New Roman"/>
          <w:color w:val="000000"/>
          <w:lang w:val="en-US" w:eastAsia="it-IT"/>
        </w:rPr>
        <w:t xml:space="preserve"> in particular the CJ</w:t>
      </w:r>
      <w:r w:rsidR="0003409D" w:rsidRPr="00486DF6">
        <w:rPr>
          <w:rFonts w:ascii="Times New Roman" w:eastAsia="Times New Roman" w:hAnsi="Times New Roman" w:cs="Times New Roman"/>
          <w:color w:val="000000"/>
          <w:lang w:val="en-US" w:eastAsia="it-IT"/>
        </w:rPr>
        <w:t>EU</w:t>
      </w:r>
      <w:r w:rsidR="00A87AB2">
        <w:rPr>
          <w:rFonts w:ascii="Times New Roman" w:eastAsia="Times New Roman" w:hAnsi="Times New Roman" w:cs="Times New Roman"/>
          <w:color w:val="000000"/>
          <w:lang w:val="en-US" w:eastAsia="it-IT"/>
        </w:rPr>
        <w:t xml:space="preserve">, </w:t>
      </w:r>
      <w:r w:rsidR="00997DE5" w:rsidRPr="00486DF6">
        <w:rPr>
          <w:rFonts w:ascii="Times New Roman" w:eastAsia="Times New Roman" w:hAnsi="Times New Roman" w:cs="Times New Roman"/>
          <w:color w:val="000000"/>
          <w:lang w:val="en-US" w:eastAsia="it-IT"/>
        </w:rPr>
        <w:t xml:space="preserve">has in fact sought, first and foremost, to avoid the emptying of procedural guarantees and </w:t>
      </w:r>
      <w:r w:rsidR="00A87AB2">
        <w:rPr>
          <w:rFonts w:ascii="Times New Roman" w:eastAsia="Times New Roman" w:hAnsi="Times New Roman" w:cs="Times New Roman"/>
          <w:color w:val="000000"/>
          <w:lang w:val="en-US" w:eastAsia="it-IT"/>
        </w:rPr>
        <w:t xml:space="preserve">to </w:t>
      </w:r>
      <w:r w:rsidR="00997DE5" w:rsidRPr="00486DF6">
        <w:rPr>
          <w:rFonts w:ascii="Times New Roman" w:eastAsia="Times New Roman" w:hAnsi="Times New Roman" w:cs="Times New Roman"/>
          <w:color w:val="000000"/>
          <w:lang w:val="en-US" w:eastAsia="it-IT"/>
        </w:rPr>
        <w:t>substantiate the rule of law,</w:t>
      </w:r>
      <w:r w:rsidR="00997DE5" w:rsidRPr="00486DF6">
        <w:rPr>
          <w:rFonts w:ascii="Times New Roman" w:eastAsia="Times New Roman" w:hAnsi="Times New Roman" w:cs="Times New Roman"/>
          <w:color w:val="000000"/>
          <w:vertAlign w:val="superscript"/>
          <w:lang w:val="en-US" w:eastAsia="it-IT"/>
        </w:rPr>
        <w:footnoteReference w:id="92"/>
      </w:r>
      <w:r w:rsidR="00997DE5" w:rsidRPr="00486DF6">
        <w:rPr>
          <w:rFonts w:ascii="Times New Roman" w:eastAsia="Times New Roman" w:hAnsi="Times New Roman" w:cs="Times New Roman"/>
          <w:color w:val="000000"/>
          <w:lang w:val="en-US" w:eastAsia="it-IT"/>
        </w:rPr>
        <w:t xml:space="preserve"> relying on Article 19 TEU and Article 4(3) TEU.</w:t>
      </w:r>
      <w:r w:rsidR="00997DE5" w:rsidRPr="00486DF6">
        <w:rPr>
          <w:rFonts w:ascii="Times New Roman" w:eastAsia="Times New Roman" w:hAnsi="Times New Roman" w:cs="Times New Roman"/>
          <w:color w:val="000000"/>
          <w:vertAlign w:val="superscript"/>
          <w:lang w:val="en-US" w:eastAsia="it-IT"/>
        </w:rPr>
        <w:footnoteReference w:id="93"/>
      </w:r>
      <w:r w:rsidR="00997DE5" w:rsidRPr="00486DF6">
        <w:rPr>
          <w:rFonts w:ascii="Times New Roman" w:eastAsia="Times New Roman" w:hAnsi="Times New Roman" w:cs="Times New Roman"/>
          <w:color w:val="000000"/>
          <w:lang w:val="en-US" w:eastAsia="it-IT"/>
        </w:rPr>
        <w:t xml:space="preserve"> The national </w:t>
      </w:r>
      <w:r w:rsidR="00E109E9" w:rsidRPr="00486DF6">
        <w:rPr>
          <w:rFonts w:ascii="Times New Roman" w:eastAsia="Times New Roman" w:hAnsi="Times New Roman" w:cs="Times New Roman"/>
          <w:color w:val="000000"/>
          <w:lang w:val="en-US" w:eastAsia="it-IT"/>
        </w:rPr>
        <w:t>c</w:t>
      </w:r>
      <w:r w:rsidR="00997DE5" w:rsidRPr="00486DF6">
        <w:rPr>
          <w:rFonts w:ascii="Times New Roman" w:eastAsia="Times New Roman" w:hAnsi="Times New Roman" w:cs="Times New Roman"/>
          <w:color w:val="000000"/>
          <w:lang w:val="en-US" w:eastAsia="it-IT"/>
        </w:rPr>
        <w:t xml:space="preserve">onstitutional </w:t>
      </w:r>
      <w:r w:rsidR="00E109E9" w:rsidRPr="00486DF6">
        <w:rPr>
          <w:rFonts w:ascii="Times New Roman" w:eastAsia="Times New Roman" w:hAnsi="Times New Roman" w:cs="Times New Roman"/>
          <w:color w:val="000000"/>
          <w:lang w:val="en-US" w:eastAsia="it-IT"/>
        </w:rPr>
        <w:t>c</w:t>
      </w:r>
      <w:r w:rsidR="00997DE5" w:rsidRPr="00486DF6">
        <w:rPr>
          <w:rFonts w:ascii="Times New Roman" w:eastAsia="Times New Roman" w:hAnsi="Times New Roman" w:cs="Times New Roman"/>
          <w:color w:val="000000"/>
          <w:lang w:val="en-US" w:eastAsia="it-IT"/>
        </w:rPr>
        <w:t xml:space="preserve">ourts in this context have </w:t>
      </w:r>
      <w:r w:rsidR="00C05A0F" w:rsidRPr="00486DF6">
        <w:rPr>
          <w:rFonts w:ascii="Times New Roman" w:eastAsia="Times New Roman" w:hAnsi="Times New Roman" w:cs="Times New Roman"/>
          <w:color w:val="000000"/>
          <w:lang w:val="en-US" w:eastAsia="it-IT"/>
        </w:rPr>
        <w:t xml:space="preserve">engaged </w:t>
      </w:r>
      <w:r w:rsidR="00997DE5" w:rsidRPr="00486DF6">
        <w:rPr>
          <w:rFonts w:ascii="Times New Roman" w:eastAsia="Times New Roman" w:hAnsi="Times New Roman" w:cs="Times New Roman"/>
          <w:color w:val="000000"/>
          <w:lang w:val="en-US" w:eastAsia="it-IT"/>
        </w:rPr>
        <w:t xml:space="preserve">in a long-distance duel with the Court of Justice. </w:t>
      </w:r>
      <w:r w:rsidR="00CD1870" w:rsidRPr="00486DF6">
        <w:rPr>
          <w:rFonts w:ascii="Times New Roman" w:eastAsia="Times New Roman" w:hAnsi="Times New Roman" w:cs="Times New Roman"/>
          <w:color w:val="000000"/>
          <w:lang w:val="en-US"/>
        </w:rPr>
        <w:t>By relying on its structural doctrines of primacy and direct effect</w:t>
      </w:r>
      <w:r w:rsidR="004754D2">
        <w:rPr>
          <w:rFonts w:ascii="Times New Roman" w:eastAsia="Times New Roman" w:hAnsi="Times New Roman" w:cs="Times New Roman"/>
          <w:color w:val="000000"/>
          <w:lang w:val="en-US"/>
        </w:rPr>
        <w:t>,</w:t>
      </w:r>
      <w:r w:rsidR="00285423" w:rsidRPr="00486DF6">
        <w:rPr>
          <w:rStyle w:val="FootnoteReference"/>
          <w:rFonts w:ascii="Times New Roman" w:eastAsia="Times New Roman" w:hAnsi="Times New Roman" w:cs="Times New Roman"/>
          <w:color w:val="000000"/>
          <w:lang w:val="en-US"/>
        </w:rPr>
        <w:footnoteReference w:id="94"/>
      </w:r>
      <w:r w:rsidR="00CD1870" w:rsidRPr="00486DF6">
        <w:rPr>
          <w:rFonts w:ascii="Times New Roman" w:eastAsia="Times New Roman" w:hAnsi="Times New Roman" w:cs="Times New Roman"/>
          <w:color w:val="000000"/>
          <w:lang w:val="en-US"/>
        </w:rPr>
        <w:t xml:space="preserve"> the CJ</w:t>
      </w:r>
      <w:r w:rsidR="00BE29B9">
        <w:rPr>
          <w:rFonts w:ascii="Times New Roman" w:eastAsia="Times New Roman" w:hAnsi="Times New Roman" w:cs="Times New Roman"/>
          <w:color w:val="000000"/>
          <w:lang w:val="en-US"/>
        </w:rPr>
        <w:t>EU</w:t>
      </w:r>
      <w:r w:rsidR="00CD1870" w:rsidRPr="00486DF6">
        <w:rPr>
          <w:rFonts w:ascii="Times New Roman" w:eastAsia="Times New Roman" w:hAnsi="Times New Roman" w:cs="Times New Roman"/>
          <w:color w:val="000000"/>
          <w:lang w:val="en-US"/>
        </w:rPr>
        <w:t xml:space="preserve"> has delivered an important series of judgments to challenge this constitutional retrogression</w:t>
      </w:r>
      <w:r w:rsidR="00CD1870" w:rsidRPr="00486DF6">
        <w:rPr>
          <w:rStyle w:val="FootnoteReference"/>
          <w:rFonts w:ascii="Times New Roman" w:eastAsia="Times New Roman" w:hAnsi="Times New Roman" w:cs="Times New Roman"/>
          <w:color w:val="000000"/>
          <w:lang w:val="en-US"/>
        </w:rPr>
        <w:footnoteReference w:id="95"/>
      </w:r>
      <w:r w:rsidR="00CD1870" w:rsidRPr="00486DF6">
        <w:rPr>
          <w:rFonts w:ascii="Times New Roman" w:eastAsia="Times New Roman" w:hAnsi="Times New Roman" w:cs="Times New Roman"/>
          <w:color w:val="000000"/>
          <w:lang w:val="en-US"/>
        </w:rPr>
        <w:t xml:space="preserve"> in </w:t>
      </w:r>
      <w:r w:rsidR="00712AE3" w:rsidRPr="00486DF6">
        <w:rPr>
          <w:rFonts w:ascii="Times New Roman" w:eastAsia="Times New Roman" w:hAnsi="Times New Roman" w:cs="Times New Roman"/>
          <w:color w:val="000000"/>
          <w:lang w:val="en-US"/>
        </w:rPr>
        <w:t xml:space="preserve">Poland, Hungary </w:t>
      </w:r>
      <w:r w:rsidR="00CD1870" w:rsidRPr="00486DF6">
        <w:rPr>
          <w:rFonts w:ascii="Times New Roman" w:eastAsia="Times New Roman" w:hAnsi="Times New Roman" w:cs="Times New Roman"/>
          <w:color w:val="000000"/>
          <w:lang w:val="en-US"/>
        </w:rPr>
        <w:t>and other countries (for instance Romania</w:t>
      </w:r>
      <w:r w:rsidR="00CD1870" w:rsidRPr="00486DF6">
        <w:rPr>
          <w:rStyle w:val="FootnoteReference"/>
          <w:rFonts w:ascii="Times New Roman" w:eastAsia="Times New Roman" w:hAnsi="Times New Roman" w:cs="Times New Roman"/>
          <w:color w:val="000000"/>
          <w:lang w:val="en-US"/>
        </w:rPr>
        <w:footnoteReference w:id="96"/>
      </w:r>
      <w:r w:rsidR="00CD1870" w:rsidRPr="00486DF6">
        <w:rPr>
          <w:rFonts w:ascii="Times New Roman" w:eastAsia="Times New Roman" w:hAnsi="Times New Roman" w:cs="Times New Roman"/>
          <w:color w:val="000000"/>
          <w:lang w:val="en-US"/>
        </w:rPr>
        <w:t>), to protect judicial independence of national courts</w:t>
      </w:r>
      <w:r w:rsidR="004754D2">
        <w:rPr>
          <w:rFonts w:ascii="Times New Roman" w:eastAsia="Times New Roman" w:hAnsi="Times New Roman" w:cs="Times New Roman"/>
          <w:color w:val="000000"/>
          <w:lang w:val="en-US"/>
        </w:rPr>
        <w:t>.</w:t>
      </w:r>
      <w:r w:rsidR="00CF26E9" w:rsidRPr="00486DF6">
        <w:rPr>
          <w:rStyle w:val="FootnoteReference"/>
          <w:rFonts w:ascii="Times New Roman" w:eastAsia="Times New Roman" w:hAnsi="Times New Roman" w:cs="Times New Roman"/>
          <w:color w:val="000000"/>
          <w:lang w:val="en-US"/>
        </w:rPr>
        <w:footnoteReference w:id="97"/>
      </w:r>
      <w:r w:rsidR="00CD1870" w:rsidRPr="00486DF6">
        <w:rPr>
          <w:rFonts w:ascii="Times New Roman" w:eastAsia="Times New Roman" w:hAnsi="Times New Roman" w:cs="Times New Roman"/>
          <w:color w:val="000000"/>
          <w:lang w:val="en-US"/>
        </w:rPr>
        <w:t xml:space="preserve"> </w:t>
      </w:r>
    </w:p>
    <w:p w14:paraId="69D4C817" w14:textId="3609F41A" w:rsidR="00AA6D8E" w:rsidRDefault="0048781C" w:rsidP="0048781C">
      <w:pPr>
        <w:pBdr>
          <w:top w:val="nil"/>
          <w:left w:val="nil"/>
          <w:bottom w:val="nil"/>
          <w:right w:val="nil"/>
          <w:between w:val="nil"/>
          <w:bar w:val="nil"/>
        </w:pBdr>
        <w:spacing w:line="480" w:lineRule="auto"/>
        <w:ind w:firstLine="72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More recently, the EU has added a new instrument to combat such nullification attempts. </w:t>
      </w:r>
      <w:r>
        <w:rPr>
          <w:rFonts w:ascii="Times New Roman" w:eastAsia="Times New Roman" w:hAnsi="Times New Roman" w:cs="Times New Roman"/>
          <w:color w:val="000000"/>
          <w:lang w:val="en-US" w:eastAsia="it-IT"/>
        </w:rPr>
        <w:t>By approving</w:t>
      </w:r>
      <w:r w:rsidR="00997DE5" w:rsidRPr="00486DF6">
        <w:rPr>
          <w:rFonts w:ascii="Times New Roman" w:eastAsia="Times New Roman" w:hAnsi="Times New Roman" w:cs="Times New Roman"/>
          <w:color w:val="000000"/>
          <w:lang w:val="en-US" w:eastAsia="it-IT"/>
        </w:rPr>
        <w:t xml:space="preserve"> </w:t>
      </w:r>
      <w:r w:rsidR="00997DE5" w:rsidRPr="00486DF6">
        <w:rPr>
          <w:rFonts w:ascii="Times New Roman" w:eastAsia="Times New Roman" w:hAnsi="Times New Roman" w:cs="Times New Roman"/>
          <w:color w:val="000000"/>
          <w:lang w:val="en-US"/>
        </w:rPr>
        <w:t>the conditionality regulation</w:t>
      </w:r>
      <w:r w:rsidR="00F15157" w:rsidRPr="00486DF6">
        <w:rPr>
          <w:rFonts w:ascii="Times New Roman" w:eastAsia="Times New Roman" w:hAnsi="Times New Roman" w:cs="Times New Roman"/>
          <w:color w:val="000000"/>
          <w:lang w:val="en-US"/>
        </w:rPr>
        <w:t>,</w:t>
      </w:r>
      <w:r w:rsidR="00997DE5" w:rsidRPr="005E0AC0">
        <w:rPr>
          <w:rFonts w:ascii="Times New Roman" w:eastAsia="Times New Roman" w:hAnsi="Times New Roman" w:cs="Times New Roman"/>
          <w:color w:val="000000"/>
          <w:vertAlign w:val="superscript"/>
          <w:lang w:val="en-US"/>
        </w:rPr>
        <w:footnoteReference w:id="98"/>
      </w:r>
      <w:r w:rsidR="00997DE5" w:rsidRPr="00486DF6">
        <w:rPr>
          <w:rFonts w:ascii="Times New Roman" w:eastAsia="Times New Roman" w:hAnsi="Times New Roman" w:cs="Times New Roman"/>
          <w:color w:val="000000"/>
          <w:lang w:val="en-US"/>
        </w:rPr>
        <w:t xml:space="preserve"> EU</w:t>
      </w:r>
      <w:r>
        <w:rPr>
          <w:rFonts w:ascii="Times New Roman" w:eastAsia="Times New Roman" w:hAnsi="Times New Roman" w:cs="Times New Roman"/>
          <w:color w:val="000000"/>
          <w:lang w:val="en-US"/>
        </w:rPr>
        <w:t xml:space="preserve"> institutions are able</w:t>
      </w:r>
      <w:r w:rsidR="00997DE5" w:rsidRPr="00486DF6">
        <w:rPr>
          <w:rFonts w:ascii="Times New Roman" w:eastAsia="Times New Roman" w:hAnsi="Times New Roman" w:cs="Times New Roman"/>
          <w:color w:val="000000"/>
          <w:lang w:val="en-US"/>
        </w:rPr>
        <w:t xml:space="preserve"> to </w:t>
      </w:r>
      <w:r>
        <w:rPr>
          <w:rFonts w:ascii="Times New Roman" w:eastAsia="Times New Roman" w:hAnsi="Times New Roman" w:cs="Times New Roman"/>
          <w:color w:val="000000"/>
          <w:lang w:val="en-US"/>
        </w:rPr>
        <w:t>adopt</w:t>
      </w:r>
      <w:r w:rsidR="00997DE5" w:rsidRPr="00486DF6">
        <w:rPr>
          <w:rFonts w:ascii="Times New Roman" w:eastAsia="Times New Roman" w:hAnsi="Times New Roman" w:cs="Times New Roman"/>
          <w:color w:val="000000"/>
          <w:lang w:val="en-US"/>
        </w:rPr>
        <w:t xml:space="preserve"> measures to protect the budget in case of rule of law violations which threaten the EU financial interests.</w:t>
      </w:r>
      <w:r>
        <w:rPr>
          <w:rFonts w:ascii="Times New Roman" w:eastAsia="Arial Unicode MS" w:hAnsi="Times New Roman" w:cs="Times New Roman"/>
          <w:color w:val="000000"/>
          <w:u w:color="000000"/>
          <w:bdr w:val="nil"/>
          <w:lang w:eastAsia="it-IT"/>
        </w:rPr>
        <w:t xml:space="preserve"> </w:t>
      </w:r>
      <w:r w:rsidR="00997DE5" w:rsidRPr="00486DF6">
        <w:rPr>
          <w:rFonts w:ascii="Times New Roman" w:eastAsia="Times New Roman" w:hAnsi="Times New Roman" w:cs="Times New Roman"/>
          <w:color w:val="000000"/>
          <w:lang w:val="en-US"/>
        </w:rPr>
        <w:t>Once passed</w:t>
      </w:r>
      <w:r w:rsidR="00FD55C2" w:rsidRPr="00486DF6">
        <w:rPr>
          <w:rFonts w:ascii="Times New Roman" w:eastAsia="Times New Roman" w:hAnsi="Times New Roman" w:cs="Times New Roman"/>
          <w:color w:val="000000"/>
          <w:lang w:val="en-US"/>
        </w:rPr>
        <w:t>,</w:t>
      </w:r>
      <w:r w:rsidR="00997DE5" w:rsidRPr="00486DF6">
        <w:rPr>
          <w:rFonts w:ascii="Times New Roman" w:eastAsia="Times New Roman" w:hAnsi="Times New Roman" w:cs="Times New Roman"/>
          <w:color w:val="000000"/>
          <w:lang w:val="en-US"/>
        </w:rPr>
        <w:t xml:space="preserve"> </w:t>
      </w:r>
      <w:r w:rsidR="00997DE5" w:rsidRPr="00486DF6">
        <w:rPr>
          <w:rFonts w:ascii="Times New Roman" w:eastAsia="Times New Roman" w:hAnsi="Times New Roman" w:cs="Times New Roman"/>
          <w:color w:val="000000"/>
          <w:lang w:val="en-US"/>
        </w:rPr>
        <w:lastRenderedPageBreak/>
        <w:t xml:space="preserve">the regulation was immediately </w:t>
      </w:r>
      <w:r>
        <w:rPr>
          <w:rFonts w:ascii="Times New Roman" w:eastAsia="Times New Roman" w:hAnsi="Times New Roman" w:cs="Times New Roman"/>
          <w:color w:val="000000"/>
          <w:lang w:val="en-US"/>
        </w:rPr>
        <w:t>challenged</w:t>
      </w:r>
      <w:r w:rsidR="00997DE5" w:rsidRPr="00486DF6">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before</w:t>
      </w:r>
      <w:r w:rsidR="00997DE5" w:rsidRPr="00486DF6">
        <w:rPr>
          <w:rFonts w:ascii="Times New Roman" w:eastAsia="Times New Roman" w:hAnsi="Times New Roman" w:cs="Times New Roman"/>
          <w:color w:val="000000"/>
          <w:lang w:val="en-US"/>
        </w:rPr>
        <w:t xml:space="preserve"> the Court of Justice by Hungary</w:t>
      </w:r>
      <w:r w:rsidR="00997DE5" w:rsidRPr="00486DF6">
        <w:rPr>
          <w:rFonts w:ascii="Times New Roman" w:eastAsia="Times New Roman" w:hAnsi="Times New Roman" w:cs="Times New Roman"/>
          <w:color w:val="000000"/>
          <w:sz w:val="22"/>
          <w:vertAlign w:val="superscript"/>
          <w:lang w:val="en-US"/>
        </w:rPr>
        <w:footnoteReference w:id="99"/>
      </w:r>
      <w:r w:rsidR="00997DE5" w:rsidRPr="00486DF6">
        <w:rPr>
          <w:rFonts w:ascii="Times New Roman" w:eastAsia="Times New Roman" w:hAnsi="Times New Roman" w:cs="Times New Roman"/>
          <w:color w:val="000000"/>
          <w:lang w:val="en-US"/>
        </w:rPr>
        <w:t xml:space="preserve"> and Poland</w:t>
      </w:r>
      <w:r w:rsidR="00997DE5" w:rsidRPr="00486DF6">
        <w:rPr>
          <w:rFonts w:ascii="Times New Roman" w:eastAsia="Times New Roman" w:hAnsi="Times New Roman" w:cs="Times New Roman"/>
          <w:color w:val="000000"/>
          <w:sz w:val="22"/>
          <w:vertAlign w:val="superscript"/>
          <w:lang w:val="en-US"/>
        </w:rPr>
        <w:footnoteReference w:id="100"/>
      </w:r>
      <w:r w:rsidR="00997DE5" w:rsidRPr="00486DF6">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on the ground that it was not adopted under</w:t>
      </w:r>
      <w:r w:rsidR="00997DE5" w:rsidRPr="00486DF6">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the</w:t>
      </w:r>
      <w:r w:rsidR="00997DE5" w:rsidRPr="00486DF6">
        <w:rPr>
          <w:rFonts w:ascii="Times New Roman" w:eastAsia="Times New Roman" w:hAnsi="Times New Roman" w:cs="Times New Roman"/>
          <w:color w:val="000000"/>
          <w:lang w:val="en-US"/>
        </w:rPr>
        <w:t xml:space="preserve"> appropriate legal basis. </w:t>
      </w:r>
      <w:bookmarkStart w:id="0" w:name="_Hlk100344862"/>
      <w:r w:rsidR="00997DE5" w:rsidRPr="00486DF6">
        <w:rPr>
          <w:rFonts w:ascii="Times New Roman" w:eastAsia="Times New Roman" w:hAnsi="Times New Roman" w:cs="Times New Roman"/>
          <w:color w:val="000000"/>
          <w:lang w:val="en-US"/>
        </w:rPr>
        <w:t>On 16 February 2022 the CJ</w:t>
      </w:r>
      <w:r w:rsidR="00BE29B9">
        <w:rPr>
          <w:rFonts w:ascii="Times New Roman" w:eastAsia="Times New Roman" w:hAnsi="Times New Roman" w:cs="Times New Roman"/>
          <w:color w:val="000000"/>
          <w:lang w:val="en-US"/>
        </w:rPr>
        <w:t>EU</w:t>
      </w:r>
      <w:r w:rsidR="00997DE5" w:rsidRPr="00486DF6">
        <w:rPr>
          <w:rFonts w:ascii="Times New Roman" w:eastAsia="Times New Roman" w:hAnsi="Times New Roman" w:cs="Times New Roman"/>
          <w:color w:val="000000"/>
          <w:lang w:val="en-US"/>
        </w:rPr>
        <w:t xml:space="preserve"> delivered two decisions dismissing these actions.</w:t>
      </w:r>
      <w:bookmarkEnd w:id="0"/>
      <w:r w:rsidR="00997DE5" w:rsidRPr="00486DF6">
        <w:rPr>
          <w:rFonts w:ascii="Times New Roman" w:eastAsia="Times New Roman" w:hAnsi="Times New Roman" w:cs="Times New Roman"/>
          <w:color w:val="000000"/>
          <w:lang w:val="en-US"/>
        </w:rPr>
        <w:t xml:space="preserve"> </w:t>
      </w:r>
    </w:p>
    <w:p w14:paraId="74F2FFE6" w14:textId="34DDC0AB" w:rsidR="00997DE5" w:rsidRPr="0048781C" w:rsidRDefault="002F552E" w:rsidP="0048781C">
      <w:pPr>
        <w:pBdr>
          <w:top w:val="nil"/>
          <w:left w:val="nil"/>
          <w:bottom w:val="nil"/>
          <w:right w:val="nil"/>
          <w:between w:val="nil"/>
          <w:bar w:val="nil"/>
        </w:pBdr>
        <w:spacing w:line="480" w:lineRule="auto"/>
        <w:ind w:firstLine="720"/>
        <w:jc w:val="both"/>
        <w:rPr>
          <w:rFonts w:ascii="Times New Roman" w:eastAsia="Arial Unicode MS" w:hAnsi="Times New Roman" w:cs="Times New Roman"/>
          <w:color w:val="000000"/>
          <w:u w:color="000000"/>
          <w:bdr w:val="nil"/>
          <w:lang w:eastAsia="it-IT"/>
        </w:rPr>
      </w:pPr>
      <w:r>
        <w:rPr>
          <w:rFonts w:ascii="Times New Roman" w:eastAsia="Times New Roman" w:hAnsi="Times New Roman" w:cs="Times New Roman"/>
          <w:color w:val="000000"/>
          <w:lang w:val="en-US"/>
        </w:rPr>
        <w:t xml:space="preserve">It is interesting to note that in the background of this constitutional conflict between the EU and the relevant Member States, there was also an intra-EU institutional conflict between </w:t>
      </w:r>
      <w:r w:rsidR="00997DE5" w:rsidRPr="00486DF6">
        <w:rPr>
          <w:rFonts w:ascii="Times New Roman" w:eastAsia="Times New Roman" w:hAnsi="Times New Roman" w:cs="Times New Roman"/>
          <w:color w:val="000000"/>
          <w:lang w:val="en-US"/>
        </w:rPr>
        <w:t>the European Parliament and the Commission</w:t>
      </w:r>
      <w:r>
        <w:rPr>
          <w:rFonts w:ascii="Times New Roman" w:eastAsia="Times New Roman" w:hAnsi="Times New Roman" w:cs="Times New Roman"/>
          <w:color w:val="000000"/>
          <w:lang w:val="en-US"/>
        </w:rPr>
        <w:t>.</w:t>
      </w:r>
      <w:r w:rsidR="00997DE5" w:rsidRPr="00486DF6">
        <w:rPr>
          <w:rFonts w:ascii="Times New Roman" w:eastAsia="Times New Roman" w:hAnsi="Times New Roman" w:cs="Times New Roman"/>
          <w:color w:val="000000"/>
          <w:lang w:val="en-US"/>
        </w:rPr>
        <w:t xml:space="preserve"> The origin of this institutional battle </w:t>
      </w:r>
      <w:r w:rsidR="00BE5F4C">
        <w:rPr>
          <w:rFonts w:ascii="Times New Roman" w:eastAsia="Times New Roman" w:hAnsi="Times New Roman" w:cs="Times New Roman"/>
          <w:color w:val="000000"/>
          <w:lang w:val="en-US"/>
        </w:rPr>
        <w:t>can</w:t>
      </w:r>
      <w:r w:rsidR="00997DE5" w:rsidRPr="00486DF6">
        <w:rPr>
          <w:rFonts w:ascii="Times New Roman" w:eastAsia="Times New Roman" w:hAnsi="Times New Roman" w:cs="Times New Roman"/>
          <w:color w:val="000000"/>
          <w:lang w:val="en-US"/>
        </w:rPr>
        <w:t xml:space="preserve"> be </w:t>
      </w:r>
      <w:r w:rsidR="00BE5F4C">
        <w:rPr>
          <w:rFonts w:ascii="Times New Roman" w:eastAsia="Times New Roman" w:hAnsi="Times New Roman" w:cs="Times New Roman"/>
          <w:color w:val="000000"/>
          <w:lang w:val="en-US"/>
        </w:rPr>
        <w:t>traced</w:t>
      </w:r>
      <w:r w:rsidR="00997DE5" w:rsidRPr="00486DF6">
        <w:rPr>
          <w:rFonts w:ascii="Times New Roman" w:eastAsia="Times New Roman" w:hAnsi="Times New Roman" w:cs="Times New Roman"/>
          <w:color w:val="000000"/>
          <w:lang w:val="en-US"/>
        </w:rPr>
        <w:t xml:space="preserve"> in the letter of Conclusions of the European Council of 10-11 December 2020</w:t>
      </w:r>
      <w:r w:rsidR="004754D2">
        <w:rPr>
          <w:rFonts w:ascii="Times New Roman" w:eastAsia="Times New Roman" w:hAnsi="Times New Roman" w:cs="Times New Roman"/>
          <w:color w:val="000000"/>
          <w:lang w:val="en-US"/>
        </w:rPr>
        <w:t>:</w:t>
      </w:r>
      <w:r w:rsidR="00997DE5" w:rsidRPr="00486DF6">
        <w:rPr>
          <w:rFonts w:ascii="Times New Roman" w:eastAsia="Times New Roman" w:hAnsi="Times New Roman" w:cs="Times New Roman"/>
          <w:color w:val="000000"/>
          <w:sz w:val="22"/>
          <w:vertAlign w:val="superscript"/>
          <w:lang w:val="en-US"/>
        </w:rPr>
        <w:footnoteReference w:id="101"/>
      </w:r>
    </w:p>
    <w:p w14:paraId="3D59D393" w14:textId="07ADC6D5" w:rsidR="005D5832" w:rsidRPr="001110D4" w:rsidRDefault="00997DE5" w:rsidP="001110D4">
      <w:pPr>
        <w:spacing w:line="480" w:lineRule="auto"/>
        <w:ind w:left="720"/>
        <w:jc w:val="both"/>
        <w:rPr>
          <w:rFonts w:ascii="Times New Roman" w:eastAsia="Times New Roman" w:hAnsi="Times New Roman" w:cs="Times New Roman"/>
          <w:color w:val="000000"/>
          <w:sz w:val="20"/>
          <w:szCs w:val="20"/>
          <w:lang w:val="en-US"/>
        </w:rPr>
      </w:pPr>
      <w:r w:rsidRPr="00486DF6">
        <w:rPr>
          <w:rFonts w:ascii="Times New Roman" w:eastAsia="Times New Roman" w:hAnsi="Times New Roman" w:cs="Times New Roman"/>
          <w:color w:val="000000"/>
          <w:sz w:val="20"/>
          <w:szCs w:val="20"/>
          <w:lang w:val="en-US"/>
        </w:rPr>
        <w:t xml:space="preserve">With a view to ensuring that these principles will be respected, the Commission intends to develop and adopt guidelines on the way it will apply the Regulation, including a methodology for carrying out its assessment. Such guidelines will be developed in close consultation with the Member States. Should an action for annulment be introduced with regard to the Regulation, the guidelines will be </w:t>
      </w:r>
      <w:proofErr w:type="spellStart"/>
      <w:r w:rsidRPr="00486DF6">
        <w:rPr>
          <w:rFonts w:ascii="Times New Roman" w:eastAsia="Times New Roman" w:hAnsi="Times New Roman" w:cs="Times New Roman"/>
          <w:color w:val="000000"/>
          <w:sz w:val="20"/>
          <w:szCs w:val="20"/>
          <w:lang w:val="en-US"/>
        </w:rPr>
        <w:t>finalised</w:t>
      </w:r>
      <w:proofErr w:type="spellEnd"/>
      <w:r w:rsidRPr="00486DF6">
        <w:rPr>
          <w:rFonts w:ascii="Times New Roman" w:eastAsia="Times New Roman" w:hAnsi="Times New Roman" w:cs="Times New Roman"/>
          <w:color w:val="000000"/>
          <w:sz w:val="20"/>
          <w:szCs w:val="20"/>
          <w:lang w:val="en-US"/>
        </w:rPr>
        <w:t xml:space="preserve"> after the judgment of the Court of Justice so as to incorporate any relevant elements stemming from such judgment. The Commission President will fully inform the European Council. Until such guidelines are </w:t>
      </w:r>
      <w:proofErr w:type="spellStart"/>
      <w:r w:rsidRPr="00486DF6">
        <w:rPr>
          <w:rFonts w:ascii="Times New Roman" w:eastAsia="Times New Roman" w:hAnsi="Times New Roman" w:cs="Times New Roman"/>
          <w:color w:val="000000"/>
          <w:sz w:val="20"/>
          <w:szCs w:val="20"/>
          <w:lang w:val="en-US"/>
        </w:rPr>
        <w:t>finalised</w:t>
      </w:r>
      <w:proofErr w:type="spellEnd"/>
      <w:r w:rsidRPr="00486DF6">
        <w:rPr>
          <w:rFonts w:ascii="Times New Roman" w:eastAsia="Times New Roman" w:hAnsi="Times New Roman" w:cs="Times New Roman"/>
          <w:color w:val="000000"/>
          <w:sz w:val="20"/>
          <w:szCs w:val="20"/>
          <w:lang w:val="en-US"/>
        </w:rPr>
        <w:t>, the Commission will not propose measures under the Regulation.</w:t>
      </w:r>
      <w:r w:rsidRPr="00486DF6">
        <w:rPr>
          <w:rFonts w:ascii="Times New Roman" w:eastAsia="Times New Roman" w:hAnsi="Times New Roman" w:cs="Times New Roman"/>
          <w:color w:val="000000"/>
          <w:sz w:val="22"/>
          <w:szCs w:val="20"/>
          <w:vertAlign w:val="superscript"/>
          <w:lang w:val="en-US"/>
        </w:rPr>
        <w:footnoteReference w:id="102"/>
      </w:r>
    </w:p>
    <w:p w14:paraId="4DFCF3F1" w14:textId="3611A147" w:rsidR="00997DE5" w:rsidRPr="00486DF6" w:rsidRDefault="00997DE5" w:rsidP="00C624CF">
      <w:pPr>
        <w:spacing w:line="480" w:lineRule="auto"/>
        <w:ind w:firstLine="720"/>
        <w:jc w:val="both"/>
        <w:rPr>
          <w:rFonts w:ascii="Times New Roman" w:eastAsia="Times New Roman" w:hAnsi="Times New Roman" w:cs="Times New Roman"/>
          <w:color w:val="000000"/>
          <w:sz w:val="20"/>
          <w:szCs w:val="20"/>
          <w:lang w:val="en-US"/>
        </w:rPr>
      </w:pPr>
      <w:r w:rsidRPr="00486DF6">
        <w:rPr>
          <w:rFonts w:ascii="Times New Roman" w:eastAsia="Times New Roman" w:hAnsi="Times New Roman" w:cs="Times New Roman"/>
          <w:color w:val="000000"/>
          <w:lang w:val="en-US"/>
        </w:rPr>
        <w:t xml:space="preserve">The European Parliament almost immediately urged the Commission to apply the Regulation in a resolution adopted on 25 March 2021 by arguing that </w:t>
      </w:r>
      <w:r w:rsidR="00F15157" w:rsidRPr="00486DF6">
        <w:rPr>
          <w:rFonts w:ascii="Times New Roman" w:eastAsia="Times New Roman" w:hAnsi="Times New Roman" w:cs="Times New Roman"/>
          <w:color w:val="000000"/>
          <w:lang w:val="en-US"/>
        </w:rPr>
        <w:t>“</w:t>
      </w:r>
      <w:r w:rsidRPr="00486DF6">
        <w:rPr>
          <w:rFonts w:ascii="Times New Roman" w:eastAsia="Times New Roman" w:hAnsi="Times New Roman" w:cs="Times New Roman"/>
          <w:color w:val="000000"/>
          <w:lang w:val="en-US"/>
        </w:rPr>
        <w:t>the application of the Rule of Law Conditionality Regulation cannot be subject to the adoption of guidelines</w:t>
      </w:r>
      <w:r w:rsidR="00A5563C">
        <w:rPr>
          <w:rFonts w:ascii="Times New Roman" w:eastAsia="Times New Roman" w:hAnsi="Times New Roman" w:cs="Times New Roman"/>
          <w:color w:val="000000"/>
          <w:lang w:val="en-US"/>
        </w:rPr>
        <w:t>.</w:t>
      </w:r>
      <w:r w:rsidRPr="00486DF6">
        <w:rPr>
          <w:rFonts w:ascii="Times New Roman" w:eastAsia="Times New Roman" w:hAnsi="Times New Roman" w:cs="Times New Roman"/>
          <w:color w:val="000000"/>
          <w:lang w:val="en-US"/>
        </w:rPr>
        <w:t>”</w:t>
      </w:r>
      <w:r w:rsidRPr="00486DF6">
        <w:rPr>
          <w:rFonts w:ascii="Times New Roman" w:eastAsia="Times New Roman" w:hAnsi="Times New Roman" w:cs="Times New Roman"/>
          <w:color w:val="000000"/>
          <w:sz w:val="22"/>
          <w:vertAlign w:val="superscript"/>
          <w:lang w:val="en-US"/>
        </w:rPr>
        <w:footnoteReference w:id="103"/>
      </w:r>
      <w:r w:rsidRPr="00486DF6">
        <w:rPr>
          <w:rFonts w:ascii="Times New Roman" w:eastAsia="Times New Roman" w:hAnsi="Times New Roman" w:cs="Times New Roman"/>
          <w:color w:val="000000"/>
          <w:lang w:val="en-US"/>
        </w:rPr>
        <w:t xml:space="preserve"> On 10 June 2021 another resolution was passed by the European Parliament in which it warned the Commission by stating that</w:t>
      </w:r>
      <w:r w:rsidR="002F552E">
        <w:rPr>
          <w:rFonts w:ascii="Times New Roman" w:eastAsia="Times New Roman" w:hAnsi="Times New Roman" w:cs="Times New Roman"/>
          <w:color w:val="000000"/>
          <w:lang w:val="en-US"/>
        </w:rPr>
        <w:t xml:space="preserve"> it</w:t>
      </w:r>
      <w:r w:rsidRPr="00486DF6">
        <w:rPr>
          <w:rFonts w:ascii="Times New Roman" w:eastAsia="Times New Roman" w:hAnsi="Times New Roman" w:cs="Times New Roman"/>
          <w:color w:val="000000"/>
          <w:lang w:val="en-US"/>
        </w:rPr>
        <w:t>:</w:t>
      </w:r>
    </w:p>
    <w:p w14:paraId="041F1BED" w14:textId="2E712E10" w:rsidR="005D5832" w:rsidRPr="001110D4" w:rsidRDefault="00997DE5" w:rsidP="001110D4">
      <w:pPr>
        <w:spacing w:line="480" w:lineRule="auto"/>
        <w:ind w:left="720"/>
        <w:jc w:val="both"/>
        <w:rPr>
          <w:rFonts w:ascii="Times New Roman" w:eastAsia="Times New Roman" w:hAnsi="Times New Roman" w:cs="Times New Roman"/>
          <w:color w:val="000000"/>
          <w:lang w:val="en-US"/>
        </w:rPr>
      </w:pPr>
      <w:r w:rsidRPr="00486DF6">
        <w:rPr>
          <w:rFonts w:ascii="Times New Roman" w:eastAsia="Times New Roman" w:hAnsi="Times New Roman" w:cs="Times New Roman"/>
          <w:color w:val="000000"/>
          <w:sz w:val="20"/>
          <w:szCs w:val="20"/>
          <w:lang w:val="en-US"/>
        </w:rPr>
        <w:lastRenderedPageBreak/>
        <w:t>Regrets the Commission’s failure to respond to Parliament’s requests by 1 June 2021 and to activate the procedure laid down in the Rule of Law Conditionality Regulation in the most obvious cases of breaches of the rule of law in the EU; instructs its President to call on the Commission, within two weeks from the date of adoption of this resolution at the latest, on the basis of Article 265 of the TFEU, to fulfil its obligations under this regulation; states that, in order to be prepared, Parliament shall, in the meantime, immediately start the necessary preparations for potential court proceedings under Article 265 of the TFEU against the Commission.</w:t>
      </w:r>
      <w:r w:rsidRPr="00486DF6">
        <w:rPr>
          <w:rFonts w:ascii="Times New Roman" w:eastAsia="Times New Roman" w:hAnsi="Times New Roman" w:cs="Times New Roman"/>
          <w:color w:val="000000"/>
          <w:sz w:val="22"/>
          <w:szCs w:val="20"/>
          <w:vertAlign w:val="superscript"/>
          <w:lang w:val="en-US"/>
        </w:rPr>
        <w:footnoteReference w:id="104"/>
      </w:r>
      <w:r w:rsidRPr="00486DF6">
        <w:rPr>
          <w:rFonts w:ascii="Times New Roman" w:eastAsia="Times New Roman" w:hAnsi="Times New Roman" w:cs="Times New Roman"/>
          <w:color w:val="000000"/>
          <w:sz w:val="20"/>
          <w:szCs w:val="20"/>
          <w:lang w:val="en-US"/>
        </w:rPr>
        <w:t xml:space="preserve"> </w:t>
      </w:r>
    </w:p>
    <w:p w14:paraId="30F43BA7" w14:textId="77777777" w:rsidR="00D85BAA" w:rsidRDefault="00D20B9F" w:rsidP="00F43EDE">
      <w:pPr>
        <w:spacing w:line="480" w:lineRule="auto"/>
        <w:ind w:firstLine="720"/>
        <w:jc w:val="both"/>
        <w:rPr>
          <w:rFonts w:ascii="Times New Roman" w:eastAsia="Times New Roman" w:hAnsi="Times New Roman" w:cs="Times New Roman"/>
          <w:color w:val="000000" w:themeColor="text1"/>
          <w:lang w:val="en-US"/>
        </w:rPr>
      </w:pPr>
      <w:r w:rsidRPr="00486DF6">
        <w:rPr>
          <w:rFonts w:ascii="Times New Roman" w:eastAsia="Times New Roman" w:hAnsi="Times New Roman" w:cs="Times New Roman"/>
          <w:color w:val="000000" w:themeColor="text1"/>
          <w:lang w:val="en-US"/>
        </w:rPr>
        <w:t>In April 2022</w:t>
      </w:r>
      <w:r w:rsidR="004C1427" w:rsidRPr="00486DF6">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lang w:val="en-US"/>
        </w:rPr>
        <w:t xml:space="preserve"> the Commission announced the application of the Regulation to Hungary</w:t>
      </w:r>
      <w:r w:rsidR="00712AE3" w:rsidRPr="00486DF6">
        <w:rPr>
          <w:rFonts w:ascii="Times New Roman" w:eastAsia="Times New Roman" w:hAnsi="Times New Roman" w:cs="Times New Roman"/>
          <w:color w:val="000000" w:themeColor="text1"/>
          <w:lang w:val="en-US"/>
        </w:rPr>
        <w:t xml:space="preserve"> and</w:t>
      </w:r>
      <w:r w:rsidRPr="00486DF6">
        <w:rPr>
          <w:rFonts w:ascii="Times New Roman" w:eastAsia="Times New Roman" w:hAnsi="Times New Roman" w:cs="Times New Roman"/>
          <w:color w:val="000000" w:themeColor="text1"/>
          <w:lang w:val="en-US"/>
        </w:rPr>
        <w:t xml:space="preserve"> </w:t>
      </w:r>
      <w:r w:rsidR="00712AE3" w:rsidRPr="00486DF6">
        <w:rPr>
          <w:rFonts w:ascii="Times New Roman" w:eastAsia="Times New Roman" w:hAnsi="Times New Roman" w:cs="Times New Roman"/>
          <w:color w:val="000000" w:themeColor="text1"/>
          <w:lang w:val="en-US"/>
        </w:rPr>
        <w:t>i</w:t>
      </w:r>
      <w:r w:rsidRPr="00486DF6">
        <w:rPr>
          <w:rFonts w:ascii="Times New Roman" w:eastAsia="Times New Roman" w:hAnsi="Times New Roman" w:cs="Times New Roman"/>
          <w:color w:val="000000" w:themeColor="text1"/>
          <w:lang w:val="en-US"/>
        </w:rPr>
        <w:t xml:space="preserve">n September 2022, </w:t>
      </w:r>
      <w:r w:rsidR="00712AE3" w:rsidRPr="00486DF6">
        <w:rPr>
          <w:rFonts w:ascii="Times New Roman" w:eastAsia="Times New Roman" w:hAnsi="Times New Roman" w:cs="Times New Roman"/>
          <w:color w:val="000000" w:themeColor="text1"/>
          <w:lang w:val="en-US"/>
        </w:rPr>
        <w:t>it</w:t>
      </w:r>
      <w:r w:rsidRPr="00486DF6">
        <w:rPr>
          <w:rFonts w:ascii="Times New Roman" w:eastAsia="Times New Roman" w:hAnsi="Times New Roman" w:cs="Times New Roman"/>
          <w:color w:val="000000" w:themeColor="text1"/>
          <w:lang w:val="en-US"/>
        </w:rPr>
        <w:t xml:space="preserve"> presented a proposal to suspend 65% of the obligations of three operational programs under the cohesion policy with Hungary, for an amount of €7.5 billion. Following the Commission's requirements, Hungary took a number of measures. However, the Commission concluded that these corrections were not fully satisfactory. </w:t>
      </w:r>
      <w:r w:rsidR="00712AE3" w:rsidRPr="00486DF6">
        <w:rPr>
          <w:rFonts w:ascii="Times New Roman" w:eastAsia="Times New Roman" w:hAnsi="Times New Roman" w:cs="Times New Roman"/>
          <w:color w:val="000000" w:themeColor="text1"/>
          <w:lang w:val="en-US"/>
        </w:rPr>
        <w:t xml:space="preserve">On 15 December 2022 </w:t>
      </w:r>
      <w:r w:rsidR="003F1FAF" w:rsidRPr="00486DF6">
        <w:rPr>
          <w:rFonts w:ascii="Times New Roman" w:eastAsia="Times New Roman" w:hAnsi="Times New Roman" w:cs="Times New Roman"/>
          <w:color w:val="000000" w:themeColor="text1"/>
          <w:lang w:val="en-US"/>
        </w:rPr>
        <w:t>i</w:t>
      </w:r>
      <w:r w:rsidRPr="00486DF6">
        <w:rPr>
          <w:rFonts w:ascii="Times New Roman" w:eastAsia="Times New Roman" w:hAnsi="Times New Roman" w:cs="Times New Roman"/>
          <w:color w:val="000000" w:themeColor="text1"/>
          <w:lang w:val="en-US"/>
        </w:rPr>
        <w:t xml:space="preserve">mplementing Decision (EU) 2022/2506 </w:t>
      </w:r>
      <w:r w:rsidR="00712AE3" w:rsidRPr="00486DF6">
        <w:rPr>
          <w:rFonts w:ascii="Times New Roman" w:eastAsia="Times New Roman" w:hAnsi="Times New Roman" w:cs="Times New Roman"/>
          <w:color w:val="000000" w:themeColor="text1"/>
          <w:lang w:val="en-US"/>
        </w:rPr>
        <w:t>was adopted by the</w:t>
      </w:r>
      <w:r w:rsidRPr="00486DF6">
        <w:rPr>
          <w:rFonts w:ascii="Times New Roman" w:eastAsia="Times New Roman" w:hAnsi="Times New Roman" w:cs="Times New Roman"/>
          <w:color w:val="000000" w:themeColor="text1"/>
          <w:lang w:val="en-US"/>
        </w:rPr>
        <w:t xml:space="preserve"> Council on measures for the protection of the Union budget against violations of the principles of the rule of law in Hungary. </w:t>
      </w:r>
      <w:r w:rsidR="002D7FF8" w:rsidRPr="00486DF6">
        <w:rPr>
          <w:rFonts w:ascii="Times New Roman" w:eastAsia="Times New Roman" w:hAnsi="Times New Roman" w:cs="Times New Roman"/>
          <w:color w:val="000000" w:themeColor="text1"/>
          <w:lang w:val="en-US"/>
        </w:rPr>
        <w:t xml:space="preserve">With a historical </w:t>
      </w:r>
      <w:r w:rsidR="00251B36" w:rsidRPr="00486DF6">
        <w:rPr>
          <w:rFonts w:ascii="Times New Roman" w:eastAsia="Times New Roman" w:hAnsi="Times New Roman" w:cs="Times New Roman"/>
          <w:color w:val="000000" w:themeColor="text1"/>
          <w:lang w:val="en-US"/>
        </w:rPr>
        <w:t>move</w:t>
      </w:r>
      <w:r w:rsidR="002D7FF8" w:rsidRPr="00486DF6">
        <w:rPr>
          <w:rFonts w:ascii="Times New Roman" w:eastAsia="Times New Roman" w:hAnsi="Times New Roman" w:cs="Times New Roman"/>
          <w:color w:val="000000" w:themeColor="text1"/>
          <w:lang w:val="en-US"/>
        </w:rPr>
        <w:t xml:space="preserve">, the Council thus decided </w:t>
      </w:r>
      <w:r w:rsidR="00251B36" w:rsidRPr="00486DF6">
        <w:rPr>
          <w:rFonts w:ascii="Times New Roman" w:eastAsia="Times New Roman" w:hAnsi="Times New Roman" w:cs="Times New Roman"/>
          <w:color w:val="000000" w:themeColor="text1"/>
          <w:lang w:val="en-US"/>
        </w:rPr>
        <w:t>to withhold €6.3 billion of EU funds for Hungary.</w:t>
      </w:r>
    </w:p>
    <w:p w14:paraId="7B1CB82C" w14:textId="0B1902F3" w:rsidR="003E519F" w:rsidRDefault="00D20B9F" w:rsidP="003E519F">
      <w:pPr>
        <w:spacing w:line="480" w:lineRule="auto"/>
        <w:ind w:firstLine="720"/>
        <w:jc w:val="both"/>
        <w:rPr>
          <w:rFonts w:ascii="Times New Roman" w:eastAsia="Times New Roman" w:hAnsi="Times New Roman" w:cs="Times New Roman"/>
          <w:color w:val="000000"/>
          <w:lang w:val="en-US"/>
        </w:rPr>
      </w:pPr>
      <w:r w:rsidRPr="00486DF6">
        <w:rPr>
          <w:rFonts w:ascii="Times New Roman" w:eastAsia="Times New Roman" w:hAnsi="Times New Roman" w:cs="Times New Roman"/>
          <w:color w:val="000000"/>
          <w:lang w:val="en-US"/>
        </w:rPr>
        <w:t xml:space="preserve">All this </w:t>
      </w:r>
      <w:r w:rsidR="002D7FF8" w:rsidRPr="00486DF6">
        <w:rPr>
          <w:rFonts w:ascii="Times New Roman" w:eastAsia="Times New Roman" w:hAnsi="Times New Roman" w:cs="Times New Roman"/>
          <w:color w:val="000000"/>
          <w:lang w:val="en-US"/>
        </w:rPr>
        <w:t>demonstrates</w:t>
      </w:r>
      <w:r w:rsidRPr="00486DF6">
        <w:rPr>
          <w:rFonts w:ascii="Times New Roman" w:eastAsia="Times New Roman" w:hAnsi="Times New Roman" w:cs="Times New Roman"/>
          <w:color w:val="000000"/>
          <w:lang w:val="en-US"/>
        </w:rPr>
        <w:t xml:space="preserve"> that </w:t>
      </w:r>
      <w:r w:rsidR="00BD4C60">
        <w:rPr>
          <w:rFonts w:ascii="Times New Roman" w:eastAsia="Times New Roman" w:hAnsi="Times New Roman" w:cs="Times New Roman"/>
          <w:color w:val="000000"/>
          <w:lang w:val="en-US"/>
        </w:rPr>
        <w:t>despite the fact that the procedural rules</w:t>
      </w:r>
      <w:r w:rsidR="00997DE5" w:rsidRPr="00486DF6">
        <w:rPr>
          <w:rFonts w:ascii="Times New Roman" w:eastAsia="Times New Roman" w:hAnsi="Times New Roman" w:cs="Times New Roman"/>
          <w:color w:val="000000"/>
          <w:lang w:val="en-US"/>
        </w:rPr>
        <w:t xml:space="preserve"> </w:t>
      </w:r>
      <w:r w:rsidR="00BD4C60">
        <w:rPr>
          <w:rFonts w:ascii="Times New Roman" w:eastAsia="Times New Roman" w:hAnsi="Times New Roman" w:cs="Times New Roman"/>
          <w:color w:val="000000"/>
          <w:lang w:val="en-US"/>
        </w:rPr>
        <w:t>under</w:t>
      </w:r>
      <w:r w:rsidR="00997DE5" w:rsidRPr="00486DF6">
        <w:rPr>
          <w:rFonts w:ascii="Times New Roman" w:eastAsia="Times New Roman" w:hAnsi="Times New Roman" w:cs="Times New Roman"/>
          <w:color w:val="000000"/>
          <w:lang w:val="en-US"/>
        </w:rPr>
        <w:t xml:space="preserve"> Article 7 TEU </w:t>
      </w:r>
      <w:r w:rsidR="00BD4C60">
        <w:rPr>
          <w:rFonts w:ascii="Times New Roman" w:eastAsia="Times New Roman" w:hAnsi="Times New Roman" w:cs="Times New Roman"/>
          <w:color w:val="000000"/>
          <w:lang w:val="en-US"/>
        </w:rPr>
        <w:t>make it very difficult</w:t>
      </w:r>
      <w:r w:rsidR="00997DE5" w:rsidRPr="00486DF6">
        <w:rPr>
          <w:rFonts w:ascii="Times New Roman" w:eastAsia="Times New Roman" w:hAnsi="Times New Roman" w:cs="Times New Roman"/>
          <w:color w:val="000000"/>
          <w:lang w:val="en-US"/>
        </w:rPr>
        <w:t xml:space="preserve"> to activate the sanctions envisaged for violations of the Union's values, the </w:t>
      </w:r>
      <w:r w:rsidR="00BD4C60">
        <w:rPr>
          <w:rFonts w:ascii="Times New Roman" w:eastAsia="Times New Roman" w:hAnsi="Times New Roman" w:cs="Times New Roman"/>
          <w:color w:val="000000"/>
          <w:lang w:val="en-US"/>
        </w:rPr>
        <w:t>EU institutions have still managed to use the legal toolkit in order to</w:t>
      </w:r>
      <w:r w:rsidR="00997DE5" w:rsidRPr="00486DF6">
        <w:rPr>
          <w:rFonts w:ascii="Times New Roman" w:eastAsia="Times New Roman" w:hAnsi="Times New Roman" w:cs="Times New Roman"/>
          <w:color w:val="000000"/>
          <w:lang w:val="en-US"/>
        </w:rPr>
        <w:t xml:space="preserve"> reduc</w:t>
      </w:r>
      <w:r w:rsidR="00BD4C60">
        <w:rPr>
          <w:rFonts w:ascii="Times New Roman" w:eastAsia="Times New Roman" w:hAnsi="Times New Roman" w:cs="Times New Roman"/>
          <w:color w:val="000000"/>
          <w:lang w:val="en-US"/>
        </w:rPr>
        <w:t>e</w:t>
      </w:r>
      <w:r w:rsidR="00997DE5" w:rsidRPr="00486DF6">
        <w:rPr>
          <w:rFonts w:ascii="Times New Roman" w:eastAsia="Times New Roman" w:hAnsi="Times New Roman" w:cs="Times New Roman"/>
          <w:color w:val="000000"/>
          <w:lang w:val="en-US"/>
        </w:rPr>
        <w:t xml:space="preserve"> the risk </w:t>
      </w:r>
      <w:r w:rsidR="00BD4C60">
        <w:rPr>
          <w:rFonts w:ascii="Times New Roman" w:eastAsia="Times New Roman" w:hAnsi="Times New Roman" w:cs="Times New Roman"/>
          <w:color w:val="000000"/>
          <w:lang w:val="en-US"/>
        </w:rPr>
        <w:t xml:space="preserve">created by those </w:t>
      </w:r>
      <w:r w:rsidR="00997DE5" w:rsidRPr="00486DF6">
        <w:rPr>
          <w:rFonts w:ascii="Times New Roman" w:eastAsia="Times New Roman" w:hAnsi="Times New Roman" w:cs="Times New Roman"/>
          <w:color w:val="000000"/>
          <w:lang w:val="en-US"/>
        </w:rPr>
        <w:t>nullification</w:t>
      </w:r>
      <w:r w:rsidR="00BD4C60">
        <w:rPr>
          <w:rFonts w:ascii="Times New Roman" w:eastAsia="Times New Roman" w:hAnsi="Times New Roman" w:cs="Times New Roman"/>
          <w:color w:val="000000"/>
          <w:lang w:val="en-US"/>
        </w:rPr>
        <w:t xml:space="preserve"> attempts</w:t>
      </w:r>
      <w:r w:rsidR="00997DE5" w:rsidRPr="00486DF6">
        <w:rPr>
          <w:rFonts w:ascii="Times New Roman" w:eastAsia="Times New Roman" w:hAnsi="Times New Roman" w:cs="Times New Roman"/>
          <w:color w:val="000000"/>
          <w:lang w:val="en-US"/>
        </w:rPr>
        <w:t>.</w:t>
      </w:r>
      <w:r w:rsidR="00F43EDE">
        <w:rPr>
          <w:rFonts w:ascii="Times New Roman" w:eastAsia="Times New Roman" w:hAnsi="Times New Roman" w:cs="Times New Roman"/>
          <w:color w:val="000000"/>
          <w:lang w:val="en-US"/>
        </w:rPr>
        <w:t xml:space="preserve"> In that sense, national policies that are used to ostensibly protect the rights of those States from </w:t>
      </w:r>
      <w:r w:rsidR="009E1353">
        <w:rPr>
          <w:rFonts w:ascii="Times New Roman" w:eastAsia="Times New Roman" w:hAnsi="Times New Roman" w:cs="Times New Roman"/>
          <w:color w:val="000000"/>
          <w:lang w:val="en-US"/>
        </w:rPr>
        <w:t xml:space="preserve">what they consider to be </w:t>
      </w:r>
      <w:r w:rsidR="00F43EDE">
        <w:rPr>
          <w:rFonts w:ascii="Times New Roman" w:eastAsia="Times New Roman" w:hAnsi="Times New Roman" w:cs="Times New Roman"/>
          <w:color w:val="000000"/>
          <w:lang w:val="en-US"/>
        </w:rPr>
        <w:t>intrusive policies of Brussels trigger a dialogue between the different levels of the EU multi-level legal order</w:t>
      </w:r>
      <w:r w:rsidR="009E1353">
        <w:rPr>
          <w:rFonts w:ascii="Times New Roman" w:eastAsia="Times New Roman" w:hAnsi="Times New Roman" w:cs="Times New Roman"/>
          <w:color w:val="000000"/>
          <w:lang w:val="en-US"/>
        </w:rPr>
        <w:t xml:space="preserve"> and become vehicles for a constitutional conflict.</w:t>
      </w:r>
      <w:r w:rsidR="0034162D">
        <w:rPr>
          <w:rFonts w:ascii="Times New Roman" w:eastAsia="Times New Roman" w:hAnsi="Times New Roman" w:cs="Times New Roman"/>
          <w:color w:val="000000"/>
          <w:lang w:val="en-US"/>
        </w:rPr>
        <w:t xml:space="preserve"> The recent electoral victories at national or regional level of populist and far-right parties in Europe ensure that the rule of law crisis will remain in the political agenda for </w:t>
      </w:r>
      <w:r w:rsidR="0034162D">
        <w:rPr>
          <w:rFonts w:ascii="Times New Roman" w:eastAsia="Times New Roman" w:hAnsi="Times New Roman" w:cs="Times New Roman"/>
          <w:color w:val="000000"/>
          <w:lang w:val="en-US"/>
        </w:rPr>
        <w:lastRenderedPageBreak/>
        <w:t>the years to come. Such victories may also trigger in the long run another withdrawal of a Member State from the EU as it is only through functional secession that a Member State could avoid the application of the Article 2 TEU values.</w:t>
      </w:r>
    </w:p>
    <w:p w14:paraId="7BAA5B07" w14:textId="77777777" w:rsidR="0034162D" w:rsidRPr="00486DF6" w:rsidRDefault="0034162D" w:rsidP="003E519F">
      <w:pPr>
        <w:spacing w:line="480" w:lineRule="auto"/>
        <w:ind w:firstLine="720"/>
        <w:jc w:val="both"/>
        <w:rPr>
          <w:rFonts w:ascii="Times New Roman" w:eastAsia="Times New Roman" w:hAnsi="Times New Roman" w:cs="Times New Roman"/>
          <w:color w:val="000000"/>
          <w:lang w:val="en-US"/>
        </w:rPr>
      </w:pPr>
    </w:p>
    <w:p w14:paraId="430CD72D" w14:textId="77777777" w:rsidR="00997DE5" w:rsidRPr="00C624CF" w:rsidRDefault="00997DE5" w:rsidP="000E4CEC">
      <w:pPr>
        <w:spacing w:line="480" w:lineRule="auto"/>
        <w:jc w:val="both"/>
        <w:rPr>
          <w:rFonts w:ascii="Times New Roman" w:eastAsia="Times New Roman" w:hAnsi="Times New Roman" w:cs="Times New Roman"/>
          <w:i/>
          <w:iCs/>
          <w:color w:val="000000"/>
          <w:lang w:val="en-US" w:eastAsia="en-GB"/>
        </w:rPr>
      </w:pPr>
      <w:r w:rsidRPr="00C624CF">
        <w:rPr>
          <w:rFonts w:ascii="Times New Roman" w:eastAsia="Times New Roman" w:hAnsi="Times New Roman" w:cs="Times New Roman"/>
          <w:i/>
          <w:iCs/>
          <w:color w:val="000000"/>
          <w:lang w:val="en-US" w:eastAsia="en-GB"/>
        </w:rPr>
        <w:t xml:space="preserve">C. </w:t>
      </w:r>
      <w:r w:rsidRPr="00C624CF">
        <w:rPr>
          <w:rFonts w:ascii="Times New Roman" w:eastAsia="Times New Roman" w:hAnsi="Times New Roman" w:cs="Times New Roman"/>
          <w:i/>
          <w:iCs/>
          <w:color w:val="000000"/>
          <w:lang w:val="en-US" w:eastAsia="en-GB"/>
        </w:rPr>
        <w:tab/>
        <w:t xml:space="preserve">Issue-based Withdrawal via primary law derogations </w:t>
      </w:r>
    </w:p>
    <w:p w14:paraId="4E9C5C8D" w14:textId="3BDB9A4F" w:rsidR="00B9502B" w:rsidRPr="00486DF6" w:rsidRDefault="00997DE5" w:rsidP="00C624CF">
      <w:pPr>
        <w:autoSpaceDE w:val="0"/>
        <w:autoSpaceDN w:val="0"/>
        <w:adjustRightInd w:val="0"/>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t xml:space="preserve">In the previous sections, we </w:t>
      </w:r>
      <w:r w:rsidR="007A6B0B" w:rsidRPr="00486DF6">
        <w:rPr>
          <w:rFonts w:ascii="Times New Roman" w:hAnsi="Times New Roman" w:cs="Times New Roman"/>
          <w:lang w:val="en-US"/>
        </w:rPr>
        <w:t xml:space="preserve">have </w:t>
      </w:r>
      <w:r w:rsidRPr="00486DF6">
        <w:rPr>
          <w:rFonts w:ascii="Times New Roman" w:hAnsi="Times New Roman" w:cs="Times New Roman"/>
          <w:lang w:val="en-US"/>
        </w:rPr>
        <w:t>highlighted that nullification</w:t>
      </w:r>
      <w:r w:rsidR="007A6B0B" w:rsidRPr="00486DF6">
        <w:rPr>
          <w:rFonts w:ascii="Times New Roman" w:hAnsi="Times New Roman" w:cs="Times New Roman"/>
          <w:lang w:val="en-US"/>
        </w:rPr>
        <w:t>,</w:t>
      </w:r>
      <w:r w:rsidRPr="00486DF6">
        <w:rPr>
          <w:rFonts w:ascii="Times New Roman" w:hAnsi="Times New Roman" w:cs="Times New Roman"/>
          <w:lang w:val="en-US"/>
        </w:rPr>
        <w:t xml:space="preserve"> </w:t>
      </w:r>
      <w:proofErr w:type="gramStart"/>
      <w:r w:rsidR="007A6B0B" w:rsidRPr="00486DF6">
        <w:rPr>
          <w:rFonts w:ascii="Times New Roman" w:hAnsi="Times New Roman" w:cs="Times New Roman"/>
          <w:lang w:val="en-US"/>
        </w:rPr>
        <w:t>i.e.</w:t>
      </w:r>
      <w:proofErr w:type="gramEnd"/>
      <w:r w:rsidRPr="00486DF6">
        <w:rPr>
          <w:rFonts w:ascii="Times New Roman" w:hAnsi="Times New Roman" w:cs="Times New Roman"/>
          <w:lang w:val="en-US"/>
        </w:rPr>
        <w:t xml:space="preserve"> issue-based withdrawal, is very difficult for a Member State to achieve.</w:t>
      </w:r>
      <w:r w:rsidR="005A1555">
        <w:rPr>
          <w:rFonts w:ascii="Times New Roman" w:hAnsi="Times New Roman" w:cs="Times New Roman"/>
          <w:lang w:val="en-US"/>
        </w:rPr>
        <w:t xml:space="preserve"> In fact</w:t>
      </w:r>
      <w:r w:rsidR="00A80E6E">
        <w:rPr>
          <w:rFonts w:ascii="Times New Roman" w:hAnsi="Times New Roman" w:cs="Times New Roman"/>
          <w:lang w:val="en-US"/>
        </w:rPr>
        <w:t>,</w:t>
      </w:r>
      <w:r w:rsidR="005A1555">
        <w:rPr>
          <w:rFonts w:ascii="Times New Roman" w:hAnsi="Times New Roman" w:cs="Times New Roman"/>
          <w:lang w:val="en-US"/>
        </w:rPr>
        <w:t xml:space="preserve"> the EU institutions have actively made use of the legal toolkit to successfully combat such nullification attempts.</w:t>
      </w:r>
      <w:r w:rsidRPr="00486DF6">
        <w:rPr>
          <w:rFonts w:ascii="Times New Roman" w:hAnsi="Times New Roman" w:cs="Times New Roman"/>
          <w:lang w:val="en-US"/>
        </w:rPr>
        <w:t xml:space="preserve"> Having said that, despite functioning as a European constitution,</w:t>
      </w:r>
      <w:r w:rsidRPr="00486DF6">
        <w:rPr>
          <w:rStyle w:val="FootnoteReference"/>
          <w:rFonts w:ascii="Times New Roman" w:hAnsi="Times New Roman" w:cs="Times New Roman"/>
          <w:lang w:val="en-US"/>
        </w:rPr>
        <w:footnoteReference w:id="105"/>
      </w:r>
      <w:r w:rsidRPr="00486DF6">
        <w:rPr>
          <w:rFonts w:ascii="Times New Roman" w:hAnsi="Times New Roman" w:cs="Times New Roman"/>
          <w:lang w:val="en-US"/>
        </w:rPr>
        <w:t xml:space="preserve"> the EU Treaties are still subject to the intergovernmental method of treaty-making and the will of Member States to accommodate specific economic and political interests has so far </w:t>
      </w:r>
      <w:r w:rsidR="007A6B0B" w:rsidRPr="00486DF6">
        <w:rPr>
          <w:rFonts w:ascii="Times New Roman" w:hAnsi="Times New Roman" w:cs="Times New Roman"/>
          <w:lang w:val="en-US"/>
        </w:rPr>
        <w:t xml:space="preserve">not </w:t>
      </w:r>
      <w:r w:rsidRPr="00486DF6">
        <w:rPr>
          <w:rFonts w:ascii="Times New Roman" w:hAnsi="Times New Roman" w:cs="Times New Roman"/>
          <w:lang w:val="en-US"/>
        </w:rPr>
        <w:t>been subject to any specific legal limitations. In other words, on the face of it, the Member States</w:t>
      </w:r>
      <w:r w:rsidR="001B2F18" w:rsidRPr="00486DF6">
        <w:rPr>
          <w:rFonts w:ascii="Times New Roman" w:hAnsi="Times New Roman" w:cs="Times New Roman"/>
          <w:lang w:val="en-US"/>
        </w:rPr>
        <w:t xml:space="preserve"> can</w:t>
      </w:r>
      <w:r w:rsidR="00136E14">
        <w:rPr>
          <w:rFonts w:ascii="Times New Roman" w:hAnsi="Times New Roman" w:cs="Times New Roman"/>
          <w:lang w:val="en-US"/>
        </w:rPr>
        <w:t>,</w:t>
      </w:r>
      <w:r w:rsidRPr="00486DF6">
        <w:rPr>
          <w:rFonts w:ascii="Times New Roman" w:hAnsi="Times New Roman" w:cs="Times New Roman"/>
          <w:lang w:val="en-US"/>
        </w:rPr>
        <w:t xml:space="preserve"> as the </w:t>
      </w:r>
      <w:r w:rsidR="00136E14">
        <w:rPr>
          <w:rFonts w:ascii="Times New Roman" w:hAnsi="Times New Roman" w:cs="Times New Roman"/>
          <w:lang w:val="en-US"/>
        </w:rPr>
        <w:t>“</w:t>
      </w:r>
      <w:r w:rsidRPr="00486DF6">
        <w:rPr>
          <w:rFonts w:ascii="Times New Roman" w:hAnsi="Times New Roman" w:cs="Times New Roman"/>
          <w:lang w:val="en-US"/>
        </w:rPr>
        <w:t>masters of the Treaties</w:t>
      </w:r>
      <w:r w:rsidR="00136E14">
        <w:rPr>
          <w:rFonts w:ascii="Times New Roman" w:hAnsi="Times New Roman" w:cs="Times New Roman"/>
          <w:lang w:val="en-US"/>
        </w:rPr>
        <w:t>”</w:t>
      </w:r>
      <w:r w:rsidRPr="00486DF6">
        <w:rPr>
          <w:rFonts w:ascii="Times New Roman" w:hAnsi="Times New Roman" w:cs="Times New Roman"/>
          <w:lang w:val="en-US"/>
        </w:rPr>
        <w:t xml:space="preserve"> amend them as they wish</w:t>
      </w:r>
      <w:r w:rsidR="007A6B0B" w:rsidRPr="00486DF6">
        <w:rPr>
          <w:rFonts w:ascii="Times New Roman" w:hAnsi="Times New Roman" w:cs="Times New Roman"/>
          <w:lang w:val="en-US"/>
        </w:rPr>
        <w:t>,</w:t>
      </w:r>
      <w:r w:rsidRPr="00486DF6">
        <w:rPr>
          <w:rFonts w:ascii="Times New Roman" w:hAnsi="Times New Roman" w:cs="Times New Roman"/>
          <w:lang w:val="en-US"/>
        </w:rPr>
        <w:t xml:space="preserve"> provided that unanimity is achieved. With regard to Accession Treaties, in particular, the Court of Justice has gone a step further. In the context of accession negotiations, it has </w:t>
      </w:r>
      <w:r w:rsidR="00C624CF" w:rsidRPr="00486DF6">
        <w:rPr>
          <w:rFonts w:ascii="Times New Roman" w:hAnsi="Times New Roman" w:cs="Times New Roman"/>
          <w:lang w:val="en-US"/>
        </w:rPr>
        <w:t>recognized</w:t>
      </w:r>
      <w:r w:rsidRPr="00486DF6">
        <w:rPr>
          <w:rFonts w:ascii="Times New Roman" w:hAnsi="Times New Roman" w:cs="Times New Roman"/>
          <w:lang w:val="en-US"/>
        </w:rPr>
        <w:t xml:space="preserve"> the freedom of negotiation, stating that </w:t>
      </w:r>
      <w:r w:rsidR="00C624CF">
        <w:rPr>
          <w:rFonts w:ascii="Times New Roman" w:hAnsi="Times New Roman" w:cs="Times New Roman"/>
          <w:lang w:val="en-US"/>
        </w:rPr>
        <w:t>“</w:t>
      </w:r>
      <w:r w:rsidRPr="00486DF6">
        <w:rPr>
          <w:rFonts w:ascii="Times New Roman" w:hAnsi="Times New Roman" w:cs="Times New Roman"/>
          <w:lang w:val="en-US"/>
        </w:rPr>
        <w:t>the legal conditions for such accession remain to be defined in the context of that procedure without its being possible to determine the content judicially in advance.</w:t>
      </w:r>
      <w:r w:rsidR="00C624CF">
        <w:rPr>
          <w:rFonts w:ascii="Times New Roman" w:hAnsi="Times New Roman" w:cs="Times New Roman"/>
          <w:lang w:val="en-US"/>
        </w:rPr>
        <w:t>”</w:t>
      </w:r>
      <w:r w:rsidRPr="00486DF6">
        <w:rPr>
          <w:rStyle w:val="FootnoteReference"/>
          <w:rFonts w:ascii="Times New Roman" w:hAnsi="Times New Roman" w:cs="Times New Roman"/>
          <w:lang w:val="en-US"/>
        </w:rPr>
        <w:footnoteReference w:id="106"/>
      </w:r>
      <w:r w:rsidRPr="00486DF6">
        <w:rPr>
          <w:rFonts w:ascii="Times New Roman" w:hAnsi="Times New Roman" w:cs="Times New Roman"/>
          <w:lang w:val="en-US"/>
        </w:rPr>
        <w:t xml:space="preserve"> </w:t>
      </w:r>
    </w:p>
    <w:p w14:paraId="17E83779" w14:textId="2201F765" w:rsidR="006E7273" w:rsidRPr="00486DF6" w:rsidRDefault="00997DE5" w:rsidP="00C624CF">
      <w:pPr>
        <w:autoSpaceDE w:val="0"/>
        <w:autoSpaceDN w:val="0"/>
        <w:adjustRightInd w:val="0"/>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t>This means that occasionally either in the context of Treaty negotiations or accession negotiations, Member States have managed to achieve</w:t>
      </w:r>
      <w:r w:rsidR="00136E14">
        <w:rPr>
          <w:rFonts w:ascii="Times New Roman" w:hAnsi="Times New Roman" w:cs="Times New Roman"/>
          <w:lang w:val="en-US"/>
        </w:rPr>
        <w:t xml:space="preserve"> an</w:t>
      </w:r>
      <w:r w:rsidRPr="00486DF6">
        <w:rPr>
          <w:rFonts w:ascii="Times New Roman" w:hAnsi="Times New Roman" w:cs="Times New Roman"/>
          <w:lang w:val="en-US"/>
        </w:rPr>
        <w:t xml:space="preserve"> issue-based withdrawal from an EU policy either for the entirety of their territory or more frequently for part of it.</w:t>
      </w:r>
      <w:r w:rsidR="006E7273" w:rsidRPr="00486DF6">
        <w:rPr>
          <w:rFonts w:ascii="Times New Roman" w:hAnsi="Times New Roman" w:cs="Times New Roman"/>
          <w:lang w:val="en-US"/>
        </w:rPr>
        <w:t xml:space="preserve"> </w:t>
      </w:r>
      <w:r w:rsidR="001B2F18" w:rsidRPr="00486DF6">
        <w:rPr>
          <w:rFonts w:ascii="Times New Roman" w:hAnsi="Times New Roman" w:cs="Times New Roman"/>
          <w:lang w:val="en-US"/>
        </w:rPr>
        <w:t>Clear</w:t>
      </w:r>
      <w:r w:rsidR="006E7273" w:rsidRPr="00486DF6">
        <w:rPr>
          <w:rFonts w:ascii="Times New Roman" w:hAnsi="Times New Roman" w:cs="Times New Roman"/>
          <w:lang w:val="en-US"/>
        </w:rPr>
        <w:t>ly, such opt-outs could be seen as forms of differentiated integration</w:t>
      </w:r>
      <w:r w:rsidR="00136E14">
        <w:rPr>
          <w:rFonts w:ascii="Times New Roman" w:hAnsi="Times New Roman" w:cs="Times New Roman"/>
          <w:lang w:val="en-US"/>
        </w:rPr>
        <w:t xml:space="preserve"> – </w:t>
      </w:r>
      <w:r w:rsidR="006E7273" w:rsidRPr="00486DF6">
        <w:rPr>
          <w:rFonts w:ascii="Times New Roman" w:hAnsi="Times New Roman" w:cs="Times New Roman"/>
          <w:lang w:val="en-US"/>
        </w:rPr>
        <w:t xml:space="preserve">asymmetries that allow the constitutional order to contain possible centrifugal dynamics. </w:t>
      </w:r>
      <w:r w:rsidR="007A6B0B" w:rsidRPr="00486DF6">
        <w:rPr>
          <w:rFonts w:ascii="Times New Roman" w:hAnsi="Times New Roman" w:cs="Times New Roman"/>
          <w:lang w:val="en-US"/>
        </w:rPr>
        <w:t>However, t</w:t>
      </w:r>
      <w:r w:rsidR="006E7273" w:rsidRPr="00486DF6">
        <w:rPr>
          <w:rFonts w:ascii="Times New Roman" w:hAnsi="Times New Roman" w:cs="Times New Roman"/>
          <w:lang w:val="en-US"/>
        </w:rPr>
        <w:t xml:space="preserve">o the extent that those opt-outs cover </w:t>
      </w:r>
      <w:r w:rsidR="00D33CFD" w:rsidRPr="00486DF6">
        <w:rPr>
          <w:rFonts w:ascii="Times New Roman" w:hAnsi="Times New Roman" w:cs="Times New Roman"/>
          <w:lang w:val="en-US"/>
        </w:rPr>
        <w:lastRenderedPageBreak/>
        <w:t>core areas of the legal order</w:t>
      </w:r>
      <w:r w:rsidR="007A6B0B" w:rsidRPr="00486DF6">
        <w:rPr>
          <w:rFonts w:ascii="Times New Roman" w:hAnsi="Times New Roman" w:cs="Times New Roman"/>
          <w:lang w:val="en-US"/>
        </w:rPr>
        <w:t>,</w:t>
      </w:r>
      <w:r w:rsidR="00D33CFD" w:rsidRPr="00486DF6">
        <w:rPr>
          <w:rFonts w:ascii="Times New Roman" w:hAnsi="Times New Roman" w:cs="Times New Roman"/>
          <w:lang w:val="en-US"/>
        </w:rPr>
        <w:t xml:space="preserve"> such as the four fundamental freedoms and the Economic and Monetary Union (EMU), they could also be seen as successful attempts </w:t>
      </w:r>
      <w:r w:rsidR="007A6B0B" w:rsidRPr="00486DF6">
        <w:rPr>
          <w:rFonts w:ascii="Times New Roman" w:hAnsi="Times New Roman" w:cs="Times New Roman"/>
          <w:lang w:val="en-US"/>
        </w:rPr>
        <w:t xml:space="preserve">at </w:t>
      </w:r>
      <w:r w:rsidR="00D33CFD" w:rsidRPr="00486DF6">
        <w:rPr>
          <w:rFonts w:ascii="Times New Roman" w:hAnsi="Times New Roman" w:cs="Times New Roman"/>
          <w:lang w:val="en-US"/>
        </w:rPr>
        <w:t>nullification.</w:t>
      </w:r>
    </w:p>
    <w:p w14:paraId="12585180" w14:textId="6BDBBE1B" w:rsidR="00F934A2" w:rsidRPr="00486DF6" w:rsidRDefault="00997DE5" w:rsidP="00C624CF">
      <w:pPr>
        <w:autoSpaceDE w:val="0"/>
        <w:autoSpaceDN w:val="0"/>
        <w:adjustRightInd w:val="0"/>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t>For instance, the UK</w:t>
      </w:r>
      <w:r w:rsidRPr="00486DF6">
        <w:rPr>
          <w:rStyle w:val="FootnoteReference"/>
          <w:rFonts w:ascii="Times New Roman" w:hAnsi="Times New Roman" w:cs="Times New Roman"/>
          <w:lang w:val="en-US"/>
        </w:rPr>
        <w:footnoteReference w:id="107"/>
      </w:r>
      <w:r w:rsidRPr="00486DF6">
        <w:rPr>
          <w:rFonts w:ascii="Times New Roman" w:hAnsi="Times New Roman" w:cs="Times New Roman"/>
          <w:lang w:val="en-US"/>
        </w:rPr>
        <w:t xml:space="preserve"> and Denmark</w:t>
      </w:r>
      <w:r w:rsidRPr="00486DF6">
        <w:rPr>
          <w:rStyle w:val="FootnoteReference"/>
          <w:rFonts w:ascii="Times New Roman" w:hAnsi="Times New Roman" w:cs="Times New Roman"/>
          <w:lang w:val="en-US"/>
        </w:rPr>
        <w:footnoteReference w:id="108"/>
      </w:r>
      <w:r w:rsidRPr="00486DF6">
        <w:rPr>
          <w:rFonts w:ascii="Times New Roman" w:hAnsi="Times New Roman" w:cs="Times New Roman"/>
          <w:lang w:val="en-US"/>
        </w:rPr>
        <w:t xml:space="preserve"> successfully negotiated opt-outs from adopting the Euro and from a number of policies concerning the EMU. In particular, during the negotiations for the signing of the Treaty of Maastricht, Denmark secured four exceptions including one that allowed them not to adopt the common currency.</w:t>
      </w:r>
      <w:r w:rsidRPr="00486DF6">
        <w:rPr>
          <w:rStyle w:val="FootnoteReference"/>
          <w:rFonts w:ascii="Times New Roman" w:hAnsi="Times New Roman" w:cs="Times New Roman"/>
          <w:lang w:val="en-US"/>
        </w:rPr>
        <w:footnoteReference w:id="109"/>
      </w:r>
      <w:r w:rsidRPr="00486DF6">
        <w:rPr>
          <w:rFonts w:ascii="Times New Roman" w:hAnsi="Times New Roman" w:cs="Times New Roman"/>
          <w:lang w:val="en-US"/>
        </w:rPr>
        <w:t xml:space="preserve"> Such strategic choice was subsequently confirmed by the majority of the Danish electorate in the September 2000 referendum. As a result, the country still does not take part in the third phase of the EMU and maintains the national currency (krone), as well as powers in relation to monetary policy. They also retain the autonomy to decide if and when to join the Euro.</w:t>
      </w:r>
      <w:r w:rsidRPr="00486DF6">
        <w:rPr>
          <w:rStyle w:val="FootnoteReference"/>
          <w:rFonts w:ascii="Times New Roman" w:hAnsi="Times New Roman" w:cs="Times New Roman"/>
          <w:lang w:val="en-US"/>
        </w:rPr>
        <w:footnoteReference w:id="110"/>
      </w:r>
    </w:p>
    <w:p w14:paraId="318F0CC2" w14:textId="0B1FB2DA" w:rsidR="00F934A2" w:rsidRPr="00486DF6" w:rsidRDefault="00F934A2" w:rsidP="00C624CF">
      <w:pPr>
        <w:autoSpaceDE w:val="0"/>
        <w:autoSpaceDN w:val="0"/>
        <w:adjustRightInd w:val="0"/>
        <w:spacing w:line="480" w:lineRule="auto"/>
        <w:ind w:firstLine="720"/>
        <w:jc w:val="both"/>
        <w:rPr>
          <w:rFonts w:ascii="Times New Roman" w:hAnsi="Times New Roman" w:cs="Times New Roman"/>
          <w:lang w:val="en-US"/>
        </w:rPr>
      </w:pPr>
      <w:r w:rsidRPr="00486DF6">
        <w:rPr>
          <w:rFonts w:ascii="Times New Roman" w:hAnsi="Times New Roman" w:cs="Times New Roman"/>
          <w:color w:val="000000" w:themeColor="text1"/>
          <w:lang w:val="en-US"/>
        </w:rPr>
        <w:t xml:space="preserve">Interestingly, Denmark is also the only Member State that has managed to permanently limit the application of a fundamental freedom for the entirety of their territory. During the negotiations for the signing of the </w:t>
      </w:r>
      <w:r w:rsidRPr="00486DF6">
        <w:rPr>
          <w:rFonts w:ascii="Times New Roman" w:hAnsi="Times New Roman" w:cs="Times New Roman"/>
          <w:lang w:val="en-US"/>
        </w:rPr>
        <w:t>Maastricht Treaty they secured a special Protocol that accepts the Danish prohibition for secondary residences.</w:t>
      </w:r>
      <w:r w:rsidRPr="00486DF6">
        <w:rPr>
          <w:rStyle w:val="FootnoteReference"/>
          <w:rFonts w:ascii="Times New Roman" w:hAnsi="Times New Roman" w:cs="Times New Roman"/>
          <w:lang w:val="en-US"/>
        </w:rPr>
        <w:footnoteReference w:id="111"/>
      </w:r>
      <w:r w:rsidRPr="00486DF6">
        <w:rPr>
          <w:rFonts w:ascii="Times New Roman" w:eastAsia="Times New Roman" w:hAnsi="Times New Roman" w:cs="Times New Roman"/>
          <w:color w:val="000000" w:themeColor="text1"/>
          <w:lang w:val="en-US"/>
        </w:rPr>
        <w:t xml:space="preserve"> The Protocol originated from the fact that Danish legislation prohibited the acquisition of second homes in Denmark by non-Danish people. On this basis</w:t>
      </w:r>
      <w:r w:rsidR="005A1555">
        <w:rPr>
          <w:rFonts w:ascii="Times New Roman" w:eastAsia="Times New Roman" w:hAnsi="Times New Roman" w:cs="Times New Roman"/>
          <w:color w:val="000000" w:themeColor="text1"/>
          <w:lang w:val="en-US"/>
        </w:rPr>
        <w:t>,</w:t>
      </w:r>
      <w:r w:rsidR="0063096A">
        <w:rPr>
          <w:rFonts w:ascii="Times New Roman" w:eastAsia="Times New Roman" w:hAnsi="Times New Roman" w:cs="Times New Roman"/>
          <w:color w:val="000000" w:themeColor="text1"/>
          <w:lang w:val="en-US"/>
        </w:rPr>
        <w:t xml:space="preserve"> </w:t>
      </w:r>
      <w:r w:rsidRPr="00486DF6">
        <w:rPr>
          <w:rFonts w:ascii="Times New Roman" w:eastAsia="Times New Roman" w:hAnsi="Times New Roman" w:cs="Times New Roman"/>
          <w:color w:val="000000" w:themeColor="text1"/>
          <w:lang w:val="en-US"/>
        </w:rPr>
        <w:t xml:space="preserve">Denmark insisted on introducing a derogation to the principles of non-discrimination on the basis of nationality, the freedom to provide services, and the free movement of capital established by the Treaties. The Protocol also represented a response to the </w:t>
      </w:r>
      <w:r w:rsidRPr="00486DF6">
        <w:rPr>
          <w:rFonts w:ascii="Times New Roman" w:eastAsia="Times New Roman" w:hAnsi="Times New Roman" w:cs="Times New Roman"/>
          <w:i/>
          <w:color w:val="000000" w:themeColor="text1"/>
          <w:lang w:val="en-US"/>
        </w:rPr>
        <w:t>Cowan</w:t>
      </w:r>
      <w:r w:rsidRPr="00486DF6">
        <w:rPr>
          <w:rFonts w:ascii="Times New Roman" w:eastAsia="Times New Roman" w:hAnsi="Times New Roman" w:cs="Times New Roman"/>
          <w:color w:val="000000" w:themeColor="text1"/>
          <w:vertAlign w:val="superscript"/>
          <w:lang w:val="en-US"/>
        </w:rPr>
        <w:footnoteReference w:id="112"/>
      </w:r>
      <w:r w:rsidRPr="00486DF6">
        <w:rPr>
          <w:rFonts w:ascii="Times New Roman" w:eastAsia="Times New Roman" w:hAnsi="Times New Roman" w:cs="Times New Roman"/>
          <w:color w:val="000000" w:themeColor="text1"/>
          <w:lang w:val="en-US"/>
        </w:rPr>
        <w:t xml:space="preserve"> and </w:t>
      </w:r>
      <w:r w:rsidRPr="00486DF6">
        <w:rPr>
          <w:rFonts w:ascii="Times New Roman" w:eastAsia="Times New Roman" w:hAnsi="Times New Roman" w:cs="Times New Roman"/>
          <w:i/>
          <w:color w:val="000000" w:themeColor="text1"/>
          <w:lang w:val="en-US"/>
        </w:rPr>
        <w:lastRenderedPageBreak/>
        <w:t>Commission v. Greece</w:t>
      </w:r>
      <w:r w:rsidRPr="00486DF6">
        <w:rPr>
          <w:rFonts w:ascii="Times New Roman" w:eastAsia="Times New Roman" w:hAnsi="Times New Roman" w:cs="Times New Roman"/>
          <w:color w:val="000000" w:themeColor="text1"/>
          <w:vertAlign w:val="superscript"/>
          <w:lang w:val="en-US"/>
        </w:rPr>
        <w:footnoteReference w:id="113"/>
      </w:r>
      <w:r w:rsidRPr="00486DF6">
        <w:rPr>
          <w:rFonts w:ascii="Times New Roman" w:eastAsia="Times New Roman" w:hAnsi="Times New Roman" w:cs="Times New Roman"/>
          <w:color w:val="000000" w:themeColor="text1"/>
          <w:lang w:val="en-US"/>
        </w:rPr>
        <w:t xml:space="preserve"> judgments given by the CJ</w:t>
      </w:r>
      <w:r w:rsidR="00BE29B9">
        <w:rPr>
          <w:rFonts w:ascii="Times New Roman" w:eastAsia="Times New Roman" w:hAnsi="Times New Roman" w:cs="Times New Roman"/>
          <w:color w:val="000000" w:themeColor="text1"/>
          <w:lang w:val="en-US"/>
        </w:rPr>
        <w:t>EU</w:t>
      </w:r>
      <w:r w:rsidRPr="00486DF6">
        <w:rPr>
          <w:rFonts w:ascii="Times New Roman" w:eastAsia="Times New Roman" w:hAnsi="Times New Roman" w:cs="Times New Roman"/>
          <w:color w:val="000000" w:themeColor="text1"/>
          <w:lang w:val="en-US"/>
        </w:rPr>
        <w:t xml:space="preserve"> in 1989. In the latter case, the Court had held</w:t>
      </w:r>
      <w:r w:rsidR="00C624CF">
        <w:rPr>
          <w:rFonts w:ascii="Times New Roman" w:eastAsia="Times New Roman" w:hAnsi="Times New Roman" w:cs="Times New Roman"/>
          <w:color w:val="000000" w:themeColor="text1"/>
          <w:lang w:val="en-US"/>
        </w:rPr>
        <w:t xml:space="preserve"> that</w:t>
      </w:r>
      <w:r w:rsidRPr="00486DF6">
        <w:rPr>
          <w:rFonts w:ascii="Times New Roman" w:eastAsia="Times New Roman" w:hAnsi="Times New Roman" w:cs="Times New Roman"/>
          <w:color w:val="000000" w:themeColor="text1"/>
          <w:lang w:val="en-US"/>
        </w:rPr>
        <w:t xml:space="preserve"> the </w:t>
      </w:r>
      <w:r w:rsidR="00C624CF">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lang w:val="en-US"/>
        </w:rPr>
        <w:t>restrictions applied by a Member State to nationals of other Member States in regard to the acquisition and enjoyment of rights in immovable property are contrary to Articles 48, 52 and 59 of the Treaty</w:t>
      </w:r>
      <w:r w:rsidR="00A5563C">
        <w:rPr>
          <w:rFonts w:ascii="Times New Roman" w:eastAsia="Times New Roman" w:hAnsi="Times New Roman" w:cs="Times New Roman"/>
          <w:color w:val="000000" w:themeColor="text1"/>
          <w:lang w:val="en-US"/>
        </w:rPr>
        <w:t>.</w:t>
      </w:r>
      <w:r w:rsidR="00C624CF">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vertAlign w:val="superscript"/>
          <w:lang w:val="en-US"/>
        </w:rPr>
        <w:footnoteReference w:id="114"/>
      </w:r>
      <w:r w:rsidRPr="00486DF6">
        <w:rPr>
          <w:rFonts w:ascii="Times New Roman" w:eastAsia="Times New Roman" w:hAnsi="Times New Roman" w:cs="Times New Roman"/>
          <w:color w:val="000000" w:themeColor="text1"/>
          <w:lang w:val="en-US"/>
        </w:rPr>
        <w:t xml:space="preserve"> These judgments were seen as dangerous precedents </w:t>
      </w:r>
      <w:r w:rsidR="00C624CF" w:rsidRPr="00486DF6">
        <w:rPr>
          <w:rFonts w:ascii="Times New Roman" w:eastAsia="Times New Roman" w:hAnsi="Times New Roman" w:cs="Times New Roman"/>
          <w:color w:val="000000" w:themeColor="text1"/>
          <w:lang w:val="en-US"/>
        </w:rPr>
        <w:t>jeopardizing</w:t>
      </w:r>
      <w:r w:rsidRPr="00486DF6">
        <w:rPr>
          <w:rFonts w:ascii="Times New Roman" w:eastAsia="Times New Roman" w:hAnsi="Times New Roman" w:cs="Times New Roman"/>
          <w:color w:val="000000" w:themeColor="text1"/>
          <w:lang w:val="en-US"/>
        </w:rPr>
        <w:t xml:space="preserve"> the scope of national sovereignty in this field. </w:t>
      </w:r>
    </w:p>
    <w:p w14:paraId="34952E8C" w14:textId="4E1C357E" w:rsidR="00F934A2" w:rsidRPr="00486DF6" w:rsidRDefault="00F934A2" w:rsidP="00C624CF">
      <w:pPr>
        <w:autoSpaceDE w:val="0"/>
        <w:autoSpaceDN w:val="0"/>
        <w:adjustRightInd w:val="0"/>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t xml:space="preserve">During the same period, Ireland was also successful in </w:t>
      </w:r>
      <w:r w:rsidRPr="00486DF6">
        <w:rPr>
          <w:rFonts w:ascii="Times New Roman" w:eastAsia="Times New Roman" w:hAnsi="Times New Roman" w:cs="Times New Roman"/>
          <w:color w:val="000000" w:themeColor="text1"/>
          <w:lang w:val="en-US"/>
        </w:rPr>
        <w:t xml:space="preserve">securing the famous </w:t>
      </w:r>
      <w:r w:rsidRPr="00486DF6">
        <w:rPr>
          <w:rFonts w:ascii="Times New Roman" w:eastAsia="Times New Roman" w:hAnsi="Times New Roman" w:cs="Times New Roman"/>
          <w:i/>
          <w:color w:val="000000" w:themeColor="text1"/>
          <w:lang w:val="en-US"/>
        </w:rPr>
        <w:t>Grogan</w:t>
      </w:r>
      <w:r w:rsidRPr="00486DF6">
        <w:rPr>
          <w:rFonts w:ascii="Times New Roman" w:eastAsia="Times New Roman" w:hAnsi="Times New Roman" w:cs="Times New Roman"/>
          <w:color w:val="000000" w:themeColor="text1"/>
          <w:lang w:val="en-US"/>
        </w:rPr>
        <w:t xml:space="preserve"> protocol (no. 17)</w:t>
      </w:r>
      <w:r w:rsidR="001B2F18" w:rsidRPr="00486DF6">
        <w:rPr>
          <w:rFonts w:ascii="Times New Roman" w:eastAsia="Times New Roman" w:hAnsi="Times New Roman" w:cs="Times New Roman"/>
          <w:color w:val="000000" w:themeColor="text1"/>
          <w:lang w:val="en-US"/>
        </w:rPr>
        <w:t>, according</w:t>
      </w:r>
      <w:r w:rsidRPr="00486DF6">
        <w:rPr>
          <w:rFonts w:ascii="Times New Roman" w:eastAsia="Times New Roman" w:hAnsi="Times New Roman" w:cs="Times New Roman"/>
          <w:color w:val="000000" w:themeColor="text1"/>
          <w:lang w:val="en-US"/>
        </w:rPr>
        <w:t xml:space="preserve"> to </w:t>
      </w:r>
      <w:r w:rsidR="001B2F18" w:rsidRPr="00486DF6">
        <w:rPr>
          <w:rFonts w:ascii="Times New Roman" w:eastAsia="Times New Roman" w:hAnsi="Times New Roman" w:cs="Times New Roman"/>
          <w:color w:val="000000" w:themeColor="text1"/>
          <w:lang w:val="en-US"/>
        </w:rPr>
        <w:t>which</w:t>
      </w:r>
      <w:r w:rsidRPr="00486DF6">
        <w:rPr>
          <w:rFonts w:ascii="Times New Roman" w:eastAsia="Times New Roman" w:hAnsi="Times New Roman" w:cs="Times New Roman"/>
          <w:color w:val="000000" w:themeColor="text1"/>
          <w:lang w:val="en-US"/>
        </w:rPr>
        <w:t xml:space="preserve">, </w:t>
      </w:r>
      <w:r w:rsidR="00C624CF">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lang w:val="en-US"/>
        </w:rPr>
        <w:t>nothing in the Treaty on European Union or in the Treaties establishing the European Communities, or in the Treaties or Acts modifying or supplementing those Treaties, shall affect the application in Ireland of Article 40.3.3 of the Constitution of Ireland</w:t>
      </w:r>
      <w:r w:rsidR="00A5563C">
        <w:rPr>
          <w:rFonts w:ascii="Times New Roman" w:eastAsia="Times New Roman" w:hAnsi="Times New Roman" w:cs="Times New Roman"/>
          <w:color w:val="000000" w:themeColor="text1"/>
          <w:lang w:val="en-US"/>
        </w:rPr>
        <w:t>.</w:t>
      </w:r>
      <w:r w:rsidR="00C624CF">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lang w:val="en-US"/>
        </w:rPr>
        <w:t xml:space="preserve"> This Protocol originated from the well-known </w:t>
      </w:r>
      <w:r w:rsidRPr="00486DF6">
        <w:rPr>
          <w:rFonts w:ascii="Times New Roman" w:eastAsia="Times New Roman" w:hAnsi="Times New Roman" w:cs="Times New Roman"/>
          <w:i/>
          <w:color w:val="000000" w:themeColor="text1"/>
          <w:lang w:val="en-US"/>
        </w:rPr>
        <w:t>Grogan</w:t>
      </w:r>
      <w:r w:rsidRPr="00486DF6">
        <w:rPr>
          <w:rFonts w:ascii="Times New Roman" w:eastAsia="Times New Roman" w:hAnsi="Times New Roman" w:cs="Times New Roman"/>
          <w:color w:val="000000" w:themeColor="text1"/>
          <w:lang w:val="en-US"/>
        </w:rPr>
        <w:t xml:space="preserve"> judgment</w:t>
      </w:r>
      <w:r w:rsidRPr="00486DF6">
        <w:rPr>
          <w:rFonts w:ascii="Times New Roman" w:eastAsia="Times New Roman" w:hAnsi="Times New Roman" w:cs="Times New Roman"/>
          <w:i/>
          <w:color w:val="000000" w:themeColor="text1"/>
          <w:lang w:val="en-US"/>
        </w:rPr>
        <w:t xml:space="preserve"> </w:t>
      </w:r>
      <w:r w:rsidRPr="00486DF6">
        <w:rPr>
          <w:rFonts w:ascii="Times New Roman" w:eastAsia="Times New Roman" w:hAnsi="Times New Roman" w:cs="Times New Roman"/>
          <w:color w:val="000000" w:themeColor="text1"/>
          <w:lang w:val="en-US"/>
        </w:rPr>
        <w:t>where the CJ</w:t>
      </w:r>
      <w:r w:rsidR="00BE29B9">
        <w:rPr>
          <w:rFonts w:ascii="Times New Roman" w:eastAsia="Times New Roman" w:hAnsi="Times New Roman" w:cs="Times New Roman"/>
          <w:color w:val="000000" w:themeColor="text1"/>
          <w:lang w:val="en-US"/>
        </w:rPr>
        <w:t>EU</w:t>
      </w:r>
      <w:r w:rsidRPr="00486DF6">
        <w:rPr>
          <w:rFonts w:ascii="Times New Roman" w:eastAsia="Times New Roman" w:hAnsi="Times New Roman" w:cs="Times New Roman"/>
          <w:color w:val="000000" w:themeColor="text1"/>
          <w:lang w:val="en-US"/>
        </w:rPr>
        <w:t xml:space="preserve"> held that </w:t>
      </w:r>
      <w:r w:rsidR="00C624CF">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lang w:val="en-US"/>
        </w:rPr>
        <w:t>medical termination of pregnancy, performed in accordance with the law of the State in which it is carried out, constitutes a service within the meaning of Article 60 of the Treaty</w:t>
      </w:r>
      <w:r w:rsidR="00A5563C">
        <w:rPr>
          <w:rFonts w:ascii="Times New Roman" w:eastAsia="Times New Roman" w:hAnsi="Times New Roman" w:cs="Times New Roman"/>
          <w:color w:val="000000" w:themeColor="text1"/>
          <w:lang w:val="en-US"/>
        </w:rPr>
        <w:t>.</w:t>
      </w:r>
      <w:r w:rsidR="00C624CF">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vertAlign w:val="superscript"/>
          <w:lang w:val="en-US"/>
        </w:rPr>
        <w:footnoteReference w:id="115"/>
      </w:r>
      <w:r w:rsidRPr="00486DF6">
        <w:rPr>
          <w:rFonts w:ascii="Times New Roman" w:eastAsia="Times New Roman" w:hAnsi="Times New Roman" w:cs="Times New Roman"/>
          <w:color w:val="000000" w:themeColor="text1"/>
          <w:lang w:val="en-US"/>
        </w:rPr>
        <w:t xml:space="preserve"> Curtin </w:t>
      </w:r>
      <w:r w:rsidRPr="00486DF6">
        <w:rPr>
          <w:rFonts w:ascii="Times New Roman" w:eastAsia="Times New Roman" w:hAnsi="Times New Roman" w:cs="Times New Roman"/>
          <w:color w:val="000000" w:themeColor="text1"/>
          <w:lang w:val="en-US"/>
        </w:rPr>
        <w:lastRenderedPageBreak/>
        <w:t xml:space="preserve">duly pointed out the danger of such a protocol since it potentially gave all the Member States the possibility to obtain a document like this, requiring respect for a particular provision of the national constitution: </w:t>
      </w:r>
    </w:p>
    <w:p w14:paraId="7CFC1CEF" w14:textId="0F665DAF" w:rsidR="005D5832" w:rsidRPr="001110D4" w:rsidRDefault="005E0AC0" w:rsidP="001110D4">
      <w:pPr>
        <w:autoSpaceDE w:val="0"/>
        <w:autoSpaceDN w:val="0"/>
        <w:adjustRightInd w:val="0"/>
        <w:spacing w:line="480" w:lineRule="auto"/>
        <w:ind w:left="720"/>
        <w:jc w:val="both"/>
        <w:rPr>
          <w:rFonts w:ascii="Times New Roman" w:hAnsi="Times New Roman" w:cs="Times New Roman"/>
          <w:lang w:val="en-US"/>
        </w:rPr>
      </w:pPr>
      <w:r>
        <w:rPr>
          <w:rFonts w:ascii="Times New Roman" w:eastAsia="Times New Roman" w:hAnsi="Times New Roman" w:cs="Times New Roman"/>
          <w:iCs/>
          <w:color w:val="000000" w:themeColor="text1"/>
          <w:sz w:val="20"/>
          <w:szCs w:val="20"/>
          <w:lang w:val="en-US"/>
        </w:rPr>
        <w:t>‘</w:t>
      </w:r>
      <w:r w:rsidR="00F934A2" w:rsidRPr="00486DF6">
        <w:rPr>
          <w:rFonts w:ascii="Times New Roman" w:eastAsia="Times New Roman" w:hAnsi="Times New Roman" w:cs="Times New Roman"/>
          <w:iCs/>
          <w:color w:val="000000" w:themeColor="text1"/>
          <w:sz w:val="20"/>
          <w:szCs w:val="20"/>
          <w:lang w:val="en-US"/>
        </w:rPr>
        <w:t xml:space="preserve">This </w:t>
      </w:r>
      <w:proofErr w:type="spellStart"/>
      <w:r w:rsidR="00F934A2" w:rsidRPr="00486DF6">
        <w:rPr>
          <w:rFonts w:ascii="Times New Roman" w:eastAsia="Times New Roman" w:hAnsi="Times New Roman" w:cs="Times New Roman"/>
          <w:iCs/>
          <w:color w:val="000000" w:themeColor="text1"/>
          <w:sz w:val="20"/>
          <w:szCs w:val="20"/>
          <w:lang w:val="en-US"/>
        </w:rPr>
        <w:t>spectre</w:t>
      </w:r>
      <w:proofErr w:type="spellEnd"/>
      <w:r w:rsidR="00F934A2" w:rsidRPr="00486DF6">
        <w:rPr>
          <w:rFonts w:ascii="Times New Roman" w:eastAsia="Times New Roman" w:hAnsi="Times New Roman" w:cs="Times New Roman"/>
          <w:iCs/>
          <w:color w:val="000000" w:themeColor="text1"/>
          <w:sz w:val="20"/>
          <w:szCs w:val="20"/>
          <w:lang w:val="en-US"/>
        </w:rPr>
        <w:t xml:space="preserve"> of a Pandora’s box which has been opened is of course profoundly disintegrative and strikes at the heart of the very uniqueness of Community law, as well as the image that has been carefully cultivated since the early 1970s that the Community takes its human rights protection seriously.</w:t>
      </w:r>
      <w:r>
        <w:rPr>
          <w:rFonts w:ascii="Times New Roman" w:eastAsia="Times New Roman" w:hAnsi="Times New Roman" w:cs="Times New Roman"/>
          <w:iCs/>
          <w:color w:val="000000" w:themeColor="text1"/>
          <w:sz w:val="20"/>
          <w:szCs w:val="20"/>
          <w:lang w:val="en-US"/>
        </w:rPr>
        <w:t>'</w:t>
      </w:r>
      <w:r w:rsidR="00F934A2" w:rsidRPr="00486DF6">
        <w:rPr>
          <w:rFonts w:ascii="Times New Roman" w:eastAsia="Times New Roman" w:hAnsi="Times New Roman" w:cs="Times New Roman"/>
          <w:iCs/>
          <w:color w:val="000000" w:themeColor="text1"/>
          <w:sz w:val="20"/>
          <w:szCs w:val="20"/>
          <w:vertAlign w:val="superscript"/>
          <w:lang w:val="en-US"/>
        </w:rPr>
        <w:footnoteReference w:id="116"/>
      </w:r>
    </w:p>
    <w:p w14:paraId="1BB0FC60" w14:textId="45E85470" w:rsidR="00F934A2" w:rsidRPr="00486DF6" w:rsidRDefault="00F934A2" w:rsidP="00C624CF">
      <w:pPr>
        <w:autoSpaceDE w:val="0"/>
        <w:autoSpaceDN w:val="0"/>
        <w:adjustRightInd w:val="0"/>
        <w:spacing w:line="480" w:lineRule="auto"/>
        <w:ind w:firstLine="720"/>
        <w:jc w:val="both"/>
        <w:rPr>
          <w:rFonts w:ascii="Times New Roman" w:hAnsi="Times New Roman" w:cs="Times New Roman"/>
          <w:lang w:val="en-US"/>
        </w:rPr>
      </w:pPr>
      <w:r w:rsidRPr="00486DF6">
        <w:rPr>
          <w:rFonts w:ascii="Times New Roman" w:eastAsia="Times New Roman" w:hAnsi="Times New Roman" w:cs="Times New Roman"/>
          <w:color w:val="000000" w:themeColor="text1"/>
          <w:lang w:val="en-US"/>
        </w:rPr>
        <w:t xml:space="preserve">In the context of the negotiations for the signing of the Treaty of Maastricht, the famous </w:t>
      </w:r>
      <w:r w:rsidRPr="00486DF6">
        <w:rPr>
          <w:rFonts w:ascii="Times New Roman" w:eastAsia="Times New Roman" w:hAnsi="Times New Roman" w:cs="Times New Roman"/>
          <w:i/>
          <w:color w:val="000000" w:themeColor="text1"/>
          <w:lang w:val="en-US"/>
        </w:rPr>
        <w:t>Barber</w:t>
      </w:r>
      <w:r w:rsidRPr="00486DF6">
        <w:rPr>
          <w:rFonts w:ascii="Times New Roman" w:eastAsia="Times New Roman" w:hAnsi="Times New Roman" w:cs="Times New Roman"/>
          <w:color w:val="000000" w:themeColor="text1"/>
          <w:lang w:val="en-US"/>
        </w:rPr>
        <w:t xml:space="preserve"> protocol (no. 2) was also agreed. This laid down a derogation – not geographically limited this time – to the </w:t>
      </w:r>
      <w:r w:rsidRPr="00486DF6">
        <w:rPr>
          <w:rFonts w:ascii="Times New Roman" w:eastAsia="Times New Roman" w:hAnsi="Times New Roman" w:cs="Times New Roman"/>
          <w:i/>
          <w:color w:val="000000" w:themeColor="text1"/>
          <w:lang w:val="en-US"/>
        </w:rPr>
        <w:t xml:space="preserve">acquis </w:t>
      </w:r>
      <w:proofErr w:type="spellStart"/>
      <w:r w:rsidRPr="00486DF6">
        <w:rPr>
          <w:rFonts w:ascii="Times New Roman" w:eastAsia="Times New Roman" w:hAnsi="Times New Roman" w:cs="Times New Roman"/>
          <w:i/>
          <w:color w:val="000000" w:themeColor="text1"/>
          <w:lang w:val="en-US"/>
        </w:rPr>
        <w:t>communautaire</w:t>
      </w:r>
      <w:proofErr w:type="spellEnd"/>
      <w:r w:rsidRPr="00486DF6">
        <w:rPr>
          <w:rFonts w:ascii="Times New Roman" w:eastAsia="Times New Roman" w:hAnsi="Times New Roman" w:cs="Times New Roman"/>
          <w:color w:val="000000" w:themeColor="text1"/>
          <w:lang w:val="en-US"/>
        </w:rPr>
        <w:t>:</w:t>
      </w:r>
    </w:p>
    <w:p w14:paraId="44B086DE" w14:textId="3BB0CB53" w:rsidR="005D5832" w:rsidRPr="001110D4" w:rsidRDefault="00F934A2" w:rsidP="001110D4">
      <w:pPr>
        <w:autoSpaceDE w:val="0"/>
        <w:autoSpaceDN w:val="0"/>
        <w:adjustRightInd w:val="0"/>
        <w:spacing w:line="480" w:lineRule="auto"/>
        <w:ind w:left="720"/>
        <w:jc w:val="both"/>
        <w:rPr>
          <w:rFonts w:ascii="Times New Roman" w:hAnsi="Times New Roman" w:cs="Times New Roman"/>
          <w:lang w:val="en-US"/>
        </w:rPr>
      </w:pPr>
      <w:r w:rsidRPr="00486DF6">
        <w:rPr>
          <w:rFonts w:ascii="Times New Roman" w:eastAsia="Times New Roman" w:hAnsi="Times New Roman" w:cs="Times New Roman"/>
          <w:iCs/>
          <w:color w:val="000000" w:themeColor="text1"/>
          <w:sz w:val="20"/>
          <w:szCs w:val="20"/>
          <w:lang w:val="en-US"/>
        </w:rPr>
        <w:t>For the purposes of Article 119 of this Treaty, benefits under occupational social security schemes shall not be considered as remuneration if and in so far as they are attributable to periods of employment prior to 17 May 1990, except in the case of workers or those claiming under them who have before that date initiated legal proceedings or introduced an equivalent claim under the applicable national law.</w:t>
      </w:r>
    </w:p>
    <w:p w14:paraId="78C02860" w14:textId="5D9F55EE" w:rsidR="00F934A2" w:rsidRPr="00486DF6" w:rsidRDefault="00F934A2" w:rsidP="005E0AC0">
      <w:pPr>
        <w:autoSpaceDE w:val="0"/>
        <w:autoSpaceDN w:val="0"/>
        <w:adjustRightInd w:val="0"/>
        <w:spacing w:line="480" w:lineRule="auto"/>
        <w:ind w:firstLine="720"/>
        <w:jc w:val="both"/>
        <w:rPr>
          <w:rFonts w:ascii="Times New Roman" w:hAnsi="Times New Roman" w:cs="Times New Roman"/>
          <w:lang w:val="en-US"/>
        </w:rPr>
      </w:pPr>
      <w:r w:rsidRPr="00486DF6">
        <w:rPr>
          <w:rFonts w:ascii="Times New Roman" w:eastAsia="Times New Roman" w:hAnsi="Times New Roman" w:cs="Times New Roman"/>
          <w:color w:val="000000" w:themeColor="text1"/>
          <w:lang w:val="en-US"/>
        </w:rPr>
        <w:t xml:space="preserve">With this Protocol, Member States </w:t>
      </w:r>
      <w:r w:rsidR="00C624CF">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lang w:val="en-US"/>
        </w:rPr>
        <w:t>interpreted</w:t>
      </w:r>
      <w:r w:rsidR="00C624CF">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lang w:val="en-US"/>
        </w:rPr>
        <w:t xml:space="preserve"> in an authoritative way the consequences of the contested judgment of the CJ</w:t>
      </w:r>
      <w:r w:rsidR="00BE29B9">
        <w:rPr>
          <w:rFonts w:ascii="Times New Roman" w:eastAsia="Times New Roman" w:hAnsi="Times New Roman" w:cs="Times New Roman"/>
          <w:color w:val="000000" w:themeColor="text1"/>
          <w:lang w:val="en-US"/>
        </w:rPr>
        <w:t>EU</w:t>
      </w:r>
      <w:r w:rsidRPr="00486DF6">
        <w:rPr>
          <w:rFonts w:ascii="Times New Roman" w:eastAsia="Times New Roman" w:hAnsi="Times New Roman" w:cs="Times New Roman"/>
          <w:color w:val="000000" w:themeColor="text1"/>
          <w:lang w:val="en-US"/>
        </w:rPr>
        <w:t xml:space="preserve"> in </w:t>
      </w:r>
      <w:r w:rsidRPr="00486DF6">
        <w:rPr>
          <w:rFonts w:ascii="Times New Roman" w:eastAsia="Times New Roman" w:hAnsi="Times New Roman" w:cs="Times New Roman"/>
          <w:i/>
          <w:color w:val="000000" w:themeColor="text1"/>
          <w:lang w:val="en-US"/>
        </w:rPr>
        <w:t>Barber</w:t>
      </w:r>
      <w:r w:rsidRPr="00486DF6">
        <w:rPr>
          <w:rFonts w:ascii="Times New Roman" w:eastAsia="Times New Roman" w:hAnsi="Times New Roman" w:cs="Times New Roman"/>
          <w:color w:val="000000" w:themeColor="text1"/>
          <w:lang w:val="en-US"/>
        </w:rPr>
        <w:t>,</w:t>
      </w:r>
      <w:r w:rsidRPr="00486DF6">
        <w:rPr>
          <w:rFonts w:ascii="Times New Roman" w:eastAsia="Times New Roman" w:hAnsi="Times New Roman" w:cs="Times New Roman"/>
          <w:color w:val="000000" w:themeColor="text1"/>
          <w:vertAlign w:val="superscript"/>
          <w:lang w:val="en-US"/>
        </w:rPr>
        <w:footnoteReference w:id="117"/>
      </w:r>
      <w:r w:rsidRPr="00486DF6">
        <w:rPr>
          <w:rFonts w:ascii="Times New Roman" w:eastAsia="Times New Roman" w:hAnsi="Times New Roman" w:cs="Times New Roman"/>
          <w:color w:val="000000" w:themeColor="text1"/>
          <w:lang w:val="en-US"/>
        </w:rPr>
        <w:t xml:space="preserve"> a judgment that had a considerable impact on national legislation. In order to contain the retroactive effects of this decision</w:t>
      </w:r>
      <w:r w:rsidRPr="00486DF6">
        <w:rPr>
          <w:rFonts w:ascii="Times New Roman" w:eastAsia="Times New Roman" w:hAnsi="Times New Roman" w:cs="Times New Roman"/>
          <w:color w:val="000000" w:themeColor="text1"/>
          <w:vertAlign w:val="superscript"/>
          <w:lang w:val="en-US"/>
        </w:rPr>
        <w:footnoteReference w:id="118"/>
      </w:r>
      <w:r w:rsidRPr="00486DF6">
        <w:rPr>
          <w:rFonts w:ascii="Times New Roman" w:eastAsia="Times New Roman" w:hAnsi="Times New Roman" w:cs="Times New Roman"/>
          <w:color w:val="000000" w:themeColor="text1"/>
          <w:lang w:val="en-US"/>
        </w:rPr>
        <w:t xml:space="preserve"> the </w:t>
      </w:r>
      <w:r w:rsidR="008E3468" w:rsidRPr="00486DF6">
        <w:rPr>
          <w:rFonts w:ascii="Times New Roman" w:eastAsia="Times New Roman" w:hAnsi="Times New Roman" w:cs="Times New Roman"/>
          <w:color w:val="000000" w:themeColor="text1"/>
          <w:lang w:val="en-US"/>
        </w:rPr>
        <w:t>P</w:t>
      </w:r>
      <w:r w:rsidRPr="00486DF6">
        <w:rPr>
          <w:rFonts w:ascii="Times New Roman" w:eastAsia="Times New Roman" w:hAnsi="Times New Roman" w:cs="Times New Roman"/>
          <w:color w:val="000000" w:themeColor="text1"/>
          <w:lang w:val="en-US"/>
        </w:rPr>
        <w:t>rotocol was approved.</w:t>
      </w:r>
    </w:p>
    <w:p w14:paraId="40156E5E" w14:textId="5A1CF962" w:rsidR="00997DE5" w:rsidRPr="00486DF6" w:rsidRDefault="00997DE5" w:rsidP="00C624CF">
      <w:pPr>
        <w:autoSpaceDE w:val="0"/>
        <w:autoSpaceDN w:val="0"/>
        <w:adjustRightInd w:val="0"/>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lastRenderedPageBreak/>
        <w:t>Another area where significant opt-outs have been secured is</w:t>
      </w:r>
      <w:r w:rsidRPr="00486DF6">
        <w:rPr>
          <w:rFonts w:ascii="Times New Roman" w:hAnsi="Times New Roman" w:cs="Times New Roman"/>
          <w:color w:val="000000" w:themeColor="text1"/>
          <w:lang w:val="en-US"/>
        </w:rPr>
        <w:t xml:space="preserve"> the area of freedom, security and justice. For instance,</w:t>
      </w:r>
      <w:r w:rsidRPr="00486DF6">
        <w:rPr>
          <w:rFonts w:ascii="Times New Roman" w:hAnsi="Times New Roman" w:cs="Times New Roman"/>
          <w:lang w:val="en-US"/>
        </w:rPr>
        <w:t xml:space="preserve"> Ireland was granted an opt-out from Schengen, not least because they wanted to retain the </w:t>
      </w:r>
      <w:r w:rsidRPr="00486DF6">
        <w:rPr>
          <w:rFonts w:ascii="Times New Roman" w:hAnsi="Times New Roman" w:cs="Times New Roman"/>
          <w:color w:val="000000" w:themeColor="text1"/>
          <w:lang w:val="en-US"/>
        </w:rPr>
        <w:t xml:space="preserve">Common Travel Area </w:t>
      </w:r>
      <w:r w:rsidRPr="00486DF6">
        <w:rPr>
          <w:rFonts w:ascii="Times New Roman" w:hAnsi="Times New Roman" w:cs="Times New Roman"/>
          <w:lang w:val="en-US"/>
        </w:rPr>
        <w:t>with the UK</w:t>
      </w:r>
      <w:r w:rsidR="0063096A">
        <w:rPr>
          <w:rFonts w:ascii="Times New Roman" w:hAnsi="Times New Roman" w:cs="Times New Roman"/>
          <w:lang w:val="en-US"/>
        </w:rPr>
        <w:t xml:space="preserve"> – </w:t>
      </w:r>
      <w:r w:rsidRPr="00486DF6">
        <w:rPr>
          <w:rFonts w:ascii="Times New Roman" w:hAnsi="Times New Roman" w:cs="Times New Roman"/>
          <w:lang w:val="en-US"/>
        </w:rPr>
        <w:t>an open borders area that includes all islands of the British Archipelago.</w:t>
      </w:r>
      <w:r w:rsidRPr="00486DF6">
        <w:rPr>
          <w:rStyle w:val="FootnoteReference"/>
          <w:rFonts w:ascii="Times New Roman" w:hAnsi="Times New Roman" w:cs="Times New Roman"/>
          <w:lang w:val="en-US"/>
        </w:rPr>
        <w:footnoteReference w:id="119"/>
      </w:r>
      <w:r w:rsidRPr="00486DF6">
        <w:rPr>
          <w:rFonts w:ascii="Times New Roman" w:hAnsi="Times New Roman" w:cs="Times New Roman"/>
          <w:lang w:val="en-US"/>
        </w:rPr>
        <w:t xml:space="preserve"> The UK had chosen not to opt</w:t>
      </w:r>
      <w:r w:rsidR="00640A62" w:rsidRPr="00486DF6">
        <w:rPr>
          <w:rFonts w:ascii="Times New Roman" w:hAnsi="Times New Roman" w:cs="Times New Roman"/>
          <w:lang w:val="en-US"/>
        </w:rPr>
        <w:t>-</w:t>
      </w:r>
      <w:r w:rsidRPr="00486DF6">
        <w:rPr>
          <w:rFonts w:ascii="Times New Roman" w:hAnsi="Times New Roman" w:cs="Times New Roman"/>
          <w:lang w:val="en-US"/>
        </w:rPr>
        <w:t xml:space="preserve">in to Schengen. However, the </w:t>
      </w:r>
      <w:r w:rsidRPr="00486DF6">
        <w:rPr>
          <w:rFonts w:ascii="Times New Roman" w:hAnsi="Times New Roman" w:cs="Times New Roman"/>
          <w:color w:val="000000" w:themeColor="text1"/>
          <w:lang w:val="en-US"/>
        </w:rPr>
        <w:t xml:space="preserve">Protocol on the Schengen </w:t>
      </w:r>
      <w:r w:rsidRPr="00486DF6">
        <w:rPr>
          <w:rFonts w:ascii="Times New Roman" w:hAnsi="Times New Roman" w:cs="Times New Roman"/>
          <w:i/>
          <w:iCs/>
          <w:color w:val="000000" w:themeColor="text1"/>
          <w:lang w:val="en-US"/>
        </w:rPr>
        <w:t>acquis</w:t>
      </w:r>
      <w:r w:rsidRPr="00486DF6">
        <w:rPr>
          <w:rFonts w:ascii="Times New Roman" w:hAnsi="Times New Roman" w:cs="Times New Roman"/>
          <w:lang w:val="en-US"/>
        </w:rPr>
        <w:t>, integrated into the TFEU, specifies that Ireland (and the UK while an EU Member State) could request to opt</w:t>
      </w:r>
      <w:r w:rsidR="00640A62" w:rsidRPr="00486DF6">
        <w:rPr>
          <w:rFonts w:ascii="Times New Roman" w:hAnsi="Times New Roman" w:cs="Times New Roman"/>
          <w:lang w:val="en-US"/>
        </w:rPr>
        <w:t>-</w:t>
      </w:r>
      <w:r w:rsidRPr="00486DF6">
        <w:rPr>
          <w:rFonts w:ascii="Times New Roman" w:hAnsi="Times New Roman" w:cs="Times New Roman"/>
          <w:lang w:val="en-US"/>
        </w:rPr>
        <w:t xml:space="preserve">into the Schengen </w:t>
      </w:r>
      <w:r w:rsidRPr="00486DF6">
        <w:rPr>
          <w:rFonts w:ascii="Times New Roman" w:hAnsi="Times New Roman" w:cs="Times New Roman"/>
          <w:i/>
          <w:iCs/>
          <w:lang w:val="en-US"/>
        </w:rPr>
        <w:t xml:space="preserve">acquis </w:t>
      </w:r>
      <w:r w:rsidRPr="00486DF6">
        <w:rPr>
          <w:rFonts w:ascii="Times New Roman" w:hAnsi="Times New Roman" w:cs="Times New Roman"/>
          <w:lang w:val="en-US"/>
        </w:rPr>
        <w:t>on a case-by-case basis, subject to the unanimous approval of the other participating states.</w:t>
      </w:r>
      <w:r w:rsidRPr="00486DF6">
        <w:rPr>
          <w:rStyle w:val="FootnoteReference"/>
          <w:rFonts w:ascii="Times New Roman" w:hAnsi="Times New Roman" w:cs="Times New Roman"/>
          <w:lang w:val="en-US"/>
        </w:rPr>
        <w:footnoteReference w:id="120"/>
      </w:r>
      <w:r w:rsidRPr="00486DF6">
        <w:rPr>
          <w:rFonts w:ascii="Times New Roman" w:hAnsi="Times New Roman" w:cs="Times New Roman"/>
          <w:lang w:val="en-US"/>
        </w:rPr>
        <w:t xml:space="preserve"> Ireland initially submitted a request to participate in the Schengen </w:t>
      </w:r>
      <w:r w:rsidRPr="00486DF6">
        <w:rPr>
          <w:rFonts w:ascii="Times New Roman" w:hAnsi="Times New Roman" w:cs="Times New Roman"/>
          <w:i/>
          <w:iCs/>
          <w:lang w:val="en-US"/>
        </w:rPr>
        <w:t xml:space="preserve">acquis </w:t>
      </w:r>
      <w:r w:rsidRPr="00486DF6">
        <w:rPr>
          <w:rFonts w:ascii="Times New Roman" w:hAnsi="Times New Roman" w:cs="Times New Roman"/>
          <w:lang w:val="en-US"/>
        </w:rPr>
        <w:t>in 2002, which was approved by the Council of the European Union</w:t>
      </w:r>
      <w:r w:rsidRPr="00486DF6">
        <w:rPr>
          <w:rFonts w:ascii="Times New Roman" w:hAnsi="Times New Roman" w:cs="Times New Roman"/>
          <w:color w:val="000000" w:themeColor="text1"/>
          <w:lang w:val="en-US"/>
        </w:rPr>
        <w:t xml:space="preserve"> </w:t>
      </w:r>
    </w:p>
    <w:p w14:paraId="28E0A830" w14:textId="69ECA94E" w:rsidR="00997DE5" w:rsidRPr="00486DF6" w:rsidRDefault="00997DE5" w:rsidP="00CA6339">
      <w:pPr>
        <w:autoSpaceDE w:val="0"/>
        <w:autoSpaceDN w:val="0"/>
        <w:adjustRightInd w:val="0"/>
        <w:spacing w:line="480" w:lineRule="auto"/>
        <w:ind w:firstLine="720"/>
        <w:jc w:val="both"/>
        <w:rPr>
          <w:rFonts w:ascii="Times New Roman" w:hAnsi="Times New Roman" w:cs="Times New Roman"/>
          <w:color w:val="2A2A2A"/>
          <w:shd w:val="clear" w:color="auto" w:fill="FFFFFF"/>
          <w:lang w:val="en-US"/>
        </w:rPr>
      </w:pPr>
      <w:r w:rsidRPr="00486DF6">
        <w:rPr>
          <w:rFonts w:ascii="Times New Roman" w:hAnsi="Times New Roman" w:cs="Times New Roman"/>
          <w:szCs w:val="22"/>
          <w:lang w:val="en-US" w:eastAsia="en-GB"/>
        </w:rPr>
        <w:t xml:space="preserve">The most recent example of a permanent </w:t>
      </w:r>
      <w:r w:rsidR="001110D4">
        <w:rPr>
          <w:rFonts w:ascii="Times New Roman" w:hAnsi="Times New Roman" w:cs="Times New Roman"/>
          <w:szCs w:val="22"/>
          <w:lang w:val="en-US" w:eastAsia="en-GB"/>
        </w:rPr>
        <w:t>derogation</w:t>
      </w:r>
      <w:r w:rsidRPr="00486DF6">
        <w:rPr>
          <w:rFonts w:ascii="Times New Roman" w:hAnsi="Times New Roman" w:cs="Times New Roman"/>
          <w:szCs w:val="22"/>
          <w:lang w:val="en-US" w:eastAsia="en-GB"/>
        </w:rPr>
        <w:t xml:space="preserve"> consists of the Protocol, annexed to the Treaty of Lisbon, that applies to Poland (and the UK while a Member State). It contains certain derogations from the application of the Charter of Fundamental Rights.</w:t>
      </w:r>
      <w:r w:rsidRPr="00486DF6">
        <w:rPr>
          <w:rStyle w:val="FootnoteReference"/>
          <w:rFonts w:ascii="Times New Roman" w:hAnsi="Times New Roman" w:cs="Times New Roman"/>
          <w:szCs w:val="22"/>
          <w:lang w:val="en-US" w:eastAsia="en-GB"/>
        </w:rPr>
        <w:footnoteReference w:id="121"/>
      </w:r>
      <w:r w:rsidRPr="00486DF6">
        <w:rPr>
          <w:rFonts w:ascii="Times New Roman" w:hAnsi="Times New Roman" w:cs="Times New Roman"/>
          <w:color w:val="2A2A2A"/>
          <w:shd w:val="clear" w:color="auto" w:fill="FFFFFF"/>
          <w:lang w:val="en-US"/>
        </w:rPr>
        <w:t xml:space="preserve"> Having said that, the CJEU has held in</w:t>
      </w:r>
      <w:r w:rsidRPr="00486DF6">
        <w:rPr>
          <w:rStyle w:val="apple-converted-space"/>
          <w:rFonts w:ascii="Times New Roman" w:hAnsi="Times New Roman" w:cs="Times New Roman"/>
          <w:color w:val="2A2A2A"/>
          <w:shd w:val="clear" w:color="auto" w:fill="FFFFFF"/>
          <w:lang w:val="en-US"/>
        </w:rPr>
        <w:t> </w:t>
      </w:r>
      <w:r w:rsidRPr="00486DF6">
        <w:rPr>
          <w:rStyle w:val="Emphasis"/>
          <w:rFonts w:ascii="Times New Roman" w:hAnsi="Times New Roman" w:cs="Times New Roman"/>
          <w:color w:val="2A2A2A"/>
          <w:bdr w:val="none" w:sz="0" w:space="0" w:color="auto" w:frame="1"/>
          <w:lang w:val="en-US"/>
        </w:rPr>
        <w:t>NS</w:t>
      </w:r>
      <w:r w:rsidRPr="00486DF6">
        <w:rPr>
          <w:rFonts w:ascii="Times New Roman" w:hAnsi="Times New Roman" w:cs="Times New Roman"/>
          <w:color w:val="2A2A2A"/>
          <w:shd w:val="clear" w:color="auto" w:fill="FFFFFF"/>
          <w:lang w:val="en-US"/>
        </w:rPr>
        <w:t xml:space="preserve"> that the said </w:t>
      </w:r>
      <w:r w:rsidR="0063096A">
        <w:rPr>
          <w:rFonts w:ascii="Times New Roman" w:hAnsi="Times New Roman" w:cs="Times New Roman"/>
          <w:color w:val="2A2A2A"/>
          <w:shd w:val="clear" w:color="auto" w:fill="FFFFFF"/>
          <w:lang w:val="en-US"/>
        </w:rPr>
        <w:t>“</w:t>
      </w:r>
      <w:r w:rsidRPr="00486DF6">
        <w:rPr>
          <w:rFonts w:ascii="Times New Roman" w:hAnsi="Times New Roman" w:cs="Times New Roman"/>
          <w:color w:val="2A2A2A"/>
          <w:shd w:val="clear" w:color="auto" w:fill="FFFFFF"/>
          <w:lang w:val="en-US"/>
        </w:rPr>
        <w:t>Protocol (No. 30) does not call into question the applicability of the Charter […] in Poland.</w:t>
      </w:r>
      <w:r w:rsidR="0063096A">
        <w:rPr>
          <w:rFonts w:ascii="Times New Roman" w:hAnsi="Times New Roman" w:cs="Times New Roman"/>
          <w:color w:val="2A2A2A"/>
          <w:shd w:val="clear" w:color="auto" w:fill="FFFFFF"/>
          <w:lang w:val="en-US"/>
        </w:rPr>
        <w:t>”</w:t>
      </w:r>
      <w:r w:rsidRPr="00486DF6">
        <w:rPr>
          <w:rStyle w:val="FootnoteReference"/>
          <w:rFonts w:ascii="Times New Roman" w:hAnsi="Times New Roman" w:cs="Times New Roman"/>
          <w:color w:val="2A2A2A"/>
          <w:shd w:val="clear" w:color="auto" w:fill="FFFFFF"/>
          <w:lang w:val="en-US"/>
        </w:rPr>
        <w:footnoteReference w:id="122"/>
      </w:r>
      <w:r w:rsidRPr="00486DF6">
        <w:rPr>
          <w:rFonts w:ascii="Times New Roman" w:hAnsi="Times New Roman" w:cs="Times New Roman"/>
          <w:color w:val="2A2A2A"/>
          <w:shd w:val="clear" w:color="auto" w:fill="FFFFFF"/>
          <w:lang w:val="en-US"/>
        </w:rPr>
        <w:t xml:space="preserve"> Still, there is a genuine question as to whether this Protocol </w:t>
      </w:r>
      <w:r w:rsidR="0063096A">
        <w:rPr>
          <w:rFonts w:ascii="Times New Roman" w:hAnsi="Times New Roman" w:cs="Times New Roman"/>
          <w:color w:val="2A2A2A"/>
          <w:shd w:val="clear" w:color="auto" w:fill="FFFFFF"/>
          <w:lang w:val="en-US"/>
        </w:rPr>
        <w:t>“</w:t>
      </w:r>
      <w:r w:rsidRPr="00486DF6">
        <w:rPr>
          <w:rFonts w:ascii="Times New Roman" w:hAnsi="Times New Roman" w:cs="Times New Roman"/>
          <w:color w:val="2A2A2A"/>
          <w:shd w:val="clear" w:color="auto" w:fill="FFFFFF"/>
          <w:lang w:val="en-US"/>
        </w:rPr>
        <w:t>constitutes a simple clarification for [Poland]</w:t>
      </w:r>
      <w:r w:rsidR="0063096A">
        <w:rPr>
          <w:rFonts w:ascii="Times New Roman" w:hAnsi="Times New Roman" w:cs="Times New Roman"/>
          <w:color w:val="2A2A2A"/>
          <w:shd w:val="clear" w:color="auto" w:fill="FFFFFF"/>
          <w:lang w:val="en-US"/>
        </w:rPr>
        <w:t xml:space="preserve"> – </w:t>
      </w:r>
      <w:r w:rsidRPr="00486DF6">
        <w:rPr>
          <w:rFonts w:ascii="Times New Roman" w:hAnsi="Times New Roman" w:cs="Times New Roman"/>
          <w:color w:val="2A2A2A"/>
          <w:shd w:val="clear" w:color="auto" w:fill="FFFFFF"/>
          <w:lang w:val="en-US"/>
        </w:rPr>
        <w:t>not unlike the ‘Explanations’; or whether it did indeed represent a</w:t>
      </w:r>
      <w:r w:rsidRPr="00486DF6">
        <w:rPr>
          <w:rStyle w:val="apple-converted-space"/>
          <w:rFonts w:ascii="Times New Roman" w:hAnsi="Times New Roman" w:cs="Times New Roman"/>
          <w:color w:val="2A2A2A"/>
          <w:shd w:val="clear" w:color="auto" w:fill="FFFFFF"/>
          <w:lang w:val="en-US"/>
        </w:rPr>
        <w:t> </w:t>
      </w:r>
      <w:r w:rsidRPr="00486DF6">
        <w:rPr>
          <w:rStyle w:val="Emphasis"/>
          <w:rFonts w:ascii="Times New Roman" w:hAnsi="Times New Roman" w:cs="Times New Roman"/>
          <w:color w:val="2A2A2A"/>
          <w:bdr w:val="none" w:sz="0" w:space="0" w:color="auto" w:frame="1"/>
          <w:lang w:val="en-US"/>
        </w:rPr>
        <w:t>partial</w:t>
      </w:r>
      <w:r w:rsidRPr="00486DF6">
        <w:rPr>
          <w:rStyle w:val="apple-converted-space"/>
          <w:rFonts w:ascii="Times New Roman" w:hAnsi="Times New Roman" w:cs="Times New Roman"/>
          <w:color w:val="2A2A2A"/>
          <w:shd w:val="clear" w:color="auto" w:fill="FFFFFF"/>
          <w:lang w:val="en-US"/>
        </w:rPr>
        <w:t> </w:t>
      </w:r>
      <w:r w:rsidRPr="00486DF6">
        <w:rPr>
          <w:rFonts w:ascii="Times New Roman" w:hAnsi="Times New Roman" w:cs="Times New Roman"/>
          <w:color w:val="2A2A2A"/>
          <w:shd w:val="clear" w:color="auto" w:fill="FFFFFF"/>
          <w:lang w:val="en-US"/>
        </w:rPr>
        <w:t>opt-out by establishing special principles</w:t>
      </w:r>
      <w:r w:rsidR="0063096A">
        <w:rPr>
          <w:rFonts w:ascii="Times New Roman" w:hAnsi="Times New Roman" w:cs="Times New Roman"/>
          <w:color w:val="2A2A2A"/>
          <w:shd w:val="clear" w:color="auto" w:fill="FFFFFF"/>
          <w:lang w:val="en-US"/>
        </w:rPr>
        <w:t>”</w:t>
      </w:r>
      <w:r w:rsidRPr="00486DF6">
        <w:rPr>
          <w:rFonts w:ascii="Times New Roman" w:hAnsi="Times New Roman" w:cs="Times New Roman"/>
          <w:color w:val="2A2A2A"/>
          <w:shd w:val="clear" w:color="auto" w:fill="FFFFFF"/>
          <w:lang w:val="en-US"/>
        </w:rPr>
        <w:t xml:space="preserve"> for it.</w:t>
      </w:r>
      <w:r w:rsidRPr="00486DF6">
        <w:rPr>
          <w:rStyle w:val="FootnoteReference"/>
          <w:rFonts w:ascii="Times New Roman" w:hAnsi="Times New Roman" w:cs="Times New Roman"/>
          <w:color w:val="2A2A2A"/>
          <w:shd w:val="clear" w:color="auto" w:fill="FFFFFF"/>
          <w:lang w:val="en-US"/>
        </w:rPr>
        <w:footnoteReference w:id="123"/>
      </w:r>
    </w:p>
    <w:p w14:paraId="339C0870" w14:textId="6A2227AF" w:rsidR="00997DE5" w:rsidRPr="00486DF6" w:rsidRDefault="007649FF" w:rsidP="00CA6339">
      <w:pPr>
        <w:autoSpaceDE w:val="0"/>
        <w:autoSpaceDN w:val="0"/>
        <w:adjustRightInd w:val="0"/>
        <w:spacing w:line="480" w:lineRule="auto"/>
        <w:ind w:firstLine="720"/>
        <w:jc w:val="both"/>
        <w:rPr>
          <w:rFonts w:ascii="Times New Roman" w:hAnsi="Times New Roman" w:cs="Times New Roman"/>
          <w:szCs w:val="22"/>
          <w:lang w:val="en-US"/>
        </w:rPr>
      </w:pPr>
      <w:r w:rsidRPr="00486DF6">
        <w:rPr>
          <w:rFonts w:ascii="Times New Roman" w:hAnsi="Times New Roman" w:cs="Times New Roman"/>
          <w:lang w:val="en-US"/>
        </w:rPr>
        <w:lastRenderedPageBreak/>
        <w:t>For the sake of completeness, in</w:t>
      </w:r>
      <w:r w:rsidR="00997DE5" w:rsidRPr="00486DF6">
        <w:rPr>
          <w:rFonts w:ascii="Times New Roman" w:hAnsi="Times New Roman" w:cs="Times New Roman"/>
          <w:lang w:val="en-US"/>
        </w:rPr>
        <w:t xml:space="preserve"> addition to those derogations that apply to the whole territory of a Member State, </w:t>
      </w:r>
      <w:r w:rsidR="00997DE5" w:rsidRPr="00486DF6">
        <w:rPr>
          <w:rFonts w:ascii="Times New Roman" w:hAnsi="Times New Roman" w:cs="Times New Roman"/>
          <w:szCs w:val="22"/>
          <w:lang w:val="en-US"/>
        </w:rPr>
        <w:t xml:space="preserve">there are </w:t>
      </w:r>
      <w:r w:rsidR="00997DE5" w:rsidRPr="00486DF6">
        <w:rPr>
          <w:rFonts w:ascii="Times New Roman" w:hAnsi="Times New Roman" w:cs="Times New Roman"/>
          <w:bCs/>
          <w:szCs w:val="22"/>
          <w:lang w:val="en-US"/>
        </w:rPr>
        <w:t>special territories</w:t>
      </w:r>
      <w:r w:rsidRPr="00486DF6">
        <w:rPr>
          <w:rFonts w:ascii="Times New Roman" w:hAnsi="Times New Roman" w:cs="Times New Roman"/>
          <w:bCs/>
          <w:szCs w:val="22"/>
          <w:lang w:val="en-US"/>
        </w:rPr>
        <w:t xml:space="preserve"> </w:t>
      </w:r>
      <w:r w:rsidRPr="00486DF6">
        <w:rPr>
          <w:rFonts w:ascii="Times New Roman" w:hAnsi="Times New Roman" w:cs="Times New Roman"/>
          <w:lang w:val="en-US"/>
        </w:rPr>
        <w:t xml:space="preserve">in </w:t>
      </w:r>
      <w:r w:rsidRPr="00486DF6">
        <w:rPr>
          <w:rFonts w:ascii="Times New Roman" w:hAnsi="Times New Roman" w:cs="Times New Roman"/>
          <w:szCs w:val="22"/>
          <w:lang w:val="en-US"/>
        </w:rPr>
        <w:t>many Member States</w:t>
      </w:r>
      <w:r w:rsidR="00997DE5" w:rsidRPr="00486DF6">
        <w:rPr>
          <w:rFonts w:ascii="Times New Roman" w:hAnsi="Times New Roman" w:cs="Times New Roman"/>
          <w:szCs w:val="22"/>
          <w:lang w:val="en-US"/>
        </w:rPr>
        <w:t xml:space="preserve"> which</w:t>
      </w:r>
      <w:r w:rsidR="00F01978" w:rsidRPr="00486DF6">
        <w:rPr>
          <w:rFonts w:ascii="Times New Roman" w:hAnsi="Times New Roman" w:cs="Times New Roman"/>
          <w:szCs w:val="22"/>
          <w:lang w:val="en-US"/>
        </w:rPr>
        <w:t xml:space="preserve">, </w:t>
      </w:r>
      <w:r w:rsidR="00997DE5" w:rsidRPr="00486DF6">
        <w:rPr>
          <w:rFonts w:ascii="Times New Roman" w:hAnsi="Times New Roman" w:cs="Times New Roman"/>
          <w:szCs w:val="22"/>
          <w:lang w:val="en-US"/>
        </w:rPr>
        <w:t>either</w:t>
      </w:r>
      <w:r w:rsidR="00F01978" w:rsidRPr="00486DF6">
        <w:rPr>
          <w:rFonts w:ascii="Times New Roman" w:hAnsi="Times New Roman" w:cs="Times New Roman"/>
          <w:szCs w:val="22"/>
          <w:lang w:val="en-US"/>
        </w:rPr>
        <w:t xml:space="preserve"> for</w:t>
      </w:r>
      <w:r w:rsidR="00997DE5" w:rsidRPr="00486DF6">
        <w:rPr>
          <w:rFonts w:ascii="Times New Roman" w:hAnsi="Times New Roman" w:cs="Times New Roman"/>
          <w:szCs w:val="22"/>
          <w:lang w:val="en-US"/>
        </w:rPr>
        <w:t xml:space="preserve"> historical, geographical or political reasons</w:t>
      </w:r>
      <w:r w:rsidR="00F01978" w:rsidRPr="00486DF6">
        <w:rPr>
          <w:rFonts w:ascii="Times New Roman" w:hAnsi="Times New Roman" w:cs="Times New Roman"/>
          <w:szCs w:val="22"/>
          <w:lang w:val="en-US"/>
        </w:rPr>
        <w:t xml:space="preserve">, </w:t>
      </w:r>
      <w:r w:rsidR="00997DE5" w:rsidRPr="00486DF6">
        <w:rPr>
          <w:rFonts w:ascii="Times New Roman" w:hAnsi="Times New Roman" w:cs="Times New Roman"/>
          <w:szCs w:val="22"/>
          <w:lang w:val="en-US"/>
        </w:rPr>
        <w:t>have differing relationships with their national Governments –</w:t>
      </w:r>
      <w:r w:rsidR="0063096A">
        <w:rPr>
          <w:rFonts w:ascii="Times New Roman" w:hAnsi="Times New Roman" w:cs="Times New Roman"/>
          <w:szCs w:val="22"/>
          <w:lang w:val="en-US"/>
        </w:rPr>
        <w:t xml:space="preserve"> </w:t>
      </w:r>
      <w:r w:rsidR="00997DE5" w:rsidRPr="00486DF6">
        <w:rPr>
          <w:rFonts w:ascii="Times New Roman" w:hAnsi="Times New Roman" w:cs="Times New Roman"/>
          <w:szCs w:val="22"/>
          <w:lang w:val="en-US"/>
        </w:rPr>
        <w:t>and consequently also the</w:t>
      </w:r>
      <w:r w:rsidR="007A110E" w:rsidRPr="00486DF6">
        <w:rPr>
          <w:rFonts w:ascii="Times New Roman" w:hAnsi="Times New Roman" w:cs="Times New Roman"/>
          <w:szCs w:val="22"/>
          <w:lang w:val="en-US"/>
        </w:rPr>
        <w:t xml:space="preserve"> EU</w:t>
      </w:r>
      <w:r w:rsidR="0063096A">
        <w:rPr>
          <w:rFonts w:ascii="Times New Roman" w:hAnsi="Times New Roman" w:cs="Times New Roman"/>
          <w:szCs w:val="22"/>
          <w:lang w:val="en-US"/>
        </w:rPr>
        <w:t xml:space="preserve"> –</w:t>
      </w:r>
      <w:r w:rsidR="00997DE5" w:rsidRPr="00486DF6">
        <w:rPr>
          <w:rFonts w:ascii="Times New Roman" w:hAnsi="Times New Roman" w:cs="Times New Roman"/>
          <w:szCs w:val="22"/>
          <w:lang w:val="en-US"/>
        </w:rPr>
        <w:t xml:space="preserve"> than the rest of the Member State's territory. Many of these special territories do not participate in all or any EU policy areas and programs. Some have no official relationship with the EU</w:t>
      </w:r>
      <w:r w:rsidR="00F01978" w:rsidRPr="00486DF6">
        <w:rPr>
          <w:rFonts w:ascii="Times New Roman" w:hAnsi="Times New Roman" w:cs="Times New Roman"/>
          <w:szCs w:val="22"/>
          <w:lang w:val="en-US"/>
        </w:rPr>
        <w:t>,</w:t>
      </w:r>
      <w:r w:rsidR="00997DE5" w:rsidRPr="00486DF6">
        <w:rPr>
          <w:rFonts w:ascii="Times New Roman" w:hAnsi="Times New Roman" w:cs="Times New Roman"/>
          <w:szCs w:val="22"/>
          <w:lang w:val="en-US"/>
        </w:rPr>
        <w:t xml:space="preserve"> while others participate in EU programs in line with the provisions of directives, regulations or protocols attached to the </w:t>
      </w:r>
      <w:r w:rsidR="007A110E" w:rsidRPr="00486DF6">
        <w:rPr>
          <w:rFonts w:ascii="Times New Roman" w:hAnsi="Times New Roman" w:cs="Times New Roman"/>
          <w:szCs w:val="22"/>
          <w:lang w:val="en-US"/>
        </w:rPr>
        <w:t>Treaties</w:t>
      </w:r>
      <w:r w:rsidR="00997DE5" w:rsidRPr="00486DF6">
        <w:rPr>
          <w:rFonts w:ascii="Times New Roman" w:hAnsi="Times New Roman" w:cs="Times New Roman"/>
          <w:szCs w:val="22"/>
          <w:lang w:val="en-US"/>
        </w:rPr>
        <w:t xml:space="preserve">, and especially the </w:t>
      </w:r>
      <w:r w:rsidR="007A110E" w:rsidRPr="00486DF6">
        <w:rPr>
          <w:rFonts w:ascii="Times New Roman" w:hAnsi="Times New Roman" w:cs="Times New Roman"/>
          <w:szCs w:val="22"/>
          <w:lang w:val="en-US"/>
        </w:rPr>
        <w:t>ones regulating the</w:t>
      </w:r>
      <w:r w:rsidR="00997DE5" w:rsidRPr="00486DF6">
        <w:rPr>
          <w:rFonts w:ascii="Times New Roman" w:hAnsi="Times New Roman" w:cs="Times New Roman"/>
          <w:szCs w:val="22"/>
          <w:lang w:val="en-US"/>
        </w:rPr>
        <w:t xml:space="preserve"> </w:t>
      </w:r>
      <w:r w:rsidR="007A110E" w:rsidRPr="00486DF6">
        <w:rPr>
          <w:rFonts w:ascii="Times New Roman" w:hAnsi="Times New Roman" w:cs="Times New Roman"/>
          <w:szCs w:val="22"/>
          <w:lang w:val="en-US"/>
        </w:rPr>
        <w:t>a</w:t>
      </w:r>
      <w:r w:rsidR="00997DE5" w:rsidRPr="00486DF6">
        <w:rPr>
          <w:rFonts w:ascii="Times New Roman" w:hAnsi="Times New Roman" w:cs="Times New Roman"/>
          <w:szCs w:val="22"/>
          <w:lang w:val="en-US"/>
        </w:rPr>
        <w:t>ccession</w:t>
      </w:r>
      <w:r w:rsidR="007A110E" w:rsidRPr="00486DF6">
        <w:rPr>
          <w:rFonts w:ascii="Times New Roman" w:hAnsi="Times New Roman" w:cs="Times New Roman"/>
          <w:szCs w:val="22"/>
          <w:lang w:val="en-US"/>
        </w:rPr>
        <w:t xml:space="preserve"> of new </w:t>
      </w:r>
      <w:r w:rsidR="0063096A">
        <w:rPr>
          <w:rFonts w:ascii="Times New Roman" w:hAnsi="Times New Roman" w:cs="Times New Roman"/>
          <w:szCs w:val="22"/>
          <w:lang w:val="en-US"/>
        </w:rPr>
        <w:t>M</w:t>
      </w:r>
      <w:r w:rsidR="007A110E" w:rsidRPr="00486DF6">
        <w:rPr>
          <w:rFonts w:ascii="Times New Roman" w:hAnsi="Times New Roman" w:cs="Times New Roman"/>
          <w:szCs w:val="22"/>
          <w:lang w:val="en-US"/>
        </w:rPr>
        <w:t>ember States</w:t>
      </w:r>
      <w:r w:rsidR="00997DE5" w:rsidRPr="00486DF6">
        <w:rPr>
          <w:rFonts w:ascii="Times New Roman" w:hAnsi="Times New Roman" w:cs="Times New Roman"/>
          <w:szCs w:val="22"/>
          <w:lang w:val="en-US"/>
        </w:rPr>
        <w:t>.</w:t>
      </w:r>
      <w:r w:rsidR="00997DE5" w:rsidRPr="00486DF6">
        <w:rPr>
          <w:rStyle w:val="FootnoteReference"/>
          <w:rFonts w:ascii="Times New Roman" w:hAnsi="Times New Roman" w:cs="Times New Roman"/>
          <w:szCs w:val="22"/>
          <w:lang w:val="en-US"/>
        </w:rPr>
        <w:footnoteReference w:id="124"/>
      </w:r>
      <w:r w:rsidRPr="00486DF6">
        <w:rPr>
          <w:rFonts w:ascii="Times New Roman" w:hAnsi="Times New Roman" w:cs="Times New Roman"/>
          <w:szCs w:val="22"/>
          <w:lang w:val="en-US"/>
        </w:rPr>
        <w:t xml:space="preserve"> Such territorial differentiation should be distinguished from the concept of issue-based withdrawal. </w:t>
      </w:r>
      <w:r w:rsidR="00C870B2" w:rsidRPr="00486DF6">
        <w:rPr>
          <w:rFonts w:ascii="Times New Roman" w:hAnsi="Times New Roman" w:cs="Times New Roman"/>
          <w:szCs w:val="22"/>
          <w:lang w:val="en-US"/>
        </w:rPr>
        <w:t>Rather, t</w:t>
      </w:r>
      <w:r w:rsidRPr="00486DF6">
        <w:rPr>
          <w:rFonts w:ascii="Times New Roman" w:hAnsi="Times New Roman" w:cs="Times New Roman"/>
          <w:szCs w:val="22"/>
          <w:lang w:val="en-US"/>
        </w:rPr>
        <w:t>hose geographically-based derogations should be understood as a legal mechanism to address issues arisen by the special geographic, historical, political and constitutional status that those regions enjoy within the respective metropolitan States.</w:t>
      </w:r>
    </w:p>
    <w:p w14:paraId="6D494533" w14:textId="601102BA" w:rsidR="00AF4312" w:rsidRDefault="00997DE5" w:rsidP="00AF4312">
      <w:pPr>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t xml:space="preserve">This short review </w:t>
      </w:r>
      <w:r w:rsidR="007A110E" w:rsidRPr="00486DF6">
        <w:rPr>
          <w:rFonts w:ascii="Times New Roman" w:hAnsi="Times New Roman" w:cs="Times New Roman"/>
          <w:lang w:val="en-US"/>
        </w:rPr>
        <w:t xml:space="preserve">elucidates how, provided that there is consensus, </w:t>
      </w:r>
      <w:r w:rsidRPr="00486DF6">
        <w:rPr>
          <w:rFonts w:ascii="Times New Roman" w:hAnsi="Times New Roman" w:cs="Times New Roman"/>
          <w:lang w:val="en-US"/>
        </w:rPr>
        <w:t>Member States may occasionally secure an issue-based withdrawal from a certain EU policy for either a part or the entirety of their territory. Having said that, this freedom of the Member States to amend the Treaties to accommodate their divergent political, financial and economic aspirations may not be completely unfettered. It has been suggested</w:t>
      </w:r>
      <w:r w:rsidR="007A110E" w:rsidRPr="00486DF6">
        <w:rPr>
          <w:rFonts w:ascii="Times New Roman" w:hAnsi="Times New Roman" w:cs="Times New Roman"/>
          <w:lang w:val="en-US"/>
        </w:rPr>
        <w:t xml:space="preserve"> that derogations from primary law may not touch the very core of Union principles.</w:t>
      </w:r>
      <w:r w:rsidRPr="00486DF6">
        <w:rPr>
          <w:rStyle w:val="FootnoteReference"/>
          <w:rFonts w:ascii="Times New Roman" w:hAnsi="Times New Roman" w:cs="Times New Roman"/>
          <w:lang w:val="en-US"/>
        </w:rPr>
        <w:footnoteReference w:id="125"/>
      </w:r>
      <w:r w:rsidRPr="00486DF6">
        <w:rPr>
          <w:rFonts w:ascii="Times New Roman" w:hAnsi="Times New Roman" w:cs="Times New Roman"/>
          <w:lang w:val="en-US"/>
        </w:rPr>
        <w:t xml:space="preserve"> The idea of </w:t>
      </w:r>
      <w:r w:rsidR="0063096A">
        <w:rPr>
          <w:rFonts w:ascii="Times New Roman" w:hAnsi="Times New Roman" w:cs="Times New Roman"/>
          <w:lang w:val="en-US"/>
        </w:rPr>
        <w:t>“</w:t>
      </w:r>
      <w:r w:rsidRPr="00486DF6">
        <w:rPr>
          <w:rFonts w:ascii="Times New Roman" w:hAnsi="Times New Roman" w:cs="Times New Roman"/>
          <w:lang w:val="en-US"/>
        </w:rPr>
        <w:t>untouchable</w:t>
      </w:r>
      <w:r w:rsidR="0063096A">
        <w:rPr>
          <w:rFonts w:ascii="Times New Roman" w:hAnsi="Times New Roman" w:cs="Times New Roman"/>
          <w:lang w:val="en-US"/>
        </w:rPr>
        <w:t>”</w:t>
      </w:r>
      <w:r w:rsidRPr="00486DF6">
        <w:rPr>
          <w:rFonts w:ascii="Times New Roman" w:hAnsi="Times New Roman" w:cs="Times New Roman"/>
          <w:lang w:val="en-US"/>
        </w:rPr>
        <w:t xml:space="preserve"> core issues is present in the </w:t>
      </w:r>
      <w:r w:rsidRPr="00486DF6">
        <w:rPr>
          <w:rFonts w:ascii="Times New Roman" w:hAnsi="Times New Roman" w:cs="Times New Roman"/>
          <w:lang w:val="en-US"/>
        </w:rPr>
        <w:lastRenderedPageBreak/>
        <w:t>constitutions of Member States</w:t>
      </w:r>
      <w:r w:rsidRPr="00486DF6">
        <w:rPr>
          <w:rStyle w:val="FootnoteReference"/>
          <w:rFonts w:ascii="Times New Roman" w:hAnsi="Times New Roman" w:cs="Times New Roman"/>
          <w:lang w:val="en-US"/>
        </w:rPr>
        <w:footnoteReference w:id="126"/>
      </w:r>
      <w:r w:rsidRPr="00486DF6">
        <w:rPr>
          <w:rFonts w:ascii="Times New Roman" w:hAnsi="Times New Roman" w:cs="Times New Roman"/>
          <w:lang w:val="en-US"/>
        </w:rPr>
        <w:t xml:space="preserve"> and in the notion of </w:t>
      </w:r>
      <w:r w:rsidRPr="00486DF6">
        <w:rPr>
          <w:rFonts w:ascii="Times New Roman" w:hAnsi="Times New Roman" w:cs="Times New Roman"/>
          <w:i/>
          <w:lang w:val="en-US"/>
        </w:rPr>
        <w:t>ius cogens</w:t>
      </w:r>
      <w:r w:rsidRPr="00486DF6">
        <w:rPr>
          <w:rFonts w:ascii="Times New Roman" w:hAnsi="Times New Roman" w:cs="Times New Roman"/>
          <w:lang w:val="en-US"/>
        </w:rPr>
        <w:t xml:space="preserve"> in international law. In </w:t>
      </w:r>
      <w:r w:rsidRPr="00486DF6">
        <w:rPr>
          <w:rFonts w:ascii="Times New Roman" w:hAnsi="Times New Roman" w:cs="Times New Roman"/>
          <w:i/>
          <w:lang w:val="en-US"/>
        </w:rPr>
        <w:t>Opinion 1/91</w:t>
      </w:r>
      <w:r w:rsidRPr="00486DF6">
        <w:rPr>
          <w:rFonts w:ascii="Times New Roman" w:hAnsi="Times New Roman" w:cs="Times New Roman"/>
          <w:lang w:val="en-US"/>
        </w:rPr>
        <w:t>,</w:t>
      </w:r>
      <w:r w:rsidRPr="00486DF6">
        <w:rPr>
          <w:rStyle w:val="FootnoteReference"/>
          <w:rFonts w:ascii="Times New Roman" w:hAnsi="Times New Roman" w:cs="Times New Roman"/>
          <w:lang w:val="en-US"/>
        </w:rPr>
        <w:footnoteReference w:id="127"/>
      </w:r>
      <w:r w:rsidRPr="00486DF6">
        <w:rPr>
          <w:rFonts w:ascii="Times New Roman" w:hAnsi="Times New Roman" w:cs="Times New Roman"/>
          <w:lang w:val="en-US"/>
        </w:rPr>
        <w:t xml:space="preserve"> the CJEU</w:t>
      </w:r>
      <w:r w:rsidR="007A110E" w:rsidRPr="00486DF6">
        <w:rPr>
          <w:rFonts w:ascii="Times New Roman" w:hAnsi="Times New Roman" w:cs="Times New Roman"/>
          <w:lang w:val="en-US"/>
        </w:rPr>
        <w:t xml:space="preserve"> pointed to</w:t>
      </w:r>
      <w:r w:rsidRPr="00486DF6">
        <w:rPr>
          <w:rFonts w:ascii="Times New Roman" w:hAnsi="Times New Roman" w:cs="Times New Roman"/>
          <w:lang w:val="en-US"/>
        </w:rPr>
        <w:t xml:space="preserve"> the existence of such a </w:t>
      </w:r>
      <w:r w:rsidR="005E0AC0">
        <w:rPr>
          <w:rFonts w:ascii="Times New Roman" w:hAnsi="Times New Roman" w:cs="Times New Roman"/>
          <w:lang w:val="en-US"/>
        </w:rPr>
        <w:t>“untouchable</w:t>
      </w:r>
      <w:r w:rsidRPr="00486DF6">
        <w:rPr>
          <w:rFonts w:ascii="Times New Roman" w:hAnsi="Times New Roman" w:cs="Times New Roman"/>
          <w:lang w:val="en-US"/>
        </w:rPr>
        <w:t xml:space="preserve"> core</w:t>
      </w:r>
      <w:r w:rsidR="00CA6339">
        <w:rPr>
          <w:rFonts w:ascii="Times New Roman" w:hAnsi="Times New Roman" w:cs="Times New Roman"/>
          <w:lang w:val="en-US"/>
        </w:rPr>
        <w:t>”</w:t>
      </w:r>
      <w:r w:rsidRPr="00486DF6">
        <w:rPr>
          <w:rFonts w:ascii="Times New Roman" w:hAnsi="Times New Roman" w:cs="Times New Roman"/>
          <w:lang w:val="en-US"/>
        </w:rPr>
        <w:t xml:space="preserve"> in holding that the establishment of the judicial organ of dispute settlement in the envisaged EEA agreement would threaten the role of the CJEU under the then Article 164 TEC</w:t>
      </w:r>
      <w:r w:rsidRPr="00486DF6">
        <w:rPr>
          <w:rStyle w:val="FootnoteReference"/>
          <w:rFonts w:ascii="Times New Roman" w:hAnsi="Times New Roman" w:cs="Times New Roman"/>
          <w:lang w:val="en-US"/>
        </w:rPr>
        <w:footnoteReference w:id="128"/>
      </w:r>
      <w:r w:rsidRPr="00486DF6">
        <w:rPr>
          <w:rFonts w:ascii="Times New Roman" w:hAnsi="Times New Roman" w:cs="Times New Roman"/>
          <w:lang w:val="en-US"/>
        </w:rPr>
        <w:t xml:space="preserve"> and thereby the </w:t>
      </w:r>
      <w:r w:rsidR="00CA6339">
        <w:rPr>
          <w:rFonts w:ascii="Times New Roman" w:hAnsi="Times New Roman" w:cs="Times New Roman"/>
          <w:lang w:val="en-US"/>
        </w:rPr>
        <w:t>“</w:t>
      </w:r>
      <w:r w:rsidRPr="00486DF6">
        <w:rPr>
          <w:rFonts w:ascii="Times New Roman" w:hAnsi="Times New Roman" w:cs="Times New Roman"/>
          <w:lang w:val="en-US"/>
        </w:rPr>
        <w:t>foundations of the Community</w:t>
      </w:r>
      <w:r w:rsidR="00CA6339">
        <w:rPr>
          <w:rFonts w:ascii="Times New Roman" w:hAnsi="Times New Roman" w:cs="Times New Roman"/>
          <w:lang w:val="en-US"/>
        </w:rPr>
        <w:t>”</w:t>
      </w:r>
      <w:r w:rsidRPr="00486DF6">
        <w:rPr>
          <w:rFonts w:ascii="Times New Roman" w:hAnsi="Times New Roman" w:cs="Times New Roman"/>
          <w:lang w:val="en-US"/>
        </w:rPr>
        <w:t xml:space="preserve"> to a degree which could not have been removed</w:t>
      </w:r>
      <w:r w:rsidR="00081756" w:rsidRPr="00486DF6">
        <w:rPr>
          <w:rFonts w:ascii="Times New Roman" w:hAnsi="Times New Roman" w:cs="Times New Roman"/>
          <w:lang w:val="en-US"/>
        </w:rPr>
        <w:t>,</w:t>
      </w:r>
      <w:r w:rsidRPr="00486DF6">
        <w:rPr>
          <w:rFonts w:ascii="Times New Roman" w:hAnsi="Times New Roman" w:cs="Times New Roman"/>
          <w:lang w:val="en-US"/>
        </w:rPr>
        <w:t xml:space="preserve"> even by a Treaty amendment. This could be read as limiting the treaty-making power of the Member States.</w:t>
      </w:r>
      <w:r w:rsidRPr="00486DF6">
        <w:rPr>
          <w:rStyle w:val="FootnoteReference"/>
          <w:rFonts w:ascii="Times New Roman" w:hAnsi="Times New Roman" w:cs="Times New Roman"/>
          <w:lang w:val="en-US"/>
        </w:rPr>
        <w:footnoteReference w:id="129"/>
      </w:r>
      <w:r w:rsidRPr="00486DF6">
        <w:rPr>
          <w:rFonts w:ascii="Times New Roman" w:hAnsi="Times New Roman" w:cs="Times New Roman"/>
          <w:lang w:val="en-US"/>
        </w:rPr>
        <w:t xml:space="preserve"> At the same time, even the supposed freedom to negotiate a new Treaty is bound by the procedural requirements of Article 48 TEU, and also by the requirement that a condition of Union membership is a commitment to human rights, democracy and the rule of law in accordance with Articles 2 and 49 TEU. Therefore, even if one accepts that a certain </w:t>
      </w:r>
      <w:r w:rsidR="00CA6339">
        <w:rPr>
          <w:rFonts w:ascii="Times New Roman" w:hAnsi="Times New Roman" w:cs="Times New Roman"/>
          <w:lang w:val="en-US"/>
        </w:rPr>
        <w:t>“</w:t>
      </w:r>
      <w:r w:rsidR="005E0AC0">
        <w:rPr>
          <w:rFonts w:ascii="Times New Roman" w:hAnsi="Times New Roman" w:cs="Times New Roman"/>
          <w:lang w:val="en-US"/>
        </w:rPr>
        <w:t xml:space="preserve">untouchable </w:t>
      </w:r>
      <w:r w:rsidRPr="00486DF6">
        <w:rPr>
          <w:rFonts w:ascii="Times New Roman" w:hAnsi="Times New Roman" w:cs="Times New Roman"/>
          <w:lang w:val="en-US"/>
        </w:rPr>
        <w:t>core</w:t>
      </w:r>
      <w:r w:rsidR="00CA6339">
        <w:rPr>
          <w:rFonts w:ascii="Times New Roman" w:hAnsi="Times New Roman" w:cs="Times New Roman"/>
          <w:lang w:val="en-US"/>
        </w:rPr>
        <w:t>”</w:t>
      </w:r>
      <w:r w:rsidRPr="00486DF6">
        <w:rPr>
          <w:rFonts w:ascii="Times New Roman" w:hAnsi="Times New Roman" w:cs="Times New Roman"/>
          <w:lang w:val="en-US"/>
        </w:rPr>
        <w:t xml:space="preserve"> of Union law</w:t>
      </w:r>
      <w:r w:rsidRPr="00486DF6">
        <w:rPr>
          <w:rFonts w:ascii="Times New Roman" w:hAnsi="Times New Roman" w:cs="Times New Roman"/>
          <w:i/>
          <w:lang w:val="en-US"/>
        </w:rPr>
        <w:t xml:space="preserve"> </w:t>
      </w:r>
      <w:r w:rsidRPr="00486DF6">
        <w:rPr>
          <w:rFonts w:ascii="Times New Roman" w:hAnsi="Times New Roman" w:cs="Times New Roman"/>
          <w:lang w:val="en-US"/>
        </w:rPr>
        <w:t xml:space="preserve">exists and could not be modified, even by way of a new Treaty, such </w:t>
      </w:r>
      <w:r w:rsidR="00CA6339">
        <w:rPr>
          <w:rFonts w:ascii="Times New Roman" w:hAnsi="Times New Roman" w:cs="Times New Roman"/>
          <w:lang w:val="en-US"/>
        </w:rPr>
        <w:t>“</w:t>
      </w:r>
      <w:r w:rsidR="005E0AC0">
        <w:rPr>
          <w:rFonts w:ascii="Times New Roman" w:hAnsi="Times New Roman" w:cs="Times New Roman"/>
          <w:lang w:val="en-US"/>
        </w:rPr>
        <w:t>untouchable</w:t>
      </w:r>
      <w:r w:rsidR="005E0AC0" w:rsidRPr="00486DF6">
        <w:rPr>
          <w:rFonts w:ascii="Times New Roman" w:hAnsi="Times New Roman" w:cs="Times New Roman"/>
          <w:lang w:val="en-US"/>
        </w:rPr>
        <w:t xml:space="preserve"> </w:t>
      </w:r>
      <w:r w:rsidRPr="00486DF6">
        <w:rPr>
          <w:rFonts w:ascii="Times New Roman" w:hAnsi="Times New Roman" w:cs="Times New Roman"/>
          <w:lang w:val="en-US"/>
        </w:rPr>
        <w:t>core rules</w:t>
      </w:r>
      <w:r w:rsidR="00CA6339">
        <w:rPr>
          <w:rFonts w:ascii="Times New Roman" w:hAnsi="Times New Roman" w:cs="Times New Roman"/>
          <w:lang w:val="en-US"/>
        </w:rPr>
        <w:t xml:space="preserve">” </w:t>
      </w:r>
      <w:r w:rsidRPr="00486DF6">
        <w:rPr>
          <w:rFonts w:ascii="Times New Roman" w:hAnsi="Times New Roman" w:cs="Times New Roman"/>
          <w:lang w:val="en-US"/>
        </w:rPr>
        <w:t>would be found foremost in the characteristics of the institutional system of the EU, as a quasi-constitution protecting democracy, rule of law, human rights and the principle of non-discrimination</w:t>
      </w:r>
      <w:r w:rsidR="00CA6339">
        <w:rPr>
          <w:rFonts w:ascii="Times New Roman" w:hAnsi="Times New Roman" w:cs="Times New Roman"/>
          <w:lang w:val="en-US"/>
        </w:rPr>
        <w:t xml:space="preserve"> per Article 2 TEU</w:t>
      </w:r>
      <w:r w:rsidRPr="00486DF6">
        <w:rPr>
          <w:rFonts w:ascii="Times New Roman" w:hAnsi="Times New Roman" w:cs="Times New Roman"/>
          <w:lang w:val="en-US"/>
        </w:rPr>
        <w:t xml:space="preserve">, as well as the supremacy and direct effect of EU law, rather than the full application of the four freedoms. In that sense, any </w:t>
      </w:r>
      <w:r w:rsidR="00F42F08">
        <w:rPr>
          <w:rFonts w:ascii="Times New Roman" w:hAnsi="Times New Roman" w:cs="Times New Roman"/>
          <w:lang w:val="en-US"/>
        </w:rPr>
        <w:t xml:space="preserve">issue-based withdrawal </w:t>
      </w:r>
      <w:r w:rsidRPr="00486DF6">
        <w:rPr>
          <w:rFonts w:ascii="Times New Roman" w:hAnsi="Times New Roman" w:cs="Times New Roman"/>
          <w:lang w:val="en-US"/>
        </w:rPr>
        <w:t>should</w:t>
      </w:r>
      <w:r w:rsidR="00F42F08">
        <w:rPr>
          <w:rFonts w:ascii="Times New Roman" w:hAnsi="Times New Roman" w:cs="Times New Roman"/>
          <w:lang w:val="en-US"/>
        </w:rPr>
        <w:t xml:space="preserve"> still</w:t>
      </w:r>
      <w:r w:rsidRPr="00486DF6">
        <w:rPr>
          <w:rFonts w:ascii="Times New Roman" w:hAnsi="Times New Roman" w:cs="Times New Roman"/>
          <w:lang w:val="en-US"/>
        </w:rPr>
        <w:t xml:space="preserve"> respect </w:t>
      </w:r>
      <w:r w:rsidR="000D0C55" w:rsidRPr="00486DF6">
        <w:rPr>
          <w:rFonts w:ascii="Times New Roman" w:hAnsi="Times New Roman" w:cs="Times New Roman"/>
          <w:lang w:val="en-US"/>
        </w:rPr>
        <w:t>the d</w:t>
      </w:r>
      <w:r w:rsidRPr="00486DF6">
        <w:rPr>
          <w:rFonts w:ascii="Times New Roman" w:hAnsi="Times New Roman" w:cs="Times New Roman"/>
          <w:lang w:val="en-US"/>
        </w:rPr>
        <w:t>emocratic institutions, the rule of law and effectively protect human rights and fundamental freedoms.</w:t>
      </w:r>
      <w:r w:rsidRPr="00486DF6">
        <w:rPr>
          <w:rStyle w:val="FootnoteReference"/>
          <w:rFonts w:ascii="Times New Roman" w:hAnsi="Times New Roman" w:cs="Times New Roman"/>
          <w:lang w:val="en-US"/>
        </w:rPr>
        <w:footnoteReference w:id="130"/>
      </w:r>
      <w:r w:rsidRPr="00486DF6">
        <w:rPr>
          <w:rFonts w:ascii="Times New Roman" w:hAnsi="Times New Roman" w:cs="Times New Roman"/>
          <w:lang w:val="en-US"/>
        </w:rPr>
        <w:t xml:space="preserve"> </w:t>
      </w:r>
      <w:r w:rsidR="00AF4312">
        <w:rPr>
          <w:rFonts w:ascii="Times New Roman" w:hAnsi="Times New Roman" w:cs="Times New Roman"/>
          <w:lang w:val="en-US"/>
        </w:rPr>
        <w:t xml:space="preserve">Again, as we argue in this article, this underlines that within the EU legal order the instrument of </w:t>
      </w:r>
      <w:r w:rsidR="00AF4312">
        <w:rPr>
          <w:rFonts w:ascii="Times New Roman" w:hAnsi="Times New Roman" w:cs="Times New Roman"/>
          <w:lang w:val="en-US"/>
        </w:rPr>
        <w:lastRenderedPageBreak/>
        <w:t xml:space="preserve">nullification is not an </w:t>
      </w:r>
      <w:r w:rsidR="00AF4312">
        <w:rPr>
          <w:rFonts w:ascii="Times New Roman" w:eastAsia="Calibri" w:hAnsi="Times New Roman" w:cs="Times New Roman"/>
          <w:lang w:val="en-US"/>
        </w:rPr>
        <w:t>extra-legal, “political” instrument that lies outside and beyond the legal order.</w:t>
      </w:r>
      <w:r w:rsidR="00AF4312">
        <w:rPr>
          <w:rFonts w:ascii="Times New Roman" w:hAnsi="Times New Roman" w:cs="Times New Roman"/>
          <w:lang w:val="en-US"/>
        </w:rPr>
        <w:t xml:space="preserve"> </w:t>
      </w:r>
      <w:proofErr w:type="gramStart"/>
      <w:r w:rsidR="00AF4312">
        <w:rPr>
          <w:rFonts w:ascii="Times New Roman" w:hAnsi="Times New Roman" w:cs="Times New Roman"/>
          <w:lang w:val="en-US"/>
        </w:rPr>
        <w:t>Instead</w:t>
      </w:r>
      <w:proofErr w:type="gramEnd"/>
      <w:r w:rsidR="00AF4312">
        <w:rPr>
          <w:rFonts w:ascii="Times New Roman" w:hAnsi="Times New Roman" w:cs="Times New Roman"/>
          <w:lang w:val="en-US"/>
        </w:rPr>
        <w:t xml:space="preserve"> it can be understood as the outcome of a dialectic process that is triggered by the intention of a Member State to protect certain rights</w:t>
      </w:r>
      <w:r w:rsidR="008D2F8F">
        <w:rPr>
          <w:rFonts w:ascii="Times New Roman" w:hAnsi="Times New Roman" w:cs="Times New Roman"/>
          <w:lang w:val="en-US"/>
        </w:rPr>
        <w:t>. But in order to be successful, it</w:t>
      </w:r>
      <w:r w:rsidR="00AF4312">
        <w:rPr>
          <w:rFonts w:ascii="Times New Roman" w:hAnsi="Times New Roman" w:cs="Times New Roman"/>
          <w:lang w:val="en-US"/>
        </w:rPr>
        <w:t xml:space="preserve"> needs to conform with the foundational values of the EU.</w:t>
      </w:r>
      <w:r w:rsidR="008D2F8F">
        <w:rPr>
          <w:rFonts w:ascii="Times New Roman" w:hAnsi="Times New Roman" w:cs="Times New Roman"/>
          <w:lang w:val="en-US"/>
        </w:rPr>
        <w:t xml:space="preserve"> In that sense, such issue-based withdrawal can be seen as a vehicle of a constitutional conflict.</w:t>
      </w:r>
    </w:p>
    <w:p w14:paraId="781F9893" w14:textId="143457C6" w:rsidR="00997DE5" w:rsidRPr="00486DF6" w:rsidRDefault="008D2F8F" w:rsidP="00F42F08">
      <w:pPr>
        <w:spacing w:line="480" w:lineRule="auto"/>
        <w:ind w:firstLine="720"/>
        <w:jc w:val="both"/>
        <w:rPr>
          <w:rFonts w:ascii="Times New Roman" w:hAnsi="Times New Roman" w:cs="Times New Roman"/>
          <w:lang w:val="en-US"/>
        </w:rPr>
      </w:pPr>
      <w:r>
        <w:rPr>
          <w:rFonts w:ascii="Times New Roman" w:hAnsi="Times New Roman" w:cs="Times New Roman"/>
          <w:lang w:val="en-US"/>
        </w:rPr>
        <w:t>It seems, however, that the main difficulty</w:t>
      </w:r>
      <w:r w:rsidR="00997DE5" w:rsidRPr="00486DF6">
        <w:rPr>
          <w:rFonts w:ascii="Times New Roman" w:hAnsi="Times New Roman" w:cs="Times New Roman"/>
          <w:lang w:val="en-US"/>
        </w:rPr>
        <w:t xml:space="preserve"> </w:t>
      </w:r>
      <w:r>
        <w:rPr>
          <w:rFonts w:ascii="Times New Roman" w:hAnsi="Times New Roman" w:cs="Times New Roman"/>
          <w:lang w:val="en-US"/>
        </w:rPr>
        <w:t>for</w:t>
      </w:r>
      <w:r w:rsidR="000553E8" w:rsidRPr="00486DF6">
        <w:rPr>
          <w:rFonts w:ascii="Times New Roman" w:hAnsi="Times New Roman" w:cs="Times New Roman"/>
          <w:lang w:val="en-US"/>
        </w:rPr>
        <w:t xml:space="preserve"> </w:t>
      </w:r>
      <w:r w:rsidR="00997DE5" w:rsidRPr="00486DF6">
        <w:rPr>
          <w:rFonts w:ascii="Times New Roman" w:hAnsi="Times New Roman" w:cs="Times New Roman"/>
          <w:lang w:val="en-US"/>
        </w:rPr>
        <w:t xml:space="preserve">the achievement of such </w:t>
      </w:r>
      <w:r>
        <w:rPr>
          <w:rFonts w:ascii="Times New Roman" w:hAnsi="Times New Roman" w:cs="Times New Roman"/>
          <w:lang w:val="en-US"/>
        </w:rPr>
        <w:t>issue-based withdrawal</w:t>
      </w:r>
      <w:r w:rsidR="00997DE5" w:rsidRPr="00486DF6">
        <w:rPr>
          <w:rFonts w:ascii="Times New Roman" w:hAnsi="Times New Roman" w:cs="Times New Roman"/>
          <w:lang w:val="en-US"/>
        </w:rPr>
        <w:t xml:space="preserve"> is a political rather than a legal one: the revision of the EU Treaties requires the unanimity of the Member States. It is not merely a coincidence that virtually all those opt-outs have been agreed either as a compromise to secure the smooth ratification of a Treaty or during the negotiations for the accession of a new Member State. How difficult it is to achieve such an issue-based withdrawal was particularly evident when the </w:t>
      </w:r>
      <w:r w:rsidR="000553E8" w:rsidRPr="00486DF6">
        <w:rPr>
          <w:rFonts w:ascii="Times New Roman" w:hAnsi="Times New Roman" w:cs="Times New Roman"/>
          <w:lang w:val="en-US"/>
        </w:rPr>
        <w:t xml:space="preserve">former </w:t>
      </w:r>
      <w:r w:rsidR="00997DE5" w:rsidRPr="00486DF6">
        <w:rPr>
          <w:rFonts w:ascii="Times New Roman" w:hAnsi="Times New Roman" w:cs="Times New Roman"/>
          <w:lang w:val="en-US"/>
        </w:rPr>
        <w:t xml:space="preserve">Prime Minister David Cameron tried in 2015-2016 to renegotiate the terms of the UK’s EU membership. </w:t>
      </w:r>
      <w:r w:rsidR="000553E8" w:rsidRPr="00486DF6">
        <w:rPr>
          <w:rFonts w:ascii="Times New Roman" w:hAnsi="Times New Roman" w:cs="Times New Roman"/>
          <w:lang w:val="en-US"/>
        </w:rPr>
        <w:t xml:space="preserve">Cameron’s </w:t>
      </w:r>
      <w:r w:rsidR="00997DE5" w:rsidRPr="00486DF6">
        <w:rPr>
          <w:rFonts w:ascii="Times New Roman" w:hAnsi="Times New Roman" w:cs="Times New Roman"/>
          <w:lang w:val="en-US"/>
        </w:rPr>
        <w:t xml:space="preserve">main aim was to convince his counterparts to amend the relevant primary law provisions to the effect that there would be clear limitations to the free movement of workers. He was talking about the possibility of an </w:t>
      </w:r>
      <w:r w:rsidR="00F42F08">
        <w:rPr>
          <w:rFonts w:ascii="Times New Roman" w:hAnsi="Times New Roman" w:cs="Times New Roman"/>
          <w:lang w:val="en-US"/>
        </w:rPr>
        <w:t>“</w:t>
      </w:r>
      <w:r w:rsidR="00997DE5" w:rsidRPr="00486DF6">
        <w:rPr>
          <w:rFonts w:ascii="Times New Roman" w:hAnsi="Times New Roman" w:cs="Times New Roman"/>
          <w:lang w:val="en-US"/>
        </w:rPr>
        <w:t>emergency break</w:t>
      </w:r>
      <w:r w:rsidR="00F42F08">
        <w:rPr>
          <w:rFonts w:ascii="Times New Roman" w:hAnsi="Times New Roman" w:cs="Times New Roman"/>
          <w:lang w:val="en-US"/>
        </w:rPr>
        <w:t>”</w:t>
      </w:r>
      <w:r w:rsidR="00997DE5" w:rsidRPr="00486DF6">
        <w:rPr>
          <w:rFonts w:ascii="Times New Roman" w:hAnsi="Times New Roman" w:cs="Times New Roman"/>
          <w:lang w:val="en-US"/>
        </w:rPr>
        <w:t xml:space="preserve"> to EU migration. Instead, the draft deal that he was offered entailed the amendment of secondary legislation only.</w:t>
      </w:r>
      <w:r w:rsidR="00997DE5" w:rsidRPr="00486DF6">
        <w:rPr>
          <w:rStyle w:val="FootnoteReference"/>
          <w:rFonts w:ascii="Times New Roman" w:hAnsi="Times New Roman" w:cs="Times New Roman"/>
          <w:lang w:val="en-US"/>
        </w:rPr>
        <w:footnoteReference w:id="131"/>
      </w:r>
      <w:r w:rsidR="00997DE5" w:rsidRPr="00486DF6">
        <w:rPr>
          <w:rFonts w:ascii="Times New Roman" w:hAnsi="Times New Roman" w:cs="Times New Roman"/>
          <w:lang w:val="en-US"/>
        </w:rPr>
        <w:t xml:space="preserve"> Where </w:t>
      </w:r>
      <w:r w:rsidR="00352457" w:rsidRPr="00486DF6">
        <w:rPr>
          <w:rFonts w:ascii="Times New Roman" w:hAnsi="Times New Roman" w:cs="Times New Roman"/>
          <w:lang w:val="en-US"/>
        </w:rPr>
        <w:t xml:space="preserve">Cameron </w:t>
      </w:r>
      <w:r w:rsidR="00997DE5" w:rsidRPr="00486DF6">
        <w:rPr>
          <w:rFonts w:ascii="Times New Roman" w:hAnsi="Times New Roman" w:cs="Times New Roman"/>
          <w:lang w:val="en-US"/>
        </w:rPr>
        <w:t xml:space="preserve">did manage to secure an amendment to primary law was with regard to the fact that the Heads of EU States and Governments agreed to clarify in the Treaties </w:t>
      </w:r>
      <w:r w:rsidR="00F42F08">
        <w:rPr>
          <w:rFonts w:ascii="Times New Roman" w:hAnsi="Times New Roman" w:cs="Times New Roman"/>
          <w:lang w:val="en-US"/>
        </w:rPr>
        <w:t>“</w:t>
      </w:r>
      <w:r w:rsidR="00997DE5" w:rsidRPr="00486DF6">
        <w:rPr>
          <w:rFonts w:ascii="Times New Roman" w:hAnsi="Times New Roman" w:cs="Times New Roman"/>
          <w:lang w:val="en-US"/>
        </w:rPr>
        <w:t>that the references to ever closer union do not apply to the United Kingdom.</w:t>
      </w:r>
      <w:r w:rsidR="00F42F08">
        <w:rPr>
          <w:rFonts w:ascii="Times New Roman" w:hAnsi="Times New Roman" w:cs="Times New Roman"/>
          <w:lang w:val="en-US"/>
        </w:rPr>
        <w:t>”</w:t>
      </w:r>
      <w:r w:rsidR="00997DE5" w:rsidRPr="00486DF6">
        <w:rPr>
          <w:rStyle w:val="FootnoteReference"/>
          <w:rFonts w:ascii="Times New Roman" w:hAnsi="Times New Roman" w:cs="Times New Roman"/>
          <w:lang w:val="en-US"/>
        </w:rPr>
        <w:footnoteReference w:id="132"/>
      </w:r>
      <w:r w:rsidR="00997DE5" w:rsidRPr="00486DF6">
        <w:rPr>
          <w:rFonts w:ascii="Times New Roman" w:hAnsi="Times New Roman" w:cs="Times New Roman"/>
          <w:lang w:val="en-US"/>
        </w:rPr>
        <w:t xml:space="preserve"> However, even this success that related to</w:t>
      </w:r>
      <w:r w:rsidR="00E01B54">
        <w:rPr>
          <w:rFonts w:ascii="Times New Roman" w:hAnsi="Times New Roman" w:cs="Times New Roman"/>
          <w:lang w:val="en-US"/>
        </w:rPr>
        <w:t xml:space="preserve"> the</w:t>
      </w:r>
      <w:r w:rsidR="00997DE5" w:rsidRPr="00486DF6">
        <w:rPr>
          <w:rFonts w:ascii="Times New Roman" w:hAnsi="Times New Roman" w:cs="Times New Roman"/>
          <w:lang w:val="en-US"/>
        </w:rPr>
        <w:t xml:space="preserve"> UK’s sovereignty was largely symbolic. The European Council underlined that</w:t>
      </w:r>
      <w:r w:rsidR="000D0C55" w:rsidRPr="00486DF6">
        <w:rPr>
          <w:rFonts w:ascii="Times New Roman" w:hAnsi="Times New Roman" w:cs="Times New Roman"/>
          <w:lang w:val="en-US"/>
        </w:rPr>
        <w:t xml:space="preserve"> in</w:t>
      </w:r>
      <w:r w:rsidR="00997DE5" w:rsidRPr="00486DF6">
        <w:rPr>
          <w:rFonts w:ascii="Times New Roman" w:hAnsi="Times New Roman" w:cs="Times New Roman"/>
          <w:lang w:val="en-US"/>
        </w:rPr>
        <w:t xml:space="preserve"> any </w:t>
      </w:r>
      <w:r w:rsidR="000D0C55" w:rsidRPr="00486DF6">
        <w:rPr>
          <w:rFonts w:ascii="Times New Roman" w:hAnsi="Times New Roman" w:cs="Times New Roman"/>
          <w:lang w:val="en-US"/>
        </w:rPr>
        <w:t>case</w:t>
      </w:r>
      <w:r w:rsidR="00997DE5" w:rsidRPr="00486DF6">
        <w:rPr>
          <w:rFonts w:ascii="Times New Roman" w:hAnsi="Times New Roman" w:cs="Times New Roman"/>
          <w:lang w:val="en-US"/>
        </w:rPr>
        <w:t xml:space="preserve"> the </w:t>
      </w:r>
      <w:r w:rsidR="00F42F08">
        <w:rPr>
          <w:rFonts w:ascii="Times New Roman" w:hAnsi="Times New Roman" w:cs="Times New Roman"/>
          <w:lang w:val="en-US"/>
        </w:rPr>
        <w:t>“</w:t>
      </w:r>
      <w:r w:rsidR="00997DE5" w:rsidRPr="00486DF6">
        <w:rPr>
          <w:rFonts w:ascii="Times New Roman" w:hAnsi="Times New Roman" w:cs="Times New Roman"/>
          <w:lang w:val="en-US"/>
        </w:rPr>
        <w:t xml:space="preserve">references in the Treaties and their preambles to the process of creating an </w:t>
      </w:r>
      <w:proofErr w:type="gramStart"/>
      <w:r w:rsidR="00997DE5" w:rsidRPr="00486DF6">
        <w:rPr>
          <w:rFonts w:ascii="Times New Roman" w:hAnsi="Times New Roman" w:cs="Times New Roman"/>
          <w:lang w:val="en-US"/>
        </w:rPr>
        <w:t>ever closer</w:t>
      </w:r>
      <w:proofErr w:type="gramEnd"/>
      <w:r w:rsidR="00997DE5" w:rsidRPr="00486DF6">
        <w:rPr>
          <w:rFonts w:ascii="Times New Roman" w:hAnsi="Times New Roman" w:cs="Times New Roman"/>
          <w:lang w:val="en-US"/>
        </w:rPr>
        <w:t xml:space="preserve"> union among the peoples of Europe do </w:t>
      </w:r>
      <w:r w:rsidR="00997DE5" w:rsidRPr="00486DF6">
        <w:rPr>
          <w:rFonts w:ascii="Times New Roman" w:hAnsi="Times New Roman" w:cs="Times New Roman"/>
          <w:lang w:val="en-US"/>
        </w:rPr>
        <w:lastRenderedPageBreak/>
        <w:t>not offer a legal basis for extending the scope of any provision of the Treaties or of EU secondary legislation.</w:t>
      </w:r>
      <w:r w:rsidR="00F42F08">
        <w:rPr>
          <w:rFonts w:ascii="Times New Roman" w:hAnsi="Times New Roman" w:cs="Times New Roman"/>
          <w:lang w:val="en-US"/>
        </w:rPr>
        <w:t>”</w:t>
      </w:r>
      <w:r w:rsidR="00997DE5" w:rsidRPr="00486DF6">
        <w:rPr>
          <w:rStyle w:val="FootnoteReference"/>
          <w:rFonts w:ascii="Times New Roman" w:hAnsi="Times New Roman" w:cs="Times New Roman"/>
          <w:lang w:val="en-US"/>
        </w:rPr>
        <w:footnoteReference w:id="133"/>
      </w:r>
      <w:r w:rsidR="00997DE5" w:rsidRPr="00486DF6">
        <w:rPr>
          <w:rFonts w:ascii="Times New Roman" w:hAnsi="Times New Roman" w:cs="Times New Roman"/>
          <w:lang w:val="en-US"/>
        </w:rPr>
        <w:t xml:space="preserve"> Overall, the outcome of the process was not difficult to predict. As we have mentioned before, despite the aforementioned examples, it is generally very hard for outlier States to negotiate an individual opt-out.</w:t>
      </w:r>
      <w:r w:rsidR="00A80E6E">
        <w:rPr>
          <w:rFonts w:ascii="Times New Roman" w:hAnsi="Times New Roman" w:cs="Times New Roman"/>
          <w:lang w:val="en-US"/>
        </w:rPr>
        <w:t xml:space="preserve"> </w:t>
      </w:r>
      <w:r w:rsidR="00997DE5" w:rsidRPr="00486DF6">
        <w:rPr>
          <w:rFonts w:ascii="Times New Roman" w:hAnsi="Times New Roman" w:cs="Times New Roman"/>
          <w:lang w:val="en-US"/>
        </w:rPr>
        <w:t xml:space="preserve"> </w:t>
      </w:r>
      <w:r w:rsidR="00A80E6E">
        <w:rPr>
          <w:rFonts w:ascii="Times New Roman" w:hAnsi="Times New Roman" w:cs="Times New Roman"/>
          <w:lang w:val="en-US"/>
        </w:rPr>
        <w:t>In fact, the EU institutions often use the available legal toolkit to combat nullification attempts</w:t>
      </w:r>
      <w:r w:rsidR="007535F1">
        <w:rPr>
          <w:rFonts w:ascii="Times New Roman" w:hAnsi="Times New Roman" w:cs="Times New Roman"/>
          <w:lang w:val="en-US"/>
        </w:rPr>
        <w:t xml:space="preserve"> which leaves disgruntled Member States that have not managed to successfully negotiate a partial withdrawal from the EU </w:t>
      </w:r>
      <w:r w:rsidR="007535F1">
        <w:rPr>
          <w:rFonts w:ascii="Times New Roman" w:hAnsi="Times New Roman" w:cs="Times New Roman"/>
          <w:i/>
          <w:iCs/>
          <w:lang w:val="en-US"/>
        </w:rPr>
        <w:t xml:space="preserve">acquis </w:t>
      </w:r>
      <w:r w:rsidR="007535F1">
        <w:rPr>
          <w:rFonts w:ascii="Times New Roman" w:hAnsi="Times New Roman" w:cs="Times New Roman"/>
          <w:lang w:val="en-US"/>
        </w:rPr>
        <w:t>with t</w:t>
      </w:r>
      <w:r w:rsidR="00997DE5" w:rsidRPr="00486DF6">
        <w:rPr>
          <w:rFonts w:ascii="Times New Roman" w:hAnsi="Times New Roman" w:cs="Times New Roman"/>
          <w:lang w:val="en-US"/>
        </w:rPr>
        <w:t xml:space="preserve">he nuclear and difficult option to </w:t>
      </w:r>
      <w:r w:rsidR="007535F1">
        <w:rPr>
          <w:rFonts w:ascii="Times New Roman" w:hAnsi="Times New Roman" w:cs="Times New Roman"/>
          <w:lang w:val="en-US"/>
        </w:rPr>
        <w:t>functionally secede from the EU.</w:t>
      </w:r>
      <w:r w:rsidR="00997DE5" w:rsidRPr="00486DF6">
        <w:rPr>
          <w:rFonts w:ascii="Times New Roman" w:hAnsi="Times New Roman" w:cs="Times New Roman"/>
          <w:lang w:val="en-US"/>
        </w:rPr>
        <w:t xml:space="preserve"> </w:t>
      </w:r>
      <w:r w:rsidR="007535F1">
        <w:rPr>
          <w:rFonts w:ascii="Times New Roman" w:hAnsi="Times New Roman" w:cs="Times New Roman"/>
          <w:lang w:val="en-US"/>
        </w:rPr>
        <w:t>Given that the latter is fraught with difficulty and existential risks,</w:t>
      </w:r>
      <w:r w:rsidR="00997DE5" w:rsidRPr="00486DF6">
        <w:rPr>
          <w:rFonts w:ascii="Times New Roman" w:hAnsi="Times New Roman" w:cs="Times New Roman"/>
          <w:lang w:val="en-US"/>
        </w:rPr>
        <w:t xml:space="preserve"> most of </w:t>
      </w:r>
      <w:r w:rsidR="007535F1">
        <w:rPr>
          <w:rFonts w:ascii="Times New Roman" w:hAnsi="Times New Roman" w:cs="Times New Roman"/>
          <w:lang w:val="en-US"/>
        </w:rPr>
        <w:t>Member States</w:t>
      </w:r>
      <w:r w:rsidR="00997DE5" w:rsidRPr="00486DF6">
        <w:rPr>
          <w:rFonts w:ascii="Times New Roman" w:hAnsi="Times New Roman" w:cs="Times New Roman"/>
          <w:lang w:val="en-US"/>
        </w:rPr>
        <w:t xml:space="preserve"> abandon their initial recalcitrance and compromise. In the case of the UK, however, the British electorate chose the road less travelled. </w:t>
      </w:r>
    </w:p>
    <w:p w14:paraId="36B16643" w14:textId="77777777" w:rsidR="00997DE5" w:rsidRPr="00486DF6" w:rsidRDefault="00997DE5" w:rsidP="000E4CEC">
      <w:pPr>
        <w:spacing w:line="480" w:lineRule="auto"/>
        <w:jc w:val="both"/>
        <w:rPr>
          <w:rFonts w:ascii="Times New Roman" w:eastAsia="Times New Roman" w:hAnsi="Times New Roman" w:cs="Times New Roman"/>
          <w:color w:val="000000"/>
          <w:lang w:val="en-US" w:eastAsia="en-GB"/>
        </w:rPr>
      </w:pPr>
    </w:p>
    <w:p w14:paraId="38F8F303" w14:textId="4A3C1099" w:rsidR="00D33CFD" w:rsidRPr="00F42F08" w:rsidRDefault="00F42F08" w:rsidP="00F42F08">
      <w:pPr>
        <w:pStyle w:val="ListParagraph"/>
        <w:spacing w:line="480" w:lineRule="auto"/>
        <w:jc w:val="center"/>
        <w:rPr>
          <w:rFonts w:ascii="Times New Roman" w:eastAsia="Times New Roman" w:hAnsi="Times New Roman" w:cs="Times New Roman"/>
          <w:smallCaps/>
          <w:color w:val="000000"/>
          <w:lang w:val="en-US" w:eastAsia="en-GB"/>
        </w:rPr>
      </w:pPr>
      <w:r w:rsidRPr="00F42F08">
        <w:rPr>
          <w:rFonts w:ascii="Times New Roman" w:eastAsia="Times New Roman" w:hAnsi="Times New Roman" w:cs="Times New Roman"/>
          <w:smallCaps/>
          <w:color w:val="000000"/>
          <w:lang w:val="en-US" w:eastAsia="en-GB"/>
        </w:rPr>
        <w:t>III</w:t>
      </w:r>
      <w:r w:rsidR="00997DE5" w:rsidRPr="00F42F08">
        <w:rPr>
          <w:rFonts w:ascii="Times New Roman" w:eastAsia="Times New Roman" w:hAnsi="Times New Roman" w:cs="Times New Roman"/>
          <w:smallCaps/>
          <w:color w:val="000000"/>
          <w:lang w:val="en-US" w:eastAsia="en-GB"/>
        </w:rPr>
        <w:t xml:space="preserve">. </w:t>
      </w:r>
      <w:r w:rsidR="00997DE5" w:rsidRPr="00F42F08">
        <w:rPr>
          <w:rFonts w:ascii="Times New Roman" w:eastAsia="Times New Roman" w:hAnsi="Times New Roman" w:cs="Times New Roman"/>
          <w:smallCaps/>
          <w:color w:val="000000"/>
          <w:lang w:val="en-US" w:eastAsia="en-GB"/>
        </w:rPr>
        <w:tab/>
      </w:r>
      <w:r w:rsidR="00D33CFD" w:rsidRPr="00F42F08">
        <w:rPr>
          <w:rFonts w:ascii="Times New Roman" w:eastAsia="Times New Roman" w:hAnsi="Times New Roman" w:cs="Times New Roman"/>
          <w:smallCaps/>
          <w:color w:val="000000"/>
          <w:lang w:val="en-US" w:eastAsia="en-GB"/>
        </w:rPr>
        <w:t>Secession in the EU Constitutional Order of States</w:t>
      </w:r>
    </w:p>
    <w:p w14:paraId="707E5A58" w14:textId="71EB1A9D" w:rsidR="00875025" w:rsidRPr="00A03F2F" w:rsidRDefault="00875025" w:rsidP="00907B02">
      <w:pPr>
        <w:spacing w:line="480" w:lineRule="auto"/>
        <w:ind w:firstLine="720"/>
        <w:jc w:val="both"/>
        <w:rPr>
          <w:rFonts w:ascii="Times New Roman" w:eastAsia="MS Mincho" w:hAnsi="Times New Roman" w:cs="Times New Roman"/>
          <w:lang w:val="en-US" w:eastAsia="it-IT"/>
        </w:rPr>
      </w:pPr>
      <w:r>
        <w:rPr>
          <w:rFonts w:ascii="Times New Roman" w:eastAsia="MS Mincho" w:hAnsi="Times New Roman" w:cs="Times New Roman"/>
          <w:lang w:val="en-US" w:eastAsia="it-IT"/>
        </w:rPr>
        <w:t xml:space="preserve"> </w:t>
      </w:r>
      <w:r w:rsidR="00907B02">
        <w:rPr>
          <w:rFonts w:ascii="Times New Roman" w:eastAsia="MS Mincho" w:hAnsi="Times New Roman" w:cs="Times New Roman"/>
          <w:lang w:val="en-US" w:eastAsia="it-IT"/>
        </w:rPr>
        <w:t xml:space="preserve">So far, we noted that Member States have used the instrument of nullification to protect the rights of their citizenry from what they considered as abusive practices coming from the EU. They have done so by using either judicial or political means. And although the EU institutions have used the available legal toolkit to combat such partial withdrawals from the </w:t>
      </w:r>
      <w:r w:rsidR="00907B02">
        <w:rPr>
          <w:rFonts w:ascii="Times New Roman" w:eastAsia="MS Mincho" w:hAnsi="Times New Roman" w:cs="Times New Roman"/>
          <w:i/>
          <w:iCs/>
          <w:lang w:val="en-US" w:eastAsia="it-IT"/>
        </w:rPr>
        <w:t>acquis</w:t>
      </w:r>
      <w:r w:rsidR="00907B02">
        <w:rPr>
          <w:rFonts w:ascii="Times New Roman" w:eastAsia="MS Mincho" w:hAnsi="Times New Roman" w:cs="Times New Roman"/>
          <w:lang w:val="en-US" w:eastAsia="it-IT"/>
        </w:rPr>
        <w:t>, the Union constitutional order of States is so flexible that c</w:t>
      </w:r>
      <w:r w:rsidR="00343958">
        <w:rPr>
          <w:rFonts w:ascii="Times New Roman" w:eastAsia="MS Mincho" w:hAnsi="Times New Roman" w:cs="Times New Roman"/>
          <w:lang w:val="en-US" w:eastAsia="it-IT"/>
        </w:rPr>
        <w:t>an</w:t>
      </w:r>
      <w:r w:rsidR="00907B02">
        <w:rPr>
          <w:rFonts w:ascii="Times New Roman" w:eastAsia="MS Mincho" w:hAnsi="Times New Roman" w:cs="Times New Roman"/>
          <w:lang w:val="en-US" w:eastAsia="it-IT"/>
        </w:rPr>
        <w:t xml:space="preserve"> potentially accommodate such attempts for nullification provided that there is consensus amongst the contracting State parties. Such flexibility is even more apparent in the case of functional secession from the EU.</w:t>
      </w:r>
      <w:r w:rsidR="00C672D4">
        <w:rPr>
          <w:rFonts w:ascii="Times New Roman" w:eastAsia="MS Mincho" w:hAnsi="Times New Roman" w:cs="Times New Roman"/>
          <w:lang w:val="en-US" w:eastAsia="it-IT"/>
        </w:rPr>
        <w:t xml:space="preserve"> Unlike what happens in the US, the Union legal order has codified </w:t>
      </w:r>
      <w:r w:rsidR="005E3BED">
        <w:rPr>
          <w:rFonts w:ascii="Times New Roman" w:eastAsia="MS Mincho" w:hAnsi="Times New Roman" w:cs="Times New Roman"/>
          <w:lang w:val="en-US" w:eastAsia="it-IT"/>
        </w:rPr>
        <w:t>a</w:t>
      </w:r>
      <w:r w:rsidR="00C672D4">
        <w:rPr>
          <w:rFonts w:ascii="Times New Roman" w:eastAsia="MS Mincho" w:hAnsi="Times New Roman" w:cs="Times New Roman"/>
          <w:lang w:val="en-US" w:eastAsia="it-IT"/>
        </w:rPr>
        <w:t xml:space="preserve"> right </w:t>
      </w:r>
      <w:r w:rsidR="005E3BED">
        <w:rPr>
          <w:rFonts w:ascii="Times New Roman" w:eastAsia="MS Mincho" w:hAnsi="Times New Roman" w:cs="Times New Roman"/>
          <w:lang w:val="en-US" w:eastAsia="it-IT"/>
        </w:rPr>
        <w:t>of</w:t>
      </w:r>
      <w:r w:rsidR="00C672D4">
        <w:rPr>
          <w:rFonts w:ascii="Times New Roman" w:eastAsia="MS Mincho" w:hAnsi="Times New Roman" w:cs="Times New Roman"/>
          <w:lang w:val="en-US" w:eastAsia="it-IT"/>
        </w:rPr>
        <w:t xml:space="preserve"> complete withdrawal in Article 50 TEU.</w:t>
      </w:r>
    </w:p>
    <w:p w14:paraId="09CF06FC" w14:textId="46408808" w:rsidR="00997DE5" w:rsidRPr="00486DF6" w:rsidRDefault="004741D7" w:rsidP="00F42F08">
      <w:pPr>
        <w:spacing w:line="480" w:lineRule="auto"/>
        <w:ind w:firstLine="720"/>
        <w:jc w:val="both"/>
        <w:rPr>
          <w:rFonts w:ascii="Times New Roman" w:eastAsia="Times New Roman" w:hAnsi="Times New Roman" w:cs="Times New Roman"/>
          <w:color w:val="000000"/>
          <w:lang w:val="en-US" w:eastAsia="en-GB"/>
        </w:rPr>
      </w:pPr>
      <w:r>
        <w:rPr>
          <w:rFonts w:ascii="Times New Roman" w:eastAsia="Times New Roman" w:hAnsi="Times New Roman" w:cs="Times New Roman"/>
          <w:color w:val="000000"/>
          <w:lang w:val="en-US" w:eastAsia="en-GB"/>
        </w:rPr>
        <w:t>T</w:t>
      </w:r>
      <w:r w:rsidR="00997DE5" w:rsidRPr="00486DF6">
        <w:rPr>
          <w:rFonts w:ascii="Times New Roman" w:eastAsia="Times New Roman" w:hAnsi="Times New Roman" w:cs="Times New Roman"/>
          <w:color w:val="000000"/>
          <w:lang w:val="en-US" w:eastAsia="en-GB"/>
        </w:rPr>
        <w:t xml:space="preserve">he implicit existence of </w:t>
      </w:r>
      <w:r w:rsidR="005E3BED">
        <w:rPr>
          <w:rFonts w:ascii="Times New Roman" w:eastAsia="Times New Roman" w:hAnsi="Times New Roman" w:cs="Times New Roman"/>
          <w:color w:val="000000"/>
          <w:lang w:val="en-US" w:eastAsia="en-GB"/>
        </w:rPr>
        <w:t>this</w:t>
      </w:r>
      <w:r w:rsidR="00997DE5" w:rsidRPr="00486DF6">
        <w:rPr>
          <w:rFonts w:ascii="Times New Roman" w:eastAsia="Times New Roman" w:hAnsi="Times New Roman" w:cs="Times New Roman"/>
          <w:color w:val="000000"/>
          <w:lang w:val="en-US" w:eastAsia="en-GB"/>
        </w:rPr>
        <w:t xml:space="preserve"> </w:t>
      </w:r>
      <w:r w:rsidR="005B1246">
        <w:rPr>
          <w:rFonts w:ascii="Times New Roman" w:eastAsia="Times New Roman" w:hAnsi="Times New Roman" w:cs="Times New Roman"/>
          <w:color w:val="000000"/>
          <w:lang w:val="en-US" w:eastAsia="en-GB"/>
        </w:rPr>
        <w:t xml:space="preserve">was </w:t>
      </w:r>
      <w:r w:rsidR="00997DE5" w:rsidRPr="00486DF6">
        <w:rPr>
          <w:rFonts w:ascii="Times New Roman" w:eastAsia="Times New Roman" w:hAnsi="Times New Roman" w:cs="Times New Roman"/>
          <w:color w:val="000000"/>
          <w:lang w:val="en-US" w:eastAsia="en-GB"/>
        </w:rPr>
        <w:t xml:space="preserve">evident from the fact that nobody contested the right of the UK to </w:t>
      </w:r>
      <w:r>
        <w:rPr>
          <w:rFonts w:ascii="Times New Roman" w:eastAsia="Times New Roman" w:hAnsi="Times New Roman" w:cs="Times New Roman"/>
          <w:color w:val="000000"/>
          <w:lang w:val="en-US" w:eastAsia="en-GB"/>
        </w:rPr>
        <w:t>leave</w:t>
      </w:r>
      <w:r w:rsidR="00997DE5" w:rsidRPr="00486DF6">
        <w:rPr>
          <w:rFonts w:ascii="Times New Roman" w:eastAsia="Times New Roman" w:hAnsi="Times New Roman" w:cs="Times New Roman"/>
          <w:color w:val="000000"/>
          <w:lang w:val="en-US" w:eastAsia="en-GB"/>
        </w:rPr>
        <w:t xml:space="preserve"> the Common Market if the British electorate had decided so in the first </w:t>
      </w:r>
      <w:r w:rsidR="00F42F08">
        <w:rPr>
          <w:rFonts w:ascii="Times New Roman" w:eastAsia="Times New Roman" w:hAnsi="Times New Roman" w:cs="Times New Roman"/>
          <w:color w:val="000000"/>
          <w:lang w:val="en-US" w:eastAsia="en-GB"/>
        </w:rPr>
        <w:t>“</w:t>
      </w:r>
      <w:r w:rsidR="00997DE5" w:rsidRPr="00486DF6">
        <w:rPr>
          <w:rFonts w:ascii="Times New Roman" w:eastAsia="Times New Roman" w:hAnsi="Times New Roman" w:cs="Times New Roman"/>
          <w:color w:val="000000"/>
          <w:lang w:val="en-US" w:eastAsia="en-GB"/>
        </w:rPr>
        <w:t>Brexit</w:t>
      </w:r>
      <w:r w:rsidR="00F42F08">
        <w:rPr>
          <w:rFonts w:ascii="Times New Roman" w:eastAsia="Times New Roman" w:hAnsi="Times New Roman" w:cs="Times New Roman"/>
          <w:color w:val="000000"/>
          <w:lang w:val="en-US" w:eastAsia="en-GB"/>
        </w:rPr>
        <w:t>”</w:t>
      </w:r>
      <w:r w:rsidR="00997DE5" w:rsidRPr="00486DF6">
        <w:rPr>
          <w:rFonts w:ascii="Times New Roman" w:eastAsia="Times New Roman" w:hAnsi="Times New Roman" w:cs="Times New Roman"/>
          <w:color w:val="000000"/>
          <w:lang w:val="en-US" w:eastAsia="en-GB"/>
        </w:rPr>
        <w:t xml:space="preserve"> </w:t>
      </w:r>
      <w:r w:rsidR="00997DE5" w:rsidRPr="00486DF6">
        <w:rPr>
          <w:rFonts w:ascii="Times New Roman" w:eastAsia="Times New Roman" w:hAnsi="Times New Roman" w:cs="Times New Roman"/>
          <w:color w:val="000000"/>
          <w:lang w:val="en-US" w:eastAsia="en-GB"/>
        </w:rPr>
        <w:lastRenderedPageBreak/>
        <w:t>referendum in 1975.</w:t>
      </w:r>
      <w:r w:rsidR="00997DE5" w:rsidRPr="00486DF6">
        <w:rPr>
          <w:rStyle w:val="FootnoteReference"/>
          <w:rFonts w:ascii="Times New Roman" w:eastAsia="Times New Roman" w:hAnsi="Times New Roman" w:cs="Times New Roman"/>
          <w:color w:val="000000"/>
          <w:lang w:val="en-US" w:eastAsia="en-GB"/>
        </w:rPr>
        <w:footnoteReference w:id="134"/>
      </w:r>
      <w:r w:rsidR="00997DE5" w:rsidRPr="00486DF6">
        <w:rPr>
          <w:rFonts w:ascii="Times New Roman" w:eastAsia="Times New Roman" w:hAnsi="Times New Roman" w:cs="Times New Roman"/>
          <w:color w:val="000000"/>
          <w:lang w:val="en-US" w:eastAsia="en-GB"/>
        </w:rPr>
        <w:t xml:space="preserve"> This </w:t>
      </w:r>
      <w:r w:rsidR="00DA6A84">
        <w:rPr>
          <w:rFonts w:ascii="Times New Roman" w:eastAsia="Times New Roman" w:hAnsi="Times New Roman" w:cs="Times New Roman"/>
          <w:color w:val="000000"/>
          <w:lang w:val="en-US" w:eastAsia="en-GB"/>
        </w:rPr>
        <w:t>h</w:t>
      </w:r>
      <w:r w:rsidR="00997DE5" w:rsidRPr="00486DF6">
        <w:rPr>
          <w:rFonts w:ascii="Times New Roman" w:eastAsia="Times New Roman" w:hAnsi="Times New Roman" w:cs="Times New Roman"/>
          <w:color w:val="000000"/>
          <w:lang w:val="en-US" w:eastAsia="en-GB"/>
        </w:rPr>
        <w:t>as also</w:t>
      </w:r>
      <w:r w:rsidR="00DA6A84">
        <w:rPr>
          <w:rFonts w:ascii="Times New Roman" w:eastAsia="Times New Roman" w:hAnsi="Times New Roman" w:cs="Times New Roman"/>
          <w:color w:val="000000"/>
          <w:lang w:val="en-US" w:eastAsia="en-GB"/>
        </w:rPr>
        <w:t xml:space="preserve"> been</w:t>
      </w:r>
      <w:r w:rsidR="00997DE5" w:rsidRPr="00486DF6">
        <w:rPr>
          <w:rFonts w:ascii="Times New Roman" w:eastAsia="Times New Roman" w:hAnsi="Times New Roman" w:cs="Times New Roman"/>
          <w:color w:val="000000"/>
          <w:lang w:val="en-US" w:eastAsia="en-GB"/>
        </w:rPr>
        <w:t xml:space="preserve"> the view of several national constitutional actors. For instance, the German Constitutional Court in its famous ruling on the Maastricht Treaty proclaimed that EU </w:t>
      </w:r>
      <w:r w:rsidR="00F42F08">
        <w:rPr>
          <w:rFonts w:ascii="Times New Roman" w:eastAsia="Times New Roman" w:hAnsi="Times New Roman" w:cs="Times New Roman"/>
          <w:color w:val="000000"/>
          <w:lang w:val="en-US" w:eastAsia="en-GB"/>
        </w:rPr>
        <w:t>“</w:t>
      </w:r>
      <w:r w:rsidR="00997DE5" w:rsidRPr="00486DF6">
        <w:rPr>
          <w:rFonts w:ascii="Times New Roman" w:eastAsia="Times New Roman" w:hAnsi="Times New Roman" w:cs="Times New Roman"/>
          <w:color w:val="000000"/>
          <w:lang w:val="en-US" w:eastAsia="en-GB"/>
        </w:rPr>
        <w:t>membership may […] be terminated by means of an appropriate act being passed.</w:t>
      </w:r>
      <w:r w:rsidR="00F42F08">
        <w:rPr>
          <w:rFonts w:ascii="Times New Roman" w:eastAsia="Times New Roman" w:hAnsi="Times New Roman" w:cs="Times New Roman"/>
          <w:color w:val="000000"/>
          <w:lang w:val="en-US" w:eastAsia="en-GB"/>
        </w:rPr>
        <w:t>”</w:t>
      </w:r>
      <w:r w:rsidR="00997DE5" w:rsidRPr="00486DF6">
        <w:rPr>
          <w:rStyle w:val="FootnoteReference"/>
          <w:rFonts w:ascii="Times New Roman" w:eastAsia="Times New Roman" w:hAnsi="Times New Roman" w:cs="Times New Roman"/>
          <w:color w:val="000000"/>
          <w:lang w:val="en-US" w:eastAsia="en-GB"/>
        </w:rPr>
        <w:footnoteReference w:id="135"/>
      </w:r>
      <w:r w:rsidR="00997DE5" w:rsidRPr="00486DF6">
        <w:rPr>
          <w:rFonts w:ascii="Times New Roman" w:eastAsia="Times New Roman" w:hAnsi="Times New Roman" w:cs="Times New Roman"/>
          <w:color w:val="000000"/>
          <w:lang w:val="en-US" w:eastAsia="en-GB"/>
        </w:rPr>
        <w:t xml:space="preserve"> A similar view was adopted by the Czech Constitutional Court in its ruling on the Treaty of Lisbon.</w:t>
      </w:r>
      <w:r w:rsidR="00997DE5" w:rsidRPr="00486DF6">
        <w:rPr>
          <w:rStyle w:val="FootnoteReference"/>
          <w:rFonts w:ascii="Times New Roman" w:eastAsia="Times New Roman" w:hAnsi="Times New Roman" w:cs="Times New Roman"/>
          <w:color w:val="000000"/>
          <w:lang w:val="en-US" w:eastAsia="en-GB"/>
        </w:rPr>
        <w:footnoteReference w:id="136"/>
      </w:r>
    </w:p>
    <w:p w14:paraId="6B013BEF" w14:textId="5A7D5C96" w:rsidR="0037433E" w:rsidRDefault="00997DE5" w:rsidP="00F42F08">
      <w:pPr>
        <w:spacing w:line="480" w:lineRule="auto"/>
        <w:ind w:firstLine="720"/>
        <w:jc w:val="both"/>
        <w:rPr>
          <w:rFonts w:ascii="Times New Roman" w:eastAsia="Times New Roman" w:hAnsi="Times New Roman" w:cs="Times New Roman"/>
          <w:color w:val="000000"/>
          <w:lang w:eastAsia="en-GB"/>
        </w:rPr>
      </w:pPr>
      <w:r w:rsidRPr="00486DF6">
        <w:rPr>
          <w:rFonts w:ascii="Times New Roman" w:eastAsia="Times New Roman" w:hAnsi="Times New Roman" w:cs="Times New Roman"/>
          <w:color w:val="000000"/>
          <w:lang w:val="en-US" w:eastAsia="en-GB"/>
        </w:rPr>
        <w:t>In any case, the Treaty of Lisbon, which entered into force in 2009, clarified beyond any doubt that such right of</w:t>
      </w:r>
      <w:r w:rsidR="00C672D4">
        <w:rPr>
          <w:rFonts w:ascii="Times New Roman" w:eastAsia="Times New Roman" w:hAnsi="Times New Roman" w:cs="Times New Roman"/>
          <w:color w:val="000000"/>
          <w:lang w:val="en-US" w:eastAsia="en-GB"/>
        </w:rPr>
        <w:t xml:space="preserve"> complete</w:t>
      </w:r>
      <w:r w:rsidRPr="00486DF6">
        <w:rPr>
          <w:rFonts w:ascii="Times New Roman" w:eastAsia="Times New Roman" w:hAnsi="Times New Roman" w:cs="Times New Roman"/>
          <w:color w:val="000000"/>
          <w:lang w:val="en-US" w:eastAsia="en-GB"/>
        </w:rPr>
        <w:t xml:space="preserve"> withdrawal exists. Article 50 TEU explicitly allows a Member State </w:t>
      </w:r>
      <w:r w:rsidR="00F42F08">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to withdraw from the Union in accordance with its own constitutional requirements</w:t>
      </w:r>
      <w:r w:rsidR="00A5563C">
        <w:rPr>
          <w:rFonts w:ascii="Times New Roman" w:eastAsia="Times New Roman" w:hAnsi="Times New Roman" w:cs="Times New Roman"/>
          <w:color w:val="000000"/>
          <w:lang w:val="en-US" w:eastAsia="en-GB"/>
        </w:rPr>
        <w:t>.</w:t>
      </w:r>
      <w:r w:rsidR="00F42F08">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This provision could be seen as a </w:t>
      </w:r>
      <w:r w:rsidRPr="00486DF6">
        <w:rPr>
          <w:rFonts w:ascii="Times New Roman" w:eastAsia="Times New Roman" w:hAnsi="Times New Roman" w:cs="Times New Roman"/>
          <w:i/>
          <w:iCs/>
          <w:color w:val="000000"/>
          <w:lang w:val="en-US" w:eastAsia="en-GB"/>
        </w:rPr>
        <w:t>lex specialis</w:t>
      </w:r>
      <w:r w:rsidRPr="00486DF6">
        <w:rPr>
          <w:rFonts w:ascii="Times New Roman" w:eastAsia="Times New Roman" w:hAnsi="Times New Roman" w:cs="Times New Roman"/>
          <w:color w:val="000000"/>
          <w:lang w:val="en-US" w:eastAsia="en-GB"/>
        </w:rPr>
        <w:t xml:space="preserve"> to </w:t>
      </w:r>
      <w:r w:rsidR="0037433E" w:rsidRPr="00011808">
        <w:rPr>
          <w:rFonts w:ascii="Times New Roman" w:eastAsia="Times New Roman" w:hAnsi="Times New Roman" w:cs="Times New Roman"/>
          <w:color w:val="000000"/>
          <w:lang w:eastAsia="en-GB"/>
        </w:rPr>
        <w:t>Article 54 of the Vienna Convention on the Law of the Treaties</w:t>
      </w:r>
      <w:r w:rsidR="0037433E" w:rsidRPr="00011808">
        <w:rPr>
          <w:rStyle w:val="FootnoteReference"/>
          <w:rFonts w:ascii="Times New Roman" w:eastAsia="Times New Roman" w:hAnsi="Times New Roman" w:cs="Times New Roman"/>
          <w:color w:val="000000"/>
          <w:lang w:eastAsia="en-GB"/>
        </w:rPr>
        <w:footnoteReference w:id="137"/>
      </w:r>
      <w:r w:rsidR="0037433E" w:rsidRPr="00011808">
        <w:rPr>
          <w:rFonts w:ascii="Times New Roman" w:eastAsia="Times New Roman" w:hAnsi="Times New Roman" w:cs="Times New Roman"/>
          <w:color w:val="000000"/>
          <w:lang w:eastAsia="en-GB"/>
        </w:rPr>
        <w:t xml:space="preserve"> </w:t>
      </w:r>
      <w:r w:rsidR="0037433E">
        <w:rPr>
          <w:rFonts w:ascii="Times New Roman" w:eastAsia="Times New Roman" w:hAnsi="Times New Roman" w:cs="Times New Roman"/>
          <w:color w:val="000000"/>
          <w:lang w:eastAsia="en-GB"/>
        </w:rPr>
        <w:t xml:space="preserve">that </w:t>
      </w:r>
      <w:r w:rsidR="0037433E" w:rsidRPr="00011808">
        <w:rPr>
          <w:rFonts w:ascii="Times New Roman" w:eastAsia="Times New Roman" w:hAnsi="Times New Roman" w:cs="Times New Roman"/>
          <w:color w:val="000000"/>
          <w:lang w:eastAsia="en-GB"/>
        </w:rPr>
        <w:t xml:space="preserve">allows a State to withdraw from a treaty either in conformity with the relevant provisions or by consent of all parties. </w:t>
      </w:r>
    </w:p>
    <w:p w14:paraId="7D601BDC" w14:textId="6F4DC664" w:rsidR="00997DE5" w:rsidRPr="004741D7" w:rsidRDefault="00997DE5" w:rsidP="004741D7">
      <w:pPr>
        <w:spacing w:line="480" w:lineRule="auto"/>
        <w:ind w:firstLine="720"/>
        <w:jc w:val="both"/>
        <w:rPr>
          <w:rFonts w:ascii="Times New Roman" w:eastAsia="Calibri" w:hAnsi="Times New Roman" w:cs="Times New Roman"/>
          <w:lang w:val="en-US"/>
        </w:rPr>
      </w:pPr>
      <w:r w:rsidRPr="00486DF6">
        <w:rPr>
          <w:rFonts w:ascii="Times New Roman" w:eastAsia="Times New Roman" w:hAnsi="Times New Roman" w:cs="Times New Roman"/>
          <w:color w:val="000000"/>
          <w:lang w:val="en-US" w:eastAsia="en-GB"/>
        </w:rPr>
        <w:t xml:space="preserve">From an EU law point of view, however, the EU is also a </w:t>
      </w:r>
      <w:r w:rsidR="0037433E">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community of unlimited duration, having its own institutions, its own personality, its own legal capacity [and] real powers stemming from a limitation of sovereignty or transfer of powers from the [Member] States.</w:t>
      </w:r>
      <w:r w:rsidR="0037433E">
        <w:rPr>
          <w:rFonts w:ascii="Times New Roman" w:eastAsia="Times New Roman" w:hAnsi="Times New Roman" w:cs="Times New Roman"/>
          <w:color w:val="000000"/>
          <w:lang w:val="en-US" w:eastAsia="en-GB"/>
        </w:rPr>
        <w:t>”</w:t>
      </w:r>
      <w:r w:rsidRPr="00486DF6">
        <w:rPr>
          <w:rStyle w:val="FootnoteReference"/>
          <w:rFonts w:ascii="Times New Roman" w:eastAsia="Times New Roman" w:hAnsi="Times New Roman" w:cs="Times New Roman"/>
          <w:color w:val="000000"/>
          <w:lang w:val="en-US" w:eastAsia="en-GB"/>
        </w:rPr>
        <w:footnoteReference w:id="138"/>
      </w:r>
      <w:r w:rsidRPr="00486DF6">
        <w:rPr>
          <w:rFonts w:ascii="Times New Roman" w:eastAsia="Times New Roman" w:hAnsi="Times New Roman" w:cs="Times New Roman"/>
          <w:color w:val="000000"/>
          <w:lang w:val="en-US" w:eastAsia="en-GB"/>
        </w:rPr>
        <w:t xml:space="preserve"> To the extent that Article 50 TEU allows the withdrawal of a Member State from the EU and the abrupt end to the symbiotic relationship of its legal order with that of the EU, it is also a process that bears significant resemblance </w:t>
      </w:r>
      <w:r w:rsidR="00D036EA" w:rsidRPr="00486DF6">
        <w:rPr>
          <w:rFonts w:ascii="Times New Roman" w:eastAsia="Times New Roman" w:hAnsi="Times New Roman" w:cs="Times New Roman"/>
          <w:color w:val="000000"/>
          <w:lang w:val="en-US" w:eastAsia="en-GB"/>
        </w:rPr>
        <w:t xml:space="preserve">to </w:t>
      </w:r>
      <w:r w:rsidRPr="00486DF6">
        <w:rPr>
          <w:rFonts w:ascii="Times New Roman" w:eastAsia="Times New Roman" w:hAnsi="Times New Roman" w:cs="Times New Roman"/>
          <w:color w:val="000000"/>
          <w:lang w:val="en-US" w:eastAsia="en-GB"/>
        </w:rPr>
        <w:t xml:space="preserve">secession. </w:t>
      </w:r>
      <w:r w:rsidRPr="00486DF6">
        <w:rPr>
          <w:rFonts w:ascii="Times New Roman" w:eastAsia="Times New Roman" w:hAnsi="Times New Roman" w:cs="Times New Roman"/>
          <w:color w:val="000000" w:themeColor="text1"/>
          <w:lang w:val="en-US" w:eastAsia="en-GB"/>
        </w:rPr>
        <w:t xml:space="preserve">To put it differently, </w:t>
      </w:r>
      <w:r w:rsidRPr="00486DF6">
        <w:rPr>
          <w:rFonts w:ascii="Times New Roman" w:hAnsi="Times New Roman" w:cs="Times New Roman"/>
          <w:color w:val="000000" w:themeColor="text1"/>
          <w:shd w:val="clear" w:color="auto" w:fill="FFFFFF"/>
          <w:lang w:val="en-US"/>
        </w:rPr>
        <w:t>the EU constitutional order of States is a complex overarching system of public law and the procedure that a Member State has to undergo in order to withdraw from it –</w:t>
      </w:r>
      <w:r w:rsidR="00E01B54">
        <w:rPr>
          <w:rFonts w:ascii="Times New Roman" w:hAnsi="Times New Roman" w:cs="Times New Roman"/>
          <w:color w:val="000000" w:themeColor="text1"/>
          <w:shd w:val="clear" w:color="auto" w:fill="FFFFFF"/>
          <w:lang w:val="en-US"/>
        </w:rPr>
        <w:t xml:space="preserve"> </w:t>
      </w:r>
      <w:r w:rsidRPr="00486DF6">
        <w:rPr>
          <w:rFonts w:ascii="Times New Roman" w:hAnsi="Times New Roman" w:cs="Times New Roman"/>
          <w:color w:val="000000" w:themeColor="text1"/>
          <w:shd w:val="clear" w:color="auto" w:fill="FFFFFF"/>
          <w:lang w:val="en-US"/>
        </w:rPr>
        <w:t>like secession</w:t>
      </w:r>
      <w:r w:rsidR="00E01B54">
        <w:rPr>
          <w:rFonts w:ascii="Times New Roman" w:hAnsi="Times New Roman" w:cs="Times New Roman"/>
          <w:color w:val="000000" w:themeColor="text1"/>
          <w:shd w:val="clear" w:color="auto" w:fill="FFFFFF"/>
          <w:lang w:val="en-US"/>
        </w:rPr>
        <w:t xml:space="preserve"> – </w:t>
      </w:r>
      <w:r w:rsidRPr="00486DF6">
        <w:rPr>
          <w:rFonts w:ascii="Times New Roman" w:hAnsi="Times New Roman" w:cs="Times New Roman"/>
          <w:color w:val="000000" w:themeColor="text1"/>
          <w:shd w:val="clear" w:color="auto" w:fill="FFFFFF"/>
          <w:lang w:val="en-US"/>
        </w:rPr>
        <w:t xml:space="preserve">denotes a </w:t>
      </w:r>
      <w:r w:rsidR="0037433E">
        <w:rPr>
          <w:rFonts w:ascii="Times New Roman" w:hAnsi="Times New Roman" w:cs="Times New Roman"/>
          <w:color w:val="000000" w:themeColor="text1"/>
          <w:shd w:val="clear" w:color="auto" w:fill="FFFFFF"/>
          <w:lang w:val="en-US"/>
        </w:rPr>
        <w:t>“</w:t>
      </w:r>
      <w:r w:rsidRPr="00486DF6">
        <w:rPr>
          <w:rFonts w:ascii="Times New Roman" w:hAnsi="Times New Roman" w:cs="Times New Roman"/>
          <w:color w:val="000000" w:themeColor="text1"/>
          <w:shd w:val="clear" w:color="auto" w:fill="FFFFFF"/>
          <w:lang w:val="en-US"/>
        </w:rPr>
        <w:t xml:space="preserve">unilateral decision to </w:t>
      </w:r>
      <w:r w:rsidRPr="00486DF6">
        <w:rPr>
          <w:rFonts w:ascii="Times New Roman" w:hAnsi="Times New Roman" w:cs="Times New Roman"/>
          <w:color w:val="000000" w:themeColor="text1"/>
          <w:shd w:val="clear" w:color="auto" w:fill="FFFFFF"/>
          <w:lang w:val="en-US"/>
        </w:rPr>
        <w:lastRenderedPageBreak/>
        <w:t>separate territory and citizenry</w:t>
      </w:r>
      <w:r w:rsidR="0037433E">
        <w:rPr>
          <w:rFonts w:ascii="Times New Roman" w:hAnsi="Times New Roman" w:cs="Times New Roman"/>
          <w:color w:val="000000" w:themeColor="text1"/>
          <w:shd w:val="clear" w:color="auto" w:fill="FFFFFF"/>
          <w:lang w:val="en-US"/>
        </w:rPr>
        <w:t xml:space="preserve">” </w:t>
      </w:r>
      <w:r w:rsidRPr="00486DF6">
        <w:rPr>
          <w:rFonts w:ascii="Times New Roman" w:hAnsi="Times New Roman" w:cs="Times New Roman"/>
          <w:color w:val="000000" w:themeColor="text1"/>
          <w:shd w:val="clear" w:color="auto" w:fill="FFFFFF"/>
          <w:lang w:val="en-US"/>
        </w:rPr>
        <w:t>from the Union.</w:t>
      </w:r>
      <w:r w:rsidRPr="00486DF6">
        <w:rPr>
          <w:rStyle w:val="FootnoteReference"/>
          <w:rFonts w:ascii="Times New Roman" w:hAnsi="Times New Roman" w:cs="Times New Roman"/>
          <w:color w:val="000000" w:themeColor="text1"/>
          <w:shd w:val="clear" w:color="auto" w:fill="FFFFFF"/>
          <w:lang w:val="en-US"/>
        </w:rPr>
        <w:footnoteReference w:id="139"/>
      </w:r>
      <w:r w:rsidRPr="00486DF6">
        <w:rPr>
          <w:rFonts w:ascii="Times New Roman" w:hAnsi="Times New Roman" w:cs="Times New Roman"/>
          <w:color w:val="000000" w:themeColor="text1"/>
          <w:shd w:val="clear" w:color="auto" w:fill="FFFFFF"/>
          <w:lang w:val="en-US"/>
        </w:rPr>
        <w:t xml:space="preserve"> This is why </w:t>
      </w:r>
      <w:r w:rsidR="0037433E">
        <w:rPr>
          <w:rFonts w:ascii="Times New Roman" w:hAnsi="Times New Roman" w:cs="Times New Roman"/>
          <w:color w:val="000000" w:themeColor="text1"/>
          <w:shd w:val="clear" w:color="auto" w:fill="FFFFFF"/>
          <w:lang w:val="en-US"/>
        </w:rPr>
        <w:t>“</w:t>
      </w:r>
      <w:r w:rsidRPr="00486DF6">
        <w:rPr>
          <w:rFonts w:ascii="Times New Roman" w:hAnsi="Times New Roman" w:cs="Times New Roman"/>
          <w:color w:val="000000" w:themeColor="text1"/>
          <w:shd w:val="clear" w:color="auto" w:fill="FFFFFF"/>
          <w:lang w:val="en-US"/>
        </w:rPr>
        <w:t>an exit from the EU is functionally akin to secession; it is not a simple severance of contractual obligations</w:t>
      </w:r>
      <w:r w:rsidR="00A5563C">
        <w:rPr>
          <w:rFonts w:ascii="Times New Roman" w:hAnsi="Times New Roman" w:cs="Times New Roman"/>
          <w:color w:val="000000" w:themeColor="text1"/>
          <w:shd w:val="clear" w:color="auto" w:fill="FFFFFF"/>
          <w:lang w:val="en-US"/>
        </w:rPr>
        <w:t>.</w:t>
      </w:r>
      <w:r w:rsidR="0037433E">
        <w:rPr>
          <w:rFonts w:ascii="Times New Roman" w:hAnsi="Times New Roman" w:cs="Times New Roman"/>
          <w:color w:val="000000" w:themeColor="text1"/>
          <w:shd w:val="clear" w:color="auto" w:fill="FFFFFF"/>
          <w:lang w:val="en-US"/>
        </w:rPr>
        <w:t>”</w:t>
      </w:r>
      <w:r w:rsidRPr="00486DF6">
        <w:rPr>
          <w:rStyle w:val="FootnoteReference"/>
          <w:rFonts w:ascii="Times New Roman" w:hAnsi="Times New Roman" w:cs="Times New Roman"/>
          <w:color w:val="000000" w:themeColor="text1"/>
          <w:shd w:val="clear" w:color="auto" w:fill="FFFFFF"/>
          <w:lang w:val="en-US"/>
        </w:rPr>
        <w:footnoteReference w:id="140"/>
      </w:r>
      <w:r w:rsidRPr="00486DF6">
        <w:rPr>
          <w:rFonts w:ascii="Times New Roman" w:hAnsi="Times New Roman" w:cs="Times New Roman"/>
          <w:color w:val="000000" w:themeColor="text1"/>
          <w:shd w:val="clear" w:color="auto" w:fill="FFFFFF"/>
          <w:lang w:val="en-US"/>
        </w:rPr>
        <w:t xml:space="preserve"> Withdrawal from the EU </w:t>
      </w:r>
      <w:r w:rsidR="0037433E">
        <w:rPr>
          <w:rFonts w:ascii="Times New Roman" w:hAnsi="Times New Roman" w:cs="Times New Roman"/>
          <w:color w:val="000000" w:themeColor="text1"/>
          <w:shd w:val="clear" w:color="auto" w:fill="FFFFFF"/>
          <w:lang w:val="en-US"/>
        </w:rPr>
        <w:t>“</w:t>
      </w:r>
      <w:r w:rsidRPr="00486DF6">
        <w:rPr>
          <w:rFonts w:ascii="Times New Roman" w:hAnsi="Times New Roman" w:cs="Times New Roman"/>
          <w:color w:val="000000" w:themeColor="text1"/>
          <w:shd w:val="clear" w:color="auto" w:fill="FFFFFF"/>
          <w:lang w:val="en-US"/>
        </w:rPr>
        <w:t xml:space="preserve">leads to legal problems that </w:t>
      </w:r>
      <w:r w:rsidRPr="00486DF6">
        <w:rPr>
          <w:rFonts w:ascii="Times New Roman" w:hAnsi="Times New Roman" w:cs="Times New Roman"/>
          <w:color w:val="000000" w:themeColor="text1"/>
          <w:lang w:val="en-US"/>
        </w:rPr>
        <w:t xml:space="preserve">resemble </w:t>
      </w:r>
      <w:r w:rsidRPr="00486DF6">
        <w:rPr>
          <w:rFonts w:ascii="Times New Roman" w:hAnsi="Times New Roman" w:cs="Times New Roman"/>
          <w:lang w:val="en-US"/>
        </w:rPr>
        <w:t xml:space="preserve">those that arise when secession occurs, e.g. regarding the continuation of citizenship rights, succession of treaty obligations, relations with third states, </w:t>
      </w:r>
      <w:r w:rsidRPr="004741D7">
        <w:rPr>
          <w:rFonts w:ascii="Times New Roman" w:hAnsi="Times New Roman" w:cs="Times New Roman"/>
          <w:lang w:val="en-US"/>
        </w:rPr>
        <w:t>and various financial settlements.</w:t>
      </w:r>
      <w:r w:rsidR="0037433E" w:rsidRPr="004741D7">
        <w:rPr>
          <w:rFonts w:ascii="Times New Roman" w:hAnsi="Times New Roman" w:cs="Times New Roman"/>
          <w:lang w:val="en-US"/>
        </w:rPr>
        <w:t>”</w:t>
      </w:r>
      <w:r w:rsidRPr="004741D7">
        <w:rPr>
          <w:rStyle w:val="FootnoteReference"/>
          <w:rFonts w:ascii="Times New Roman" w:hAnsi="Times New Roman" w:cs="Times New Roman"/>
          <w:lang w:val="en-US"/>
        </w:rPr>
        <w:footnoteReference w:id="141"/>
      </w:r>
      <w:r w:rsidRPr="004741D7">
        <w:rPr>
          <w:rFonts w:ascii="Times New Roman" w:eastAsia="Times New Roman" w:hAnsi="Times New Roman" w:cs="Times New Roman"/>
          <w:color w:val="000000"/>
          <w:lang w:val="en-US" w:eastAsia="en-GB"/>
        </w:rPr>
        <w:t xml:space="preserve"> </w:t>
      </w:r>
      <w:r w:rsidR="004741D7">
        <w:rPr>
          <w:rFonts w:ascii="Times New Roman" w:eastAsia="Times New Roman" w:hAnsi="Times New Roman" w:cs="Times New Roman"/>
          <w:color w:val="000000"/>
          <w:lang w:val="en-US" w:eastAsia="en-GB"/>
        </w:rPr>
        <w:t>Such</w:t>
      </w:r>
      <w:r w:rsidR="004741D7" w:rsidRPr="004741D7">
        <w:rPr>
          <w:rFonts w:ascii="Times New Roman" w:eastAsia="Times New Roman" w:hAnsi="Times New Roman" w:cs="Times New Roman"/>
          <w:color w:val="000000"/>
          <w:lang w:val="en-US" w:eastAsia="en-GB"/>
        </w:rPr>
        <w:t xml:space="preserve"> understanding of </w:t>
      </w:r>
      <w:r w:rsidR="0014662E">
        <w:rPr>
          <w:rFonts w:ascii="Times New Roman" w:eastAsia="Times New Roman" w:hAnsi="Times New Roman" w:cs="Times New Roman"/>
          <w:color w:val="000000"/>
          <w:lang w:val="en-US" w:eastAsia="en-GB"/>
        </w:rPr>
        <w:t xml:space="preserve">complete </w:t>
      </w:r>
      <w:r w:rsidR="004741D7" w:rsidRPr="004741D7">
        <w:rPr>
          <w:rFonts w:ascii="Times New Roman" w:eastAsia="Times New Roman" w:hAnsi="Times New Roman" w:cs="Times New Roman"/>
          <w:color w:val="000000"/>
          <w:lang w:val="en-US" w:eastAsia="en-GB"/>
        </w:rPr>
        <w:t xml:space="preserve">withdrawal as a form of functional secession chimes with the reasoning of </w:t>
      </w:r>
      <w:r w:rsidR="004741D7" w:rsidRPr="004741D7">
        <w:rPr>
          <w:rFonts w:ascii="Times New Roman" w:eastAsia="Calibri" w:hAnsi="Times New Roman" w:cs="Times New Roman"/>
          <w:lang w:val="en-US"/>
        </w:rPr>
        <w:t xml:space="preserve">the Canadian Supreme Court, in its landmark </w:t>
      </w:r>
      <w:r w:rsidR="004741D7" w:rsidRPr="004741D7">
        <w:rPr>
          <w:rFonts w:ascii="Times New Roman" w:eastAsia="Calibri" w:hAnsi="Times New Roman" w:cs="Times New Roman"/>
          <w:i/>
          <w:iCs/>
          <w:lang w:val="en-US"/>
        </w:rPr>
        <w:t>Reference Re Secession of Quebec</w:t>
      </w:r>
      <w:r w:rsidR="004741D7" w:rsidRPr="004741D7">
        <w:rPr>
          <w:rFonts w:ascii="Times New Roman" w:eastAsia="Calibri" w:hAnsi="Times New Roman" w:cs="Times New Roman"/>
          <w:lang w:val="en-US"/>
        </w:rPr>
        <w:t>,</w:t>
      </w:r>
      <w:r w:rsidR="004741D7" w:rsidRPr="004741D7">
        <w:rPr>
          <w:rStyle w:val="FootnoteReference"/>
          <w:rFonts w:ascii="Times New Roman" w:eastAsia="Calibri" w:hAnsi="Times New Roman" w:cs="Times New Roman"/>
          <w:lang w:val="en-US"/>
        </w:rPr>
        <w:footnoteReference w:id="142"/>
      </w:r>
      <w:r w:rsidR="004741D7" w:rsidRPr="004741D7">
        <w:rPr>
          <w:rFonts w:ascii="Times New Roman" w:eastAsia="Calibri" w:hAnsi="Times New Roman" w:cs="Times New Roman"/>
          <w:i/>
          <w:iCs/>
          <w:lang w:val="en-US"/>
        </w:rPr>
        <w:t xml:space="preserve"> </w:t>
      </w:r>
      <w:r w:rsidR="004741D7" w:rsidRPr="004741D7">
        <w:rPr>
          <w:rFonts w:ascii="Times New Roman" w:eastAsia="Calibri" w:hAnsi="Times New Roman" w:cs="Times New Roman"/>
          <w:lang w:val="en-US"/>
        </w:rPr>
        <w:t>and the writings of Calhoun, both of whom have defined secession as a form of withdrawal</w:t>
      </w:r>
      <w:r w:rsidR="004741D7" w:rsidRPr="004741D7">
        <w:rPr>
          <w:rFonts w:ascii="Times New Roman" w:eastAsia="Times New Roman" w:hAnsi="Times New Roman" w:cs="Times New Roman"/>
          <w:color w:val="000000"/>
          <w:lang w:val="en-US" w:eastAsia="en-GB"/>
        </w:rPr>
        <w:t>.</w:t>
      </w:r>
      <w:r w:rsidR="004741D7" w:rsidRPr="004741D7">
        <w:rPr>
          <w:rStyle w:val="FootnoteReference"/>
          <w:rFonts w:ascii="Times New Roman" w:eastAsia="Times New Roman" w:hAnsi="Times New Roman" w:cs="Times New Roman"/>
          <w:color w:val="000000"/>
          <w:lang w:val="en-US" w:eastAsia="en-GB"/>
        </w:rPr>
        <w:footnoteReference w:id="143"/>
      </w:r>
      <w:r w:rsidR="004741D7" w:rsidRPr="004741D7">
        <w:rPr>
          <w:rFonts w:ascii="Times New Roman" w:eastAsia="Times New Roman" w:hAnsi="Times New Roman" w:cs="Times New Roman"/>
          <w:color w:val="000000"/>
          <w:lang w:val="en-US" w:eastAsia="en-GB"/>
        </w:rPr>
        <w:t xml:space="preserve"> </w:t>
      </w:r>
    </w:p>
    <w:p w14:paraId="55B4170F" w14:textId="5CE4ACB4" w:rsidR="00997DE5" w:rsidRPr="00486DF6" w:rsidRDefault="00997DE5" w:rsidP="00D95805">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 xml:space="preserve">From a political point of view, it is interesting that one of the drafters of the provision implicitly </w:t>
      </w:r>
      <w:r w:rsidR="00D95805" w:rsidRPr="00486DF6">
        <w:rPr>
          <w:rFonts w:ascii="Times New Roman" w:eastAsia="Times New Roman" w:hAnsi="Times New Roman" w:cs="Times New Roman"/>
          <w:color w:val="000000"/>
          <w:lang w:val="en-US" w:eastAsia="en-GB"/>
        </w:rPr>
        <w:t>recognized</w:t>
      </w:r>
      <w:r w:rsidRPr="00486DF6">
        <w:rPr>
          <w:rFonts w:ascii="Times New Roman" w:eastAsia="Times New Roman" w:hAnsi="Times New Roman" w:cs="Times New Roman"/>
          <w:color w:val="000000"/>
          <w:lang w:val="en-US" w:eastAsia="en-GB"/>
        </w:rPr>
        <w:t xml:space="preserve"> that the Article 50 secession clause could be used for the orderly exit of a recalcitrant Member State which cannot achieve an issue-based withdrawal through its voice</w:t>
      </w:r>
      <w:r w:rsidR="00B41620" w:rsidRPr="00486DF6">
        <w:rPr>
          <w:rFonts w:ascii="Times New Roman" w:eastAsia="Times New Roman" w:hAnsi="Times New Roman" w:cs="Times New Roman"/>
          <w:color w:val="000000"/>
          <w:lang w:val="en-US" w:eastAsia="en-GB"/>
        </w:rPr>
        <w:t>:</w:t>
      </w:r>
    </w:p>
    <w:p w14:paraId="0729E339" w14:textId="1DBB38E6" w:rsidR="005D5832" w:rsidRPr="00486DF6" w:rsidRDefault="00997DE5" w:rsidP="00872C17">
      <w:pPr>
        <w:spacing w:line="480" w:lineRule="auto"/>
        <w:ind w:left="720"/>
        <w:jc w:val="both"/>
        <w:rPr>
          <w:rFonts w:ascii="Times New Roman" w:hAnsi="Times New Roman" w:cs="Times New Roman"/>
          <w:sz w:val="20"/>
          <w:szCs w:val="20"/>
          <w:lang w:val="en-US"/>
        </w:rPr>
      </w:pPr>
      <w:r w:rsidRPr="00486DF6">
        <w:rPr>
          <w:rFonts w:ascii="Times New Roman" w:hAnsi="Times New Roman" w:cs="Times New Roman"/>
          <w:sz w:val="20"/>
          <w:szCs w:val="20"/>
          <w:lang w:val="en-US"/>
        </w:rPr>
        <w:t>The need to include a secession clause in the Constitutional Treaty (2003) and then the Treaty of Lisbon (2007) was upheld both by the federalists and by their opponents. Federalists saw the need to have a safety clause in the new treaty that would allow a let-out for any current member state which fought shy of accepting the leap forward in European integration that was at that time postulated. The UK government, aware of the risky nature of its ever-increasing exceptionalism, wanted a clause that would prevent the abrupt expulsion of an awkward member state by the mainstream majority.</w:t>
      </w:r>
      <w:r w:rsidRPr="00486DF6">
        <w:rPr>
          <w:rStyle w:val="FootnoteReference"/>
          <w:rFonts w:ascii="Times New Roman" w:hAnsi="Times New Roman" w:cs="Times New Roman"/>
          <w:sz w:val="20"/>
          <w:szCs w:val="20"/>
          <w:lang w:val="en-US"/>
        </w:rPr>
        <w:footnoteReference w:id="144"/>
      </w:r>
    </w:p>
    <w:p w14:paraId="5BCE4285" w14:textId="77777777" w:rsidR="0014662E" w:rsidRDefault="00997DE5" w:rsidP="0014662E">
      <w:pPr>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t xml:space="preserve">Overall, the unique characteristics of this secession clause makes its use seemingly more straightforward than issue-based withdrawal within the EU. </w:t>
      </w:r>
      <w:r w:rsidR="001E0B0E" w:rsidRPr="00486DF6">
        <w:rPr>
          <w:rFonts w:ascii="Times New Roman" w:hAnsi="Times New Roman" w:cs="Times New Roman"/>
          <w:lang w:val="en-US"/>
        </w:rPr>
        <w:t xml:space="preserve">The devil, however, lies in the detail. </w:t>
      </w:r>
      <w:r w:rsidR="004741D7">
        <w:rPr>
          <w:rFonts w:ascii="Times New Roman" w:hAnsi="Times New Roman" w:cs="Times New Roman"/>
          <w:lang w:val="en-US"/>
        </w:rPr>
        <w:t>As Brexit has highlighted, a</w:t>
      </w:r>
      <w:r w:rsidR="001E0B0E" w:rsidRPr="00486DF6">
        <w:rPr>
          <w:rFonts w:ascii="Times New Roman" w:hAnsi="Times New Roman" w:cs="Times New Roman"/>
          <w:lang w:val="en-US"/>
        </w:rPr>
        <w:t xml:space="preserve">voiding a disorderly withdrawal requires the cooperation of the withdrawing Member State with the remaining ones. Thus, the prospect of the uncharted waters of </w:t>
      </w:r>
      <w:r w:rsidR="001E0B0E" w:rsidRPr="00486DF6">
        <w:rPr>
          <w:rFonts w:ascii="Times New Roman" w:hAnsi="Times New Roman" w:cs="Times New Roman"/>
          <w:lang w:val="en-US"/>
        </w:rPr>
        <w:lastRenderedPageBreak/>
        <w:t xml:space="preserve">a disorderly exit increases the loyalty of the remaining Member States and prevents the recalcitrant ones from triggering this process. </w:t>
      </w:r>
    </w:p>
    <w:p w14:paraId="1DAE6929" w14:textId="35074E8B" w:rsidR="00997DE5" w:rsidRPr="0014662E" w:rsidRDefault="0014662E" w:rsidP="0014662E">
      <w:pPr>
        <w:spacing w:line="480" w:lineRule="auto"/>
        <w:ind w:firstLine="720"/>
        <w:jc w:val="both"/>
        <w:rPr>
          <w:rFonts w:ascii="Times New Roman" w:hAnsi="Times New Roman" w:cs="Times New Roman"/>
          <w:lang w:val="en-US"/>
        </w:rPr>
      </w:pPr>
      <w:r>
        <w:rPr>
          <w:rFonts w:ascii="Times New Roman" w:hAnsi="Times New Roman" w:cs="Times New Roman"/>
          <w:lang w:val="en-US"/>
        </w:rPr>
        <w:t>More importantly for the purposes of this article, the right to functional secession from the EU is an integral part of this multi-level constitutional order of States. Member States may trigger it as a final resort to protect their sovereignty</w:t>
      </w:r>
      <w:r w:rsidR="00C672D4">
        <w:rPr>
          <w:rFonts w:ascii="Times New Roman" w:hAnsi="Times New Roman" w:cs="Times New Roman"/>
          <w:lang w:val="en-US"/>
        </w:rPr>
        <w:t xml:space="preserve">—another </w:t>
      </w:r>
      <w:r w:rsidR="001002FA">
        <w:rPr>
          <w:rFonts w:ascii="Times New Roman" w:hAnsi="Times New Roman" w:cs="Times New Roman"/>
          <w:lang w:val="en-US"/>
        </w:rPr>
        <w:t>form</w:t>
      </w:r>
      <w:r w:rsidR="00C672D4">
        <w:rPr>
          <w:rFonts w:ascii="Times New Roman" w:hAnsi="Times New Roman" w:cs="Times New Roman"/>
          <w:lang w:val="en-US"/>
        </w:rPr>
        <w:t xml:space="preserve"> of </w:t>
      </w:r>
      <w:proofErr w:type="spellStart"/>
      <w:r w:rsidR="00C672D4">
        <w:rPr>
          <w:rFonts w:ascii="Times New Roman" w:hAnsi="Times New Roman" w:cs="Times New Roman"/>
          <w:lang w:val="en-US"/>
        </w:rPr>
        <w:t>contestatory</w:t>
      </w:r>
      <w:proofErr w:type="spellEnd"/>
      <w:r w:rsidR="00C672D4">
        <w:rPr>
          <w:rFonts w:ascii="Times New Roman" w:hAnsi="Times New Roman" w:cs="Times New Roman"/>
          <w:lang w:val="en-US"/>
        </w:rPr>
        <w:t xml:space="preserve"> federalism</w:t>
      </w:r>
      <w:r>
        <w:rPr>
          <w:rFonts w:ascii="Times New Roman" w:hAnsi="Times New Roman" w:cs="Times New Roman"/>
          <w:lang w:val="en-US"/>
        </w:rPr>
        <w:t xml:space="preserve">. </w:t>
      </w:r>
      <w:r>
        <w:rPr>
          <w:rFonts w:ascii="Times New Roman" w:eastAsia="Times New Roman" w:hAnsi="Times New Roman" w:cs="Times New Roman"/>
          <w:color w:val="000000"/>
          <w:lang w:val="en-US" w:eastAsia="en-GB"/>
        </w:rPr>
        <w:t>A</w:t>
      </w:r>
      <w:r w:rsidRPr="004741D7">
        <w:rPr>
          <w:rFonts w:ascii="Times New Roman" w:eastAsia="Times New Roman" w:hAnsi="Times New Roman" w:cs="Times New Roman"/>
          <w:color w:val="000000"/>
          <w:lang w:val="en-US" w:eastAsia="en-GB"/>
        </w:rPr>
        <w:t>s Garben suggested</w:t>
      </w:r>
      <w:r w:rsidR="00E01B54">
        <w:rPr>
          <w:rFonts w:ascii="Times New Roman" w:eastAsia="Times New Roman" w:hAnsi="Times New Roman" w:cs="Times New Roman"/>
          <w:color w:val="000000"/>
          <w:lang w:val="en-US" w:eastAsia="en-GB"/>
        </w:rPr>
        <w:t>,</w:t>
      </w:r>
      <w:r w:rsidRPr="004741D7">
        <w:rPr>
          <w:rFonts w:ascii="Times New Roman" w:eastAsia="Times New Roman" w:hAnsi="Times New Roman" w:cs="Times New Roman"/>
          <w:color w:val="000000"/>
          <w:lang w:val="en-US" w:eastAsia="en-GB"/>
        </w:rPr>
        <w:t xml:space="preserve"> the right to secede under Article 50 is “[t]he only undeniable legal limit that Member States have at their disposal against competence creep under the current Treaty framework.”</w:t>
      </w:r>
      <w:r w:rsidRPr="004741D7">
        <w:rPr>
          <w:rStyle w:val="FootnoteReference"/>
          <w:rFonts w:ascii="Times New Roman" w:eastAsia="Times New Roman" w:hAnsi="Times New Roman" w:cs="Times New Roman"/>
          <w:color w:val="000000"/>
          <w:lang w:val="en-US" w:eastAsia="en-GB"/>
        </w:rPr>
        <w:footnoteReference w:id="145"/>
      </w:r>
      <w:r w:rsidRPr="004741D7">
        <w:rPr>
          <w:rFonts w:ascii="Times New Roman" w:eastAsia="Times New Roman" w:hAnsi="Times New Roman" w:cs="Times New Roman"/>
          <w:color w:val="000000"/>
          <w:lang w:val="en-US" w:eastAsia="en-GB"/>
        </w:rPr>
        <w:t xml:space="preserve"> </w:t>
      </w:r>
      <w:r>
        <w:rPr>
          <w:rFonts w:ascii="Times New Roman" w:eastAsia="Times New Roman" w:hAnsi="Times New Roman" w:cs="Times New Roman"/>
          <w:color w:val="000000"/>
          <w:lang w:val="en-US" w:eastAsia="en-GB"/>
        </w:rPr>
        <w:t xml:space="preserve">In that sense, </w:t>
      </w:r>
      <w:r>
        <w:rPr>
          <w:rFonts w:ascii="Times New Roman" w:hAnsi="Times New Roman" w:cs="Times New Roman"/>
          <w:lang w:val="en-US"/>
        </w:rPr>
        <w:t xml:space="preserve">it can be seen as the </w:t>
      </w:r>
      <w:r w:rsidR="0010735B">
        <w:rPr>
          <w:rFonts w:ascii="Times New Roman" w:hAnsi="Times New Roman" w:cs="Times New Roman"/>
          <w:lang w:val="en-US"/>
        </w:rPr>
        <w:t>ultimate</w:t>
      </w:r>
      <w:r>
        <w:rPr>
          <w:rFonts w:ascii="Times New Roman" w:hAnsi="Times New Roman" w:cs="Times New Roman"/>
          <w:lang w:val="en-US"/>
        </w:rPr>
        <w:t xml:space="preserve"> </w:t>
      </w:r>
      <w:r>
        <w:rPr>
          <w:rFonts w:ascii="Times New Roman" w:eastAsia="MS Mincho" w:hAnsi="Times New Roman" w:cs="Times New Roman"/>
          <w:lang w:val="en-US" w:eastAsia="it-IT"/>
        </w:rPr>
        <w:t xml:space="preserve">struggle </w:t>
      </w:r>
      <w:r w:rsidRPr="00486DF6">
        <w:rPr>
          <w:rFonts w:ascii="Times New Roman" w:eastAsia="MS Mincho" w:hAnsi="Times New Roman" w:cs="Times New Roman"/>
          <w:lang w:val="en-US" w:eastAsia="it-IT"/>
        </w:rPr>
        <w:t>between the primacy of EU law and national constitutional supremacy.</w:t>
      </w:r>
      <w:r>
        <w:rPr>
          <w:rFonts w:ascii="Times New Roman" w:eastAsia="MS Mincho" w:hAnsi="Times New Roman" w:cs="Times New Roman"/>
          <w:lang w:val="en-US" w:eastAsia="it-IT"/>
        </w:rPr>
        <w:t xml:space="preserve"> </w:t>
      </w:r>
      <w:r w:rsidR="00343958">
        <w:rPr>
          <w:rFonts w:ascii="Times New Roman" w:eastAsia="MS Mincho" w:hAnsi="Times New Roman" w:cs="Times New Roman"/>
          <w:lang w:val="en-US" w:eastAsia="it-IT"/>
        </w:rPr>
        <w:t>And unlike what we are used to from other federal orders, this rare right of complete withdrawal from the overall federal pact has two uncommon characteristics: unilateralism and unconditionality.</w:t>
      </w:r>
      <w:r w:rsidR="00E44C89">
        <w:rPr>
          <w:rFonts w:ascii="Times New Roman" w:eastAsia="MS Mincho" w:hAnsi="Times New Roman" w:cs="Times New Roman"/>
          <w:lang w:val="en-US" w:eastAsia="it-IT"/>
        </w:rPr>
        <w:t xml:space="preserve"> In other words, the Union constitutional order of States is so flexible that not only has it codified a right to functional secession, but also th</w:t>
      </w:r>
      <w:r w:rsidR="001002FA">
        <w:rPr>
          <w:rFonts w:ascii="Times New Roman" w:eastAsia="MS Mincho" w:hAnsi="Times New Roman" w:cs="Times New Roman"/>
          <w:lang w:val="en-US" w:eastAsia="it-IT"/>
        </w:rPr>
        <w:t>e Member States can exercise it</w:t>
      </w:r>
      <w:r w:rsidR="00E44C89">
        <w:rPr>
          <w:rFonts w:ascii="Times New Roman" w:eastAsia="MS Mincho" w:hAnsi="Times New Roman" w:cs="Times New Roman"/>
          <w:lang w:val="en-US" w:eastAsia="it-IT"/>
        </w:rPr>
        <w:t xml:space="preserve"> </w:t>
      </w:r>
      <w:r w:rsidR="001002FA">
        <w:rPr>
          <w:rFonts w:ascii="Times New Roman" w:eastAsia="MS Mincho" w:hAnsi="Times New Roman" w:cs="Times New Roman"/>
          <w:lang w:val="en-US" w:eastAsia="it-IT"/>
        </w:rPr>
        <w:t>in a</w:t>
      </w:r>
      <w:r w:rsidR="00E44C89">
        <w:rPr>
          <w:rFonts w:ascii="Times New Roman" w:eastAsia="MS Mincho" w:hAnsi="Times New Roman" w:cs="Times New Roman"/>
          <w:lang w:val="en-US" w:eastAsia="it-IT"/>
        </w:rPr>
        <w:t xml:space="preserve"> unilateral and unconditional</w:t>
      </w:r>
      <w:r w:rsidR="001002FA">
        <w:rPr>
          <w:rFonts w:ascii="Times New Roman" w:eastAsia="MS Mincho" w:hAnsi="Times New Roman" w:cs="Times New Roman"/>
          <w:lang w:val="en-US" w:eastAsia="it-IT"/>
        </w:rPr>
        <w:t xml:space="preserve"> fashion</w:t>
      </w:r>
      <w:r w:rsidR="00E44C89">
        <w:rPr>
          <w:rFonts w:ascii="Times New Roman" w:eastAsia="MS Mincho" w:hAnsi="Times New Roman" w:cs="Times New Roman"/>
          <w:lang w:val="en-US" w:eastAsia="it-IT"/>
        </w:rPr>
        <w:t xml:space="preserve">—distinguishing </w:t>
      </w:r>
      <w:r w:rsidR="001002FA">
        <w:rPr>
          <w:rFonts w:ascii="Times New Roman" w:eastAsia="MS Mincho" w:hAnsi="Times New Roman" w:cs="Times New Roman"/>
          <w:lang w:val="en-US" w:eastAsia="it-IT"/>
        </w:rPr>
        <w:t xml:space="preserve">the EU </w:t>
      </w:r>
      <w:r w:rsidR="00E44C89">
        <w:rPr>
          <w:rFonts w:ascii="Times New Roman" w:eastAsia="MS Mincho" w:hAnsi="Times New Roman" w:cs="Times New Roman"/>
          <w:lang w:val="en-US" w:eastAsia="it-IT"/>
        </w:rPr>
        <w:t xml:space="preserve">from federal orders such as the US where secession is considered a flagrant breach of the political and legal order. </w:t>
      </w:r>
    </w:p>
    <w:p w14:paraId="44B05935" w14:textId="77777777" w:rsidR="004741D7" w:rsidRPr="00486DF6" w:rsidRDefault="004741D7" w:rsidP="000E4CEC">
      <w:pPr>
        <w:spacing w:line="480" w:lineRule="auto"/>
        <w:jc w:val="both"/>
        <w:rPr>
          <w:rFonts w:ascii="Times New Roman" w:eastAsia="Times New Roman" w:hAnsi="Times New Roman" w:cs="Times New Roman"/>
          <w:color w:val="000000"/>
          <w:lang w:val="en-US" w:eastAsia="en-GB"/>
        </w:rPr>
      </w:pPr>
    </w:p>
    <w:p w14:paraId="47050144" w14:textId="6CC68AD6" w:rsidR="00997DE5" w:rsidRPr="004741D7" w:rsidRDefault="00FD53C8" w:rsidP="004741D7">
      <w:pPr>
        <w:spacing w:line="480" w:lineRule="auto"/>
        <w:jc w:val="both"/>
        <w:rPr>
          <w:rFonts w:ascii="Times New Roman" w:eastAsia="Times New Roman" w:hAnsi="Times New Roman" w:cs="Times New Roman"/>
          <w:i/>
          <w:iCs/>
          <w:color w:val="000000"/>
          <w:lang w:val="en-US" w:eastAsia="en-GB"/>
        </w:rPr>
      </w:pPr>
      <w:r w:rsidRPr="004741D7">
        <w:rPr>
          <w:rFonts w:ascii="Times New Roman" w:eastAsia="Times New Roman" w:hAnsi="Times New Roman" w:cs="Times New Roman"/>
          <w:i/>
          <w:iCs/>
          <w:color w:val="000000"/>
          <w:lang w:val="en-US" w:eastAsia="en-GB"/>
        </w:rPr>
        <w:t>A</w:t>
      </w:r>
      <w:r w:rsidR="00997DE5" w:rsidRPr="004741D7">
        <w:rPr>
          <w:rFonts w:ascii="Times New Roman" w:eastAsia="Times New Roman" w:hAnsi="Times New Roman" w:cs="Times New Roman"/>
          <w:i/>
          <w:iCs/>
          <w:color w:val="000000"/>
          <w:lang w:val="en-US" w:eastAsia="en-GB"/>
        </w:rPr>
        <w:t xml:space="preserve">. </w:t>
      </w:r>
      <w:r w:rsidR="00997DE5" w:rsidRPr="004741D7">
        <w:rPr>
          <w:rFonts w:ascii="Times New Roman" w:eastAsia="Times New Roman" w:hAnsi="Times New Roman" w:cs="Times New Roman"/>
          <w:i/>
          <w:iCs/>
          <w:color w:val="000000"/>
          <w:lang w:val="en-US" w:eastAsia="en-GB"/>
        </w:rPr>
        <w:tab/>
        <w:t>Unilateralism and National Constitutional Requirements</w:t>
      </w:r>
    </w:p>
    <w:p w14:paraId="2A94F178" w14:textId="07E26893" w:rsidR="00416BC8" w:rsidRPr="00486DF6" w:rsidRDefault="00997DE5" w:rsidP="004741D7">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Friel distinguishes three categories of withdrawal models in federal or quasi-federal systems.</w:t>
      </w:r>
      <w:r w:rsidRPr="00486DF6">
        <w:rPr>
          <w:rStyle w:val="FootnoteReference"/>
          <w:rFonts w:ascii="Times New Roman" w:eastAsia="Times New Roman" w:hAnsi="Times New Roman" w:cs="Times New Roman"/>
          <w:color w:val="000000"/>
          <w:lang w:val="en-US" w:eastAsia="en-GB"/>
        </w:rPr>
        <w:footnoteReference w:id="146"/>
      </w:r>
      <w:r w:rsidRPr="00486DF6">
        <w:rPr>
          <w:rFonts w:ascii="Times New Roman" w:eastAsia="Times New Roman" w:hAnsi="Times New Roman" w:cs="Times New Roman"/>
          <w:color w:val="000000"/>
          <w:lang w:val="en-US" w:eastAsia="en-GB"/>
        </w:rPr>
        <w:t xml:space="preserve"> The state primacy or sovereignty model provides every constituent unit with an unqualified right to secede. The federal primacy model prohibits secession, while the federal control model provides a right to withdrawal subject to certain conditions. Article 50(1) TEU provides that </w:t>
      </w:r>
      <w:r w:rsidR="004002DE">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shd w:val="clear" w:color="auto" w:fill="FFFFFF"/>
          <w:lang w:val="en-US" w:eastAsia="en-GB"/>
        </w:rPr>
        <w:t xml:space="preserve">any Member State may decide to withdraw from the Union in accordance with its </w:t>
      </w:r>
      <w:r w:rsidRPr="00486DF6">
        <w:rPr>
          <w:rFonts w:ascii="Times New Roman" w:eastAsia="Times New Roman" w:hAnsi="Times New Roman" w:cs="Times New Roman"/>
          <w:color w:val="000000"/>
          <w:shd w:val="clear" w:color="auto" w:fill="FFFFFF"/>
          <w:lang w:val="en-US" w:eastAsia="en-GB"/>
        </w:rPr>
        <w:lastRenderedPageBreak/>
        <w:t>own constitutional requirements.</w:t>
      </w:r>
      <w:r w:rsidR="00F6474F">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 xml:space="preserve">Article 50(2) allows the relevant Member State to notify the EU Council of its decision, while </w:t>
      </w:r>
      <w:r w:rsidR="00D06A47">
        <w:rPr>
          <w:rFonts w:ascii="Times New Roman" w:eastAsia="Times New Roman" w:hAnsi="Times New Roman" w:cs="Times New Roman"/>
          <w:color w:val="000000"/>
          <w:lang w:val="en-US" w:eastAsia="en-GB"/>
        </w:rPr>
        <w:t>Article 50(3)</w:t>
      </w:r>
      <w:r w:rsidRPr="00486DF6">
        <w:rPr>
          <w:rFonts w:ascii="Times New Roman" w:eastAsia="Times New Roman" w:hAnsi="Times New Roman" w:cs="Times New Roman"/>
          <w:color w:val="000000"/>
          <w:lang w:val="en-US" w:eastAsia="en-GB"/>
        </w:rPr>
        <w:t xml:space="preserve"> makes clear that the withdrawal may take place even if there is no agreement between the withdrawing Member State and the remaining ones. Therefore, the Article 50 TEU right clearly belongs to the state primacy model since it is </w:t>
      </w:r>
      <w:r w:rsidR="004002DE" w:rsidRPr="00486DF6">
        <w:rPr>
          <w:rFonts w:ascii="Times New Roman" w:eastAsia="Times New Roman" w:hAnsi="Times New Roman" w:cs="Times New Roman"/>
          <w:color w:val="000000"/>
          <w:lang w:val="en-US" w:eastAsia="en-GB"/>
        </w:rPr>
        <w:t>characterized</w:t>
      </w:r>
      <w:r w:rsidRPr="00486DF6">
        <w:rPr>
          <w:rFonts w:ascii="Times New Roman" w:eastAsia="Times New Roman" w:hAnsi="Times New Roman" w:cs="Times New Roman"/>
          <w:color w:val="000000"/>
          <w:lang w:val="en-US" w:eastAsia="en-GB"/>
        </w:rPr>
        <w:t xml:space="preserve"> by unilateralism. </w:t>
      </w:r>
      <w:r w:rsidR="004002DE">
        <w:rPr>
          <w:rFonts w:ascii="Times New Roman" w:eastAsia="Times New Roman" w:hAnsi="Times New Roman" w:cs="Times New Roman"/>
          <w:color w:val="000000"/>
          <w:lang w:val="en-US" w:eastAsia="en-GB"/>
        </w:rPr>
        <w:t>“</w:t>
      </w:r>
      <w:r w:rsidR="00686B0C" w:rsidRPr="00486DF6">
        <w:rPr>
          <w:rFonts w:ascii="Times New Roman" w:eastAsia="Times New Roman" w:hAnsi="Times New Roman" w:cs="Times New Roman"/>
          <w:color w:val="000000"/>
          <w:lang w:val="en-US" w:eastAsia="en-GB"/>
        </w:rPr>
        <w:t>T</w:t>
      </w:r>
      <w:r w:rsidRPr="00486DF6">
        <w:rPr>
          <w:rFonts w:ascii="Times New Roman" w:eastAsia="Times New Roman" w:hAnsi="Times New Roman" w:cs="Times New Roman"/>
          <w:color w:val="000000"/>
          <w:lang w:val="en-US" w:eastAsia="en-GB"/>
        </w:rPr>
        <w:t>he decision to withdraw is for [a] Member State alone to take, in accordance with its constitutional requirements, and therefore depends solely on its sovereign choice.</w:t>
      </w:r>
      <w:r w:rsidR="004002DE">
        <w:rPr>
          <w:rFonts w:ascii="Times New Roman" w:eastAsia="Times New Roman" w:hAnsi="Times New Roman" w:cs="Times New Roman"/>
          <w:color w:val="000000"/>
          <w:lang w:val="en-US" w:eastAsia="en-GB"/>
        </w:rPr>
        <w:t>”</w:t>
      </w:r>
      <w:r w:rsidRPr="00486DF6">
        <w:rPr>
          <w:rStyle w:val="FootnoteReference"/>
          <w:rFonts w:ascii="Times New Roman" w:eastAsia="Times New Roman" w:hAnsi="Times New Roman" w:cs="Times New Roman"/>
          <w:color w:val="000000"/>
          <w:lang w:val="en-US" w:eastAsia="en-GB"/>
        </w:rPr>
        <w:footnoteReference w:id="147"/>
      </w:r>
      <w:r w:rsidRPr="00486DF6">
        <w:rPr>
          <w:rFonts w:ascii="Times New Roman" w:eastAsia="Times New Roman" w:hAnsi="Times New Roman" w:cs="Times New Roman"/>
          <w:color w:val="000000"/>
          <w:lang w:val="en-US" w:eastAsia="en-GB"/>
        </w:rPr>
        <w:t xml:space="preserve"> It </w:t>
      </w:r>
      <w:r w:rsidR="004002DE">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is totally independent of the will of the EU [and] the remaining Member States.</w:t>
      </w:r>
      <w:r w:rsidR="004002DE">
        <w:rPr>
          <w:rFonts w:ascii="Times New Roman" w:eastAsia="Times New Roman" w:hAnsi="Times New Roman" w:cs="Times New Roman"/>
          <w:color w:val="000000"/>
          <w:lang w:val="en-US" w:eastAsia="en-GB"/>
        </w:rPr>
        <w:t>”</w:t>
      </w:r>
      <w:r w:rsidRPr="00486DF6">
        <w:rPr>
          <w:rStyle w:val="FootnoteReference"/>
          <w:rFonts w:ascii="Times New Roman" w:eastAsia="Times New Roman" w:hAnsi="Times New Roman" w:cs="Times New Roman"/>
          <w:color w:val="000000"/>
          <w:lang w:val="en-US" w:eastAsia="en-GB"/>
        </w:rPr>
        <w:footnoteReference w:id="148"/>
      </w:r>
      <w:r w:rsidRPr="00486DF6">
        <w:rPr>
          <w:rFonts w:ascii="Times New Roman" w:eastAsia="Times New Roman" w:hAnsi="Times New Roman" w:cs="Times New Roman"/>
          <w:color w:val="000000"/>
          <w:lang w:val="en-US" w:eastAsia="en-GB"/>
        </w:rPr>
        <w:t xml:space="preserve"> </w:t>
      </w:r>
    </w:p>
    <w:p w14:paraId="04B7161E" w14:textId="51612000" w:rsidR="0010605A" w:rsidRPr="004002DE" w:rsidRDefault="005601F1" w:rsidP="004002DE">
      <w:pPr>
        <w:spacing w:line="480" w:lineRule="auto"/>
        <w:ind w:firstLine="720"/>
        <w:jc w:val="both"/>
        <w:rPr>
          <w:rFonts w:ascii="Times New Roman" w:eastAsia="MS Mincho" w:hAnsi="Times New Roman" w:cs="Times New Roman"/>
          <w:lang w:val="en-US" w:eastAsia="it-IT"/>
        </w:rPr>
      </w:pPr>
      <w:r>
        <w:rPr>
          <w:rFonts w:ascii="Times New Roman" w:eastAsia="Times New Roman" w:hAnsi="Times New Roman" w:cs="Times New Roman"/>
          <w:color w:val="000000"/>
          <w:lang w:val="en-US" w:eastAsia="en-GB"/>
        </w:rPr>
        <w:t>Prima facie, this unilateralism</w:t>
      </w:r>
      <w:r w:rsidR="00997DE5" w:rsidRPr="00486DF6">
        <w:rPr>
          <w:rFonts w:ascii="Times New Roman" w:eastAsia="Times New Roman" w:hAnsi="Times New Roman" w:cs="Times New Roman"/>
          <w:color w:val="000000"/>
          <w:lang w:val="en-US" w:eastAsia="en-GB"/>
        </w:rPr>
        <w:t xml:space="preserve"> is very different from what the Canadian Supreme Court</w:t>
      </w:r>
      <w:r w:rsidR="00B41620" w:rsidRPr="00486DF6">
        <w:rPr>
          <w:rFonts w:ascii="Times New Roman" w:eastAsia="Times New Roman" w:hAnsi="Times New Roman" w:cs="Times New Roman"/>
          <w:color w:val="000000"/>
          <w:lang w:val="en-US" w:eastAsia="en-GB"/>
        </w:rPr>
        <w:t xml:space="preserve"> has held</w:t>
      </w:r>
      <w:r w:rsidR="00997DE5" w:rsidRPr="00486DF6">
        <w:rPr>
          <w:rFonts w:ascii="Times New Roman" w:eastAsia="Times New Roman" w:hAnsi="Times New Roman" w:cs="Times New Roman"/>
          <w:color w:val="000000"/>
          <w:lang w:val="en-US" w:eastAsia="en-GB"/>
        </w:rPr>
        <w:t xml:space="preserve"> in </w:t>
      </w:r>
      <w:r w:rsidR="00997DE5" w:rsidRPr="00486DF6">
        <w:rPr>
          <w:rFonts w:ascii="Times New Roman" w:eastAsia="Times New Roman" w:hAnsi="Times New Roman" w:cs="Times New Roman"/>
          <w:i/>
          <w:iCs/>
          <w:color w:val="000000"/>
          <w:lang w:val="en-US" w:eastAsia="en-GB"/>
        </w:rPr>
        <w:t>Reference re Secession of Quebec</w:t>
      </w:r>
      <w:r w:rsidR="00997DE5" w:rsidRPr="00486DF6">
        <w:rPr>
          <w:rFonts w:ascii="Times New Roman" w:eastAsia="Times New Roman" w:hAnsi="Times New Roman" w:cs="Times New Roman"/>
          <w:color w:val="000000"/>
          <w:lang w:val="en-US" w:eastAsia="en-GB"/>
        </w:rPr>
        <w:t xml:space="preserve">. </w:t>
      </w:r>
      <w:r w:rsidR="001E0B0E" w:rsidRPr="00486DF6">
        <w:rPr>
          <w:rFonts w:ascii="Times New Roman" w:eastAsia="MS Mincho" w:hAnsi="Times New Roman" w:cs="Times New Roman"/>
          <w:lang w:val="en-US" w:eastAsia="it-IT"/>
        </w:rPr>
        <w:t>W</w:t>
      </w:r>
      <w:r w:rsidR="00686B0C" w:rsidRPr="00486DF6">
        <w:rPr>
          <w:rFonts w:ascii="Times New Roman" w:eastAsia="MS Mincho" w:hAnsi="Times New Roman" w:cs="Times New Roman"/>
          <w:lang w:val="en-US" w:eastAsia="it-IT"/>
        </w:rPr>
        <w:t xml:space="preserve">ith this landmark ruling, secession was rehabilitated as a possible constitutional option despite the absence of a specific provision on the exit of a province from the Canadian confederation. </w:t>
      </w:r>
      <w:r w:rsidR="00416BC8" w:rsidRPr="00486DF6">
        <w:rPr>
          <w:rFonts w:ascii="Times New Roman" w:eastAsia="MS Mincho" w:hAnsi="Times New Roman" w:cs="Times New Roman"/>
          <w:lang w:val="en-US" w:eastAsia="it-IT"/>
        </w:rPr>
        <w:t>While it</w:t>
      </w:r>
      <w:r w:rsidR="00686B0C" w:rsidRPr="00486DF6">
        <w:rPr>
          <w:rFonts w:ascii="Times New Roman" w:eastAsia="MS Mincho" w:hAnsi="Times New Roman" w:cs="Times New Roman"/>
          <w:lang w:val="en-US" w:eastAsia="it-IT"/>
        </w:rPr>
        <w:t xml:space="preserve"> denied the existence of a unilateral right of exit under Canadian and international law</w:t>
      </w:r>
      <w:r w:rsidR="00416BC8" w:rsidRPr="00486DF6">
        <w:rPr>
          <w:rFonts w:ascii="Times New Roman" w:eastAsia="MS Mincho" w:hAnsi="Times New Roman" w:cs="Times New Roman"/>
          <w:lang w:val="en-US" w:eastAsia="it-IT"/>
        </w:rPr>
        <w:t xml:space="preserve">, it held that </w:t>
      </w:r>
      <w:r>
        <w:rPr>
          <w:rFonts w:ascii="Times New Roman" w:eastAsia="Times New Roman" w:hAnsi="Times New Roman" w:cs="Times New Roman"/>
          <w:color w:val="000000"/>
          <w:lang w:val="en-US" w:eastAsia="en-GB"/>
        </w:rPr>
        <w:t xml:space="preserve">“the </w:t>
      </w:r>
      <w:r w:rsidR="00416BC8" w:rsidRPr="00486DF6">
        <w:rPr>
          <w:rFonts w:ascii="Times New Roman" w:eastAsia="Times New Roman" w:hAnsi="Times New Roman" w:cs="Times New Roman"/>
          <w:color w:val="000000"/>
          <w:lang w:val="en-US" w:eastAsia="en-GB"/>
        </w:rPr>
        <w:t>unambiguous expression of a clear majority of Quebecers that they no longer wish to remain in Canada</w:t>
      </w:r>
      <w:r w:rsidR="004002DE">
        <w:rPr>
          <w:rFonts w:ascii="Times New Roman" w:eastAsia="Times New Roman" w:hAnsi="Times New Roman" w:cs="Times New Roman"/>
          <w:color w:val="000000"/>
          <w:lang w:val="en-US" w:eastAsia="en-GB"/>
        </w:rPr>
        <w:t>”</w:t>
      </w:r>
      <w:r w:rsidR="00416BC8" w:rsidRPr="00486DF6">
        <w:rPr>
          <w:rFonts w:ascii="Times New Roman" w:eastAsia="Times New Roman" w:hAnsi="Times New Roman" w:cs="Times New Roman"/>
          <w:color w:val="000000"/>
          <w:lang w:val="en-US" w:eastAsia="en-GB"/>
        </w:rPr>
        <w:t xml:space="preserve"> would give rise to </w:t>
      </w:r>
      <w:r w:rsidR="004002DE">
        <w:rPr>
          <w:rFonts w:ascii="Times New Roman" w:eastAsia="Times New Roman" w:hAnsi="Times New Roman" w:cs="Times New Roman"/>
          <w:color w:val="000000"/>
          <w:lang w:val="en-US" w:eastAsia="en-GB"/>
        </w:rPr>
        <w:t>“</w:t>
      </w:r>
      <w:r w:rsidR="00416BC8" w:rsidRPr="00486DF6">
        <w:rPr>
          <w:rFonts w:ascii="Times New Roman" w:eastAsia="Times New Roman" w:hAnsi="Times New Roman" w:cs="Times New Roman"/>
          <w:color w:val="000000"/>
          <w:lang w:val="en-US" w:eastAsia="en-GB"/>
        </w:rPr>
        <w:t>the constitutional duty to negotiate</w:t>
      </w:r>
      <w:r w:rsidR="004002DE">
        <w:rPr>
          <w:rFonts w:ascii="Times New Roman" w:eastAsia="Times New Roman" w:hAnsi="Times New Roman" w:cs="Times New Roman"/>
          <w:color w:val="000000"/>
          <w:lang w:val="en-US" w:eastAsia="en-GB"/>
        </w:rPr>
        <w:t>:”</w:t>
      </w:r>
      <w:r w:rsidR="00416BC8" w:rsidRPr="00486DF6">
        <w:rPr>
          <w:rFonts w:ascii="Times New Roman" w:eastAsia="Times New Roman" w:hAnsi="Times New Roman" w:cs="Times New Roman"/>
          <w:color w:val="000000"/>
          <w:lang w:val="en-US" w:eastAsia="en-GB"/>
        </w:rPr>
        <w:t xml:space="preserve"> secession.</w:t>
      </w:r>
      <w:r w:rsidR="00416BC8" w:rsidRPr="00486DF6">
        <w:rPr>
          <w:rStyle w:val="FootnoteReference"/>
          <w:rFonts w:ascii="Times New Roman" w:eastAsia="Times New Roman" w:hAnsi="Times New Roman" w:cs="Times New Roman"/>
          <w:color w:val="000000"/>
          <w:lang w:val="en-US" w:eastAsia="en-GB"/>
        </w:rPr>
        <w:footnoteReference w:id="149"/>
      </w:r>
      <w:r w:rsidR="00416BC8" w:rsidRPr="00486DF6">
        <w:rPr>
          <w:rFonts w:ascii="Times New Roman" w:eastAsia="Times New Roman" w:hAnsi="Times New Roman" w:cs="Times New Roman"/>
          <w:color w:val="000000"/>
          <w:lang w:val="en-US" w:eastAsia="en-GB"/>
        </w:rPr>
        <w:t xml:space="preserve"> </w:t>
      </w:r>
      <w:r w:rsidR="00686B0C" w:rsidRPr="00486DF6">
        <w:rPr>
          <w:rFonts w:ascii="Times New Roman" w:eastAsia="MS Mincho" w:hAnsi="Times New Roman" w:cs="Times New Roman"/>
          <w:lang w:val="en-US" w:eastAsia="it-IT"/>
        </w:rPr>
        <w:t xml:space="preserve">In other words, it did not </w:t>
      </w:r>
      <w:r w:rsidR="004002DE" w:rsidRPr="00486DF6">
        <w:rPr>
          <w:rFonts w:ascii="Times New Roman" w:eastAsia="MS Mincho" w:hAnsi="Times New Roman" w:cs="Times New Roman"/>
          <w:lang w:val="en-US" w:eastAsia="it-IT"/>
        </w:rPr>
        <w:t>recognize</w:t>
      </w:r>
      <w:r w:rsidR="00686B0C" w:rsidRPr="00486DF6">
        <w:rPr>
          <w:rFonts w:ascii="Times New Roman" w:eastAsia="MS Mincho" w:hAnsi="Times New Roman" w:cs="Times New Roman"/>
          <w:lang w:val="en-US" w:eastAsia="it-IT"/>
        </w:rPr>
        <w:t xml:space="preserve"> a proper “right” to secession</w:t>
      </w:r>
      <w:r w:rsidR="00D036EA" w:rsidRPr="00486DF6">
        <w:rPr>
          <w:rFonts w:ascii="Times New Roman" w:eastAsia="MS Mincho" w:hAnsi="Times New Roman" w:cs="Times New Roman"/>
          <w:lang w:val="en-US" w:eastAsia="it-IT"/>
        </w:rPr>
        <w:t>;</w:t>
      </w:r>
      <w:r w:rsidR="00686B0C" w:rsidRPr="00486DF6">
        <w:rPr>
          <w:rFonts w:ascii="Times New Roman" w:eastAsia="MS Mincho" w:hAnsi="Times New Roman" w:cs="Times New Roman"/>
          <w:lang w:val="en-US" w:eastAsia="it-IT"/>
        </w:rPr>
        <w:t xml:space="preserve"> rather</w:t>
      </w:r>
      <w:r w:rsidR="00D036EA" w:rsidRPr="00486DF6">
        <w:rPr>
          <w:rFonts w:ascii="Times New Roman" w:eastAsia="MS Mincho" w:hAnsi="Times New Roman" w:cs="Times New Roman"/>
          <w:lang w:val="en-US" w:eastAsia="it-IT"/>
        </w:rPr>
        <w:t>,</w:t>
      </w:r>
      <w:r w:rsidR="00686B0C" w:rsidRPr="00486DF6">
        <w:rPr>
          <w:rFonts w:ascii="Times New Roman" w:eastAsia="MS Mincho" w:hAnsi="Times New Roman" w:cs="Times New Roman"/>
          <w:lang w:val="en-US" w:eastAsia="it-IT"/>
        </w:rPr>
        <w:t xml:space="preserve"> it treated secession as an option that may be tolerated only in presence of some important safeguards. However, instead of answering the question of whether a province can secede</w:t>
      </w:r>
      <w:r w:rsidR="00B41620" w:rsidRPr="00486DF6">
        <w:rPr>
          <w:rFonts w:ascii="Times New Roman" w:eastAsia="MS Mincho" w:hAnsi="Times New Roman" w:cs="Times New Roman"/>
          <w:lang w:val="en-US" w:eastAsia="it-IT"/>
        </w:rPr>
        <w:t xml:space="preserve"> in the negative</w:t>
      </w:r>
      <w:r w:rsidR="00686B0C" w:rsidRPr="00486DF6">
        <w:rPr>
          <w:rFonts w:ascii="Times New Roman" w:eastAsia="MS Mincho" w:hAnsi="Times New Roman" w:cs="Times New Roman"/>
          <w:lang w:val="en-US" w:eastAsia="it-IT"/>
        </w:rPr>
        <w:t>, the Court constructed a procedural framework, “a normative due process</w:t>
      </w:r>
      <w:r w:rsidR="00D036EA" w:rsidRPr="00486DF6">
        <w:rPr>
          <w:rFonts w:ascii="Times New Roman" w:eastAsia="MS Mincho" w:hAnsi="Times New Roman" w:cs="Times New Roman"/>
          <w:lang w:val="en-US" w:eastAsia="it-IT"/>
        </w:rPr>
        <w:t>,</w:t>
      </w:r>
      <w:r w:rsidR="00686B0C" w:rsidRPr="00486DF6">
        <w:rPr>
          <w:rFonts w:ascii="Times New Roman" w:eastAsia="MS Mincho" w:hAnsi="Times New Roman" w:cs="Times New Roman"/>
          <w:lang w:val="en-US" w:eastAsia="it-IT"/>
        </w:rPr>
        <w:t>”</w:t>
      </w:r>
      <w:r w:rsidR="00686B0C" w:rsidRPr="00486DF6">
        <w:rPr>
          <w:rFonts w:ascii="Times New Roman" w:eastAsia="MS Mincho" w:hAnsi="Times New Roman" w:cs="Times New Roman"/>
          <w:vertAlign w:val="superscript"/>
          <w:lang w:val="en-US" w:eastAsia="it-IT"/>
        </w:rPr>
        <w:footnoteReference w:id="150"/>
      </w:r>
      <w:r w:rsidR="00686B0C" w:rsidRPr="00486DF6">
        <w:rPr>
          <w:rFonts w:ascii="Times New Roman" w:eastAsia="MS Mincho" w:hAnsi="Times New Roman" w:cs="Times New Roman"/>
          <w:lang w:val="en-US" w:eastAsia="it-IT"/>
        </w:rPr>
        <w:t xml:space="preserve"> that makes secession conditional on compliance with certain fundamental principles. This set of principles, then, were used by the Supreme Court of Canada in constructing an exit conditionality. To understand what is meant by this formula we must recall </w:t>
      </w:r>
      <w:r w:rsidR="004002DE">
        <w:rPr>
          <w:rFonts w:ascii="Times New Roman" w:eastAsia="Calibri" w:hAnsi="Times New Roman" w:cs="Times New Roman"/>
          <w:lang w:val="en-US" w:eastAsia="it-IT"/>
        </w:rPr>
        <w:t xml:space="preserve">what the Court held </w:t>
      </w:r>
      <w:r w:rsidR="00686B0C" w:rsidRPr="00486DF6">
        <w:rPr>
          <w:rFonts w:ascii="Times New Roman" w:eastAsia="Calibri" w:hAnsi="Times New Roman" w:cs="Times New Roman"/>
          <w:lang w:val="en-US" w:eastAsia="it-IT"/>
        </w:rPr>
        <w:t xml:space="preserve">in </w:t>
      </w:r>
      <w:r w:rsidR="00686B0C" w:rsidRPr="00486DF6">
        <w:rPr>
          <w:rFonts w:ascii="Times New Roman" w:eastAsia="Calibri" w:hAnsi="Times New Roman" w:cs="Times New Roman"/>
          <w:lang w:val="en-US" w:eastAsia="it-IT"/>
        </w:rPr>
        <w:lastRenderedPageBreak/>
        <w:t>case of activation of the negotiations with Qu</w:t>
      </w:r>
      <w:r w:rsidR="00C717E1" w:rsidRPr="00486DF6">
        <w:rPr>
          <w:rFonts w:ascii="Times New Roman" w:eastAsia="Calibri" w:hAnsi="Times New Roman" w:cs="Times New Roman"/>
          <w:lang w:val="en-US" w:eastAsia="it-IT"/>
        </w:rPr>
        <w:t>e</w:t>
      </w:r>
      <w:r w:rsidR="00686B0C" w:rsidRPr="00486DF6">
        <w:rPr>
          <w:rFonts w:ascii="Times New Roman" w:eastAsia="Calibri" w:hAnsi="Times New Roman" w:cs="Times New Roman"/>
          <w:lang w:val="en-US" w:eastAsia="it-IT"/>
        </w:rPr>
        <w:t>bec</w:t>
      </w:r>
      <w:r w:rsidR="004002DE">
        <w:rPr>
          <w:rFonts w:ascii="Times New Roman" w:eastAsia="Calibri" w:hAnsi="Times New Roman" w:cs="Times New Roman"/>
          <w:lang w:val="en-US" w:eastAsia="it-IT"/>
        </w:rPr>
        <w:t>.</w:t>
      </w:r>
      <w:r w:rsidR="00686B0C" w:rsidRPr="00486DF6">
        <w:rPr>
          <w:rFonts w:ascii="Times New Roman" w:eastAsia="Calibri" w:hAnsi="Times New Roman" w:cs="Times New Roman"/>
          <w:lang w:val="en-US" w:eastAsia="it-IT"/>
        </w:rPr>
        <w:t xml:space="preserve"> </w:t>
      </w:r>
      <w:r w:rsidR="004002DE">
        <w:rPr>
          <w:rFonts w:ascii="Times New Roman" w:eastAsia="Calibri" w:hAnsi="Times New Roman" w:cs="Times New Roman"/>
          <w:lang w:val="en-US" w:eastAsia="it-IT"/>
        </w:rPr>
        <w:t>“T</w:t>
      </w:r>
      <w:r w:rsidR="00686B0C" w:rsidRPr="00486DF6">
        <w:rPr>
          <w:rFonts w:ascii="Times New Roman" w:eastAsia="Calibri" w:hAnsi="Times New Roman" w:cs="Times New Roman"/>
          <w:lang w:val="en-US" w:eastAsia="it-IT"/>
        </w:rPr>
        <w:t>he conduct of the parties in such negotiations would be governed by the same constitutional principles which give rise to the duty to negotiate: federalism, democracy, constitutionalism and the rule of law, and the protection of minorities</w:t>
      </w:r>
      <w:r w:rsidR="00B41620" w:rsidRPr="00486DF6">
        <w:rPr>
          <w:rFonts w:ascii="Times New Roman" w:eastAsia="Calibri" w:hAnsi="Times New Roman" w:cs="Times New Roman"/>
          <w:lang w:val="en-US" w:eastAsia="it-IT"/>
        </w:rPr>
        <w:t>.</w:t>
      </w:r>
      <w:r w:rsidR="004002DE">
        <w:rPr>
          <w:rFonts w:ascii="Times New Roman" w:eastAsia="Calibri" w:hAnsi="Times New Roman" w:cs="Times New Roman"/>
          <w:lang w:val="en-US" w:eastAsia="it-IT"/>
        </w:rPr>
        <w:t>”</w:t>
      </w:r>
      <w:r w:rsidR="00686B0C" w:rsidRPr="00486DF6">
        <w:rPr>
          <w:rFonts w:ascii="Times New Roman" w:eastAsia="Times New Roman" w:hAnsi="Times New Roman" w:cs="Times New Roman"/>
          <w:vertAlign w:val="superscript"/>
          <w:lang w:val="en-US" w:eastAsia="zh-TW"/>
        </w:rPr>
        <w:footnoteReference w:id="151"/>
      </w:r>
      <w:r w:rsidR="00686B0C" w:rsidRPr="00486DF6">
        <w:rPr>
          <w:rFonts w:ascii="Times New Roman" w:eastAsia="Calibri" w:hAnsi="Times New Roman" w:cs="Times New Roman"/>
          <w:lang w:val="en-US" w:eastAsia="it-IT"/>
        </w:rPr>
        <w:t xml:space="preserve"> In so doing the Canadian Supreme Court tried to mitigate the</w:t>
      </w:r>
      <w:r w:rsidR="00251B36" w:rsidRPr="00486DF6">
        <w:rPr>
          <w:rFonts w:ascii="Times New Roman" w:eastAsia="Calibri" w:hAnsi="Times New Roman" w:cs="Times New Roman"/>
          <w:lang w:val="en-US" w:eastAsia="it-IT"/>
        </w:rPr>
        <w:t xml:space="preserve"> political</w:t>
      </w:r>
      <w:r w:rsidR="00686B0C" w:rsidRPr="00486DF6">
        <w:rPr>
          <w:rFonts w:ascii="Times New Roman" w:eastAsia="Calibri" w:hAnsi="Times New Roman" w:cs="Times New Roman"/>
          <w:lang w:val="en-US" w:eastAsia="it-IT"/>
        </w:rPr>
        <w:t xml:space="preserve"> transition characteri</w:t>
      </w:r>
      <w:r w:rsidR="00251B36" w:rsidRPr="00486DF6">
        <w:rPr>
          <w:rFonts w:ascii="Times New Roman" w:eastAsia="Calibri" w:hAnsi="Times New Roman" w:cs="Times New Roman"/>
          <w:lang w:val="en-US" w:eastAsia="it-IT"/>
        </w:rPr>
        <w:t>z</w:t>
      </w:r>
      <w:r w:rsidR="00686B0C" w:rsidRPr="00486DF6">
        <w:rPr>
          <w:rFonts w:ascii="Times New Roman" w:eastAsia="Calibri" w:hAnsi="Times New Roman" w:cs="Times New Roman"/>
          <w:lang w:val="en-US" w:eastAsia="it-IT"/>
        </w:rPr>
        <w:t xml:space="preserve">ing the exit by ensuring </w:t>
      </w:r>
      <w:r w:rsidR="00686B0C" w:rsidRPr="00486DF6">
        <w:rPr>
          <w:rFonts w:ascii="Times New Roman" w:eastAsia="Calibri" w:hAnsi="Times New Roman" w:cs="Times New Roman"/>
          <w:color w:val="000000"/>
          <w:lang w:val="en-US" w:eastAsia="it-IT"/>
        </w:rPr>
        <w:t xml:space="preserve">an axiological continuity between the new order which </w:t>
      </w:r>
      <w:r w:rsidR="00C717E1" w:rsidRPr="00486DF6">
        <w:rPr>
          <w:rFonts w:ascii="Times New Roman" w:eastAsia="Calibri" w:hAnsi="Times New Roman" w:cs="Times New Roman"/>
          <w:color w:val="000000"/>
          <w:lang w:val="en-US" w:eastAsia="it-IT"/>
        </w:rPr>
        <w:t xml:space="preserve">was </w:t>
      </w:r>
      <w:r w:rsidR="00686B0C" w:rsidRPr="00486DF6">
        <w:rPr>
          <w:rFonts w:ascii="Times New Roman" w:eastAsia="Calibri" w:hAnsi="Times New Roman" w:cs="Times New Roman"/>
          <w:color w:val="000000"/>
          <w:lang w:val="en-US" w:eastAsia="it-IT"/>
        </w:rPr>
        <w:t xml:space="preserve">going to be created and the old constitutional system. This might appear paradoxical, but the Court tried to govern </w:t>
      </w:r>
      <w:r w:rsidR="00B41620" w:rsidRPr="00486DF6">
        <w:rPr>
          <w:rFonts w:ascii="Times New Roman" w:eastAsia="Calibri" w:hAnsi="Times New Roman" w:cs="Times New Roman"/>
          <w:color w:val="000000"/>
          <w:lang w:val="en-US" w:eastAsia="it-IT"/>
        </w:rPr>
        <w:t xml:space="preserve">the </w:t>
      </w:r>
      <w:r w:rsidR="00686B0C" w:rsidRPr="00486DF6">
        <w:rPr>
          <w:rFonts w:ascii="Times New Roman" w:eastAsia="Calibri" w:hAnsi="Times New Roman" w:cs="Times New Roman"/>
          <w:color w:val="000000"/>
          <w:lang w:val="en-US" w:eastAsia="it-IT"/>
        </w:rPr>
        <w:t xml:space="preserve">process </w:t>
      </w:r>
      <w:r w:rsidR="00B41620" w:rsidRPr="00486DF6">
        <w:rPr>
          <w:rFonts w:ascii="Times New Roman" w:eastAsia="Calibri" w:hAnsi="Times New Roman" w:cs="Times New Roman"/>
          <w:color w:val="000000"/>
          <w:lang w:val="en-US" w:eastAsia="it-IT"/>
        </w:rPr>
        <w:t xml:space="preserve">under </w:t>
      </w:r>
      <w:r w:rsidR="00686B0C" w:rsidRPr="00486DF6">
        <w:rPr>
          <w:rFonts w:ascii="Times New Roman" w:eastAsia="Calibri" w:hAnsi="Times New Roman" w:cs="Times New Roman"/>
          <w:color w:val="000000"/>
          <w:lang w:val="en-US" w:eastAsia="it-IT"/>
        </w:rPr>
        <w:t xml:space="preserve">which the old system accepts the detachment of the seceding entity by making it conditional upon adhesion to its fundamental values. This way the constituent phase of the seceding </w:t>
      </w:r>
      <w:r w:rsidR="000733A8">
        <w:rPr>
          <w:rFonts w:ascii="Times New Roman" w:eastAsia="Calibri" w:hAnsi="Times New Roman" w:cs="Times New Roman"/>
          <w:color w:val="000000"/>
          <w:lang w:val="en-US" w:eastAsia="it-IT"/>
        </w:rPr>
        <w:t>entity</w:t>
      </w:r>
      <w:r w:rsidR="00686B0C" w:rsidRPr="00486DF6">
        <w:rPr>
          <w:rFonts w:ascii="Times New Roman" w:eastAsia="Calibri" w:hAnsi="Times New Roman" w:cs="Times New Roman"/>
          <w:color w:val="000000"/>
          <w:lang w:val="en-US" w:eastAsia="it-IT"/>
        </w:rPr>
        <w:t xml:space="preserve"> is partly guided and influenced by the values of the old constitution</w:t>
      </w:r>
      <w:r w:rsidR="00757E1D" w:rsidRPr="00486DF6">
        <w:rPr>
          <w:rFonts w:ascii="Times New Roman" w:eastAsia="Calibri" w:hAnsi="Times New Roman" w:cs="Times New Roman"/>
          <w:color w:val="000000"/>
          <w:lang w:val="en-US" w:eastAsia="it-IT"/>
        </w:rPr>
        <w:t xml:space="preserve">, </w:t>
      </w:r>
      <w:r w:rsidR="00686B0C" w:rsidRPr="00486DF6">
        <w:rPr>
          <w:rFonts w:ascii="Times New Roman" w:eastAsia="Calibri" w:hAnsi="Times New Roman" w:cs="Times New Roman"/>
          <w:color w:val="000000"/>
          <w:lang w:val="en-US" w:eastAsia="it-IT"/>
        </w:rPr>
        <w:t>and this could exorcise the revolutionary character of secession.</w:t>
      </w:r>
      <w:r w:rsidR="0010605A" w:rsidRPr="00486DF6">
        <w:rPr>
          <w:rFonts w:ascii="Times New Roman" w:eastAsia="MS Mincho" w:hAnsi="Times New Roman" w:cs="Times New Roman"/>
          <w:lang w:val="en-US" w:eastAsia="it-IT"/>
        </w:rPr>
        <w:t xml:space="preserve"> </w:t>
      </w:r>
      <w:r w:rsidR="00251B36" w:rsidRPr="00486DF6">
        <w:rPr>
          <w:rFonts w:ascii="Times New Roman" w:eastAsia="Calibri" w:hAnsi="Times New Roman" w:cs="Times New Roman"/>
          <w:lang w:val="en-US" w:eastAsia="it-IT"/>
        </w:rPr>
        <w:t xml:space="preserve">Such an </w:t>
      </w:r>
      <w:r w:rsidR="00686B0C" w:rsidRPr="00486DF6">
        <w:rPr>
          <w:rFonts w:ascii="Times New Roman" w:eastAsia="Calibri" w:hAnsi="Times New Roman" w:cs="Times New Roman"/>
          <w:lang w:val="en-US" w:eastAsia="it-IT"/>
        </w:rPr>
        <w:t xml:space="preserve">axiological continuity would guarantee the rights of that population residing in the territory of the new State which had not voted for the independence and would minimize </w:t>
      </w:r>
      <w:r w:rsidR="00686B0C" w:rsidRPr="00486DF6">
        <w:rPr>
          <w:rFonts w:ascii="Times New Roman" w:eastAsia="Calibri" w:hAnsi="Times New Roman" w:cs="Times New Roman"/>
          <w:color w:val="000000"/>
          <w:lang w:val="en-US" w:eastAsia="it-IT"/>
        </w:rPr>
        <w:t>the risk of political abuses that might be produced by a contingent majority</w:t>
      </w:r>
      <w:r w:rsidR="00757E1D" w:rsidRPr="00486DF6">
        <w:rPr>
          <w:rFonts w:ascii="Times New Roman" w:eastAsia="Calibri" w:hAnsi="Times New Roman" w:cs="Times New Roman"/>
          <w:color w:val="000000"/>
          <w:lang w:val="en-US" w:eastAsia="it-IT"/>
        </w:rPr>
        <w:t>.</w:t>
      </w:r>
      <w:r w:rsidR="00686B0C" w:rsidRPr="00486DF6">
        <w:rPr>
          <w:rFonts w:ascii="Times New Roman" w:eastAsia="Calibri" w:hAnsi="Times New Roman" w:cs="Times New Roman"/>
          <w:color w:val="000000"/>
          <w:vertAlign w:val="superscript"/>
          <w:lang w:val="en-US" w:eastAsia="it-IT"/>
        </w:rPr>
        <w:footnoteReference w:id="152"/>
      </w:r>
      <w:r w:rsidR="00686B0C" w:rsidRPr="00486DF6">
        <w:rPr>
          <w:rFonts w:ascii="Times New Roman" w:eastAsia="Calibri" w:hAnsi="Times New Roman" w:cs="Times New Roman"/>
          <w:color w:val="000000"/>
          <w:lang w:val="en-US" w:eastAsia="it-IT"/>
        </w:rPr>
        <w:t xml:space="preserve"> </w:t>
      </w:r>
    </w:p>
    <w:p w14:paraId="5F2AB7F2" w14:textId="674D4D2E" w:rsidR="007F4F27" w:rsidRDefault="00D27785" w:rsidP="004002DE">
      <w:pPr>
        <w:widowControl w:val="0"/>
        <w:suppressAutoHyphens/>
        <w:spacing w:line="480" w:lineRule="auto"/>
        <w:ind w:firstLine="720"/>
        <w:jc w:val="both"/>
        <w:rPr>
          <w:rFonts w:ascii="Times New Roman" w:eastAsia="Calibri" w:hAnsi="Times New Roman" w:cs="Times New Roman"/>
          <w:color w:val="000000"/>
          <w:lang w:val="en-US" w:eastAsia="it-IT"/>
        </w:rPr>
      </w:pPr>
      <w:r>
        <w:rPr>
          <w:rFonts w:ascii="Times New Roman" w:eastAsia="Calibri" w:hAnsi="Times New Roman" w:cs="Times New Roman"/>
          <w:color w:val="000000"/>
          <w:lang w:val="en-US" w:eastAsia="it-IT"/>
        </w:rPr>
        <w:t xml:space="preserve">Somehow similarly, the unilateral nature of the </w:t>
      </w:r>
      <w:r w:rsidR="00686B0C" w:rsidRPr="00486DF6">
        <w:rPr>
          <w:rFonts w:ascii="Times New Roman" w:eastAsia="Calibri" w:hAnsi="Times New Roman" w:cs="Times New Roman"/>
          <w:color w:val="000000"/>
          <w:lang w:val="en-US" w:eastAsia="it-IT"/>
        </w:rPr>
        <w:t>Article 50 TEU</w:t>
      </w:r>
      <w:r>
        <w:rPr>
          <w:rFonts w:ascii="Times New Roman" w:eastAsia="Calibri" w:hAnsi="Times New Roman" w:cs="Times New Roman"/>
          <w:color w:val="000000"/>
          <w:lang w:val="en-US" w:eastAsia="it-IT"/>
        </w:rPr>
        <w:t xml:space="preserve"> right </w:t>
      </w:r>
      <w:r>
        <w:rPr>
          <w:rFonts w:ascii="Times New Roman" w:eastAsia="Times New Roman" w:hAnsi="Times New Roman" w:cs="Times New Roman"/>
          <w:color w:val="000000"/>
          <w:lang w:val="en-US" w:eastAsia="en-GB"/>
        </w:rPr>
        <w:t>is restricted by</w:t>
      </w:r>
      <w:r w:rsidR="0010605A" w:rsidRPr="00486DF6">
        <w:rPr>
          <w:rFonts w:ascii="Times New Roman" w:eastAsia="Times New Roman" w:hAnsi="Times New Roman" w:cs="Times New Roman"/>
          <w:color w:val="000000"/>
          <w:lang w:val="en-US" w:eastAsia="en-GB"/>
        </w:rPr>
        <w:t xml:space="preserve"> two limitations: one at national and one at supranational level.</w:t>
      </w:r>
      <w:r w:rsidR="00686B0C" w:rsidRPr="00486DF6">
        <w:rPr>
          <w:rFonts w:ascii="Times New Roman" w:eastAsia="Calibri" w:hAnsi="Times New Roman" w:cs="Times New Roman"/>
          <w:color w:val="000000"/>
          <w:lang w:val="en-US" w:eastAsia="it-IT"/>
        </w:rPr>
        <w:t xml:space="preserve"> </w:t>
      </w:r>
      <w:r w:rsidR="007F4F27">
        <w:rPr>
          <w:rFonts w:ascii="Times New Roman" w:eastAsia="Calibri" w:hAnsi="Times New Roman" w:cs="Times New Roman"/>
          <w:color w:val="000000"/>
          <w:lang w:val="en-US" w:eastAsia="it-IT"/>
        </w:rPr>
        <w:t xml:space="preserve">Both relate to the foundational values enshrined in Article 2 TEU. As we shall see, respect to those values during the Article 50 TEU negotiations, ensures that the withdrawing Member State can functionally secede from the EU in a smooth manner and also build after its withdrawal a </w:t>
      </w:r>
      <w:r w:rsidR="005E3BED">
        <w:rPr>
          <w:rFonts w:ascii="Times New Roman" w:eastAsia="Calibri" w:hAnsi="Times New Roman" w:cs="Times New Roman"/>
          <w:color w:val="000000"/>
          <w:lang w:val="en-US" w:eastAsia="it-IT"/>
        </w:rPr>
        <w:t>constructive</w:t>
      </w:r>
      <w:r w:rsidR="007F4F27">
        <w:rPr>
          <w:rFonts w:ascii="Times New Roman" w:eastAsia="Calibri" w:hAnsi="Times New Roman" w:cs="Times New Roman"/>
          <w:color w:val="000000"/>
          <w:lang w:val="en-US" w:eastAsia="it-IT"/>
        </w:rPr>
        <w:t xml:space="preserve"> bilateral relationship with the supranational organization.  </w:t>
      </w:r>
    </w:p>
    <w:p w14:paraId="7FBEFE8D" w14:textId="04DFBA8D" w:rsidR="00997DE5" w:rsidRPr="00486DF6" w:rsidRDefault="00997DE5" w:rsidP="004002DE">
      <w:pPr>
        <w:widowControl w:val="0"/>
        <w:suppressAutoHyphens/>
        <w:spacing w:line="480" w:lineRule="auto"/>
        <w:ind w:firstLine="720"/>
        <w:jc w:val="both"/>
        <w:rPr>
          <w:rFonts w:ascii="Times New Roman" w:hAnsi="Times New Roman" w:cs="Times New Roman"/>
          <w:bdr w:val="none" w:sz="0" w:space="0" w:color="auto" w:frame="1"/>
          <w:lang w:val="en-US"/>
        </w:rPr>
      </w:pPr>
      <w:r w:rsidRPr="00486DF6">
        <w:rPr>
          <w:rFonts w:ascii="Times New Roman" w:eastAsia="Times New Roman" w:hAnsi="Times New Roman" w:cs="Times New Roman"/>
          <w:color w:val="000000"/>
          <w:lang w:val="en-US" w:eastAsia="en-GB"/>
        </w:rPr>
        <w:t xml:space="preserve">As already mentioned, pursuant to Article 50(1) TEU, the withdrawal of a Member State should take place in accordance with its own constitutional requirements. This idea that such a </w:t>
      </w:r>
      <w:r w:rsidRPr="00486DF6">
        <w:rPr>
          <w:rFonts w:ascii="Times New Roman" w:eastAsia="Times New Roman" w:hAnsi="Times New Roman" w:cs="Times New Roman"/>
          <w:color w:val="000000"/>
          <w:lang w:val="en-US" w:eastAsia="en-GB"/>
        </w:rPr>
        <w:lastRenderedPageBreak/>
        <w:t xml:space="preserve">fundamental political choice about the constitutional future of a Member State and the Union should be respecting the national constitutional rules is in conformity with the </w:t>
      </w:r>
      <w:r w:rsidRPr="00486DF6">
        <w:rPr>
          <w:rFonts w:ascii="Times New Roman" w:hAnsi="Times New Roman" w:cs="Times New Roman"/>
          <w:bdr w:val="none" w:sz="0" w:space="0" w:color="auto" w:frame="1"/>
          <w:lang w:val="en-US"/>
        </w:rPr>
        <w:t>composite,</w:t>
      </w:r>
      <w:r w:rsidRPr="00486DF6">
        <w:rPr>
          <w:rStyle w:val="FootnoteReference"/>
          <w:rFonts w:ascii="Times New Roman" w:hAnsi="Times New Roman" w:cs="Times New Roman"/>
          <w:bdr w:val="none" w:sz="0" w:space="0" w:color="auto" w:frame="1"/>
          <w:lang w:val="en-US"/>
        </w:rPr>
        <w:footnoteReference w:id="153"/>
      </w:r>
      <w:r w:rsidRPr="00486DF6">
        <w:rPr>
          <w:rFonts w:ascii="Times New Roman" w:hAnsi="Times New Roman" w:cs="Times New Roman"/>
          <w:bdr w:val="none" w:sz="0" w:space="0" w:color="auto" w:frame="1"/>
          <w:lang w:val="en-US"/>
        </w:rPr>
        <w:t xml:space="preserve"> intertwined</w:t>
      </w:r>
      <w:r w:rsidRPr="00486DF6">
        <w:rPr>
          <w:rStyle w:val="FootnoteReference"/>
          <w:rFonts w:ascii="Times New Roman" w:hAnsi="Times New Roman" w:cs="Times New Roman"/>
          <w:bdr w:val="none" w:sz="0" w:space="0" w:color="auto" w:frame="1"/>
          <w:lang w:val="en-US"/>
        </w:rPr>
        <w:footnoteReference w:id="154"/>
      </w:r>
      <w:r w:rsidRPr="00486DF6">
        <w:rPr>
          <w:rFonts w:ascii="Times New Roman" w:hAnsi="Times New Roman" w:cs="Times New Roman"/>
          <w:bdr w:val="none" w:sz="0" w:space="0" w:color="auto" w:frame="1"/>
          <w:lang w:val="en-US"/>
        </w:rPr>
        <w:t xml:space="preserve"> and multi-level</w:t>
      </w:r>
      <w:r w:rsidRPr="00486DF6">
        <w:rPr>
          <w:rStyle w:val="FootnoteReference"/>
          <w:rFonts w:ascii="Times New Roman" w:hAnsi="Times New Roman" w:cs="Times New Roman"/>
          <w:bdr w:val="none" w:sz="0" w:space="0" w:color="auto" w:frame="1"/>
          <w:lang w:val="en-US"/>
        </w:rPr>
        <w:footnoteReference w:id="155"/>
      </w:r>
      <w:r w:rsidRPr="00486DF6">
        <w:rPr>
          <w:rFonts w:ascii="Times New Roman" w:hAnsi="Times New Roman" w:cs="Times New Roman"/>
          <w:bdr w:val="none" w:sz="0" w:space="0" w:color="auto" w:frame="1"/>
          <w:lang w:val="en-US"/>
        </w:rPr>
        <w:t xml:space="preserve"> character of the European constitution. Pernice has explained that the constitution of Europe is </w:t>
      </w:r>
      <w:r w:rsidR="004002DE">
        <w:rPr>
          <w:rFonts w:ascii="Times New Roman" w:hAnsi="Times New Roman" w:cs="Times New Roman"/>
          <w:bdr w:val="none" w:sz="0" w:space="0" w:color="auto" w:frame="1"/>
          <w:lang w:val="en-US"/>
        </w:rPr>
        <w:t>“</w:t>
      </w:r>
      <w:r w:rsidRPr="00486DF6">
        <w:rPr>
          <w:rFonts w:ascii="Times New Roman" w:hAnsi="Times New Roman" w:cs="Times New Roman"/>
          <w:bdr w:val="none" w:sz="0" w:space="0" w:color="auto" w:frame="1"/>
          <w:lang w:val="en-US"/>
        </w:rPr>
        <w:t>made up of the constitutions of the Member States bound together by a complementary constitutional body consisting of the European Treaties.</w:t>
      </w:r>
      <w:r w:rsidR="004002DE">
        <w:rPr>
          <w:rFonts w:ascii="Times New Roman" w:hAnsi="Times New Roman" w:cs="Times New Roman"/>
          <w:bdr w:val="none" w:sz="0" w:space="0" w:color="auto" w:frame="1"/>
          <w:lang w:val="en-US"/>
        </w:rPr>
        <w:t>”</w:t>
      </w:r>
      <w:r w:rsidRPr="00486DF6">
        <w:rPr>
          <w:rStyle w:val="FootnoteReference"/>
          <w:rFonts w:ascii="Times New Roman" w:hAnsi="Times New Roman" w:cs="Times New Roman"/>
          <w:bdr w:val="none" w:sz="0" w:space="0" w:color="auto" w:frame="1"/>
          <w:lang w:val="en-US"/>
        </w:rPr>
        <w:footnoteReference w:id="156"/>
      </w:r>
      <w:r w:rsidRPr="00486DF6">
        <w:rPr>
          <w:rFonts w:ascii="Times New Roman" w:hAnsi="Times New Roman" w:cs="Times New Roman"/>
          <w:bdr w:val="none" w:sz="0" w:space="0" w:color="auto" w:frame="1"/>
          <w:lang w:val="en-US"/>
        </w:rPr>
        <w:t xml:space="preserve"> However, </w:t>
      </w:r>
      <w:r w:rsidR="004002DE">
        <w:rPr>
          <w:rFonts w:ascii="Times New Roman" w:hAnsi="Times New Roman" w:cs="Times New Roman"/>
          <w:bdr w:val="none" w:sz="0" w:space="0" w:color="auto" w:frame="1"/>
          <w:lang w:val="en-US"/>
        </w:rPr>
        <w:t>“</w:t>
      </w:r>
      <w:r w:rsidRPr="00486DF6">
        <w:rPr>
          <w:rFonts w:ascii="Times New Roman" w:hAnsi="Times New Roman" w:cs="Times New Roman"/>
          <w:bdr w:val="none" w:sz="0" w:space="0" w:color="auto" w:frame="1"/>
          <w:lang w:val="en-US"/>
        </w:rPr>
        <w:t xml:space="preserve">the relation between the EU and national constitutions should not be viewed as a conglomerate of autonomous more of less detached systems which relate to each other at different </w:t>
      </w:r>
      <w:r w:rsidR="004002DE">
        <w:rPr>
          <w:rFonts w:ascii="Times New Roman" w:hAnsi="Times New Roman" w:cs="Times New Roman"/>
          <w:bdr w:val="none" w:sz="0" w:space="0" w:color="auto" w:frame="1"/>
          <w:lang w:val="en-US"/>
        </w:rPr>
        <w:t>‘</w:t>
      </w:r>
      <w:r w:rsidRPr="00486DF6">
        <w:rPr>
          <w:rFonts w:ascii="Times New Roman" w:hAnsi="Times New Roman" w:cs="Times New Roman"/>
          <w:bdr w:val="none" w:sz="0" w:space="0" w:color="auto" w:frame="1"/>
          <w:lang w:val="en-US"/>
        </w:rPr>
        <w:t>levels’</w:t>
      </w:r>
      <w:r w:rsidR="00A5563C">
        <w:rPr>
          <w:rFonts w:ascii="Times New Roman" w:hAnsi="Times New Roman" w:cs="Times New Roman"/>
          <w:bdr w:val="none" w:sz="0" w:space="0" w:color="auto" w:frame="1"/>
          <w:lang w:val="en-US"/>
        </w:rPr>
        <w:t>.</w:t>
      </w:r>
      <w:r w:rsidR="004002DE">
        <w:rPr>
          <w:rFonts w:ascii="Times New Roman" w:hAnsi="Times New Roman" w:cs="Times New Roman"/>
          <w:bdr w:val="none" w:sz="0" w:space="0" w:color="auto" w:frame="1"/>
          <w:lang w:val="en-US"/>
        </w:rPr>
        <w:t>”</w:t>
      </w:r>
      <w:r w:rsidRPr="00486DF6">
        <w:rPr>
          <w:rStyle w:val="FootnoteReference"/>
          <w:rFonts w:ascii="Times New Roman" w:hAnsi="Times New Roman" w:cs="Times New Roman"/>
          <w:bdr w:val="none" w:sz="0" w:space="0" w:color="auto" w:frame="1"/>
          <w:lang w:val="en-US"/>
        </w:rPr>
        <w:footnoteReference w:id="157"/>
      </w:r>
      <w:r w:rsidRPr="00486DF6">
        <w:rPr>
          <w:rFonts w:ascii="Times New Roman" w:hAnsi="Times New Roman" w:cs="Times New Roman"/>
          <w:bdr w:val="none" w:sz="0" w:space="0" w:color="auto" w:frame="1"/>
          <w:lang w:val="en-US"/>
        </w:rPr>
        <w:t xml:space="preserve"> Instead, it should be viewed as a </w:t>
      </w:r>
      <w:r w:rsidR="004002DE">
        <w:rPr>
          <w:rFonts w:ascii="Times New Roman" w:hAnsi="Times New Roman" w:cs="Times New Roman"/>
          <w:bdr w:val="none" w:sz="0" w:space="0" w:color="auto" w:frame="1"/>
          <w:lang w:val="en-US"/>
        </w:rPr>
        <w:t>“</w:t>
      </w:r>
      <w:r w:rsidRPr="00486DF6">
        <w:rPr>
          <w:rFonts w:ascii="Times New Roman" w:hAnsi="Times New Roman" w:cs="Times New Roman"/>
          <w:bdr w:val="none" w:sz="0" w:space="0" w:color="auto" w:frame="1"/>
          <w:lang w:val="en-US"/>
        </w:rPr>
        <w:t>mutually assumed relationship</w:t>
      </w:r>
      <w:r w:rsidR="004002DE">
        <w:rPr>
          <w:rFonts w:ascii="Times New Roman" w:hAnsi="Times New Roman" w:cs="Times New Roman"/>
          <w:bdr w:val="none" w:sz="0" w:space="0" w:color="auto" w:frame="1"/>
          <w:lang w:val="en-US"/>
        </w:rPr>
        <w:t>”</w:t>
      </w:r>
      <w:r w:rsidRPr="00486DF6">
        <w:rPr>
          <w:rFonts w:ascii="Times New Roman" w:hAnsi="Times New Roman" w:cs="Times New Roman"/>
          <w:bdr w:val="none" w:sz="0" w:space="0" w:color="auto" w:frame="1"/>
          <w:lang w:val="en-US"/>
        </w:rPr>
        <w:t xml:space="preserve"> </w:t>
      </w:r>
      <w:r w:rsidR="004002DE">
        <w:rPr>
          <w:rFonts w:ascii="Times New Roman" w:hAnsi="Times New Roman" w:cs="Times New Roman"/>
          <w:bdr w:val="none" w:sz="0" w:space="0" w:color="auto" w:frame="1"/>
          <w:lang w:val="en-US"/>
        </w:rPr>
        <w:t>“</w:t>
      </w:r>
      <w:r w:rsidRPr="00486DF6">
        <w:rPr>
          <w:rFonts w:ascii="Times New Roman" w:hAnsi="Times New Roman" w:cs="Times New Roman"/>
          <w:bdr w:val="none" w:sz="0" w:space="0" w:color="auto" w:frame="1"/>
          <w:lang w:val="en-US"/>
        </w:rPr>
        <w:t>where one part cannot function without the other</w:t>
      </w:r>
      <w:r w:rsidR="00A5563C">
        <w:rPr>
          <w:rFonts w:ascii="Times New Roman" w:hAnsi="Times New Roman" w:cs="Times New Roman"/>
          <w:bdr w:val="none" w:sz="0" w:space="0" w:color="auto" w:frame="1"/>
          <w:lang w:val="en-US"/>
        </w:rPr>
        <w:t>.</w:t>
      </w:r>
      <w:r w:rsidR="004002DE">
        <w:rPr>
          <w:rFonts w:ascii="Times New Roman" w:hAnsi="Times New Roman" w:cs="Times New Roman"/>
          <w:bdr w:val="none" w:sz="0" w:space="0" w:color="auto" w:frame="1"/>
          <w:lang w:val="en-US"/>
        </w:rPr>
        <w:t>”</w:t>
      </w:r>
      <w:r w:rsidRPr="00486DF6">
        <w:rPr>
          <w:rStyle w:val="FootnoteReference"/>
          <w:rFonts w:ascii="Times New Roman" w:hAnsi="Times New Roman" w:cs="Times New Roman"/>
          <w:bdr w:val="none" w:sz="0" w:space="0" w:color="auto" w:frame="1"/>
          <w:lang w:val="en-US"/>
        </w:rPr>
        <w:footnoteReference w:id="158"/>
      </w:r>
    </w:p>
    <w:p w14:paraId="6E73CEFB" w14:textId="77777777" w:rsidR="004F0E74" w:rsidRDefault="00997DE5" w:rsidP="004F0E74">
      <w:pPr>
        <w:spacing w:line="480" w:lineRule="auto"/>
        <w:ind w:firstLine="720"/>
        <w:jc w:val="both"/>
        <w:rPr>
          <w:rFonts w:ascii="Times New Roman" w:eastAsiaTheme="minorEastAsia" w:hAnsi="Times New Roman" w:cs="Times New Roman"/>
          <w:lang w:val="en-US"/>
        </w:rPr>
      </w:pPr>
      <w:r w:rsidRPr="00486DF6">
        <w:rPr>
          <w:rFonts w:ascii="Times New Roman" w:hAnsi="Times New Roman" w:cs="Times New Roman"/>
          <w:bdr w:val="none" w:sz="0" w:space="0" w:color="auto" w:frame="1"/>
          <w:lang w:val="en-US"/>
        </w:rPr>
        <w:t>At the very core of this composite constitution lies the idea of constitutional tolerance.</w:t>
      </w:r>
      <w:r w:rsidRPr="00486DF6">
        <w:rPr>
          <w:rStyle w:val="FootnoteReference"/>
          <w:rFonts w:ascii="Times New Roman" w:hAnsi="Times New Roman" w:cs="Times New Roman"/>
          <w:bdr w:val="none" w:sz="0" w:space="0" w:color="auto" w:frame="1"/>
          <w:lang w:val="en-US"/>
        </w:rPr>
        <w:footnoteReference w:id="159"/>
      </w:r>
      <w:r w:rsidRPr="00486DF6">
        <w:rPr>
          <w:rFonts w:ascii="Times New Roman" w:hAnsi="Times New Roman" w:cs="Times New Roman"/>
          <w:bdr w:val="none" w:sz="0" w:space="0" w:color="auto" w:frame="1"/>
          <w:lang w:val="en-US"/>
        </w:rPr>
        <w:t xml:space="preserve"> This is</w:t>
      </w:r>
      <w:r w:rsidR="00757E1D" w:rsidRPr="00486DF6">
        <w:rPr>
          <w:rFonts w:ascii="Times New Roman" w:hAnsi="Times New Roman" w:cs="Times New Roman"/>
          <w:bdr w:val="none" w:sz="0" w:space="0" w:color="auto" w:frame="1"/>
          <w:lang w:val="en-US"/>
        </w:rPr>
        <w:t xml:space="preserve"> depicted</w:t>
      </w:r>
      <w:r w:rsidRPr="00486DF6">
        <w:rPr>
          <w:rFonts w:ascii="Times New Roman" w:hAnsi="Times New Roman" w:cs="Times New Roman"/>
          <w:bdr w:val="none" w:sz="0" w:space="0" w:color="auto" w:frame="1"/>
          <w:lang w:val="en-US"/>
        </w:rPr>
        <w:t xml:space="preserve"> </w:t>
      </w:r>
      <w:r w:rsidRPr="00486DF6">
        <w:rPr>
          <w:rFonts w:ascii="Times New Roman" w:hAnsi="Times New Roman" w:cs="Times New Roman"/>
          <w:i/>
          <w:iCs/>
          <w:bdr w:val="none" w:sz="0" w:space="0" w:color="auto" w:frame="1"/>
          <w:lang w:val="en-US"/>
        </w:rPr>
        <w:t>par excellence</w:t>
      </w:r>
      <w:r w:rsidRPr="00486DF6">
        <w:rPr>
          <w:rFonts w:ascii="Times New Roman" w:hAnsi="Times New Roman" w:cs="Times New Roman"/>
          <w:bdr w:val="none" w:sz="0" w:space="0" w:color="auto" w:frame="1"/>
          <w:lang w:val="en-US"/>
        </w:rPr>
        <w:t xml:space="preserve"> in Article 4(2) TEU which provides that the </w:t>
      </w:r>
      <w:r w:rsidR="004002DE">
        <w:rPr>
          <w:rFonts w:ascii="Times New Roman" w:hAnsi="Times New Roman" w:cs="Times New Roman"/>
          <w:bdr w:val="none" w:sz="0" w:space="0" w:color="auto" w:frame="1"/>
          <w:lang w:val="en-US"/>
        </w:rPr>
        <w:t>“</w:t>
      </w:r>
      <w:r w:rsidRPr="00486DF6">
        <w:rPr>
          <w:rFonts w:ascii="Times New Roman" w:hAnsi="Times New Roman" w:cs="Times New Roman"/>
          <w:bdr w:val="none" w:sz="0" w:space="0" w:color="auto" w:frame="1"/>
          <w:lang w:val="en-US"/>
        </w:rPr>
        <w:t>Union shall respect … Member States’ national identities</w:t>
      </w:r>
      <w:r w:rsidRPr="00486DF6">
        <w:rPr>
          <w:rFonts w:ascii="Times New Roman" w:eastAsiaTheme="minorEastAsia" w:hAnsi="Times New Roman" w:cs="Times New Roman"/>
          <w:lang w:val="en-US"/>
        </w:rPr>
        <w:t>,</w:t>
      </w:r>
      <w:r w:rsidRPr="00486DF6">
        <w:rPr>
          <w:rFonts w:ascii="Times New Roman" w:hAnsi="Times New Roman" w:cs="Times New Roman"/>
          <w:bdr w:val="none" w:sz="0" w:space="0" w:color="auto" w:frame="1"/>
          <w:lang w:val="en-US"/>
        </w:rPr>
        <w:t xml:space="preserve"> </w:t>
      </w:r>
      <w:r w:rsidRPr="00486DF6">
        <w:rPr>
          <w:rFonts w:ascii="Times New Roman" w:eastAsiaTheme="minorEastAsia" w:hAnsi="Times New Roman" w:cs="Times New Roman"/>
          <w:lang w:val="en-US"/>
        </w:rPr>
        <w:t>inherent in their fundamental structures, political and constitutional, inclusive</w:t>
      </w:r>
      <w:r w:rsidRPr="00486DF6">
        <w:rPr>
          <w:rFonts w:ascii="Times New Roman" w:hAnsi="Times New Roman" w:cs="Times New Roman"/>
          <w:bdr w:val="none" w:sz="0" w:space="0" w:color="auto" w:frame="1"/>
          <w:lang w:val="en-US"/>
        </w:rPr>
        <w:t xml:space="preserve"> </w:t>
      </w:r>
      <w:r w:rsidRPr="00486DF6">
        <w:rPr>
          <w:rFonts w:ascii="Times New Roman" w:eastAsiaTheme="minorEastAsia" w:hAnsi="Times New Roman" w:cs="Times New Roman"/>
          <w:lang w:val="en-US"/>
        </w:rPr>
        <w:t>of regional and local self-government</w:t>
      </w:r>
      <w:r w:rsidR="00A5563C">
        <w:rPr>
          <w:rFonts w:ascii="Times New Roman" w:eastAsiaTheme="minorEastAsia" w:hAnsi="Times New Roman" w:cs="Times New Roman"/>
          <w:lang w:val="en-US"/>
        </w:rPr>
        <w:t>.</w:t>
      </w:r>
      <w:r w:rsidR="004002DE">
        <w:rPr>
          <w:rFonts w:ascii="Times New Roman" w:eastAsiaTheme="minorEastAsia" w:hAnsi="Times New Roman" w:cs="Times New Roman"/>
          <w:lang w:val="en-US"/>
        </w:rPr>
        <w:t>”</w:t>
      </w:r>
      <w:r w:rsidRPr="00486DF6">
        <w:rPr>
          <w:rFonts w:ascii="Times New Roman" w:eastAsiaTheme="minorEastAsia" w:hAnsi="Times New Roman" w:cs="Times New Roman"/>
          <w:lang w:val="en-US"/>
        </w:rPr>
        <w:t xml:space="preserve"> This means that the starting point </w:t>
      </w:r>
      <w:r w:rsidR="00757E1D" w:rsidRPr="00486DF6">
        <w:rPr>
          <w:rFonts w:ascii="Times New Roman" w:eastAsiaTheme="minorEastAsia" w:hAnsi="Times New Roman" w:cs="Times New Roman"/>
          <w:lang w:val="en-US"/>
        </w:rPr>
        <w:t xml:space="preserve">for </w:t>
      </w:r>
      <w:r w:rsidRPr="00486DF6">
        <w:rPr>
          <w:rFonts w:ascii="Times New Roman" w:eastAsiaTheme="minorEastAsia" w:hAnsi="Times New Roman" w:cs="Times New Roman"/>
          <w:lang w:val="en-US"/>
        </w:rPr>
        <w:t xml:space="preserve">how the EU accommodates </w:t>
      </w:r>
      <w:r w:rsidR="002007FB">
        <w:rPr>
          <w:rFonts w:ascii="Times New Roman" w:eastAsiaTheme="minorEastAsia" w:hAnsi="Times New Roman" w:cs="Times New Roman"/>
          <w:lang w:val="en-US"/>
        </w:rPr>
        <w:t xml:space="preserve">a </w:t>
      </w:r>
      <w:r w:rsidRPr="00486DF6">
        <w:rPr>
          <w:rFonts w:ascii="Times New Roman" w:eastAsiaTheme="minorEastAsia" w:hAnsi="Times New Roman" w:cs="Times New Roman"/>
          <w:lang w:val="en-US"/>
        </w:rPr>
        <w:t>constitutional event</w:t>
      </w:r>
      <w:r w:rsidR="00A13431">
        <w:rPr>
          <w:rFonts w:ascii="Times New Roman" w:eastAsiaTheme="minorEastAsia" w:hAnsi="Times New Roman" w:cs="Times New Roman"/>
          <w:lang w:val="en-US"/>
        </w:rPr>
        <w:t xml:space="preserve"> such as </w:t>
      </w:r>
      <w:r w:rsidR="002007FB">
        <w:rPr>
          <w:rFonts w:ascii="Times New Roman" w:eastAsiaTheme="minorEastAsia" w:hAnsi="Times New Roman" w:cs="Times New Roman"/>
          <w:lang w:val="en-US"/>
        </w:rPr>
        <w:t>a functional secession from the Union is</w:t>
      </w:r>
      <w:r w:rsidR="00757E1D" w:rsidRPr="00486DF6">
        <w:rPr>
          <w:rFonts w:ascii="Times New Roman" w:eastAsiaTheme="minorEastAsia" w:hAnsi="Times New Roman" w:cs="Times New Roman"/>
          <w:lang w:val="en-US"/>
        </w:rPr>
        <w:t>,</w:t>
      </w:r>
      <w:r w:rsidRPr="00486DF6">
        <w:rPr>
          <w:rFonts w:ascii="Times New Roman" w:eastAsiaTheme="minorEastAsia" w:hAnsi="Times New Roman" w:cs="Times New Roman"/>
          <w:lang w:val="en-US"/>
        </w:rPr>
        <w:t xml:space="preserve"> and should be</w:t>
      </w:r>
      <w:r w:rsidR="00757E1D" w:rsidRPr="00486DF6">
        <w:rPr>
          <w:rFonts w:ascii="Times New Roman" w:eastAsiaTheme="minorEastAsia" w:hAnsi="Times New Roman" w:cs="Times New Roman"/>
          <w:lang w:val="en-US"/>
        </w:rPr>
        <w:t>,</w:t>
      </w:r>
      <w:r w:rsidRPr="00486DF6">
        <w:rPr>
          <w:rFonts w:ascii="Times New Roman" w:eastAsiaTheme="minorEastAsia" w:hAnsi="Times New Roman" w:cs="Times New Roman"/>
          <w:lang w:val="en-US"/>
        </w:rPr>
        <w:t xml:space="preserve"> the respect to the relevant Member State’s </w:t>
      </w:r>
      <w:r w:rsidR="002007FB">
        <w:rPr>
          <w:rFonts w:ascii="Times New Roman" w:eastAsiaTheme="minorEastAsia" w:hAnsi="Times New Roman" w:cs="Times New Roman"/>
          <w:lang w:val="en-US"/>
        </w:rPr>
        <w:t>constitutional procedures.</w:t>
      </w:r>
      <w:r w:rsidRPr="00486DF6">
        <w:rPr>
          <w:rStyle w:val="FootnoteReference"/>
          <w:rFonts w:ascii="Times New Roman" w:eastAsiaTheme="minorEastAsia" w:hAnsi="Times New Roman" w:cs="Times New Roman"/>
          <w:lang w:val="en-US"/>
        </w:rPr>
        <w:footnoteReference w:id="160"/>
      </w:r>
      <w:r w:rsidRPr="00486DF6">
        <w:rPr>
          <w:rFonts w:ascii="Times New Roman" w:eastAsiaTheme="minorEastAsia" w:hAnsi="Times New Roman" w:cs="Times New Roman"/>
          <w:lang w:val="en-US"/>
        </w:rPr>
        <w:t xml:space="preserve"> Having said that, there is a limit to such relative heteronomy. This can be found in the foundational values enshrined in Article 2 TEU.</w:t>
      </w:r>
      <w:r w:rsidR="00A13431" w:rsidRPr="00A13431">
        <w:rPr>
          <w:rStyle w:val="FootnoteReference"/>
          <w:rFonts w:ascii="Times New Roman" w:eastAsiaTheme="minorEastAsia" w:hAnsi="Times New Roman" w:cs="Times New Roman"/>
        </w:rPr>
        <w:footnoteReference w:id="161"/>
      </w:r>
      <w:r w:rsidR="00A13431" w:rsidRPr="00886DF2">
        <w:rPr>
          <w:rFonts w:asciiTheme="majorHAnsi" w:eastAsiaTheme="minorEastAsia" w:hAnsiTheme="majorHAnsi" w:cstheme="majorHAnsi"/>
        </w:rPr>
        <w:t xml:space="preserve"> </w:t>
      </w:r>
      <w:r w:rsidRPr="00486DF6">
        <w:rPr>
          <w:rFonts w:ascii="Times New Roman" w:eastAsiaTheme="minorEastAsia" w:hAnsi="Times New Roman" w:cs="Times New Roman"/>
          <w:lang w:val="en-US"/>
        </w:rPr>
        <w:t xml:space="preserve"> Those are</w:t>
      </w:r>
      <w:r w:rsidR="00A6347F" w:rsidRPr="00486DF6">
        <w:rPr>
          <w:rFonts w:ascii="Times New Roman" w:eastAsiaTheme="minorEastAsia" w:hAnsi="Times New Roman" w:cs="Times New Roman"/>
          <w:lang w:val="en-US"/>
        </w:rPr>
        <w:t xml:space="preserve"> not only</w:t>
      </w:r>
      <w:r w:rsidRPr="00486DF6">
        <w:rPr>
          <w:rFonts w:ascii="Times New Roman" w:eastAsiaTheme="minorEastAsia" w:hAnsi="Times New Roman" w:cs="Times New Roman"/>
          <w:lang w:val="en-US"/>
        </w:rPr>
        <w:t xml:space="preserve"> common values to the Member States but</w:t>
      </w:r>
      <w:r w:rsidR="00A6347F" w:rsidRPr="00486DF6">
        <w:rPr>
          <w:rFonts w:ascii="Times New Roman" w:eastAsiaTheme="minorEastAsia" w:hAnsi="Times New Roman" w:cs="Times New Roman"/>
          <w:lang w:val="en-US"/>
        </w:rPr>
        <w:t xml:space="preserve"> are, </w:t>
      </w:r>
      <w:r w:rsidRPr="00486DF6">
        <w:rPr>
          <w:rFonts w:ascii="Times New Roman" w:eastAsiaTheme="minorEastAsia" w:hAnsi="Times New Roman" w:cs="Times New Roman"/>
          <w:lang w:val="en-US"/>
        </w:rPr>
        <w:lastRenderedPageBreak/>
        <w:t>more importantly</w:t>
      </w:r>
      <w:r w:rsidR="00A6347F" w:rsidRPr="00486DF6">
        <w:rPr>
          <w:rFonts w:ascii="Times New Roman" w:eastAsiaTheme="minorEastAsia" w:hAnsi="Times New Roman" w:cs="Times New Roman"/>
          <w:lang w:val="en-US"/>
        </w:rPr>
        <w:t>,</w:t>
      </w:r>
      <w:r w:rsidRPr="00486DF6">
        <w:rPr>
          <w:rFonts w:ascii="Times New Roman" w:eastAsiaTheme="minorEastAsia" w:hAnsi="Times New Roman" w:cs="Times New Roman"/>
          <w:lang w:val="en-US"/>
        </w:rPr>
        <w:t xml:space="preserve"> set as the requirements for accession and EU membership per Article 49 TEU</w:t>
      </w:r>
      <w:r w:rsidR="00A6347F" w:rsidRPr="00486DF6">
        <w:rPr>
          <w:rFonts w:ascii="Times New Roman" w:eastAsiaTheme="minorEastAsia" w:hAnsi="Times New Roman" w:cs="Times New Roman"/>
          <w:lang w:val="en-US"/>
        </w:rPr>
        <w:t xml:space="preserve">, </w:t>
      </w:r>
      <w:r w:rsidRPr="00486DF6">
        <w:rPr>
          <w:rFonts w:ascii="Times New Roman" w:eastAsiaTheme="minorEastAsia" w:hAnsi="Times New Roman" w:cs="Times New Roman"/>
          <w:lang w:val="en-US"/>
        </w:rPr>
        <w:t>the breach of which could lead to the triggering of the Article 7 TEU sanction procedure.</w:t>
      </w:r>
    </w:p>
    <w:p w14:paraId="514D9FD3" w14:textId="77777777" w:rsidR="007C6E5B" w:rsidRDefault="004F0E74" w:rsidP="007C6E5B">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Within the context of the Brexit negotiations, the EU-derived obligation for respect of the national constitutional requirements gave rise to a significant legal question in the UK. According to the uncodified and idiosyncratic British constitution, it was not entirely clear which constitutional actor possessed the right to trigger Article 50. Was it the Government using its undeniable prerogative/executive power to represent the UK on the international plane? Or was it the sovereign UK Parliament –</w:t>
      </w:r>
      <w:r>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the main locus of the British constitutional and political order? </w:t>
      </w:r>
      <w:r w:rsidR="007C6E5B">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 xml:space="preserve">This genuine question of separation of powers was adjudicated in </w:t>
      </w:r>
      <w:r w:rsidRPr="00486DF6">
        <w:rPr>
          <w:rFonts w:ascii="Times New Roman" w:hAnsi="Times New Roman" w:cs="Times New Roman"/>
          <w:i/>
          <w:iCs/>
          <w:lang w:val="en-US"/>
        </w:rPr>
        <w:t>Miller No. 1</w:t>
      </w:r>
      <w:r w:rsidRPr="00486DF6">
        <w:rPr>
          <w:rFonts w:ascii="Times New Roman" w:hAnsi="Times New Roman" w:cs="Times New Roman"/>
          <w:lang w:val="en-US"/>
        </w:rPr>
        <w:t>.</w:t>
      </w:r>
      <w:r w:rsidRPr="00486DF6">
        <w:rPr>
          <w:rStyle w:val="FootnoteReference"/>
          <w:rFonts w:ascii="Times New Roman" w:hAnsi="Times New Roman" w:cs="Times New Roman"/>
          <w:lang w:val="en-US"/>
        </w:rPr>
        <w:footnoteReference w:id="162"/>
      </w:r>
      <w:r w:rsidRPr="00486DF6">
        <w:rPr>
          <w:rFonts w:ascii="Times New Roman" w:hAnsi="Times New Roman" w:cs="Times New Roman"/>
          <w:lang w:val="en-US"/>
        </w:rPr>
        <w:t xml:space="preserve"> In this seminal case</w:t>
      </w:r>
      <w:r w:rsidRPr="00486DF6">
        <w:rPr>
          <w:rFonts w:ascii="Times New Roman" w:eastAsia="Times New Roman" w:hAnsi="Times New Roman" w:cs="Times New Roman"/>
          <w:color w:val="000000"/>
          <w:lang w:val="en-US" w:eastAsia="en-GB"/>
        </w:rPr>
        <w:t xml:space="preserve">, the UK Supreme Court decided that the UK Government could not rely on executive powers in the area of international relations to trigger Article 50. Instead, in accordance with the principle of parliamentary sovereignty, which lies at the heart of the uncodified British constitution, the UK Parliament had to enact relevant legislation authorizing the Government to trigger the withdrawal process, which they subsequently did: European Union (Notification of Withdrawal) Act 2017. </w:t>
      </w:r>
    </w:p>
    <w:p w14:paraId="1D4C74D8" w14:textId="090DC856" w:rsidR="004F0E74" w:rsidRPr="00486DF6" w:rsidRDefault="007C6E5B" w:rsidP="007C6E5B">
      <w:pPr>
        <w:spacing w:line="480" w:lineRule="auto"/>
        <w:ind w:firstLine="720"/>
        <w:jc w:val="both"/>
        <w:rPr>
          <w:rFonts w:ascii="Times New Roman" w:eastAsia="Times New Roman" w:hAnsi="Times New Roman" w:cs="Times New Roman"/>
          <w:color w:val="000000"/>
          <w:lang w:val="en-US" w:eastAsia="en-GB"/>
        </w:rPr>
      </w:pPr>
      <w:r>
        <w:rPr>
          <w:rFonts w:ascii="Times New Roman" w:eastAsia="Times New Roman" w:hAnsi="Times New Roman" w:cs="Times New Roman"/>
          <w:color w:val="000000"/>
          <w:lang w:val="en-US" w:eastAsia="en-GB"/>
        </w:rPr>
        <w:t>Equally</w:t>
      </w:r>
      <w:r w:rsidR="004F0E74" w:rsidRPr="00486DF6">
        <w:rPr>
          <w:rFonts w:ascii="Times New Roman" w:eastAsia="Times New Roman" w:hAnsi="Times New Roman" w:cs="Times New Roman"/>
          <w:color w:val="000000"/>
          <w:lang w:val="en-US" w:eastAsia="en-GB"/>
        </w:rPr>
        <w:t>, the requirements of the British constitutional order that is founded on the principle of parliamentary sovereignty included the need for Parliament to approve the Withdrawal Agreement:</w:t>
      </w:r>
    </w:p>
    <w:p w14:paraId="192B4CBA" w14:textId="77777777" w:rsidR="004F0E74" w:rsidRPr="00872C17" w:rsidRDefault="004F0E74" w:rsidP="004F0E74">
      <w:pPr>
        <w:spacing w:line="480" w:lineRule="auto"/>
        <w:ind w:left="720"/>
        <w:jc w:val="both"/>
        <w:rPr>
          <w:rFonts w:ascii="Times New Roman" w:eastAsia="Times New Roman" w:hAnsi="Times New Roman" w:cs="Times New Roman"/>
          <w:color w:val="000000"/>
          <w:sz w:val="20"/>
          <w:szCs w:val="20"/>
          <w:lang w:val="en-US" w:eastAsia="en-GB"/>
        </w:rPr>
      </w:pPr>
      <w:r w:rsidRPr="00486DF6">
        <w:rPr>
          <w:rFonts w:ascii="Times New Roman" w:eastAsia="Times New Roman" w:hAnsi="Times New Roman" w:cs="Times New Roman"/>
          <w:color w:val="000000"/>
          <w:sz w:val="20"/>
          <w:szCs w:val="20"/>
          <w:lang w:val="en-US" w:eastAsia="en-GB"/>
        </w:rPr>
        <w:lastRenderedPageBreak/>
        <w:t>Under the UK constitution, [the decision to withdraw] is conditional on ultimate parliamentary approval, and it is only at the end of the Article 50 negotiations, when the terms of withdrawal are clear, that there can be a final decision on such withdrawal. Even if there is no withdrawal agreement, it is but Parliament which can decide, at the end of the two-year process, that the UK leaves the EU. That means that, under UK constitutional law, withdrawal is a process requiring a series of steps.</w:t>
      </w:r>
      <w:r w:rsidRPr="00486DF6">
        <w:rPr>
          <w:rStyle w:val="FootnoteReference"/>
          <w:rFonts w:ascii="Times New Roman" w:eastAsia="Times New Roman" w:hAnsi="Times New Roman" w:cs="Times New Roman"/>
          <w:color w:val="000000"/>
          <w:sz w:val="20"/>
          <w:szCs w:val="20"/>
          <w:lang w:val="en-US" w:eastAsia="en-GB"/>
        </w:rPr>
        <w:footnoteReference w:id="163"/>
      </w:r>
      <w:r w:rsidRPr="00486DF6">
        <w:rPr>
          <w:rFonts w:ascii="Times New Roman" w:eastAsia="Times New Roman" w:hAnsi="Times New Roman" w:cs="Times New Roman"/>
          <w:color w:val="000000"/>
          <w:lang w:val="en-US" w:eastAsia="en-GB"/>
        </w:rPr>
        <w:t xml:space="preserve"> </w:t>
      </w:r>
    </w:p>
    <w:p w14:paraId="58E7022F" w14:textId="70CB4AA1" w:rsidR="004F0E74" w:rsidRPr="007C6E5B" w:rsidRDefault="004F0E74" w:rsidP="007C6E5B">
      <w:pPr>
        <w:spacing w:line="480" w:lineRule="auto"/>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Indeed, after one of the most tumultuous periods in modern British politics, its Parliament managed to approve the revised Withdrawal Agreement by passing the necessary implementation legislation –</w:t>
      </w:r>
      <w:r>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the EU (Withdrawal Agreement) Act 2020. </w:t>
      </w:r>
    </w:p>
    <w:p w14:paraId="54C7926C" w14:textId="23FEB3CE" w:rsidR="0001421D" w:rsidRPr="00486DF6" w:rsidRDefault="00997DE5" w:rsidP="00A13431">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At the other end of the spectrum, the composite nature of the EU constitution is also eviden</w:t>
      </w:r>
      <w:r w:rsidR="00D82B33" w:rsidRPr="00486DF6">
        <w:rPr>
          <w:rFonts w:ascii="Times New Roman" w:eastAsia="Times New Roman" w:hAnsi="Times New Roman" w:cs="Times New Roman"/>
          <w:color w:val="000000"/>
          <w:lang w:val="en-US" w:eastAsia="en-GB"/>
        </w:rPr>
        <w:t>ced</w:t>
      </w:r>
      <w:r w:rsidRPr="00486DF6">
        <w:rPr>
          <w:rFonts w:ascii="Times New Roman" w:eastAsia="Times New Roman" w:hAnsi="Times New Roman" w:cs="Times New Roman"/>
          <w:color w:val="000000"/>
          <w:lang w:val="en-US" w:eastAsia="en-GB"/>
        </w:rPr>
        <w:t xml:space="preserve"> by the fact that the fulfilment of the condition to respect the </w:t>
      </w:r>
      <w:r w:rsidR="00A13431">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national constitutional requirements</w:t>
      </w:r>
      <w:r w:rsidR="00A13431">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may also be judicially reviewed by the CJEU.</w:t>
      </w:r>
      <w:r w:rsidRPr="00486DF6">
        <w:rPr>
          <w:rStyle w:val="FootnoteReference"/>
          <w:rFonts w:ascii="Times New Roman" w:eastAsia="Times New Roman" w:hAnsi="Times New Roman" w:cs="Times New Roman"/>
          <w:color w:val="000000"/>
          <w:lang w:val="en-US" w:eastAsia="en-GB"/>
        </w:rPr>
        <w:footnoteReference w:id="164"/>
      </w:r>
      <w:r w:rsidRPr="00486DF6">
        <w:rPr>
          <w:rFonts w:ascii="Times New Roman" w:eastAsia="Times New Roman" w:hAnsi="Times New Roman" w:cs="Times New Roman"/>
          <w:color w:val="000000"/>
          <w:lang w:val="en-US" w:eastAsia="en-GB"/>
        </w:rPr>
        <w:t xml:space="preserve"> Having said that, one has to accept that the ability of the CJEU to judicially review </w:t>
      </w:r>
      <w:r w:rsidR="00A13431">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national constitutional requirements</w:t>
      </w:r>
      <w:r w:rsidR="00A13431">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would be extremely modest. In essence, its role would be limited to ensuring that the relevant withdrawal would not be grossly violating the common constitutional traditions of the Member States per Article 6(3) of the TEU and the foundational values of the European constitutional order as provided by Article 2 of the TEU. If that </w:t>
      </w:r>
      <w:r w:rsidR="00D82B33" w:rsidRPr="00486DF6">
        <w:rPr>
          <w:rFonts w:ascii="Times New Roman" w:eastAsia="Times New Roman" w:hAnsi="Times New Roman" w:cs="Times New Roman"/>
          <w:color w:val="000000"/>
          <w:lang w:val="en-US" w:eastAsia="en-GB"/>
        </w:rPr>
        <w:t xml:space="preserve">were </w:t>
      </w:r>
      <w:r w:rsidRPr="00486DF6">
        <w:rPr>
          <w:rFonts w:ascii="Times New Roman" w:eastAsia="Times New Roman" w:hAnsi="Times New Roman" w:cs="Times New Roman"/>
          <w:color w:val="000000"/>
          <w:lang w:val="en-US" w:eastAsia="en-GB"/>
        </w:rPr>
        <w:t>to be proved, the EU would be faced with the following paradoxical scenario</w:t>
      </w:r>
      <w:r w:rsidR="002F7B3E" w:rsidRPr="00486DF6">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w:t>
      </w:r>
      <w:r w:rsidR="002F7B3E" w:rsidRPr="00486DF6">
        <w:rPr>
          <w:rFonts w:ascii="Times New Roman" w:eastAsia="Times New Roman" w:hAnsi="Times New Roman" w:cs="Times New Roman"/>
          <w:color w:val="000000"/>
          <w:lang w:val="en-US" w:eastAsia="en-GB"/>
        </w:rPr>
        <w:t>i</w:t>
      </w:r>
      <w:r w:rsidRPr="00486DF6">
        <w:rPr>
          <w:rFonts w:ascii="Times New Roman" w:eastAsia="Times New Roman" w:hAnsi="Times New Roman" w:cs="Times New Roman"/>
          <w:color w:val="000000"/>
          <w:lang w:val="en-US" w:eastAsia="en-GB"/>
        </w:rPr>
        <w:t xml:space="preserve">ts judicial branch would be blocking the withdrawal of a Member State due to breaches of constitutional principles that could have </w:t>
      </w:r>
      <w:r w:rsidR="002F7B3E" w:rsidRPr="00486DF6">
        <w:rPr>
          <w:rFonts w:ascii="Times New Roman" w:eastAsia="Times New Roman" w:hAnsi="Times New Roman" w:cs="Times New Roman"/>
          <w:color w:val="000000"/>
          <w:lang w:val="en-US" w:eastAsia="en-GB"/>
        </w:rPr>
        <w:t>led</w:t>
      </w:r>
      <w:r w:rsidR="00C45965" w:rsidRPr="00486DF6">
        <w:rPr>
          <w:rFonts w:ascii="Times New Roman" w:eastAsia="Times New Roman" w:hAnsi="Times New Roman" w:cs="Times New Roman"/>
          <w:color w:val="000000"/>
          <w:lang w:val="en-US" w:eastAsia="en-GB"/>
        </w:rPr>
        <w:t xml:space="preserve"> in any case </w:t>
      </w:r>
      <w:r w:rsidRPr="00486DF6">
        <w:rPr>
          <w:rFonts w:ascii="Times New Roman" w:eastAsia="Times New Roman" w:hAnsi="Times New Roman" w:cs="Times New Roman"/>
          <w:color w:val="000000"/>
          <w:lang w:val="en-US" w:eastAsia="en-GB"/>
        </w:rPr>
        <w:t>to a suspension of its membership rights according to Article 7. </w:t>
      </w:r>
    </w:p>
    <w:p w14:paraId="56D2A7D1" w14:textId="46ECEF59" w:rsidR="0001421D" w:rsidRDefault="0001421D" w:rsidP="00A13431">
      <w:pPr>
        <w:spacing w:line="480" w:lineRule="auto"/>
        <w:ind w:firstLine="720"/>
        <w:jc w:val="both"/>
        <w:rPr>
          <w:rFonts w:ascii="Times New Roman" w:eastAsiaTheme="minorEastAsia" w:hAnsi="Times New Roman" w:cs="Times New Roman"/>
          <w:color w:val="000000"/>
          <w:lang w:val="en-US"/>
        </w:rPr>
      </w:pPr>
      <w:r w:rsidRPr="00486DF6">
        <w:rPr>
          <w:rFonts w:ascii="Times New Roman" w:eastAsiaTheme="minorEastAsia" w:hAnsi="Times New Roman" w:cs="Times New Roman"/>
          <w:color w:val="000000"/>
          <w:lang w:val="en-US"/>
        </w:rPr>
        <w:t>With regard to the supranational limitation, on the other hand,</w:t>
      </w:r>
      <w:r w:rsidR="00C45965" w:rsidRPr="00486DF6">
        <w:rPr>
          <w:rFonts w:ascii="Times New Roman" w:eastAsiaTheme="minorEastAsia" w:hAnsi="Times New Roman" w:cs="Times New Roman"/>
          <w:color w:val="000000"/>
          <w:lang w:val="en-US"/>
        </w:rPr>
        <w:t xml:space="preserve"> it </w:t>
      </w:r>
      <w:r w:rsidRPr="00486DF6">
        <w:rPr>
          <w:rFonts w:ascii="Times New Roman" w:eastAsiaTheme="minorEastAsia" w:hAnsi="Times New Roman" w:cs="Times New Roman"/>
          <w:color w:val="000000"/>
          <w:lang w:val="en-US"/>
        </w:rPr>
        <w:t>should be noted</w:t>
      </w:r>
      <w:r w:rsidR="00C45965" w:rsidRPr="00486DF6">
        <w:rPr>
          <w:rFonts w:ascii="Times New Roman" w:eastAsiaTheme="minorEastAsia" w:hAnsi="Times New Roman" w:cs="Times New Roman"/>
          <w:color w:val="000000"/>
          <w:lang w:val="en-US"/>
        </w:rPr>
        <w:t xml:space="preserve"> that</w:t>
      </w:r>
      <w:r w:rsidRPr="00486DF6">
        <w:rPr>
          <w:rFonts w:ascii="Times New Roman" w:eastAsiaTheme="minorEastAsia" w:hAnsi="Times New Roman" w:cs="Times New Roman"/>
          <w:color w:val="000000"/>
          <w:lang w:val="en-US"/>
        </w:rPr>
        <w:t xml:space="preserve"> </w:t>
      </w:r>
      <w:r w:rsidR="00A13431">
        <w:rPr>
          <w:rFonts w:ascii="Times New Roman" w:eastAsiaTheme="minorEastAsia" w:hAnsi="Times New Roman" w:cs="Times New Roman"/>
          <w:color w:val="000000"/>
          <w:lang w:val="en-US"/>
        </w:rPr>
        <w:t>“</w:t>
      </w:r>
      <w:r w:rsidRPr="00486DF6">
        <w:rPr>
          <w:rFonts w:ascii="Times New Roman" w:eastAsiaTheme="minorEastAsia" w:hAnsi="Times New Roman" w:cs="Times New Roman"/>
          <w:color w:val="000000"/>
          <w:lang w:val="en-US"/>
        </w:rPr>
        <w:t xml:space="preserve">Article 50 TEU confers an </w:t>
      </w:r>
      <w:r w:rsidR="00A13431">
        <w:rPr>
          <w:rFonts w:ascii="Times New Roman" w:eastAsiaTheme="minorEastAsia" w:hAnsi="Times New Roman" w:cs="Times New Roman"/>
          <w:color w:val="000000"/>
          <w:lang w:val="en-US"/>
        </w:rPr>
        <w:t>‘</w:t>
      </w:r>
      <w:r w:rsidRPr="00486DF6">
        <w:rPr>
          <w:rFonts w:ascii="Times New Roman" w:eastAsiaTheme="minorEastAsia" w:hAnsi="Times New Roman" w:cs="Times New Roman"/>
          <w:color w:val="000000"/>
          <w:lang w:val="en-US"/>
        </w:rPr>
        <w:t>exceptional horizontal competence</w:t>
      </w:r>
      <w:r w:rsidR="00A13431">
        <w:rPr>
          <w:rFonts w:ascii="Times New Roman" w:eastAsiaTheme="minorEastAsia" w:hAnsi="Times New Roman" w:cs="Times New Roman"/>
          <w:color w:val="000000"/>
          <w:lang w:val="en-US"/>
        </w:rPr>
        <w:t>’</w:t>
      </w:r>
      <w:r w:rsidRPr="00486DF6">
        <w:rPr>
          <w:rFonts w:ascii="Times New Roman" w:eastAsiaTheme="minorEastAsia" w:hAnsi="Times New Roman" w:cs="Times New Roman"/>
          <w:color w:val="000000"/>
          <w:lang w:val="en-US"/>
        </w:rPr>
        <w:t xml:space="preserve">, enabling the Union to negotiate and conclude the withdrawal agreement deemed to encompass all matters necessary to arrange the </w:t>
      </w:r>
      <w:r w:rsidRPr="00486DF6">
        <w:rPr>
          <w:rFonts w:ascii="Times New Roman" w:eastAsiaTheme="minorEastAsia" w:hAnsi="Times New Roman" w:cs="Times New Roman"/>
          <w:color w:val="000000"/>
          <w:lang w:val="en-US"/>
        </w:rPr>
        <w:lastRenderedPageBreak/>
        <w:t>withdrawal.</w:t>
      </w:r>
      <w:r w:rsidR="00A13431">
        <w:rPr>
          <w:rFonts w:ascii="Times New Roman" w:eastAsiaTheme="minorEastAsia" w:hAnsi="Times New Roman" w:cs="Times New Roman"/>
          <w:color w:val="000000"/>
          <w:lang w:val="en-US"/>
        </w:rPr>
        <w:t>”</w:t>
      </w:r>
      <w:r w:rsidRPr="00486DF6">
        <w:rPr>
          <w:rStyle w:val="FootnoteReference"/>
          <w:rFonts w:ascii="Times New Roman" w:eastAsiaTheme="minorEastAsia" w:hAnsi="Times New Roman" w:cs="Times New Roman"/>
          <w:color w:val="000000"/>
          <w:lang w:val="en-US"/>
        </w:rPr>
        <w:footnoteReference w:id="165"/>
      </w:r>
      <w:r w:rsidRPr="00486DF6">
        <w:rPr>
          <w:rFonts w:ascii="Times New Roman" w:eastAsiaTheme="minorEastAsia" w:hAnsi="Times New Roman" w:cs="Times New Roman"/>
          <w:color w:val="000000"/>
          <w:lang w:val="en-US"/>
        </w:rPr>
        <w:t xml:space="preserve"> Despite the wide scope of this exceptional competence, </w:t>
      </w:r>
      <w:proofErr w:type="spellStart"/>
      <w:r w:rsidRPr="00486DF6">
        <w:rPr>
          <w:rFonts w:ascii="Times New Roman" w:eastAsiaTheme="minorEastAsia" w:hAnsi="Times New Roman" w:cs="Times New Roman"/>
          <w:color w:val="000000"/>
          <w:lang w:val="en-US"/>
        </w:rPr>
        <w:t>Tridimas</w:t>
      </w:r>
      <w:proofErr w:type="spellEnd"/>
      <w:r w:rsidRPr="00486DF6">
        <w:rPr>
          <w:rFonts w:ascii="Times New Roman" w:eastAsiaTheme="minorEastAsia" w:hAnsi="Times New Roman" w:cs="Times New Roman"/>
          <w:color w:val="000000"/>
          <w:lang w:val="en-US"/>
        </w:rPr>
        <w:t xml:space="preserve"> suggests that “in concluding the withdrawal agreement the EU […] is bound to respect the EU Treaties and higher ranking constitutional norms of EU law</w:t>
      </w:r>
      <w:r w:rsidR="00A5563C">
        <w:rPr>
          <w:rFonts w:ascii="Times New Roman" w:eastAsiaTheme="minorEastAsia" w:hAnsi="Times New Roman" w:cs="Times New Roman"/>
          <w:color w:val="000000"/>
          <w:lang w:val="en-US"/>
        </w:rPr>
        <w:t>.</w:t>
      </w:r>
      <w:r w:rsidRPr="00486DF6">
        <w:rPr>
          <w:rFonts w:ascii="Times New Roman" w:eastAsiaTheme="minorEastAsia" w:hAnsi="Times New Roman" w:cs="Times New Roman"/>
          <w:color w:val="000000"/>
          <w:lang w:val="en-US"/>
        </w:rPr>
        <w:t>”</w:t>
      </w:r>
      <w:r w:rsidRPr="00486DF6">
        <w:rPr>
          <w:rStyle w:val="FootnoteReference"/>
          <w:rFonts w:ascii="Times New Roman" w:eastAsiaTheme="minorEastAsia" w:hAnsi="Times New Roman" w:cs="Times New Roman"/>
          <w:color w:val="000000"/>
          <w:lang w:val="en-US"/>
        </w:rPr>
        <w:footnoteReference w:id="166"/>
      </w:r>
      <w:r w:rsidRPr="00486DF6">
        <w:rPr>
          <w:rFonts w:ascii="Times New Roman" w:eastAsiaTheme="minorEastAsia" w:hAnsi="Times New Roman" w:cs="Times New Roman"/>
          <w:color w:val="000000"/>
          <w:lang w:val="en-US"/>
        </w:rPr>
        <w:t xml:space="preserve"> In fact, the CJEU</w:t>
      </w:r>
      <w:r w:rsidR="00250612" w:rsidRPr="00486DF6">
        <w:rPr>
          <w:rFonts w:ascii="Times New Roman" w:eastAsiaTheme="minorEastAsia" w:hAnsi="Times New Roman" w:cs="Times New Roman"/>
          <w:color w:val="000000"/>
          <w:lang w:val="en-US"/>
        </w:rPr>
        <w:t xml:space="preserve"> held</w:t>
      </w:r>
      <w:r w:rsidRPr="00486DF6">
        <w:rPr>
          <w:rFonts w:ascii="Times New Roman" w:eastAsiaTheme="minorEastAsia" w:hAnsi="Times New Roman" w:cs="Times New Roman"/>
          <w:color w:val="000000"/>
          <w:lang w:val="en-US"/>
        </w:rPr>
        <w:t xml:space="preserve"> in </w:t>
      </w:r>
      <w:r w:rsidRPr="00486DF6">
        <w:rPr>
          <w:rFonts w:ascii="Times New Roman" w:eastAsiaTheme="minorEastAsia" w:hAnsi="Times New Roman" w:cs="Times New Roman"/>
          <w:i/>
          <w:iCs/>
          <w:color w:val="000000"/>
          <w:lang w:val="en-US"/>
        </w:rPr>
        <w:t>Kadi</w:t>
      </w:r>
      <w:r w:rsidR="00250612" w:rsidRPr="00486DF6">
        <w:rPr>
          <w:rFonts w:ascii="Times New Roman" w:eastAsiaTheme="minorEastAsia" w:hAnsi="Times New Roman" w:cs="Times New Roman"/>
          <w:color w:val="000000"/>
          <w:lang w:val="en-US"/>
        </w:rPr>
        <w:t xml:space="preserve"> </w:t>
      </w:r>
      <w:r w:rsidRPr="00486DF6">
        <w:rPr>
          <w:rFonts w:ascii="Times New Roman" w:eastAsiaTheme="minorEastAsia" w:hAnsi="Times New Roman" w:cs="Times New Roman"/>
          <w:color w:val="000000"/>
          <w:lang w:val="en-US"/>
        </w:rPr>
        <w:t>that the obligations imposed on the EU by an international agreement cannot have the effect of prejudicing the constitutional principles of EU law</w:t>
      </w:r>
      <w:r w:rsidR="00250612" w:rsidRPr="00486DF6">
        <w:rPr>
          <w:rFonts w:ascii="Times New Roman" w:eastAsiaTheme="minorEastAsia" w:hAnsi="Times New Roman" w:cs="Times New Roman"/>
          <w:color w:val="000000"/>
          <w:lang w:val="en-US"/>
        </w:rPr>
        <w:t>,</w:t>
      </w:r>
      <w:r w:rsidRPr="00486DF6">
        <w:rPr>
          <w:rFonts w:ascii="Times New Roman" w:eastAsiaTheme="minorEastAsia" w:hAnsi="Times New Roman" w:cs="Times New Roman"/>
          <w:color w:val="000000"/>
          <w:lang w:val="en-US"/>
        </w:rPr>
        <w:t xml:space="preserve"> which include the principle that all EU acts must respect fundamental rights.</w:t>
      </w:r>
      <w:r w:rsidRPr="00486DF6">
        <w:rPr>
          <w:rStyle w:val="FootnoteReference"/>
          <w:rFonts w:ascii="Times New Roman" w:eastAsiaTheme="minorEastAsia" w:hAnsi="Times New Roman" w:cs="Times New Roman"/>
          <w:color w:val="000000"/>
          <w:lang w:val="en-US"/>
        </w:rPr>
        <w:footnoteReference w:id="167"/>
      </w:r>
      <w:r w:rsidRPr="00486DF6">
        <w:rPr>
          <w:rFonts w:ascii="Times New Roman" w:eastAsiaTheme="minorEastAsia" w:hAnsi="Times New Roman" w:cs="Times New Roman"/>
          <w:color w:val="000000"/>
          <w:lang w:val="en-US"/>
        </w:rPr>
        <w:t xml:space="preserve"> This means that the terms of the orderly withdrawal of a Member State should not violat</w:t>
      </w:r>
      <w:r w:rsidR="00C45965" w:rsidRPr="00486DF6">
        <w:rPr>
          <w:rFonts w:ascii="Times New Roman" w:eastAsiaTheme="minorEastAsia" w:hAnsi="Times New Roman" w:cs="Times New Roman"/>
          <w:color w:val="000000"/>
          <w:lang w:val="en-US"/>
        </w:rPr>
        <w:t>e</w:t>
      </w:r>
      <w:r w:rsidRPr="00486DF6">
        <w:rPr>
          <w:rFonts w:ascii="Times New Roman" w:eastAsiaTheme="minorEastAsia" w:hAnsi="Times New Roman" w:cs="Times New Roman"/>
          <w:color w:val="000000"/>
          <w:lang w:val="en-US"/>
        </w:rPr>
        <w:t xml:space="preserve"> the Article 2 TEU values</w:t>
      </w:r>
      <w:r w:rsidR="00250612" w:rsidRPr="00486DF6">
        <w:rPr>
          <w:rFonts w:ascii="Times New Roman" w:eastAsiaTheme="minorEastAsia" w:hAnsi="Times New Roman" w:cs="Times New Roman"/>
          <w:color w:val="000000"/>
          <w:lang w:val="en-US"/>
        </w:rPr>
        <w:t>,</w:t>
      </w:r>
      <w:r w:rsidRPr="00486DF6">
        <w:rPr>
          <w:rFonts w:ascii="Times New Roman" w:eastAsiaTheme="minorEastAsia" w:hAnsi="Times New Roman" w:cs="Times New Roman"/>
          <w:color w:val="000000"/>
          <w:lang w:val="en-US"/>
        </w:rPr>
        <w:t xml:space="preserve"> including democracy, rule of law and protection of human rights. Indeed, to do that, the Withdrawal Agreement that the EU and the UK endorsed in 2019 is a wide-ranging international treaty that settles the rights of </w:t>
      </w:r>
      <w:r w:rsidR="00250612" w:rsidRPr="00486DF6">
        <w:rPr>
          <w:rFonts w:ascii="Times New Roman" w:eastAsiaTheme="minorEastAsia" w:hAnsi="Times New Roman" w:cs="Times New Roman"/>
          <w:i/>
          <w:iCs/>
          <w:color w:val="000000"/>
          <w:lang w:val="en-US"/>
        </w:rPr>
        <w:t xml:space="preserve">inter alia </w:t>
      </w:r>
      <w:r w:rsidRPr="00486DF6">
        <w:rPr>
          <w:rFonts w:ascii="Times New Roman" w:eastAsiaTheme="minorEastAsia" w:hAnsi="Times New Roman" w:cs="Times New Roman"/>
          <w:color w:val="000000"/>
          <w:lang w:val="en-US"/>
        </w:rPr>
        <w:t>EU citizens living in the UK, UK citizens living in the EU and their families,</w:t>
      </w:r>
      <w:r w:rsidRPr="00486DF6">
        <w:rPr>
          <w:rStyle w:val="FootnoteReference"/>
          <w:rFonts w:ascii="Times New Roman" w:eastAsiaTheme="minorEastAsia" w:hAnsi="Times New Roman" w:cs="Times New Roman"/>
          <w:color w:val="000000"/>
          <w:lang w:val="en-US"/>
        </w:rPr>
        <w:footnoteReference w:id="168"/>
      </w:r>
      <w:r w:rsidRPr="00486DF6">
        <w:rPr>
          <w:rFonts w:ascii="Times New Roman" w:eastAsiaTheme="minorEastAsia" w:hAnsi="Times New Roman" w:cs="Times New Roman"/>
          <w:color w:val="000000"/>
          <w:lang w:val="en-US"/>
        </w:rPr>
        <w:t xml:space="preserve"> includes rules on dispute settlement</w:t>
      </w:r>
      <w:r w:rsidRPr="00486DF6">
        <w:rPr>
          <w:rStyle w:val="FootnoteReference"/>
          <w:rFonts w:ascii="Times New Roman" w:eastAsiaTheme="minorEastAsia" w:hAnsi="Times New Roman" w:cs="Times New Roman"/>
          <w:color w:val="000000"/>
          <w:lang w:val="en-US"/>
        </w:rPr>
        <w:footnoteReference w:id="169"/>
      </w:r>
      <w:r w:rsidRPr="00486DF6">
        <w:rPr>
          <w:rFonts w:ascii="Times New Roman" w:eastAsiaTheme="minorEastAsia" w:hAnsi="Times New Roman" w:cs="Times New Roman"/>
          <w:color w:val="000000"/>
          <w:lang w:val="en-US"/>
        </w:rPr>
        <w:t xml:space="preserve"> and provides an imaginative solution with regard to Northern Ireland</w:t>
      </w:r>
      <w:r w:rsidR="00250612" w:rsidRPr="00486DF6">
        <w:rPr>
          <w:rFonts w:ascii="Times New Roman" w:eastAsiaTheme="minorEastAsia" w:hAnsi="Times New Roman" w:cs="Times New Roman"/>
          <w:color w:val="000000"/>
          <w:lang w:val="en-US"/>
        </w:rPr>
        <w:t>.</w:t>
      </w:r>
      <w:r w:rsidRPr="00486DF6">
        <w:rPr>
          <w:rStyle w:val="FootnoteReference"/>
          <w:rFonts w:ascii="Times New Roman" w:eastAsiaTheme="minorEastAsia" w:hAnsi="Times New Roman" w:cs="Times New Roman"/>
          <w:color w:val="000000"/>
          <w:lang w:val="en-US"/>
        </w:rPr>
        <w:footnoteReference w:id="170"/>
      </w:r>
      <w:r w:rsidRPr="00486DF6">
        <w:rPr>
          <w:rFonts w:ascii="Times New Roman" w:eastAsiaTheme="minorEastAsia" w:hAnsi="Times New Roman" w:cs="Times New Roman"/>
          <w:color w:val="000000"/>
          <w:lang w:val="en-US"/>
        </w:rPr>
        <w:t xml:space="preserve"> </w:t>
      </w:r>
    </w:p>
    <w:p w14:paraId="365080AF" w14:textId="04FC501B" w:rsidR="0010735B" w:rsidRPr="0010735B" w:rsidRDefault="0010735B" w:rsidP="0010735B">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Overall, the fact that respect to Article 2 TEU consists of a limitation to the unilateral nature of Article 50 TEU reminds us that functional secession is not an extra-legal instrument of the EU legal order. </w:t>
      </w:r>
      <w:r w:rsidR="00D25273">
        <w:rPr>
          <w:rFonts w:ascii="Times New Roman" w:hAnsi="Times New Roman" w:cs="Times New Roman"/>
          <w:lang w:val="en-US"/>
        </w:rPr>
        <w:t xml:space="preserve">It is another vehicle for the expression of constitutional conflicts—the most extreme instrument of </w:t>
      </w:r>
      <w:proofErr w:type="spellStart"/>
      <w:r w:rsidR="00D25273">
        <w:rPr>
          <w:rFonts w:ascii="Times New Roman" w:hAnsi="Times New Roman" w:cs="Times New Roman"/>
          <w:lang w:val="en-US"/>
        </w:rPr>
        <w:t>contestatory</w:t>
      </w:r>
      <w:proofErr w:type="spellEnd"/>
      <w:r w:rsidR="00D25273">
        <w:rPr>
          <w:rFonts w:ascii="Times New Roman" w:hAnsi="Times New Roman" w:cs="Times New Roman"/>
          <w:lang w:val="en-US"/>
        </w:rPr>
        <w:t xml:space="preserve"> federalism. </w:t>
      </w:r>
      <w:r w:rsidR="00DC44E9">
        <w:rPr>
          <w:rFonts w:ascii="Times New Roman" w:hAnsi="Times New Roman" w:cs="Times New Roman"/>
          <w:lang w:val="en-US"/>
        </w:rPr>
        <w:t>Having said that, a</w:t>
      </w:r>
      <w:r>
        <w:rPr>
          <w:rFonts w:ascii="Times New Roman" w:hAnsi="Times New Roman" w:cs="Times New Roman"/>
          <w:lang w:val="en-US"/>
        </w:rPr>
        <w:t>n orderly complete withdrawal from the EU –</w:t>
      </w:r>
      <w:r w:rsidR="00B44737">
        <w:rPr>
          <w:rFonts w:ascii="Times New Roman" w:hAnsi="Times New Roman" w:cs="Times New Roman"/>
          <w:lang w:val="en-US"/>
        </w:rPr>
        <w:t xml:space="preserve"> </w:t>
      </w:r>
      <w:r>
        <w:rPr>
          <w:rFonts w:ascii="Times New Roman" w:hAnsi="Times New Roman" w:cs="Times New Roman"/>
          <w:lang w:val="en-US"/>
        </w:rPr>
        <w:t>which is the preferred outcome of this ultimate struggle between national sovereignty and EU primacy law</w:t>
      </w:r>
      <w:r w:rsidR="00B44737">
        <w:rPr>
          <w:rFonts w:ascii="Times New Roman" w:hAnsi="Times New Roman" w:cs="Times New Roman"/>
          <w:lang w:val="en-US"/>
        </w:rPr>
        <w:t xml:space="preserve"> –</w:t>
      </w:r>
      <w:r>
        <w:rPr>
          <w:rFonts w:ascii="Times New Roman" w:hAnsi="Times New Roman" w:cs="Times New Roman"/>
          <w:lang w:val="en-US"/>
        </w:rPr>
        <w:t xml:space="preserve"> should not violate the foundational values of this legal order.</w:t>
      </w:r>
      <w:r w:rsidR="002007FB">
        <w:rPr>
          <w:rFonts w:ascii="Times New Roman" w:hAnsi="Times New Roman" w:cs="Times New Roman"/>
          <w:lang w:val="en-US"/>
        </w:rPr>
        <w:t xml:space="preserve"> Despite the unilateral nature of the right, such emphasis on the respect of the Article 2 TEU foundational values ensures that the complete withdrawal of a Member State from the overall federal pact would take </w:t>
      </w:r>
      <w:r w:rsidR="002007FB">
        <w:rPr>
          <w:rFonts w:ascii="Times New Roman" w:hAnsi="Times New Roman" w:cs="Times New Roman"/>
          <w:lang w:val="en-US"/>
        </w:rPr>
        <w:lastRenderedPageBreak/>
        <w:t>place in a smooth and peaceful fashion.</w:t>
      </w:r>
      <w:r w:rsidR="00DC44E9">
        <w:rPr>
          <w:rFonts w:ascii="Times New Roman" w:hAnsi="Times New Roman" w:cs="Times New Roman"/>
          <w:lang w:val="en-US"/>
        </w:rPr>
        <w:t xml:space="preserve"> In other words, a Member State which cannot achieve a partial withdrawal from the overall federal pact </w:t>
      </w:r>
      <w:r w:rsidR="007F0C59">
        <w:rPr>
          <w:rFonts w:ascii="Times New Roman" w:hAnsi="Times New Roman" w:cs="Times New Roman"/>
          <w:lang w:val="en-US"/>
        </w:rPr>
        <w:t>(</w:t>
      </w:r>
      <w:proofErr w:type="spellStart"/>
      <w:r w:rsidR="007F0C59">
        <w:rPr>
          <w:rFonts w:ascii="Times New Roman" w:hAnsi="Times New Roman" w:cs="Times New Roman"/>
          <w:lang w:val="en-US"/>
        </w:rPr>
        <w:t>ie</w:t>
      </w:r>
      <w:proofErr w:type="spellEnd"/>
      <w:r w:rsidR="007F0C59">
        <w:rPr>
          <w:rFonts w:ascii="Times New Roman" w:hAnsi="Times New Roman" w:cs="Times New Roman"/>
          <w:lang w:val="en-US"/>
        </w:rPr>
        <w:t xml:space="preserve">. nullification) </w:t>
      </w:r>
      <w:r w:rsidR="00DC44E9">
        <w:rPr>
          <w:rFonts w:ascii="Times New Roman" w:hAnsi="Times New Roman" w:cs="Times New Roman"/>
          <w:lang w:val="en-US"/>
        </w:rPr>
        <w:t>can unilaterally trigger Article 50 TEU. However, the withdrawal negotiations should not violate the Article 2 TEU values to ensure a smooth transition to the new state of affairs.</w:t>
      </w:r>
    </w:p>
    <w:p w14:paraId="247BCFC8" w14:textId="77777777" w:rsidR="0001421D" w:rsidRPr="00486DF6" w:rsidRDefault="0001421D" w:rsidP="000E4CEC">
      <w:pPr>
        <w:spacing w:line="480" w:lineRule="auto"/>
        <w:jc w:val="both"/>
        <w:rPr>
          <w:rFonts w:ascii="Times New Roman" w:eastAsiaTheme="minorEastAsia" w:hAnsi="Times New Roman" w:cs="Times New Roman"/>
          <w:color w:val="000000"/>
          <w:lang w:val="en-US"/>
        </w:rPr>
      </w:pPr>
    </w:p>
    <w:p w14:paraId="6587E76C" w14:textId="200E7374" w:rsidR="00997DE5" w:rsidRPr="00A13431" w:rsidRDefault="00FD53C8" w:rsidP="000E4CEC">
      <w:pPr>
        <w:spacing w:line="480" w:lineRule="auto"/>
        <w:jc w:val="both"/>
        <w:rPr>
          <w:rFonts w:ascii="Times New Roman" w:eastAsia="Times New Roman" w:hAnsi="Times New Roman" w:cs="Times New Roman"/>
          <w:color w:val="000000"/>
          <w:lang w:val="en-US" w:eastAsia="en-GB"/>
        </w:rPr>
      </w:pPr>
      <w:r w:rsidRPr="00A13431">
        <w:rPr>
          <w:rFonts w:ascii="Times New Roman" w:eastAsia="Times New Roman" w:hAnsi="Times New Roman" w:cs="Times New Roman"/>
          <w:i/>
          <w:iCs/>
          <w:color w:val="000000"/>
          <w:lang w:val="en-US" w:eastAsia="en-GB"/>
        </w:rPr>
        <w:t>B</w:t>
      </w:r>
      <w:r w:rsidR="00997DE5" w:rsidRPr="00A13431">
        <w:rPr>
          <w:rFonts w:ascii="Times New Roman" w:eastAsia="Times New Roman" w:hAnsi="Times New Roman" w:cs="Times New Roman"/>
          <w:i/>
          <w:iCs/>
          <w:color w:val="000000"/>
          <w:lang w:val="en-US" w:eastAsia="en-GB"/>
        </w:rPr>
        <w:t xml:space="preserve">. </w:t>
      </w:r>
      <w:r w:rsidR="00997DE5" w:rsidRPr="00A13431">
        <w:rPr>
          <w:rFonts w:ascii="Times New Roman" w:eastAsia="Times New Roman" w:hAnsi="Times New Roman" w:cs="Times New Roman"/>
          <w:i/>
          <w:iCs/>
          <w:color w:val="000000"/>
          <w:lang w:val="en-US" w:eastAsia="en-GB"/>
        </w:rPr>
        <w:tab/>
        <w:t>The (Un)conditional Nature of Article 50</w:t>
      </w:r>
      <w:r w:rsidR="00532A3A">
        <w:rPr>
          <w:rFonts w:ascii="Times New Roman" w:eastAsia="Times New Roman" w:hAnsi="Times New Roman" w:cs="Times New Roman"/>
          <w:i/>
          <w:iCs/>
          <w:color w:val="000000"/>
          <w:lang w:val="en-US" w:eastAsia="en-GB"/>
        </w:rPr>
        <w:t xml:space="preserve"> TEU</w:t>
      </w:r>
    </w:p>
    <w:p w14:paraId="2EE5B863" w14:textId="4E7DB262" w:rsidR="00997DE5" w:rsidRPr="00486DF6" w:rsidRDefault="00997DE5" w:rsidP="00A13431">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 xml:space="preserve">Apart from unilateral, the exercise of the </w:t>
      </w:r>
      <w:r w:rsidR="00532A3A" w:rsidRPr="00486DF6">
        <w:rPr>
          <w:rFonts w:ascii="Times New Roman" w:eastAsia="Times New Roman" w:hAnsi="Times New Roman" w:cs="Times New Roman"/>
          <w:color w:val="000000"/>
          <w:lang w:val="en-US" w:eastAsia="en-GB"/>
        </w:rPr>
        <w:t xml:space="preserve">Article 50 TEU </w:t>
      </w:r>
      <w:r w:rsidRPr="00486DF6">
        <w:rPr>
          <w:rFonts w:ascii="Times New Roman" w:eastAsia="Times New Roman" w:hAnsi="Times New Roman" w:cs="Times New Roman"/>
          <w:color w:val="000000"/>
          <w:lang w:val="en-US" w:eastAsia="en-GB"/>
        </w:rPr>
        <w:t xml:space="preserve">right to </w:t>
      </w:r>
      <w:r w:rsidR="00532A3A">
        <w:rPr>
          <w:rFonts w:ascii="Times New Roman" w:eastAsia="Times New Roman" w:hAnsi="Times New Roman" w:cs="Times New Roman"/>
          <w:color w:val="000000"/>
          <w:lang w:val="en-US" w:eastAsia="en-GB"/>
        </w:rPr>
        <w:t xml:space="preserve">wholly </w:t>
      </w:r>
      <w:r w:rsidRPr="00486DF6">
        <w:rPr>
          <w:rFonts w:ascii="Times New Roman" w:eastAsia="Times New Roman" w:hAnsi="Times New Roman" w:cs="Times New Roman"/>
          <w:color w:val="000000"/>
          <w:lang w:val="en-US" w:eastAsia="en-GB"/>
        </w:rPr>
        <w:t>withdraw</w:t>
      </w:r>
      <w:r w:rsidR="00532A3A">
        <w:rPr>
          <w:rFonts w:ascii="Times New Roman" w:eastAsia="Times New Roman" w:hAnsi="Times New Roman" w:cs="Times New Roman"/>
          <w:color w:val="000000"/>
          <w:lang w:val="en-US" w:eastAsia="en-GB"/>
        </w:rPr>
        <w:t xml:space="preserve"> from the EU</w:t>
      </w:r>
      <w:r w:rsidRPr="00486DF6">
        <w:rPr>
          <w:rFonts w:ascii="Times New Roman" w:eastAsia="Times New Roman" w:hAnsi="Times New Roman" w:cs="Times New Roman"/>
          <w:color w:val="000000"/>
          <w:lang w:val="en-US" w:eastAsia="en-GB"/>
        </w:rPr>
        <w:t xml:space="preserve"> is also unconditional</w:t>
      </w:r>
      <w:r w:rsidR="00532A3A">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w:t>
      </w:r>
      <w:r w:rsidR="00532A3A">
        <w:rPr>
          <w:rFonts w:ascii="Times New Roman" w:eastAsia="Times New Roman" w:hAnsi="Times New Roman" w:cs="Times New Roman"/>
          <w:color w:val="000000"/>
          <w:lang w:val="en-US" w:eastAsia="en-GB"/>
        </w:rPr>
        <w:t>I</w:t>
      </w:r>
      <w:r w:rsidRPr="00486DF6">
        <w:rPr>
          <w:rFonts w:ascii="Times New Roman" w:eastAsia="Times New Roman" w:hAnsi="Times New Roman" w:cs="Times New Roman"/>
          <w:color w:val="000000"/>
          <w:lang w:val="en-US" w:eastAsia="en-GB"/>
        </w:rPr>
        <w:t xml:space="preserve">t </w:t>
      </w:r>
      <w:r w:rsidR="00A13431">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is not subjected to any preliminary verification of conditions nor is it even conditional on the conclusion of the agreement foreseen in the provision.</w:t>
      </w:r>
      <w:r w:rsidR="00A13431">
        <w:rPr>
          <w:rFonts w:ascii="Times New Roman" w:eastAsia="Times New Roman" w:hAnsi="Times New Roman" w:cs="Times New Roman"/>
          <w:color w:val="000000"/>
          <w:lang w:val="en-US" w:eastAsia="en-GB"/>
        </w:rPr>
        <w:t>”</w:t>
      </w:r>
      <w:r w:rsidRPr="00486DF6">
        <w:rPr>
          <w:rStyle w:val="FootnoteReference"/>
          <w:rFonts w:ascii="Times New Roman" w:eastAsia="Times New Roman" w:hAnsi="Times New Roman" w:cs="Times New Roman"/>
          <w:color w:val="000000"/>
          <w:lang w:val="en-US" w:eastAsia="en-GB"/>
        </w:rPr>
        <w:footnoteReference w:id="171"/>
      </w:r>
      <w:r w:rsidRPr="00486DF6">
        <w:rPr>
          <w:rFonts w:ascii="Times New Roman" w:eastAsia="Times New Roman" w:hAnsi="Times New Roman" w:cs="Times New Roman"/>
          <w:color w:val="000000"/>
          <w:lang w:val="en-US" w:eastAsia="en-GB"/>
        </w:rPr>
        <w:t xml:space="preserve">  Article 50(1) allows a Member State </w:t>
      </w:r>
      <w:r w:rsidR="00A13431">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to withdraw from the Union in accordance with its own constitutional requirements.</w:t>
      </w:r>
      <w:r w:rsidR="00A13431">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 xml:space="preserve"> Article 50(3) foresees that the withdrawal can take place two years after the Member State has notified the EU of its intention to leave even if no withdrawal agreement has been achieved by then. Once the notification of Article 50 has been submitted, the withdrawal of a Member State is certain –</w:t>
      </w:r>
      <w:r w:rsidR="007567E6">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even in a disorderly fashion that could harm the political and economic interests of both the EU and the withdrawing State</w:t>
      </w:r>
      <w:r w:rsidR="007567E6">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lang w:val="en-US" w:eastAsia="en-GB"/>
        </w:rPr>
        <w:t>– unless revoked by the State itself. </w:t>
      </w:r>
    </w:p>
    <w:p w14:paraId="434A1CEE" w14:textId="487249A2" w:rsidR="00997DE5" w:rsidRPr="00486DF6" w:rsidRDefault="00997DE5" w:rsidP="00A13431">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This</w:t>
      </w:r>
      <w:r w:rsidR="00C45965" w:rsidRPr="00486DF6">
        <w:rPr>
          <w:rFonts w:ascii="Times New Roman" w:eastAsia="Times New Roman" w:hAnsi="Times New Roman" w:cs="Times New Roman"/>
          <w:color w:val="000000"/>
          <w:lang w:val="en-US" w:eastAsia="en-GB"/>
        </w:rPr>
        <w:t xml:space="preserve"> stands</w:t>
      </w:r>
      <w:r w:rsidRPr="00486DF6">
        <w:rPr>
          <w:rFonts w:ascii="Times New Roman" w:eastAsia="Times New Roman" w:hAnsi="Times New Roman" w:cs="Times New Roman"/>
          <w:color w:val="000000"/>
          <w:lang w:val="en-US" w:eastAsia="en-GB"/>
        </w:rPr>
        <w:t xml:space="preserve"> in marked contrast with the majority of constitutional provisions that regulate secessions. Most of them provide for conditions with regard to the </w:t>
      </w:r>
      <w:r w:rsidR="00A13431" w:rsidRPr="00486DF6">
        <w:rPr>
          <w:rFonts w:ascii="Times New Roman" w:eastAsia="Times New Roman" w:hAnsi="Times New Roman" w:cs="Times New Roman"/>
          <w:color w:val="000000"/>
          <w:lang w:val="en-US" w:eastAsia="en-GB"/>
        </w:rPr>
        <w:t>organization</w:t>
      </w:r>
      <w:r w:rsidRPr="00486DF6">
        <w:rPr>
          <w:rFonts w:ascii="Times New Roman" w:eastAsia="Times New Roman" w:hAnsi="Times New Roman" w:cs="Times New Roman"/>
          <w:color w:val="000000"/>
          <w:lang w:val="en-US" w:eastAsia="en-GB"/>
        </w:rPr>
        <w:t xml:space="preserve"> of a referendum that could potentially lead to secession and/or foresee an </w:t>
      </w:r>
      <w:r w:rsidRPr="00486DF6">
        <w:rPr>
          <w:rFonts w:ascii="Times New Roman" w:eastAsia="Times New Roman" w:hAnsi="Times New Roman" w:cs="Times New Roman"/>
          <w:i/>
          <w:iCs/>
          <w:color w:val="000000"/>
          <w:lang w:val="en-US" w:eastAsia="en-GB"/>
        </w:rPr>
        <w:t xml:space="preserve">inter partes </w:t>
      </w:r>
      <w:r w:rsidRPr="00486DF6">
        <w:rPr>
          <w:rFonts w:ascii="Times New Roman" w:eastAsia="Times New Roman" w:hAnsi="Times New Roman" w:cs="Times New Roman"/>
          <w:color w:val="000000"/>
          <w:lang w:val="en-US" w:eastAsia="en-GB"/>
        </w:rPr>
        <w:t xml:space="preserve">agreement as an important step to </w:t>
      </w:r>
      <w:r w:rsidR="00A13431" w:rsidRPr="00486DF6">
        <w:rPr>
          <w:rFonts w:ascii="Times New Roman" w:eastAsia="Times New Roman" w:hAnsi="Times New Roman" w:cs="Times New Roman"/>
          <w:color w:val="000000"/>
          <w:lang w:val="en-US" w:eastAsia="en-GB"/>
        </w:rPr>
        <w:t>finalize</w:t>
      </w:r>
      <w:r w:rsidRPr="00486DF6">
        <w:rPr>
          <w:rFonts w:ascii="Times New Roman" w:eastAsia="Times New Roman" w:hAnsi="Times New Roman" w:cs="Times New Roman"/>
          <w:color w:val="000000"/>
          <w:lang w:val="en-US" w:eastAsia="en-GB"/>
        </w:rPr>
        <w:t xml:space="preserve"> the process. For instance, a referendum for the reunification of Ireland can only be </w:t>
      </w:r>
      <w:r w:rsidR="00A13431" w:rsidRPr="00486DF6">
        <w:rPr>
          <w:rFonts w:ascii="Times New Roman" w:eastAsia="Times New Roman" w:hAnsi="Times New Roman" w:cs="Times New Roman"/>
          <w:color w:val="000000"/>
          <w:lang w:val="en-US" w:eastAsia="en-GB"/>
        </w:rPr>
        <w:t>organized</w:t>
      </w:r>
      <w:r w:rsidRPr="00486DF6">
        <w:rPr>
          <w:rFonts w:ascii="Times New Roman" w:eastAsia="Times New Roman" w:hAnsi="Times New Roman" w:cs="Times New Roman"/>
          <w:color w:val="000000"/>
          <w:lang w:val="en-US" w:eastAsia="en-GB"/>
        </w:rPr>
        <w:t xml:space="preserve"> if </w:t>
      </w:r>
      <w:r w:rsidR="00A13431">
        <w:rPr>
          <w:rFonts w:ascii="Times New Roman" w:eastAsia="Times New Roman" w:hAnsi="Times New Roman" w:cs="Times New Roman"/>
          <w:color w:val="000000"/>
          <w:shd w:val="clear" w:color="auto" w:fill="FFFFFF"/>
          <w:lang w:val="en-US" w:eastAsia="en-GB"/>
        </w:rPr>
        <w:t>“</w:t>
      </w:r>
      <w:r w:rsidRPr="00486DF6">
        <w:rPr>
          <w:rFonts w:ascii="Times New Roman" w:eastAsia="Times New Roman" w:hAnsi="Times New Roman" w:cs="Times New Roman"/>
          <w:color w:val="000000"/>
          <w:lang w:val="en-US" w:eastAsia="en-GB"/>
        </w:rPr>
        <w:t xml:space="preserve">it appears likely to [the UK Secretary of State] that a majority of those voting would express a wish that Northern Ireland should cease to be part of the United Kingdom and form part </w:t>
      </w:r>
      <w:r w:rsidRPr="00486DF6">
        <w:rPr>
          <w:rFonts w:ascii="Times New Roman" w:eastAsia="Times New Roman" w:hAnsi="Times New Roman" w:cs="Times New Roman"/>
          <w:color w:val="000000"/>
          <w:lang w:val="en-US" w:eastAsia="en-GB"/>
        </w:rPr>
        <w:lastRenderedPageBreak/>
        <w:t>of a united Ireland.</w:t>
      </w:r>
      <w:r w:rsidR="00A13431">
        <w:rPr>
          <w:rFonts w:ascii="Times New Roman" w:eastAsia="Times New Roman" w:hAnsi="Times New Roman" w:cs="Times New Roman"/>
          <w:color w:val="000000"/>
          <w:lang w:val="en-US" w:eastAsia="en-GB"/>
        </w:rPr>
        <w:t>”</w:t>
      </w:r>
      <w:r w:rsidRPr="00486DF6">
        <w:rPr>
          <w:rStyle w:val="FootnoteReference"/>
          <w:rFonts w:ascii="Times New Roman" w:eastAsia="Times New Roman" w:hAnsi="Times New Roman" w:cs="Times New Roman"/>
          <w:color w:val="000000"/>
          <w:lang w:val="en-US" w:eastAsia="en-GB"/>
        </w:rPr>
        <w:footnoteReference w:id="172"/>
      </w:r>
      <w:r w:rsidRPr="00486DF6">
        <w:rPr>
          <w:rFonts w:ascii="Times New Roman" w:eastAsia="Times New Roman" w:hAnsi="Times New Roman" w:cs="Times New Roman"/>
          <w:color w:val="000000"/>
          <w:lang w:val="en-US" w:eastAsia="en-GB"/>
        </w:rPr>
        <w:t xml:space="preserve"> </w:t>
      </w:r>
      <w:r w:rsidRPr="00486DF6">
        <w:rPr>
          <w:rFonts w:ascii="Times New Roman" w:eastAsia="Times New Roman" w:hAnsi="Times New Roman" w:cs="Times New Roman"/>
          <w:color w:val="000000"/>
          <w:shd w:val="clear" w:color="auto" w:fill="FFFFFF"/>
          <w:lang w:val="en-US" w:eastAsia="en-GB"/>
        </w:rPr>
        <w:t xml:space="preserve">Article 113 of the Constitution of Saint Kitts and Nevis allows for the secession of Nevis Island following a process that is prescribed in a very detailed manner by that provision. In Liechtenstein, pursuant to </w:t>
      </w:r>
      <w:r w:rsidRPr="00486DF6">
        <w:rPr>
          <w:rFonts w:ascii="Times New Roman" w:eastAsia="Times New Roman" w:hAnsi="Times New Roman" w:cs="Times New Roman"/>
          <w:color w:val="000000"/>
          <w:lang w:val="en-US" w:eastAsia="en-GB"/>
        </w:rPr>
        <w:t xml:space="preserve">Article 4(2) of its Constitution, </w:t>
      </w:r>
      <w:r w:rsidRPr="00486DF6">
        <w:rPr>
          <w:rFonts w:ascii="Times New Roman" w:eastAsia="Times New Roman" w:hAnsi="Times New Roman" w:cs="Times New Roman"/>
          <w:color w:val="000000"/>
          <w:shd w:val="clear" w:color="auto" w:fill="FFFFFF"/>
          <w:lang w:val="en-US" w:eastAsia="en-GB"/>
        </w:rPr>
        <w:t xml:space="preserve">secession can only be regulated by law or by treaty, </w:t>
      </w:r>
      <w:r w:rsidRPr="00486DF6">
        <w:rPr>
          <w:rFonts w:ascii="Times New Roman" w:eastAsia="Times New Roman" w:hAnsi="Times New Roman" w:cs="Times New Roman"/>
          <w:color w:val="000000"/>
          <w:lang w:val="en-US" w:eastAsia="en-GB"/>
        </w:rPr>
        <w:t xml:space="preserve">while Article 39(4)(e) of the Ethiopian constitution allows for it </w:t>
      </w:r>
      <w:r w:rsidR="00A13431">
        <w:rPr>
          <w:rFonts w:ascii="Times New Roman" w:eastAsia="Times New Roman" w:hAnsi="Times New Roman" w:cs="Times New Roman"/>
          <w:color w:val="000000"/>
          <w:lang w:val="en-US" w:eastAsia="en-GB"/>
        </w:rPr>
        <w:t>“</w:t>
      </w:r>
      <w:r w:rsidRPr="00486DF6">
        <w:rPr>
          <w:rFonts w:ascii="Times New Roman" w:eastAsia="Times New Roman" w:hAnsi="Times New Roman" w:cs="Times New Roman"/>
          <w:color w:val="000000"/>
          <w:lang w:val="en-US" w:eastAsia="en-GB"/>
        </w:rPr>
        <w:t>when the division of assets is effected in a manner prescribed by law.</w:t>
      </w:r>
      <w:r w:rsidR="00A13431">
        <w:rPr>
          <w:rFonts w:ascii="Times New Roman" w:eastAsia="Times New Roman" w:hAnsi="Times New Roman" w:cs="Times New Roman"/>
          <w:color w:val="000000"/>
          <w:lang w:val="en-US" w:eastAsia="en-GB"/>
        </w:rPr>
        <w:t>”</w:t>
      </w:r>
    </w:p>
    <w:p w14:paraId="0D44B6D2" w14:textId="2AC4E2CE" w:rsidR="00997DE5" w:rsidRPr="00486DF6" w:rsidRDefault="00997DE5" w:rsidP="00A13431">
      <w:pPr>
        <w:spacing w:line="480" w:lineRule="auto"/>
        <w:ind w:firstLine="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lang w:val="en-US" w:eastAsia="en-GB"/>
        </w:rPr>
        <w:t>As seen, the CJEU went a step further in underlining the unconditional and Member State-driven nature of the Article 50 secession process</w:t>
      </w:r>
      <w:r w:rsidR="00F43B80" w:rsidRPr="00486DF6">
        <w:rPr>
          <w:rFonts w:ascii="Times New Roman" w:eastAsia="Times New Roman" w:hAnsi="Times New Roman" w:cs="Times New Roman"/>
          <w:color w:val="000000"/>
          <w:lang w:val="en-US" w:eastAsia="en-GB"/>
        </w:rPr>
        <w:t>:</w:t>
      </w:r>
    </w:p>
    <w:p w14:paraId="110C4D5E" w14:textId="64EA3D86" w:rsidR="00287A4E" w:rsidRPr="00486DF6" w:rsidRDefault="00997DE5" w:rsidP="00BD4378">
      <w:pPr>
        <w:spacing w:line="480" w:lineRule="auto"/>
        <w:ind w:left="720"/>
        <w:jc w:val="both"/>
        <w:rPr>
          <w:rFonts w:ascii="Times New Roman" w:eastAsia="Times New Roman" w:hAnsi="Times New Roman" w:cs="Times New Roman"/>
          <w:color w:val="000000"/>
          <w:lang w:val="en-US" w:eastAsia="en-GB"/>
        </w:rPr>
      </w:pPr>
      <w:r w:rsidRPr="00486DF6">
        <w:rPr>
          <w:rFonts w:ascii="Times New Roman" w:eastAsia="Times New Roman" w:hAnsi="Times New Roman" w:cs="Times New Roman"/>
          <w:color w:val="000000"/>
          <w:sz w:val="20"/>
          <w:szCs w:val="20"/>
          <w:lang w:val="en-US" w:eastAsia="en-GB"/>
        </w:rPr>
        <w:t>A Member State that has reversed its decision to withdraw from the European Union is entitled to revoke that notification for as long as a withdrawal agreement concluded between that Member State and the European Union has not entered into force or, if no such agreement has been concluded, for as long as the two-year period laid down in Article 50(3), possibly extended in accordance with that provision, has not expired.</w:t>
      </w:r>
      <w:r w:rsidRPr="00486DF6">
        <w:rPr>
          <w:rStyle w:val="FootnoteReference"/>
          <w:rFonts w:ascii="Times New Roman" w:eastAsia="Times New Roman" w:hAnsi="Times New Roman" w:cs="Times New Roman"/>
          <w:color w:val="000000"/>
          <w:sz w:val="20"/>
          <w:szCs w:val="20"/>
          <w:lang w:val="en-US" w:eastAsia="en-GB"/>
        </w:rPr>
        <w:footnoteReference w:id="173"/>
      </w:r>
      <w:r w:rsidRPr="00486DF6">
        <w:rPr>
          <w:rFonts w:ascii="Times New Roman" w:eastAsia="Times New Roman" w:hAnsi="Times New Roman" w:cs="Times New Roman"/>
          <w:color w:val="000000"/>
          <w:lang w:val="en-US" w:eastAsia="en-GB"/>
        </w:rPr>
        <w:t xml:space="preserve"> </w:t>
      </w:r>
    </w:p>
    <w:p w14:paraId="2000D3C9" w14:textId="3CA71884" w:rsidR="00287A4E" w:rsidRPr="00486DF6" w:rsidRDefault="00287A4E" w:rsidP="000E4CEC">
      <w:pPr>
        <w:spacing w:line="480" w:lineRule="auto"/>
        <w:jc w:val="both"/>
        <w:rPr>
          <w:rFonts w:ascii="Times New Roman" w:eastAsia="Calibri" w:hAnsi="Times New Roman" w:cs="Times New Roman"/>
          <w:lang w:val="en-US" w:eastAsia="it-IT"/>
        </w:rPr>
      </w:pPr>
      <w:r w:rsidRPr="00486DF6">
        <w:rPr>
          <w:rFonts w:ascii="Times New Roman" w:eastAsia="Calibri" w:hAnsi="Times New Roman" w:cs="Times New Roman"/>
          <w:lang w:val="en-US"/>
        </w:rPr>
        <w:t>In so doing, the CJ</w:t>
      </w:r>
      <w:r w:rsidR="00BE29B9">
        <w:rPr>
          <w:rFonts w:ascii="Times New Roman" w:eastAsia="Calibri" w:hAnsi="Times New Roman" w:cs="Times New Roman"/>
          <w:lang w:val="en-US"/>
        </w:rPr>
        <w:t>EU</w:t>
      </w:r>
      <w:r w:rsidRPr="00486DF6">
        <w:rPr>
          <w:rFonts w:ascii="Times New Roman" w:eastAsia="Calibri" w:hAnsi="Times New Roman" w:cs="Times New Roman"/>
          <w:lang w:val="en-US"/>
        </w:rPr>
        <w:t xml:space="preserve"> tackled the wider question of </w:t>
      </w:r>
      <w:r w:rsidR="00BA7269" w:rsidRPr="00486DF6">
        <w:rPr>
          <w:rFonts w:ascii="Times New Roman" w:eastAsia="Calibri" w:hAnsi="Times New Roman" w:cs="Times New Roman"/>
          <w:lang w:val="en-US"/>
        </w:rPr>
        <w:t>the Article’s</w:t>
      </w:r>
      <w:r w:rsidRPr="00486DF6">
        <w:rPr>
          <w:rFonts w:ascii="Times New Roman" w:eastAsia="Calibri" w:hAnsi="Times New Roman" w:cs="Times New Roman"/>
          <w:lang w:val="en-US"/>
        </w:rPr>
        <w:t xml:space="preserve"> own foundations and decided on a number of crucial aspects governing the departure of a Member State from the EU. </w:t>
      </w:r>
    </w:p>
    <w:p w14:paraId="474BD47F" w14:textId="4AA03E26" w:rsidR="00287A4E" w:rsidRPr="00486DF6" w:rsidRDefault="00287A4E" w:rsidP="00A13431">
      <w:pPr>
        <w:spacing w:line="480" w:lineRule="auto"/>
        <w:ind w:firstLine="720"/>
        <w:jc w:val="both"/>
        <w:rPr>
          <w:rFonts w:ascii="Times New Roman" w:eastAsia="Calibri" w:hAnsi="Times New Roman" w:cs="Times New Roman"/>
          <w:lang w:val="en-US"/>
        </w:rPr>
      </w:pPr>
      <w:r w:rsidRPr="00486DF6">
        <w:rPr>
          <w:rFonts w:ascii="Times New Roman" w:eastAsia="Calibri" w:hAnsi="Times New Roman" w:cs="Times New Roman"/>
          <w:lang w:val="en-US"/>
        </w:rPr>
        <w:t>The Court offered a reading of Ar</w:t>
      </w:r>
      <w:r w:rsidR="00AB0ECB" w:rsidRPr="00486DF6">
        <w:rPr>
          <w:rFonts w:ascii="Times New Roman" w:eastAsia="Calibri" w:hAnsi="Times New Roman" w:cs="Times New Roman"/>
          <w:lang w:val="en-US"/>
        </w:rPr>
        <w:t>ticle</w:t>
      </w:r>
      <w:r w:rsidRPr="00486DF6">
        <w:rPr>
          <w:rFonts w:ascii="Times New Roman" w:eastAsia="Calibri" w:hAnsi="Times New Roman" w:cs="Times New Roman"/>
          <w:lang w:val="en-US"/>
        </w:rPr>
        <w:t xml:space="preserve"> 50 TEU in context, by attempting</w:t>
      </w:r>
      <w:r w:rsidR="00C45965" w:rsidRPr="00486DF6">
        <w:rPr>
          <w:rFonts w:ascii="Times New Roman" w:eastAsia="Calibri" w:hAnsi="Times New Roman" w:cs="Times New Roman"/>
          <w:lang w:val="en-US"/>
        </w:rPr>
        <w:t xml:space="preserve"> </w:t>
      </w:r>
      <w:r w:rsidRPr="00486DF6">
        <w:rPr>
          <w:rFonts w:ascii="Times New Roman" w:eastAsia="Calibri" w:hAnsi="Times New Roman" w:cs="Times New Roman"/>
          <w:lang w:val="en-US"/>
        </w:rPr>
        <w:t xml:space="preserve">to interpret this provision in light of the values that </w:t>
      </w:r>
      <w:r w:rsidR="00A13431" w:rsidRPr="00486DF6">
        <w:rPr>
          <w:rFonts w:ascii="Times New Roman" w:eastAsia="Calibri" w:hAnsi="Times New Roman" w:cs="Times New Roman"/>
          <w:lang w:val="en-US"/>
        </w:rPr>
        <w:t>characterize</w:t>
      </w:r>
      <w:r w:rsidRPr="00486DF6">
        <w:rPr>
          <w:rFonts w:ascii="Times New Roman" w:eastAsia="Calibri" w:hAnsi="Times New Roman" w:cs="Times New Roman"/>
          <w:lang w:val="en-US"/>
        </w:rPr>
        <w:t xml:space="preserve"> the integration process. For example, the reference </w:t>
      </w:r>
      <w:r w:rsidRPr="00486DF6">
        <w:rPr>
          <w:rFonts w:ascii="Times New Roman" w:eastAsia="Calibri" w:hAnsi="Times New Roman" w:cs="Times New Roman"/>
          <w:lang w:val="en-US"/>
        </w:rPr>
        <w:lastRenderedPageBreak/>
        <w:t xml:space="preserve">to the impact of the possible exit of the </w:t>
      </w:r>
      <w:r w:rsidR="00F43B80" w:rsidRPr="00486DF6">
        <w:rPr>
          <w:rFonts w:ascii="Times New Roman" w:eastAsia="Calibri" w:hAnsi="Times New Roman" w:cs="Times New Roman"/>
          <w:lang w:val="en-US"/>
        </w:rPr>
        <w:t>UK</w:t>
      </w:r>
      <w:r w:rsidRPr="00486DF6">
        <w:rPr>
          <w:rFonts w:ascii="Times New Roman" w:eastAsia="Calibri" w:hAnsi="Times New Roman" w:cs="Times New Roman"/>
          <w:lang w:val="en-US"/>
        </w:rPr>
        <w:t xml:space="preserve"> on the EU citizenship</w:t>
      </w:r>
      <w:r w:rsidRPr="00486DF6">
        <w:rPr>
          <w:rFonts w:ascii="Times New Roman" w:eastAsia="Calibri" w:hAnsi="Times New Roman" w:cs="Times New Roman"/>
          <w:vertAlign w:val="superscript"/>
          <w:lang w:val="en-US"/>
        </w:rPr>
        <w:footnoteReference w:id="174"/>
      </w:r>
      <w:r w:rsidRPr="00486DF6">
        <w:rPr>
          <w:rFonts w:ascii="Times New Roman" w:eastAsia="Calibri" w:hAnsi="Times New Roman" w:cs="Times New Roman"/>
          <w:lang w:val="en-US"/>
        </w:rPr>
        <w:t xml:space="preserve"> is a confirmation of the systematic reading given by the Court.</w:t>
      </w:r>
      <w:r w:rsidRPr="00486DF6">
        <w:rPr>
          <w:rFonts w:ascii="Times New Roman" w:eastAsia="Calibri" w:hAnsi="Times New Roman" w:cs="Times New Roman"/>
          <w:vertAlign w:val="superscript"/>
          <w:lang w:val="en-US"/>
        </w:rPr>
        <w:footnoteReference w:id="175"/>
      </w:r>
      <w:r w:rsidR="00A13431">
        <w:rPr>
          <w:rFonts w:ascii="Times New Roman" w:eastAsia="Calibri" w:hAnsi="Times New Roman" w:cs="Times New Roman"/>
          <w:lang w:val="en-US"/>
        </w:rPr>
        <w:t xml:space="preserve"> </w:t>
      </w:r>
      <w:r w:rsidRPr="00486DF6">
        <w:rPr>
          <w:rFonts w:ascii="Times New Roman" w:eastAsia="Calibri" w:hAnsi="Times New Roman" w:cs="Times New Roman"/>
          <w:lang w:val="en-US"/>
        </w:rPr>
        <w:t>Moreover, after discarding the parallel with the decision to request an extension of the negotiations pursuant to Art</w:t>
      </w:r>
      <w:r w:rsidR="00AB0ECB" w:rsidRPr="00486DF6">
        <w:rPr>
          <w:rFonts w:ascii="Times New Roman" w:eastAsia="Calibri" w:hAnsi="Times New Roman" w:cs="Times New Roman"/>
          <w:lang w:val="en-US"/>
        </w:rPr>
        <w:t>icle</w:t>
      </w:r>
      <w:r w:rsidRPr="00486DF6">
        <w:rPr>
          <w:rFonts w:ascii="Times New Roman" w:eastAsia="Calibri" w:hAnsi="Times New Roman" w:cs="Times New Roman"/>
          <w:lang w:val="en-US"/>
        </w:rPr>
        <w:t xml:space="preserve"> 50(3) TEU,</w:t>
      </w:r>
      <w:r w:rsidR="00AB0ECB" w:rsidRPr="00486DF6">
        <w:rPr>
          <w:rStyle w:val="FootnoteReference"/>
          <w:rFonts w:ascii="Times New Roman" w:eastAsia="Calibri" w:hAnsi="Times New Roman" w:cs="Times New Roman"/>
          <w:lang w:val="en-US"/>
        </w:rPr>
        <w:footnoteReference w:id="176"/>
      </w:r>
      <w:r w:rsidRPr="00486DF6">
        <w:rPr>
          <w:rFonts w:ascii="Times New Roman" w:eastAsia="Calibri" w:hAnsi="Times New Roman" w:cs="Times New Roman"/>
          <w:lang w:val="en-US"/>
        </w:rPr>
        <w:t xml:space="preserve"> the CJEU focused on Art</w:t>
      </w:r>
      <w:r w:rsidR="00AB0ECB" w:rsidRPr="00486DF6">
        <w:rPr>
          <w:rFonts w:ascii="Times New Roman" w:eastAsia="Calibri" w:hAnsi="Times New Roman" w:cs="Times New Roman"/>
          <w:lang w:val="en-US"/>
        </w:rPr>
        <w:t>icle</w:t>
      </w:r>
      <w:r w:rsidRPr="00486DF6">
        <w:rPr>
          <w:rFonts w:ascii="Times New Roman" w:eastAsia="Calibri" w:hAnsi="Times New Roman" w:cs="Times New Roman"/>
          <w:lang w:val="en-US"/>
        </w:rPr>
        <w:t xml:space="preserve"> 49 TEU in order to reiterate that the decision to join the EU is based on a free and voluntary commitment.</w:t>
      </w:r>
      <w:r w:rsidRPr="00486DF6">
        <w:rPr>
          <w:rFonts w:ascii="Times New Roman" w:eastAsia="Calibri" w:hAnsi="Times New Roman" w:cs="Times New Roman"/>
          <w:vertAlign w:val="superscript"/>
          <w:lang w:val="en-US"/>
        </w:rPr>
        <w:footnoteReference w:id="177"/>
      </w:r>
      <w:r w:rsidR="00A13431">
        <w:rPr>
          <w:rFonts w:ascii="Times New Roman" w:eastAsia="Calibri" w:hAnsi="Times New Roman" w:cs="Times New Roman"/>
          <w:lang w:val="en-US"/>
        </w:rPr>
        <w:t xml:space="preserve"> </w:t>
      </w:r>
      <w:r w:rsidRPr="00486DF6">
        <w:rPr>
          <w:rFonts w:ascii="Times New Roman" w:eastAsia="Calibri" w:hAnsi="Times New Roman" w:cs="Times New Roman"/>
          <w:lang w:val="en-US"/>
        </w:rPr>
        <w:t>Finally, by illustrating the parallels between Art</w:t>
      </w:r>
      <w:r w:rsidR="00C16EAC" w:rsidRPr="00486DF6">
        <w:rPr>
          <w:rFonts w:ascii="Times New Roman" w:eastAsia="Calibri" w:hAnsi="Times New Roman" w:cs="Times New Roman"/>
          <w:lang w:val="en-US"/>
        </w:rPr>
        <w:t>icle</w:t>
      </w:r>
      <w:r w:rsidRPr="00486DF6">
        <w:rPr>
          <w:rFonts w:ascii="Times New Roman" w:eastAsia="Calibri" w:hAnsi="Times New Roman" w:cs="Times New Roman"/>
          <w:lang w:val="en-US"/>
        </w:rPr>
        <w:t xml:space="preserve"> 49 TEU and Art</w:t>
      </w:r>
      <w:r w:rsidR="00C16EAC" w:rsidRPr="00486DF6">
        <w:rPr>
          <w:rFonts w:ascii="Times New Roman" w:eastAsia="Calibri" w:hAnsi="Times New Roman" w:cs="Times New Roman"/>
          <w:lang w:val="en-US"/>
        </w:rPr>
        <w:t>icle</w:t>
      </w:r>
      <w:r w:rsidRPr="00486DF6">
        <w:rPr>
          <w:rFonts w:ascii="Times New Roman" w:eastAsia="Calibri" w:hAnsi="Times New Roman" w:cs="Times New Roman"/>
          <w:lang w:val="en-US"/>
        </w:rPr>
        <w:t xml:space="preserve"> 50 TEU, the CJEU concluded </w:t>
      </w:r>
      <w:r w:rsidR="00C16EAC" w:rsidRPr="00486DF6">
        <w:rPr>
          <w:rFonts w:ascii="Times New Roman" w:eastAsia="Calibri" w:hAnsi="Times New Roman" w:cs="Times New Roman"/>
          <w:lang w:val="en-US"/>
        </w:rPr>
        <w:t xml:space="preserve">as to </w:t>
      </w:r>
      <w:r w:rsidRPr="00486DF6">
        <w:rPr>
          <w:rFonts w:ascii="Times New Roman" w:eastAsia="Calibri" w:hAnsi="Times New Roman" w:cs="Times New Roman"/>
          <w:lang w:val="en-US"/>
        </w:rPr>
        <w:t>the revocability of the notification:</w:t>
      </w:r>
    </w:p>
    <w:p w14:paraId="1E379C3C" w14:textId="6E46E3D2" w:rsidR="00522243" w:rsidRPr="00BD4378" w:rsidRDefault="00287A4E" w:rsidP="00BD4378">
      <w:pPr>
        <w:spacing w:line="480" w:lineRule="auto"/>
        <w:ind w:left="720"/>
        <w:jc w:val="both"/>
        <w:rPr>
          <w:rFonts w:ascii="Times New Roman" w:eastAsia="Calibri" w:hAnsi="Times New Roman" w:cs="Times New Roman"/>
          <w:sz w:val="20"/>
          <w:szCs w:val="20"/>
          <w:lang w:val="en-US"/>
        </w:rPr>
      </w:pPr>
      <w:r w:rsidRPr="00486DF6">
        <w:rPr>
          <w:rFonts w:ascii="Times New Roman" w:eastAsia="Calibri" w:hAnsi="Times New Roman" w:cs="Times New Roman"/>
          <w:sz w:val="20"/>
          <w:szCs w:val="20"/>
          <w:lang w:val="en-US"/>
        </w:rPr>
        <w:t xml:space="preserve">In those circumstances, given that a State cannot be forced to accede to the EU against its will, neither can it be forced to withdraw from the EU against its will. However, if the notification of the intention to withdraw were to lead inevitably to the withdrawal of the Member State concerned from the EU at the end of the period laid down in Article 50(3) TEU, that Member State could be forced to leave the EU despite its wish — as expressed through its democratic process in accordance with its constitutional requirements — to reverse its decision to withdraw and, accordingly, to remain a Member of the EU. Such a result would be inconsistent with the aims and values referred to in paragraphs 61 and 62 of the present judgment. In particular, it would be inconsistent with the Treaties’ purpose of creating an </w:t>
      </w:r>
      <w:proofErr w:type="gramStart"/>
      <w:r w:rsidRPr="00486DF6">
        <w:rPr>
          <w:rFonts w:ascii="Times New Roman" w:eastAsia="Calibri" w:hAnsi="Times New Roman" w:cs="Times New Roman"/>
          <w:sz w:val="20"/>
          <w:szCs w:val="20"/>
          <w:lang w:val="en-US"/>
        </w:rPr>
        <w:t>ever closer</w:t>
      </w:r>
      <w:proofErr w:type="gramEnd"/>
      <w:r w:rsidRPr="00486DF6">
        <w:rPr>
          <w:rFonts w:ascii="Times New Roman" w:eastAsia="Calibri" w:hAnsi="Times New Roman" w:cs="Times New Roman"/>
          <w:sz w:val="20"/>
          <w:szCs w:val="20"/>
          <w:lang w:val="en-US"/>
        </w:rPr>
        <w:t xml:space="preserve"> union among the peoples of Europe to force the withdrawal of a Member State which, having notified its intention to withdraw from the EU in accordance with its constitutional requirements and following a democratic process, decides to revoke the notification of that intention through a democratic process.</w:t>
      </w:r>
      <w:r w:rsidRPr="00486DF6">
        <w:rPr>
          <w:rFonts w:ascii="Times New Roman" w:eastAsia="Calibri" w:hAnsi="Times New Roman" w:cs="Times New Roman"/>
          <w:sz w:val="20"/>
          <w:szCs w:val="20"/>
          <w:vertAlign w:val="superscript"/>
          <w:lang w:val="en-US"/>
        </w:rPr>
        <w:footnoteReference w:id="178"/>
      </w:r>
    </w:p>
    <w:p w14:paraId="51CD69EA" w14:textId="7704328C" w:rsidR="00287A4E" w:rsidRPr="00486DF6" w:rsidRDefault="00287A4E" w:rsidP="00A13431">
      <w:pPr>
        <w:spacing w:line="480" w:lineRule="auto"/>
        <w:ind w:firstLine="720"/>
        <w:jc w:val="both"/>
        <w:rPr>
          <w:rFonts w:ascii="Times New Roman" w:eastAsia="Calibri" w:hAnsi="Times New Roman" w:cs="Times New Roman"/>
          <w:lang w:val="en-US"/>
        </w:rPr>
      </w:pPr>
      <w:r w:rsidRPr="00486DF6">
        <w:rPr>
          <w:rFonts w:ascii="Times New Roman" w:eastAsia="Calibri" w:hAnsi="Times New Roman" w:cs="Times New Roman"/>
          <w:lang w:val="en-US"/>
        </w:rPr>
        <w:lastRenderedPageBreak/>
        <w:t>At the same time, the CJEU, aware of the risk of an excessively un</w:t>
      </w:r>
      <w:r w:rsidR="00952CAE">
        <w:rPr>
          <w:rFonts w:ascii="Times New Roman" w:eastAsia="Calibri" w:hAnsi="Times New Roman" w:cs="Times New Roman"/>
          <w:lang w:val="en-US"/>
        </w:rPr>
        <w:t>condition</w:t>
      </w:r>
      <w:r w:rsidRPr="00486DF6">
        <w:rPr>
          <w:rFonts w:ascii="Times New Roman" w:eastAsia="Calibri" w:hAnsi="Times New Roman" w:cs="Times New Roman"/>
          <w:lang w:val="en-US"/>
        </w:rPr>
        <w:t>al reading of this provision, tried to limit the time frame in which such a decision could be taken,</w:t>
      </w:r>
      <w:r w:rsidR="00C45965" w:rsidRPr="00486DF6">
        <w:rPr>
          <w:rFonts w:ascii="Times New Roman" w:eastAsia="Calibri" w:hAnsi="Times New Roman" w:cs="Times New Roman"/>
          <w:lang w:val="en-US"/>
        </w:rPr>
        <w:t xml:space="preserve"> declaring</w:t>
      </w:r>
      <w:r w:rsidRPr="00486DF6">
        <w:rPr>
          <w:rFonts w:ascii="Times New Roman" w:eastAsia="Calibri" w:hAnsi="Times New Roman" w:cs="Times New Roman"/>
          <w:lang w:val="en-US"/>
        </w:rPr>
        <w:t xml:space="preserve"> (repeatedly, as if to reassure itself) that:</w:t>
      </w:r>
    </w:p>
    <w:p w14:paraId="575CC4C6" w14:textId="39FB3984" w:rsidR="00522243" w:rsidRPr="00BD4378" w:rsidRDefault="00287A4E" w:rsidP="00BD4378">
      <w:pPr>
        <w:spacing w:line="480" w:lineRule="auto"/>
        <w:ind w:left="720"/>
        <w:jc w:val="both"/>
        <w:rPr>
          <w:rFonts w:ascii="Times New Roman" w:eastAsia="Calibri" w:hAnsi="Times New Roman" w:cs="Times New Roman"/>
          <w:sz w:val="20"/>
          <w:szCs w:val="20"/>
          <w:lang w:val="en-US"/>
        </w:rPr>
      </w:pPr>
      <w:r w:rsidRPr="00486DF6">
        <w:rPr>
          <w:rFonts w:ascii="Times New Roman" w:eastAsia="Calibri" w:hAnsi="Times New Roman" w:cs="Times New Roman"/>
          <w:sz w:val="20"/>
          <w:szCs w:val="20"/>
          <w:lang w:val="en-US"/>
        </w:rPr>
        <w:t>As the Advocate General stated in points 94 and 95 of his Opinion, the sovereign nature of the right of withdrawal enshrined in Article 50(1) TEU supports the conclusion that the Member State concerned has a right to revoke the notification of its intention to withdraw from the EU, for as long as a withdrawal agreement concluded between the EU and that Member State has not entered into force or, if no such agreement has been concluded, for as long as the two-year period laid down in Article 50(3) TEU, possibly extended in accordance with that provision, has not expired</w:t>
      </w:r>
      <w:r w:rsidR="00A13431">
        <w:rPr>
          <w:rFonts w:ascii="Times New Roman" w:eastAsia="Calibri" w:hAnsi="Times New Roman" w:cs="Times New Roman"/>
          <w:sz w:val="20"/>
          <w:szCs w:val="20"/>
          <w:lang w:val="en-US"/>
        </w:rPr>
        <w:t>.</w:t>
      </w:r>
      <w:r w:rsidRPr="00486DF6">
        <w:rPr>
          <w:rFonts w:ascii="Times New Roman" w:eastAsia="Calibri" w:hAnsi="Times New Roman" w:cs="Times New Roman"/>
          <w:sz w:val="20"/>
          <w:szCs w:val="20"/>
          <w:vertAlign w:val="superscript"/>
          <w:lang w:val="en-US"/>
        </w:rPr>
        <w:footnoteReference w:id="179"/>
      </w:r>
    </w:p>
    <w:p w14:paraId="53BE3FBB" w14:textId="67C2DAFE" w:rsidR="00287A4E" w:rsidRPr="00486DF6" w:rsidRDefault="00287A4E" w:rsidP="00A13431">
      <w:pPr>
        <w:spacing w:line="480" w:lineRule="auto"/>
        <w:ind w:firstLine="720"/>
        <w:jc w:val="both"/>
        <w:rPr>
          <w:rFonts w:ascii="Times New Roman" w:eastAsia="Calibri" w:hAnsi="Times New Roman" w:cs="Times New Roman"/>
          <w:lang w:val="en-US"/>
        </w:rPr>
      </w:pPr>
      <w:r w:rsidRPr="00486DF6">
        <w:rPr>
          <w:rFonts w:ascii="Times New Roman" w:eastAsia="Calibri" w:hAnsi="Times New Roman" w:cs="Times New Roman"/>
          <w:lang w:val="en-US"/>
        </w:rPr>
        <w:t xml:space="preserve">In so doing, the Court tried to </w:t>
      </w:r>
      <w:r w:rsidR="00A13431" w:rsidRPr="00486DF6">
        <w:rPr>
          <w:rFonts w:ascii="Times New Roman" w:eastAsia="Calibri" w:hAnsi="Times New Roman" w:cs="Times New Roman"/>
          <w:lang w:val="en-US"/>
        </w:rPr>
        <w:t>minimize</w:t>
      </w:r>
      <w:r w:rsidRPr="00486DF6">
        <w:rPr>
          <w:rFonts w:ascii="Times New Roman" w:eastAsia="Calibri" w:hAnsi="Times New Roman" w:cs="Times New Roman"/>
          <w:lang w:val="en-US"/>
        </w:rPr>
        <w:t xml:space="preserve"> the risks associated with the un</w:t>
      </w:r>
      <w:r w:rsidR="00952CAE">
        <w:rPr>
          <w:rFonts w:ascii="Times New Roman" w:eastAsia="Calibri" w:hAnsi="Times New Roman" w:cs="Times New Roman"/>
          <w:lang w:val="en-US"/>
        </w:rPr>
        <w:t>condition</w:t>
      </w:r>
      <w:r w:rsidRPr="00486DF6">
        <w:rPr>
          <w:rFonts w:ascii="Times New Roman" w:eastAsia="Calibri" w:hAnsi="Times New Roman" w:cs="Times New Roman"/>
          <w:lang w:val="en-US"/>
        </w:rPr>
        <w:t>al nature of the revocability of the intention to leave in the two-year period (except for what is established by Art</w:t>
      </w:r>
      <w:r w:rsidR="00AB0ECB" w:rsidRPr="00486DF6">
        <w:rPr>
          <w:rFonts w:ascii="Times New Roman" w:eastAsia="Calibri" w:hAnsi="Times New Roman" w:cs="Times New Roman"/>
          <w:lang w:val="en-US"/>
        </w:rPr>
        <w:t>icle</w:t>
      </w:r>
      <w:r w:rsidRPr="00486DF6">
        <w:rPr>
          <w:rFonts w:ascii="Times New Roman" w:eastAsia="Calibri" w:hAnsi="Times New Roman" w:cs="Times New Roman"/>
          <w:lang w:val="en-US"/>
        </w:rPr>
        <w:t xml:space="preserve"> 50(3) TEU). However, even during this period a situation of evident uncertainty could be generated (and thi</w:t>
      </w:r>
      <w:r w:rsidR="009A4A09">
        <w:rPr>
          <w:rFonts w:ascii="Times New Roman" w:eastAsia="Calibri" w:hAnsi="Times New Roman" w:cs="Times New Roman"/>
          <w:lang w:val="en-US"/>
        </w:rPr>
        <w:t>s</w:t>
      </w:r>
      <w:r w:rsidRPr="00486DF6">
        <w:rPr>
          <w:rFonts w:ascii="Times New Roman" w:eastAsia="Calibri" w:hAnsi="Times New Roman" w:cs="Times New Roman"/>
          <w:lang w:val="en-US"/>
        </w:rPr>
        <w:t xml:space="preserve"> indeed</w:t>
      </w:r>
      <w:r w:rsidR="00F43B80" w:rsidRPr="00486DF6">
        <w:rPr>
          <w:rFonts w:ascii="Times New Roman" w:eastAsia="Calibri" w:hAnsi="Times New Roman" w:cs="Times New Roman"/>
          <w:lang w:val="en-US"/>
        </w:rPr>
        <w:t>,</w:t>
      </w:r>
      <w:r w:rsidRPr="00486DF6">
        <w:rPr>
          <w:rFonts w:ascii="Times New Roman" w:eastAsia="Calibri" w:hAnsi="Times New Roman" w:cs="Times New Roman"/>
          <w:lang w:val="en-US"/>
        </w:rPr>
        <w:t xml:space="preserve"> happened), increasing confusion surrounding the activity of the EU institutions and the instability of the markets. These considerations of the Court were followed by a procedural clarification that “in the absence of an express provision governing revocation of the notification of the intention to withdraw, that revocation is subject to the rules laid down in Art</w:t>
      </w:r>
      <w:r w:rsidR="00176A58">
        <w:rPr>
          <w:rFonts w:ascii="Times New Roman" w:eastAsia="Calibri" w:hAnsi="Times New Roman" w:cs="Times New Roman"/>
          <w:lang w:val="en-US"/>
        </w:rPr>
        <w:t>icle</w:t>
      </w:r>
      <w:r w:rsidRPr="00486DF6">
        <w:rPr>
          <w:rFonts w:ascii="Times New Roman" w:eastAsia="Calibri" w:hAnsi="Times New Roman" w:cs="Times New Roman"/>
          <w:lang w:val="en-US"/>
        </w:rPr>
        <w:t xml:space="preserve"> 50(1) TEU for the withdrawal itself, with the result that it may be decided upon unilaterally, in accordance with the constitutional requirements of the Member State concerned</w:t>
      </w:r>
      <w:r w:rsidR="00A5563C">
        <w:rPr>
          <w:rFonts w:ascii="Times New Roman" w:eastAsia="Calibri" w:hAnsi="Times New Roman" w:cs="Times New Roman"/>
          <w:lang w:val="en-US"/>
        </w:rPr>
        <w:t>.</w:t>
      </w:r>
      <w:r w:rsidRPr="00486DF6">
        <w:rPr>
          <w:rFonts w:ascii="Times New Roman" w:eastAsia="Calibri" w:hAnsi="Times New Roman" w:cs="Times New Roman"/>
          <w:lang w:val="en-US"/>
        </w:rPr>
        <w:t>”</w:t>
      </w:r>
      <w:r w:rsidRPr="00486DF6">
        <w:rPr>
          <w:rFonts w:ascii="Times New Roman" w:eastAsia="Calibri" w:hAnsi="Times New Roman" w:cs="Times New Roman"/>
          <w:vertAlign w:val="superscript"/>
          <w:lang w:val="en-US"/>
        </w:rPr>
        <w:footnoteReference w:id="180"/>
      </w:r>
    </w:p>
    <w:p w14:paraId="41AC4455" w14:textId="568D77DB" w:rsidR="00287A4E" w:rsidRPr="00486DF6" w:rsidRDefault="00AB1371" w:rsidP="00A13431">
      <w:pPr>
        <w:spacing w:line="48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Interestingly, the decision of the Court of Justice had significant differences with the </w:t>
      </w:r>
      <w:r w:rsidRPr="00486DF6">
        <w:rPr>
          <w:rFonts w:ascii="Times New Roman" w:eastAsia="Calibri" w:hAnsi="Times New Roman" w:cs="Times New Roman"/>
          <w:lang w:val="en-US"/>
        </w:rPr>
        <w:t>Opinion of Advocate General Campos Sánchez-</w:t>
      </w:r>
      <w:proofErr w:type="spellStart"/>
      <w:r w:rsidRPr="00486DF6">
        <w:rPr>
          <w:rFonts w:ascii="Times New Roman" w:eastAsia="Calibri" w:hAnsi="Times New Roman" w:cs="Times New Roman"/>
          <w:lang w:val="en-US"/>
        </w:rPr>
        <w:t>Bordona</w:t>
      </w:r>
      <w:proofErr w:type="spellEnd"/>
      <w:r w:rsidR="00E34C2B">
        <w:rPr>
          <w:rFonts w:ascii="Times New Roman" w:eastAsia="Calibri" w:hAnsi="Times New Roman" w:cs="Times New Roman"/>
          <w:lang w:val="en-US"/>
        </w:rPr>
        <w:t>.</w:t>
      </w:r>
      <w:r w:rsidRPr="00486DF6">
        <w:rPr>
          <w:rFonts w:ascii="Times New Roman" w:eastAsia="Calibri" w:hAnsi="Times New Roman" w:cs="Times New Roman"/>
          <w:vertAlign w:val="superscript"/>
          <w:lang w:val="en-US"/>
        </w:rPr>
        <w:footnoteReference w:id="181"/>
      </w:r>
      <w:r>
        <w:rPr>
          <w:rFonts w:ascii="Times New Roman" w:eastAsia="Calibri" w:hAnsi="Times New Roman" w:cs="Times New Roman"/>
          <w:lang w:val="en-US"/>
        </w:rPr>
        <w:t xml:space="preserve"> Firstly, while </w:t>
      </w:r>
      <w:r w:rsidRPr="00486DF6">
        <w:rPr>
          <w:rFonts w:ascii="Times New Roman" w:eastAsia="Calibri" w:hAnsi="Times New Roman" w:cs="Times New Roman"/>
          <w:lang w:val="en-US"/>
        </w:rPr>
        <w:t xml:space="preserve">the Advocate General </w:t>
      </w:r>
      <w:r w:rsidR="00E34C2B">
        <w:rPr>
          <w:rFonts w:ascii="Times New Roman" w:eastAsia="Calibri" w:hAnsi="Times New Roman" w:cs="Times New Roman"/>
          <w:lang w:val="en-US"/>
        </w:rPr>
        <w:t xml:space="preserve">made a clear link between the existence of Article 50 TEU and the respect that the EU pays to the </w:t>
      </w:r>
      <w:r w:rsidR="00E34C2B">
        <w:rPr>
          <w:rFonts w:ascii="Times New Roman" w:eastAsia="Calibri" w:hAnsi="Times New Roman" w:cs="Times New Roman"/>
          <w:lang w:val="en-US"/>
        </w:rPr>
        <w:lastRenderedPageBreak/>
        <w:t>national constitutional identities of its Member States,</w:t>
      </w:r>
      <w:r w:rsidR="00E34C2B">
        <w:rPr>
          <w:rStyle w:val="FootnoteReference"/>
          <w:rFonts w:ascii="Times New Roman" w:eastAsia="Calibri" w:hAnsi="Times New Roman" w:cs="Times New Roman"/>
          <w:lang w:val="en-US"/>
        </w:rPr>
        <w:footnoteReference w:id="182"/>
      </w:r>
      <w:r w:rsidR="00E34C2B">
        <w:rPr>
          <w:rFonts w:ascii="Times New Roman" w:eastAsia="Calibri" w:hAnsi="Times New Roman" w:cs="Times New Roman"/>
          <w:lang w:val="en-US"/>
        </w:rPr>
        <w:t xml:space="preserve"> the CJEU did not refer to that concept</w:t>
      </w:r>
      <w:r w:rsidR="00287A4E" w:rsidRPr="00486DF6">
        <w:rPr>
          <w:rFonts w:ascii="Times New Roman" w:eastAsia="Calibri" w:hAnsi="Times New Roman" w:cs="Times New Roman"/>
          <w:lang w:val="en-US"/>
        </w:rPr>
        <w:t xml:space="preserve">. </w:t>
      </w:r>
      <w:r w:rsidR="00E34C2B">
        <w:rPr>
          <w:rFonts w:ascii="Times New Roman" w:eastAsia="Calibri" w:hAnsi="Times New Roman" w:cs="Times New Roman"/>
          <w:lang w:val="en-US"/>
        </w:rPr>
        <w:t>Secondly,</w:t>
      </w:r>
      <w:r w:rsidR="00287A4E" w:rsidRPr="00486DF6">
        <w:rPr>
          <w:rFonts w:ascii="Times New Roman" w:eastAsia="Calibri" w:hAnsi="Times New Roman" w:cs="Times New Roman"/>
          <w:lang w:val="en-US"/>
        </w:rPr>
        <w:t xml:space="preserve"> the Advocate General</w:t>
      </w:r>
      <w:r w:rsidR="00D6124D" w:rsidRPr="00486DF6">
        <w:rPr>
          <w:rFonts w:ascii="Times New Roman" w:eastAsia="Calibri" w:hAnsi="Times New Roman" w:cs="Times New Roman"/>
          <w:lang w:val="en-US"/>
        </w:rPr>
        <w:t xml:space="preserve"> </w:t>
      </w:r>
      <w:r w:rsidR="00E34C2B">
        <w:rPr>
          <w:rFonts w:ascii="Times New Roman" w:eastAsia="Calibri" w:hAnsi="Times New Roman" w:cs="Times New Roman"/>
          <w:lang w:val="en-US"/>
        </w:rPr>
        <w:t xml:space="preserve">found </w:t>
      </w:r>
      <w:r w:rsidR="00E34C2B" w:rsidRPr="00486DF6">
        <w:rPr>
          <w:rFonts w:ascii="Times New Roman" w:eastAsia="Calibri" w:hAnsi="Times New Roman" w:cs="Times New Roman"/>
          <w:lang w:val="en-US"/>
        </w:rPr>
        <w:t xml:space="preserve">a limit to this </w:t>
      </w:r>
      <w:r w:rsidR="00E34C2B">
        <w:rPr>
          <w:rFonts w:ascii="Times New Roman" w:eastAsia="Calibri" w:hAnsi="Times New Roman" w:cs="Times New Roman"/>
          <w:lang w:val="en-US"/>
        </w:rPr>
        <w:t xml:space="preserve">unconditional </w:t>
      </w:r>
      <w:r w:rsidR="00E34C2B" w:rsidRPr="00486DF6">
        <w:rPr>
          <w:rFonts w:ascii="Times New Roman" w:eastAsia="Calibri" w:hAnsi="Times New Roman" w:cs="Times New Roman"/>
          <w:lang w:val="en-US"/>
        </w:rPr>
        <w:t>sovereign choice of the Member State concerned</w:t>
      </w:r>
      <w:r w:rsidR="00287A4E" w:rsidRPr="00486DF6">
        <w:rPr>
          <w:rFonts w:ascii="Times New Roman" w:eastAsia="Calibri" w:hAnsi="Times New Roman" w:cs="Times New Roman"/>
          <w:lang w:val="en-US"/>
        </w:rPr>
        <w:t xml:space="preserve"> in the principle of good faith and sincere cooperation (</w:t>
      </w:r>
      <w:r w:rsidR="007F7356" w:rsidRPr="00486DF6">
        <w:rPr>
          <w:rFonts w:ascii="Times New Roman" w:eastAsia="Calibri" w:hAnsi="Times New Roman" w:cs="Times New Roman"/>
          <w:lang w:val="en-US"/>
        </w:rPr>
        <w:t xml:space="preserve">Article </w:t>
      </w:r>
      <w:r w:rsidR="00287A4E" w:rsidRPr="00486DF6">
        <w:rPr>
          <w:rFonts w:ascii="Times New Roman" w:eastAsia="Calibri" w:hAnsi="Times New Roman" w:cs="Times New Roman"/>
          <w:lang w:val="en-US"/>
        </w:rPr>
        <w:t>4 TEU),</w:t>
      </w:r>
      <w:r w:rsidR="00E34C2B">
        <w:rPr>
          <w:rFonts w:ascii="Times New Roman" w:eastAsia="Calibri" w:hAnsi="Times New Roman" w:cs="Times New Roman"/>
          <w:lang w:val="en-US"/>
        </w:rPr>
        <w:t xml:space="preserve"> while </w:t>
      </w:r>
      <w:r w:rsidR="00E34C2B" w:rsidRPr="00486DF6">
        <w:rPr>
          <w:rFonts w:ascii="Times New Roman" w:eastAsia="Calibri" w:hAnsi="Times New Roman" w:cs="Times New Roman"/>
          <w:lang w:val="en-US"/>
        </w:rPr>
        <w:t>the CJEU</w:t>
      </w:r>
      <w:r w:rsidR="00E34C2B">
        <w:rPr>
          <w:rFonts w:ascii="Times New Roman" w:eastAsia="Calibri" w:hAnsi="Times New Roman" w:cs="Times New Roman"/>
          <w:lang w:val="en-US"/>
        </w:rPr>
        <w:t xml:space="preserve"> did not share this view.</w:t>
      </w:r>
      <w:r w:rsidR="00287A4E" w:rsidRPr="00486DF6">
        <w:rPr>
          <w:rFonts w:ascii="Times New Roman" w:eastAsia="Calibri" w:hAnsi="Times New Roman" w:cs="Times New Roman"/>
          <w:lang w:val="en-US"/>
        </w:rPr>
        <w:t xml:space="preserve"> </w:t>
      </w:r>
      <w:r w:rsidR="0066042B" w:rsidRPr="00486DF6">
        <w:rPr>
          <w:rFonts w:ascii="Times New Roman" w:eastAsia="Calibri" w:hAnsi="Times New Roman" w:cs="Times New Roman"/>
          <w:lang w:val="en-US"/>
        </w:rPr>
        <w:t>More</w:t>
      </w:r>
      <w:r w:rsidR="00E34C2B">
        <w:rPr>
          <w:rFonts w:ascii="Times New Roman" w:eastAsia="Calibri" w:hAnsi="Times New Roman" w:cs="Times New Roman"/>
          <w:lang w:val="en-US"/>
        </w:rPr>
        <w:t xml:space="preserve"> importantly</w:t>
      </w:r>
      <w:r w:rsidR="0066042B" w:rsidRPr="00486DF6">
        <w:rPr>
          <w:rFonts w:ascii="Times New Roman" w:eastAsia="Calibri" w:hAnsi="Times New Roman" w:cs="Times New Roman"/>
          <w:lang w:val="en-US"/>
        </w:rPr>
        <w:t>, the A</w:t>
      </w:r>
      <w:r w:rsidR="00E34C2B">
        <w:rPr>
          <w:rFonts w:ascii="Times New Roman" w:eastAsia="Calibri" w:hAnsi="Times New Roman" w:cs="Times New Roman"/>
          <w:lang w:val="en-US"/>
        </w:rPr>
        <w:t xml:space="preserve">dvocate </w:t>
      </w:r>
      <w:r w:rsidR="0066042B" w:rsidRPr="00486DF6">
        <w:rPr>
          <w:rFonts w:ascii="Times New Roman" w:eastAsia="Calibri" w:hAnsi="Times New Roman" w:cs="Times New Roman"/>
          <w:lang w:val="en-US"/>
        </w:rPr>
        <w:t>G</w:t>
      </w:r>
      <w:r w:rsidR="00E34C2B">
        <w:rPr>
          <w:rFonts w:ascii="Times New Roman" w:eastAsia="Calibri" w:hAnsi="Times New Roman" w:cs="Times New Roman"/>
          <w:lang w:val="en-US"/>
        </w:rPr>
        <w:t>eneral</w:t>
      </w:r>
      <w:r w:rsidR="0066042B" w:rsidRPr="00486DF6">
        <w:rPr>
          <w:rFonts w:ascii="Times New Roman" w:eastAsia="Calibri" w:hAnsi="Times New Roman" w:cs="Times New Roman"/>
          <w:lang w:val="en-US"/>
        </w:rPr>
        <w:t xml:space="preserve"> </w:t>
      </w:r>
      <w:r w:rsidR="00A13431" w:rsidRPr="00486DF6">
        <w:rPr>
          <w:rFonts w:ascii="Times New Roman" w:eastAsia="Calibri" w:hAnsi="Times New Roman" w:cs="Times New Roman"/>
          <w:lang w:val="en-US"/>
        </w:rPr>
        <w:t>analyzed</w:t>
      </w:r>
      <w:r w:rsidR="00287A4E" w:rsidRPr="00486DF6">
        <w:rPr>
          <w:rFonts w:ascii="Times New Roman" w:eastAsia="Calibri" w:hAnsi="Times New Roman" w:cs="Times New Roman"/>
          <w:lang w:val="en-US"/>
        </w:rPr>
        <w:t xml:space="preserve"> </w:t>
      </w:r>
      <w:r w:rsidR="00A13431">
        <w:rPr>
          <w:rFonts w:ascii="Times New Roman" w:eastAsia="Calibri" w:hAnsi="Times New Roman" w:cs="Times New Roman"/>
          <w:lang w:val="en-US"/>
        </w:rPr>
        <w:t xml:space="preserve">the </w:t>
      </w:r>
      <w:r w:rsidR="00287A4E" w:rsidRPr="00486DF6">
        <w:rPr>
          <w:rFonts w:ascii="Times New Roman" w:eastAsia="Calibri" w:hAnsi="Times New Roman" w:cs="Times New Roman"/>
          <w:lang w:val="en-US"/>
        </w:rPr>
        <w:t>withdrawal as “a typical international law issue”</w:t>
      </w:r>
      <w:r w:rsidR="00287A4E" w:rsidRPr="00486DF6">
        <w:rPr>
          <w:rFonts w:ascii="Times New Roman" w:eastAsia="Calibri" w:hAnsi="Times New Roman" w:cs="Times New Roman"/>
          <w:vertAlign w:val="superscript"/>
          <w:lang w:val="en-US"/>
        </w:rPr>
        <w:footnoteReference w:id="183"/>
      </w:r>
      <w:r w:rsidR="00287A4E" w:rsidRPr="00486DF6">
        <w:rPr>
          <w:rFonts w:ascii="Times New Roman" w:eastAsia="Calibri" w:hAnsi="Times New Roman" w:cs="Times New Roman"/>
          <w:lang w:val="en-US"/>
        </w:rPr>
        <w:t xml:space="preserve"> and thus used international law and the Vienna Convention on the Law of the Treaties “to provide interpretative guidelines to assist dispelling doubts about issues that are not expressly dealt with in Article 50 TEU</w:t>
      </w:r>
      <w:r w:rsidR="00A5563C">
        <w:rPr>
          <w:rFonts w:ascii="Times New Roman" w:eastAsia="Calibri" w:hAnsi="Times New Roman" w:cs="Times New Roman"/>
          <w:lang w:val="en-US"/>
        </w:rPr>
        <w:t>.</w:t>
      </w:r>
      <w:r w:rsidR="00287A4E" w:rsidRPr="00486DF6">
        <w:rPr>
          <w:rFonts w:ascii="Times New Roman" w:eastAsia="Calibri" w:hAnsi="Times New Roman" w:cs="Times New Roman"/>
          <w:lang w:val="en-US"/>
        </w:rPr>
        <w:t>”</w:t>
      </w:r>
      <w:r w:rsidR="00287A4E" w:rsidRPr="00486DF6">
        <w:rPr>
          <w:rFonts w:ascii="Times New Roman" w:eastAsia="Calibri" w:hAnsi="Times New Roman" w:cs="Times New Roman"/>
          <w:vertAlign w:val="superscript"/>
          <w:lang w:val="en-US"/>
        </w:rPr>
        <w:footnoteReference w:id="184"/>
      </w:r>
      <w:r w:rsidR="0066042B" w:rsidRPr="00486DF6">
        <w:rPr>
          <w:rFonts w:ascii="Times New Roman" w:eastAsia="Calibri" w:hAnsi="Times New Roman" w:cs="Times New Roman"/>
          <w:lang w:val="en-US"/>
        </w:rPr>
        <w:t xml:space="preserve"> </w:t>
      </w:r>
      <w:r w:rsidR="00E34C2B">
        <w:rPr>
          <w:rFonts w:ascii="Times New Roman" w:eastAsia="Calibri" w:hAnsi="Times New Roman" w:cs="Times New Roman"/>
          <w:lang w:val="en-US"/>
        </w:rPr>
        <w:t>T</w:t>
      </w:r>
      <w:r w:rsidR="00287A4E" w:rsidRPr="00486DF6">
        <w:rPr>
          <w:rFonts w:ascii="Times New Roman" w:eastAsia="Calibri" w:hAnsi="Times New Roman" w:cs="Times New Roman"/>
          <w:lang w:val="en-US"/>
        </w:rPr>
        <w:t>he CJEU refused to treat withdrawal and its reversal as an issue</w:t>
      </w:r>
      <w:r w:rsidR="0066042B" w:rsidRPr="00486DF6">
        <w:rPr>
          <w:rFonts w:ascii="Times New Roman" w:eastAsia="Calibri" w:hAnsi="Times New Roman" w:cs="Times New Roman"/>
          <w:lang w:val="en-US"/>
        </w:rPr>
        <w:t xml:space="preserve"> of international law</w:t>
      </w:r>
      <w:r w:rsidR="00287A4E" w:rsidRPr="00486DF6">
        <w:rPr>
          <w:rFonts w:ascii="Times New Roman" w:eastAsia="Calibri" w:hAnsi="Times New Roman" w:cs="Times New Roman"/>
          <w:lang w:val="en-US"/>
        </w:rPr>
        <w:t xml:space="preserve"> relat</w:t>
      </w:r>
      <w:r w:rsidR="00D6124D" w:rsidRPr="00486DF6">
        <w:rPr>
          <w:rFonts w:ascii="Times New Roman" w:eastAsia="Calibri" w:hAnsi="Times New Roman" w:cs="Times New Roman"/>
          <w:lang w:val="en-US"/>
        </w:rPr>
        <w:t>ing</w:t>
      </w:r>
      <w:r w:rsidR="00287A4E" w:rsidRPr="00486DF6">
        <w:rPr>
          <w:rFonts w:ascii="Times New Roman" w:eastAsia="Calibri" w:hAnsi="Times New Roman" w:cs="Times New Roman"/>
          <w:lang w:val="en-US"/>
        </w:rPr>
        <w:t xml:space="preserve"> to the participation of States in a Treaty and reaffirmed its willingness to stress the difference between the EU legal order and “ordinary international treaties</w:t>
      </w:r>
      <w:r w:rsidR="00A5563C">
        <w:rPr>
          <w:rFonts w:ascii="Times New Roman" w:eastAsia="Calibri" w:hAnsi="Times New Roman" w:cs="Times New Roman"/>
          <w:lang w:val="en-US"/>
        </w:rPr>
        <w:t>.</w:t>
      </w:r>
      <w:r w:rsidR="00287A4E" w:rsidRPr="00486DF6">
        <w:rPr>
          <w:rFonts w:ascii="Times New Roman" w:eastAsia="Calibri" w:hAnsi="Times New Roman" w:cs="Times New Roman"/>
          <w:lang w:val="en-US"/>
        </w:rPr>
        <w:t>”</w:t>
      </w:r>
      <w:r w:rsidR="00287A4E" w:rsidRPr="00486DF6">
        <w:rPr>
          <w:rFonts w:ascii="Times New Roman" w:eastAsia="Calibri" w:hAnsi="Times New Roman" w:cs="Times New Roman"/>
          <w:vertAlign w:val="superscript"/>
          <w:lang w:val="en-US"/>
        </w:rPr>
        <w:footnoteReference w:id="185"/>
      </w:r>
      <w:r w:rsidR="00287A4E" w:rsidRPr="00486DF6">
        <w:rPr>
          <w:rFonts w:ascii="Times New Roman" w:eastAsia="Calibri" w:hAnsi="Times New Roman" w:cs="Times New Roman"/>
          <w:lang w:val="en-US"/>
        </w:rPr>
        <w:t xml:space="preserve"> Indeed, the CJ</w:t>
      </w:r>
      <w:r w:rsidR="00BE29B9">
        <w:rPr>
          <w:rFonts w:ascii="Times New Roman" w:eastAsia="Calibri" w:hAnsi="Times New Roman" w:cs="Times New Roman"/>
          <w:lang w:val="en-US"/>
        </w:rPr>
        <w:t>EU</w:t>
      </w:r>
      <w:r w:rsidR="00287A4E" w:rsidRPr="00486DF6">
        <w:rPr>
          <w:rFonts w:ascii="Times New Roman" w:eastAsia="Calibri" w:hAnsi="Times New Roman" w:cs="Times New Roman"/>
          <w:lang w:val="en-US"/>
        </w:rPr>
        <w:t xml:space="preserve"> </w:t>
      </w:r>
      <w:r w:rsidR="00E34C2B">
        <w:rPr>
          <w:rFonts w:ascii="Times New Roman" w:eastAsia="Calibri" w:hAnsi="Times New Roman" w:cs="Times New Roman"/>
          <w:lang w:val="en-US"/>
        </w:rPr>
        <w:t>bas</w:t>
      </w:r>
      <w:r w:rsidR="00287A4E" w:rsidRPr="00486DF6">
        <w:rPr>
          <w:rFonts w:ascii="Times New Roman" w:eastAsia="Calibri" w:hAnsi="Times New Roman" w:cs="Times New Roman"/>
          <w:lang w:val="en-US"/>
        </w:rPr>
        <w:t xml:space="preserve">ed its reasoning </w:t>
      </w:r>
      <w:r w:rsidR="00E34C2B">
        <w:rPr>
          <w:rFonts w:ascii="Times New Roman" w:eastAsia="Calibri" w:hAnsi="Times New Roman" w:cs="Times New Roman"/>
          <w:lang w:val="en-US"/>
        </w:rPr>
        <w:t>on</w:t>
      </w:r>
      <w:r w:rsidR="00287A4E" w:rsidRPr="00486DF6">
        <w:rPr>
          <w:rFonts w:ascii="Times New Roman" w:eastAsia="Calibri" w:hAnsi="Times New Roman" w:cs="Times New Roman"/>
          <w:lang w:val="en-US"/>
        </w:rPr>
        <w:t xml:space="preserve"> the idea that the EU is a new legal order, autonomous from the Member States and international law, with its own institutions and independent sources of law, which have primacy over the laws of the Member States and may confer rights with direct effects.</w:t>
      </w:r>
      <w:r w:rsidR="00287A4E" w:rsidRPr="00486DF6">
        <w:rPr>
          <w:rFonts w:ascii="Times New Roman" w:eastAsia="Calibri" w:hAnsi="Times New Roman" w:cs="Times New Roman"/>
          <w:vertAlign w:val="superscript"/>
          <w:lang w:val="en-US"/>
        </w:rPr>
        <w:footnoteReference w:id="186"/>
      </w:r>
      <w:r w:rsidR="00287A4E" w:rsidRPr="00486DF6">
        <w:rPr>
          <w:rFonts w:ascii="Times New Roman" w:eastAsia="Calibri" w:hAnsi="Times New Roman" w:cs="Times New Roman"/>
          <w:lang w:val="en-US"/>
        </w:rPr>
        <w:t xml:space="preserve"> </w:t>
      </w:r>
      <w:r w:rsidR="00E34C2B">
        <w:rPr>
          <w:rFonts w:ascii="Times New Roman" w:eastAsia="Calibri" w:hAnsi="Times New Roman" w:cs="Times New Roman"/>
          <w:lang w:val="en-US"/>
        </w:rPr>
        <w:t>This is why it</w:t>
      </w:r>
      <w:r w:rsidR="00287A4E" w:rsidRPr="00486DF6">
        <w:rPr>
          <w:rFonts w:ascii="Times New Roman" w:eastAsia="Calibri" w:hAnsi="Times New Roman" w:cs="Times New Roman"/>
          <w:lang w:val="en-US"/>
        </w:rPr>
        <w:t xml:space="preserve"> </w:t>
      </w:r>
      <w:r w:rsidR="00A13431" w:rsidRPr="00486DF6">
        <w:rPr>
          <w:rFonts w:ascii="Times New Roman" w:eastAsia="Calibri" w:hAnsi="Times New Roman" w:cs="Times New Roman"/>
          <w:lang w:val="en-US"/>
        </w:rPr>
        <w:t>analyzed</w:t>
      </w:r>
      <w:r w:rsidR="00287A4E" w:rsidRPr="00486DF6">
        <w:rPr>
          <w:rFonts w:ascii="Times New Roman" w:eastAsia="Calibri" w:hAnsi="Times New Roman" w:cs="Times New Roman"/>
          <w:lang w:val="en-US"/>
        </w:rPr>
        <w:t xml:space="preserve"> the question of revocation in light of EU law, </w:t>
      </w:r>
      <w:r w:rsidR="00E34C2B">
        <w:rPr>
          <w:rFonts w:ascii="Times New Roman" w:eastAsia="Calibri" w:hAnsi="Times New Roman" w:cs="Times New Roman"/>
          <w:lang w:val="en-US"/>
        </w:rPr>
        <w:t>underlining</w:t>
      </w:r>
      <w:r w:rsidR="00287A4E" w:rsidRPr="00486DF6">
        <w:rPr>
          <w:rFonts w:ascii="Times New Roman" w:eastAsia="Calibri" w:hAnsi="Times New Roman" w:cs="Times New Roman"/>
          <w:lang w:val="en-US"/>
        </w:rPr>
        <w:t xml:space="preserve"> that its conclusion</w:t>
      </w:r>
      <w:r w:rsidR="00E34C2B">
        <w:rPr>
          <w:rFonts w:ascii="Times New Roman" w:eastAsia="Calibri" w:hAnsi="Times New Roman" w:cs="Times New Roman"/>
          <w:lang w:val="en-US"/>
        </w:rPr>
        <w:t xml:space="preserve"> was</w:t>
      </w:r>
      <w:r w:rsidR="00287A4E" w:rsidRPr="00486DF6">
        <w:rPr>
          <w:rFonts w:ascii="Times New Roman" w:eastAsia="Calibri" w:hAnsi="Times New Roman" w:cs="Times New Roman"/>
          <w:lang w:val="en-US"/>
        </w:rPr>
        <w:t xml:space="preserve"> </w:t>
      </w:r>
      <w:r w:rsidR="0066042B" w:rsidRPr="00486DF6">
        <w:rPr>
          <w:rFonts w:ascii="Times New Roman" w:eastAsia="Calibri" w:hAnsi="Times New Roman" w:cs="Times New Roman"/>
          <w:lang w:val="en-US"/>
        </w:rPr>
        <w:t>“</w:t>
      </w:r>
      <w:r w:rsidR="00287A4E" w:rsidRPr="00486DF6">
        <w:rPr>
          <w:rFonts w:ascii="Times New Roman" w:eastAsia="Calibri" w:hAnsi="Times New Roman" w:cs="Times New Roman"/>
          <w:lang w:val="en-US"/>
        </w:rPr>
        <w:t>only corroborated by the provisions of the Vienna Convention on the Law of the Treaties</w:t>
      </w:r>
      <w:r w:rsidR="00A5563C">
        <w:rPr>
          <w:rFonts w:ascii="Times New Roman" w:eastAsia="Calibri" w:hAnsi="Times New Roman" w:cs="Times New Roman"/>
          <w:lang w:val="en-US"/>
        </w:rPr>
        <w:t>.</w:t>
      </w:r>
      <w:r w:rsidR="00287A4E" w:rsidRPr="00486DF6">
        <w:rPr>
          <w:rFonts w:ascii="Times New Roman" w:eastAsia="Calibri" w:hAnsi="Times New Roman" w:cs="Times New Roman"/>
          <w:lang w:val="en-US"/>
        </w:rPr>
        <w:t>”</w:t>
      </w:r>
      <w:r w:rsidR="00287A4E" w:rsidRPr="00486DF6">
        <w:rPr>
          <w:rFonts w:ascii="Times New Roman" w:eastAsia="Calibri" w:hAnsi="Times New Roman" w:cs="Times New Roman"/>
          <w:vertAlign w:val="superscript"/>
          <w:lang w:val="en-US"/>
        </w:rPr>
        <w:footnoteReference w:id="187"/>
      </w:r>
      <w:r w:rsidR="00287A4E" w:rsidRPr="00486DF6">
        <w:rPr>
          <w:rFonts w:ascii="Times New Roman" w:eastAsia="Calibri" w:hAnsi="Times New Roman" w:cs="Times New Roman"/>
          <w:lang w:val="en-US"/>
        </w:rPr>
        <w:t xml:space="preserve"> </w:t>
      </w:r>
    </w:p>
    <w:p w14:paraId="157D5654" w14:textId="4483756C" w:rsidR="00287A4E" w:rsidRPr="00486DF6" w:rsidRDefault="00287A4E" w:rsidP="0098193A">
      <w:pPr>
        <w:spacing w:line="480" w:lineRule="auto"/>
        <w:ind w:firstLine="720"/>
        <w:jc w:val="both"/>
        <w:rPr>
          <w:rFonts w:ascii="Times New Roman" w:eastAsia="Calibri" w:hAnsi="Times New Roman" w:cs="Times New Roman"/>
          <w:lang w:val="en-US"/>
        </w:rPr>
      </w:pPr>
      <w:r w:rsidRPr="00486DF6">
        <w:rPr>
          <w:rFonts w:ascii="Times New Roman" w:eastAsia="Calibri" w:hAnsi="Times New Roman" w:cs="Times New Roman"/>
          <w:lang w:val="en-US"/>
        </w:rPr>
        <w:t>The CJ</w:t>
      </w:r>
      <w:r w:rsidR="00BE29B9">
        <w:rPr>
          <w:rFonts w:ascii="Times New Roman" w:eastAsia="Calibri" w:hAnsi="Times New Roman" w:cs="Times New Roman"/>
          <w:lang w:val="en-US"/>
        </w:rPr>
        <w:t>EU</w:t>
      </w:r>
      <w:r w:rsidRPr="00486DF6">
        <w:rPr>
          <w:rFonts w:ascii="Times New Roman" w:eastAsia="Calibri" w:hAnsi="Times New Roman" w:cs="Times New Roman"/>
          <w:lang w:val="en-US"/>
        </w:rPr>
        <w:t xml:space="preserve"> stressed the idea that the right of withdrawal expresses a sovereign decision of the State and reconnected this to the right of the State “to retain its status as a Member State of the European Union, a status which is not suspended or altered by that notification</w:t>
      </w:r>
      <w:r w:rsidR="00A5563C">
        <w:rPr>
          <w:rFonts w:ascii="Times New Roman" w:eastAsia="Calibri" w:hAnsi="Times New Roman" w:cs="Times New Roman"/>
          <w:lang w:val="en-US"/>
        </w:rPr>
        <w:t>.</w:t>
      </w:r>
      <w:r w:rsidRPr="00486DF6">
        <w:rPr>
          <w:rFonts w:ascii="Times New Roman" w:eastAsia="Calibri" w:hAnsi="Times New Roman" w:cs="Times New Roman"/>
          <w:lang w:val="en-US"/>
        </w:rPr>
        <w:t>”</w:t>
      </w:r>
      <w:r w:rsidRPr="00486DF6">
        <w:rPr>
          <w:rFonts w:ascii="Times New Roman" w:eastAsia="Calibri" w:hAnsi="Times New Roman" w:cs="Times New Roman"/>
          <w:vertAlign w:val="superscript"/>
          <w:lang w:val="en-US"/>
        </w:rPr>
        <w:footnoteReference w:id="188"/>
      </w:r>
      <w:r w:rsidR="003B52AE" w:rsidRPr="00486DF6">
        <w:rPr>
          <w:rFonts w:ascii="Times New Roman" w:eastAsia="Calibri" w:hAnsi="Times New Roman" w:cs="Times New Roman"/>
          <w:lang w:val="en-US"/>
        </w:rPr>
        <w:t xml:space="preserve"> This reveals the </w:t>
      </w:r>
      <w:r w:rsidRPr="00486DF6">
        <w:rPr>
          <w:rFonts w:ascii="Times New Roman" w:eastAsia="Calibri" w:hAnsi="Times New Roman" w:cs="Times New Roman"/>
          <w:lang w:val="en-US"/>
        </w:rPr>
        <w:t xml:space="preserve"> fundamental difference between the Opinion of the A</w:t>
      </w:r>
      <w:r w:rsidR="00E34C2B">
        <w:rPr>
          <w:rFonts w:ascii="Times New Roman" w:eastAsia="Calibri" w:hAnsi="Times New Roman" w:cs="Times New Roman"/>
          <w:lang w:val="en-US"/>
        </w:rPr>
        <w:t xml:space="preserve">dvocate </w:t>
      </w:r>
      <w:r w:rsidRPr="00486DF6">
        <w:rPr>
          <w:rFonts w:ascii="Times New Roman" w:eastAsia="Calibri" w:hAnsi="Times New Roman" w:cs="Times New Roman"/>
          <w:lang w:val="en-US"/>
        </w:rPr>
        <w:t>G</w:t>
      </w:r>
      <w:r w:rsidR="00E34C2B">
        <w:rPr>
          <w:rFonts w:ascii="Times New Roman" w:eastAsia="Calibri" w:hAnsi="Times New Roman" w:cs="Times New Roman"/>
          <w:lang w:val="en-US"/>
        </w:rPr>
        <w:t>eneral</w:t>
      </w:r>
      <w:r w:rsidRPr="00486DF6">
        <w:rPr>
          <w:rFonts w:ascii="Times New Roman" w:eastAsia="Calibri" w:hAnsi="Times New Roman" w:cs="Times New Roman"/>
          <w:lang w:val="en-US"/>
        </w:rPr>
        <w:t xml:space="preserve"> and the decision of the CJ</w:t>
      </w:r>
      <w:r w:rsidR="00BE29B9">
        <w:rPr>
          <w:rFonts w:ascii="Times New Roman" w:eastAsia="Calibri" w:hAnsi="Times New Roman" w:cs="Times New Roman"/>
          <w:lang w:val="en-US"/>
        </w:rPr>
        <w:t>EU</w:t>
      </w:r>
      <w:r w:rsidR="003B52AE" w:rsidRPr="00486DF6">
        <w:rPr>
          <w:rFonts w:ascii="Times New Roman" w:eastAsia="Calibri" w:hAnsi="Times New Roman" w:cs="Times New Roman"/>
          <w:lang w:val="en-US"/>
        </w:rPr>
        <w:t>:</w:t>
      </w:r>
      <w:r w:rsidRPr="00486DF6">
        <w:rPr>
          <w:rFonts w:ascii="Times New Roman" w:eastAsia="Calibri" w:hAnsi="Times New Roman" w:cs="Times New Roman"/>
          <w:lang w:val="en-US"/>
        </w:rPr>
        <w:t xml:space="preserve"> </w:t>
      </w:r>
      <w:r w:rsidR="003B52AE" w:rsidRPr="00486DF6">
        <w:rPr>
          <w:rFonts w:ascii="Times New Roman" w:eastAsia="Calibri" w:hAnsi="Times New Roman" w:cs="Times New Roman"/>
          <w:lang w:val="en-US"/>
        </w:rPr>
        <w:t>i</w:t>
      </w:r>
      <w:r w:rsidRPr="00486DF6">
        <w:rPr>
          <w:rFonts w:ascii="Times New Roman" w:eastAsia="Calibri" w:hAnsi="Times New Roman" w:cs="Times New Roman"/>
          <w:lang w:val="en-US"/>
        </w:rPr>
        <w:t>nsofar as revocation is un</w:t>
      </w:r>
      <w:r w:rsidR="00E34C2B">
        <w:rPr>
          <w:rFonts w:ascii="Times New Roman" w:eastAsia="Calibri" w:hAnsi="Times New Roman" w:cs="Times New Roman"/>
          <w:lang w:val="en-US"/>
        </w:rPr>
        <w:t>condition</w:t>
      </w:r>
      <w:r w:rsidRPr="00486DF6">
        <w:rPr>
          <w:rFonts w:ascii="Times New Roman" w:eastAsia="Calibri" w:hAnsi="Times New Roman" w:cs="Times New Roman"/>
          <w:lang w:val="en-US"/>
        </w:rPr>
        <w:t xml:space="preserve">al, in principle, the constitutional requirements of the </w:t>
      </w:r>
      <w:r w:rsidRPr="00486DF6">
        <w:rPr>
          <w:rFonts w:ascii="Times New Roman" w:eastAsia="Calibri" w:hAnsi="Times New Roman" w:cs="Times New Roman"/>
          <w:lang w:val="en-US"/>
        </w:rPr>
        <w:lastRenderedPageBreak/>
        <w:t>States are the only legal conditions attached to the exercise of such a right. The A</w:t>
      </w:r>
      <w:r w:rsidR="00E34C2B">
        <w:rPr>
          <w:rFonts w:ascii="Times New Roman" w:eastAsia="Calibri" w:hAnsi="Times New Roman" w:cs="Times New Roman"/>
          <w:lang w:val="en-US"/>
        </w:rPr>
        <w:t xml:space="preserve">dvocate </w:t>
      </w:r>
      <w:r w:rsidRPr="00486DF6">
        <w:rPr>
          <w:rFonts w:ascii="Times New Roman" w:eastAsia="Calibri" w:hAnsi="Times New Roman" w:cs="Times New Roman"/>
          <w:lang w:val="en-US"/>
        </w:rPr>
        <w:t>G</w:t>
      </w:r>
      <w:r w:rsidR="00E34C2B">
        <w:rPr>
          <w:rFonts w:ascii="Times New Roman" w:eastAsia="Calibri" w:hAnsi="Times New Roman" w:cs="Times New Roman"/>
          <w:lang w:val="en-US"/>
        </w:rPr>
        <w:t>eneral</w:t>
      </w:r>
      <w:r w:rsidRPr="00486DF6">
        <w:rPr>
          <w:rFonts w:ascii="Times New Roman" w:eastAsia="Calibri" w:hAnsi="Times New Roman" w:cs="Times New Roman"/>
          <w:lang w:val="en-US"/>
        </w:rPr>
        <w:t xml:space="preserve"> considered that the exercise of the right should be reasonably mitigated to protect from procedural abuse. </w:t>
      </w:r>
      <w:r w:rsidR="00E34C2B">
        <w:rPr>
          <w:rFonts w:ascii="Times New Roman" w:eastAsia="Calibri" w:hAnsi="Times New Roman" w:cs="Times New Roman"/>
          <w:lang w:val="en-US"/>
        </w:rPr>
        <w:t>He</w:t>
      </w:r>
      <w:r w:rsidRPr="00486DF6">
        <w:rPr>
          <w:rFonts w:ascii="Times New Roman" w:eastAsia="Calibri" w:hAnsi="Times New Roman" w:cs="Times New Roman"/>
          <w:lang w:val="en-US"/>
        </w:rPr>
        <w:t xml:space="preserve"> stressed that the duty to give reasons for the revocation would be reasonable as the State in question “runs counter to its previous actions”;</w:t>
      </w:r>
      <w:r w:rsidRPr="00486DF6">
        <w:rPr>
          <w:rFonts w:ascii="Times New Roman" w:eastAsia="Calibri" w:hAnsi="Times New Roman" w:cs="Times New Roman"/>
          <w:vertAlign w:val="superscript"/>
          <w:lang w:val="en-US"/>
        </w:rPr>
        <w:footnoteReference w:id="189"/>
      </w:r>
      <w:r w:rsidRPr="00486DF6">
        <w:rPr>
          <w:rFonts w:ascii="Times New Roman" w:eastAsia="Calibri" w:hAnsi="Times New Roman" w:cs="Times New Roman"/>
          <w:lang w:val="en-US"/>
        </w:rPr>
        <w:t xml:space="preserve"> the temporal limit covering the period before the subscription of the agreement of the parties shall “logically” apply to the revocation;</w:t>
      </w:r>
      <w:r w:rsidRPr="00486DF6">
        <w:rPr>
          <w:rFonts w:ascii="Times New Roman" w:eastAsia="Calibri" w:hAnsi="Times New Roman" w:cs="Times New Roman"/>
          <w:vertAlign w:val="superscript"/>
          <w:lang w:val="en-US"/>
        </w:rPr>
        <w:footnoteReference w:id="190"/>
      </w:r>
      <w:r w:rsidRPr="00486DF6">
        <w:rPr>
          <w:rFonts w:ascii="Times New Roman" w:eastAsia="Calibri" w:hAnsi="Times New Roman" w:cs="Times New Roman"/>
          <w:lang w:val="en-US"/>
        </w:rPr>
        <w:t xml:space="preserve"> and the exercise of the right shall be subject to the principles of good faith and sincere cooperation.</w:t>
      </w:r>
      <w:r w:rsidRPr="00486DF6">
        <w:rPr>
          <w:rFonts w:ascii="Times New Roman" w:eastAsia="Calibri" w:hAnsi="Times New Roman" w:cs="Times New Roman"/>
          <w:vertAlign w:val="superscript"/>
          <w:lang w:val="en-US"/>
        </w:rPr>
        <w:footnoteReference w:id="191"/>
      </w:r>
      <w:r w:rsidRPr="00486DF6">
        <w:rPr>
          <w:rFonts w:ascii="Times New Roman" w:eastAsia="Calibri" w:hAnsi="Times New Roman" w:cs="Times New Roman"/>
          <w:lang w:val="en-US"/>
        </w:rPr>
        <w:t xml:space="preserve"> All these requirements should protect against “tactical revocations”,</w:t>
      </w:r>
      <w:r w:rsidRPr="00486DF6">
        <w:rPr>
          <w:rFonts w:ascii="Times New Roman" w:eastAsia="Calibri" w:hAnsi="Times New Roman" w:cs="Times New Roman"/>
          <w:vertAlign w:val="superscript"/>
          <w:lang w:val="en-US"/>
        </w:rPr>
        <w:footnoteReference w:id="192"/>
      </w:r>
      <w:r w:rsidRPr="00486DF6">
        <w:rPr>
          <w:rFonts w:ascii="Times New Roman" w:eastAsia="Calibri" w:hAnsi="Times New Roman" w:cs="Times New Roman"/>
          <w:lang w:val="en-US"/>
        </w:rPr>
        <w:t xml:space="preserve"> while ensuring the legitimate right of the State to change its position. According to the A</w:t>
      </w:r>
      <w:r w:rsidR="00E34C2B">
        <w:rPr>
          <w:rFonts w:ascii="Times New Roman" w:eastAsia="Calibri" w:hAnsi="Times New Roman" w:cs="Times New Roman"/>
          <w:lang w:val="en-US"/>
        </w:rPr>
        <w:t xml:space="preserve">dvocate </w:t>
      </w:r>
      <w:r w:rsidRPr="00486DF6">
        <w:rPr>
          <w:rFonts w:ascii="Times New Roman" w:eastAsia="Calibri" w:hAnsi="Times New Roman" w:cs="Times New Roman"/>
          <w:lang w:val="en-US"/>
        </w:rPr>
        <w:t>G</w:t>
      </w:r>
      <w:r w:rsidR="00E34C2B">
        <w:rPr>
          <w:rFonts w:ascii="Times New Roman" w:eastAsia="Calibri" w:hAnsi="Times New Roman" w:cs="Times New Roman"/>
          <w:lang w:val="en-US"/>
        </w:rPr>
        <w:t>eneral</w:t>
      </w:r>
      <w:r w:rsidRPr="00486DF6">
        <w:rPr>
          <w:rFonts w:ascii="Times New Roman" w:eastAsia="Calibri" w:hAnsi="Times New Roman" w:cs="Times New Roman"/>
          <w:lang w:val="en-US"/>
        </w:rPr>
        <w:t>, making the revocation unanimous “would increase the risk of the Member State leaving the European Union against its will”, changing a sovereign choice into potential expulsion.</w:t>
      </w:r>
      <w:r w:rsidRPr="00486DF6">
        <w:rPr>
          <w:rFonts w:ascii="Times New Roman" w:eastAsia="Calibri" w:hAnsi="Times New Roman" w:cs="Times New Roman"/>
          <w:vertAlign w:val="superscript"/>
          <w:lang w:val="en-US"/>
        </w:rPr>
        <w:footnoteReference w:id="193"/>
      </w:r>
      <w:r w:rsidRPr="00486DF6">
        <w:rPr>
          <w:rFonts w:ascii="Times New Roman" w:eastAsia="Calibri" w:hAnsi="Times New Roman" w:cs="Times New Roman"/>
          <w:lang w:val="en-US"/>
        </w:rPr>
        <w:t xml:space="preserve"> In the interpretation of the A</w:t>
      </w:r>
      <w:r w:rsidR="00E34C2B">
        <w:rPr>
          <w:rFonts w:ascii="Times New Roman" w:eastAsia="Calibri" w:hAnsi="Times New Roman" w:cs="Times New Roman"/>
          <w:lang w:val="en-US"/>
        </w:rPr>
        <w:t xml:space="preserve">dvocate </w:t>
      </w:r>
      <w:r w:rsidRPr="00486DF6">
        <w:rPr>
          <w:rFonts w:ascii="Times New Roman" w:eastAsia="Calibri" w:hAnsi="Times New Roman" w:cs="Times New Roman"/>
          <w:lang w:val="en-US"/>
        </w:rPr>
        <w:t>G</w:t>
      </w:r>
      <w:r w:rsidR="00E34C2B">
        <w:rPr>
          <w:rFonts w:ascii="Times New Roman" w:eastAsia="Calibri" w:hAnsi="Times New Roman" w:cs="Times New Roman"/>
          <w:lang w:val="en-US"/>
        </w:rPr>
        <w:t>eneral</w:t>
      </w:r>
      <w:r w:rsidRPr="00486DF6">
        <w:rPr>
          <w:rFonts w:ascii="Times New Roman" w:eastAsia="Calibri" w:hAnsi="Times New Roman" w:cs="Times New Roman"/>
          <w:lang w:val="en-US"/>
        </w:rPr>
        <w:t>, revocation should be exercised by ensuring mutual trust between the departing State and the EU, and not mutual consent as required by the Council and the Commission. Mutual trust requires reasonable justification to ensure that collateral legal tactics do not drain negotiations and do not turn a right into a privilege.</w:t>
      </w:r>
      <w:r w:rsidR="0098193A">
        <w:rPr>
          <w:rFonts w:ascii="Times New Roman" w:eastAsia="Calibri" w:hAnsi="Times New Roman" w:cs="Times New Roman"/>
          <w:lang w:val="en-US"/>
        </w:rPr>
        <w:t xml:space="preserve"> By contrast, t</w:t>
      </w:r>
      <w:r w:rsidRPr="00486DF6">
        <w:rPr>
          <w:rFonts w:ascii="Times New Roman" w:eastAsia="Calibri" w:hAnsi="Times New Roman" w:cs="Times New Roman"/>
          <w:lang w:val="en-US"/>
        </w:rPr>
        <w:t>he CJ</w:t>
      </w:r>
      <w:r w:rsidR="00BE29B9">
        <w:rPr>
          <w:rFonts w:ascii="Times New Roman" w:eastAsia="Calibri" w:hAnsi="Times New Roman" w:cs="Times New Roman"/>
          <w:lang w:val="en-US"/>
        </w:rPr>
        <w:t>EU</w:t>
      </w:r>
      <w:r w:rsidRPr="00486DF6">
        <w:rPr>
          <w:rFonts w:ascii="Times New Roman" w:eastAsia="Calibri" w:hAnsi="Times New Roman" w:cs="Times New Roman"/>
          <w:lang w:val="en-US"/>
        </w:rPr>
        <w:t>, did not impose any condition on the exercise of this right, since it only requires the revocation to be “unequivocal and unconditional, that is to say that purpose of that revocation is to confirm the EU membership of the Member State concerned under the terms that are unchanged as regards its status as a Member State, and that revocation brings the withdrawal procedure to an end</w:t>
      </w:r>
      <w:r w:rsidR="00A5563C">
        <w:rPr>
          <w:rFonts w:ascii="Times New Roman" w:eastAsia="Calibri" w:hAnsi="Times New Roman" w:cs="Times New Roman"/>
          <w:lang w:val="en-US"/>
        </w:rPr>
        <w:t>.</w:t>
      </w:r>
      <w:r w:rsidRPr="00486DF6">
        <w:rPr>
          <w:rFonts w:ascii="Times New Roman" w:eastAsia="Calibri" w:hAnsi="Times New Roman" w:cs="Times New Roman"/>
          <w:lang w:val="en-US"/>
        </w:rPr>
        <w:t>”</w:t>
      </w:r>
      <w:r w:rsidRPr="00486DF6">
        <w:rPr>
          <w:rFonts w:ascii="Times New Roman" w:eastAsia="Calibri" w:hAnsi="Times New Roman" w:cs="Times New Roman"/>
          <w:vertAlign w:val="superscript"/>
          <w:lang w:val="en-US"/>
        </w:rPr>
        <w:footnoteReference w:id="194"/>
      </w:r>
    </w:p>
    <w:p w14:paraId="08749568" w14:textId="55B13902" w:rsidR="00287A4E" w:rsidRPr="00486DF6" w:rsidRDefault="00287A4E" w:rsidP="0010735B">
      <w:pPr>
        <w:spacing w:line="480" w:lineRule="auto"/>
        <w:ind w:firstLine="720"/>
        <w:jc w:val="both"/>
        <w:rPr>
          <w:rFonts w:ascii="Times New Roman" w:eastAsia="Calibri" w:hAnsi="Times New Roman" w:cs="Times New Roman"/>
          <w:lang w:val="en-US"/>
        </w:rPr>
      </w:pPr>
      <w:r w:rsidRPr="00486DF6">
        <w:rPr>
          <w:rFonts w:ascii="Times New Roman" w:eastAsia="Calibri" w:hAnsi="Times New Roman" w:cs="Times New Roman"/>
          <w:lang w:val="en-US"/>
        </w:rPr>
        <w:t xml:space="preserve">To avoid the risk of undue interference and preserve the unconditional characteristics of the right, the CJEU not only rejected the condition of the unanimity of the European Council </w:t>
      </w:r>
      <w:r w:rsidRPr="00486DF6">
        <w:rPr>
          <w:rFonts w:ascii="Times New Roman" w:eastAsia="Calibri" w:hAnsi="Times New Roman" w:cs="Times New Roman"/>
          <w:lang w:val="en-US"/>
        </w:rPr>
        <w:lastRenderedPageBreak/>
        <w:t>required by the Council and the Commission, but it also did not require any additional evidence in the exercise of the revocation to demonstrate that there is no tactical use of the right. The burden is thus upon the other Member States to trust the declaration of the State to reverse its withdrawal intentions unequivocally and unconditionally. The conclusion of the CJ</w:t>
      </w:r>
      <w:r w:rsidR="00BE29B9">
        <w:rPr>
          <w:rFonts w:ascii="Times New Roman" w:eastAsia="Calibri" w:hAnsi="Times New Roman" w:cs="Times New Roman"/>
          <w:lang w:val="en-US"/>
        </w:rPr>
        <w:t>EU</w:t>
      </w:r>
      <w:r w:rsidRPr="00486DF6">
        <w:rPr>
          <w:rFonts w:ascii="Times New Roman" w:eastAsia="Calibri" w:hAnsi="Times New Roman" w:cs="Times New Roman"/>
          <w:lang w:val="en-US"/>
        </w:rPr>
        <w:t xml:space="preserve"> focused on the good faith of the decision of the Member State to genuinely reverse its previous withdrawal intention, while binding the other Member States to that decision. This means that the principle of mutual trust still applies in the relations between both </w:t>
      </w:r>
      <w:r w:rsidR="006D7303">
        <w:rPr>
          <w:rFonts w:ascii="Times New Roman" w:eastAsia="Calibri" w:hAnsi="Times New Roman" w:cs="Times New Roman"/>
          <w:lang w:val="en-US"/>
        </w:rPr>
        <w:t>the (</w:t>
      </w:r>
      <w:r w:rsidRPr="00486DF6">
        <w:rPr>
          <w:rFonts w:ascii="Times New Roman" w:eastAsia="Calibri" w:hAnsi="Times New Roman" w:cs="Times New Roman"/>
          <w:lang w:val="en-US"/>
        </w:rPr>
        <w:t>un-</w:t>
      </w:r>
      <w:r w:rsidR="006D7303">
        <w:rPr>
          <w:rFonts w:ascii="Times New Roman" w:eastAsia="Calibri" w:hAnsi="Times New Roman" w:cs="Times New Roman"/>
          <w:lang w:val="en-US"/>
        </w:rPr>
        <w:t>)</w:t>
      </w:r>
      <w:r w:rsidRPr="00486DF6">
        <w:rPr>
          <w:rFonts w:ascii="Times New Roman" w:eastAsia="Calibri" w:hAnsi="Times New Roman" w:cs="Times New Roman"/>
          <w:lang w:val="en-US"/>
        </w:rPr>
        <w:t xml:space="preserve">departing Member State and the </w:t>
      </w:r>
      <w:r w:rsidR="006D7303">
        <w:rPr>
          <w:rFonts w:ascii="Times New Roman" w:eastAsia="Calibri" w:hAnsi="Times New Roman" w:cs="Times New Roman"/>
          <w:lang w:val="en-US"/>
        </w:rPr>
        <w:t>remaining ones</w:t>
      </w:r>
      <w:r w:rsidRPr="00486DF6">
        <w:rPr>
          <w:rFonts w:ascii="Times New Roman" w:eastAsia="Calibri" w:hAnsi="Times New Roman" w:cs="Times New Roman"/>
          <w:lang w:val="en-US"/>
        </w:rPr>
        <w:t>, because they all commit to the same values.</w:t>
      </w:r>
    </w:p>
    <w:p w14:paraId="1E9C15B1" w14:textId="5839D5D7" w:rsidR="0048484D" w:rsidRDefault="004C7489" w:rsidP="004C7489">
      <w:pPr>
        <w:spacing w:line="480" w:lineRule="auto"/>
        <w:ind w:firstLine="720"/>
        <w:jc w:val="both"/>
        <w:rPr>
          <w:rFonts w:ascii="Times New Roman" w:eastAsia="Times New Roman" w:hAnsi="Times New Roman" w:cs="Times New Roman"/>
          <w:color w:val="000000"/>
          <w:lang w:val="en-US" w:eastAsia="en-GB"/>
        </w:rPr>
      </w:pPr>
      <w:r>
        <w:rPr>
          <w:rFonts w:ascii="Times New Roman" w:eastAsia="Times New Roman" w:hAnsi="Times New Roman" w:cs="Times New Roman"/>
          <w:color w:val="000000"/>
          <w:lang w:val="en-US" w:eastAsia="en-GB"/>
        </w:rPr>
        <w:t>In sum, unlike what is provided in other federal orders such as the US, the EU constitutional order of States recognizes a unilateral and unconditional right to its Member States to functionally secede from it. The unconditional nature of such right is so wide that it allows the departing Member State to revoke its notification without having to satisfy any condition. Having said that, t</w:t>
      </w:r>
      <w:r w:rsidR="00997DE5" w:rsidRPr="00486DF6">
        <w:rPr>
          <w:rFonts w:ascii="Times New Roman" w:eastAsia="Times New Roman" w:hAnsi="Times New Roman" w:cs="Times New Roman"/>
          <w:color w:val="000000"/>
          <w:lang w:val="en-US" w:eastAsia="en-GB"/>
        </w:rPr>
        <w:t xml:space="preserve">he fact that the right to withdraw from the EU is unconditional, does not mean that the political will and aims of the withdrawing Member State are the sole defining factors in how this process is shaped. For instance, pursuant to Article 50(3), the consent of the remaining Member States is necessary if the period of negotiations is to be extended. This means that the </w:t>
      </w:r>
      <w:proofErr w:type="spellStart"/>
      <w:r w:rsidR="00997DE5" w:rsidRPr="00486DF6">
        <w:rPr>
          <w:rFonts w:ascii="Times New Roman" w:eastAsia="Times New Roman" w:hAnsi="Times New Roman" w:cs="Times New Roman"/>
          <w:color w:val="000000"/>
          <w:lang w:val="en-US" w:eastAsia="en-GB"/>
        </w:rPr>
        <w:t>Damoclean</w:t>
      </w:r>
      <w:proofErr w:type="spellEnd"/>
      <w:r w:rsidR="00997DE5" w:rsidRPr="00486DF6">
        <w:rPr>
          <w:rFonts w:ascii="Times New Roman" w:eastAsia="Times New Roman" w:hAnsi="Times New Roman" w:cs="Times New Roman"/>
          <w:color w:val="000000"/>
          <w:lang w:val="en-US" w:eastAsia="en-GB"/>
        </w:rPr>
        <w:t xml:space="preserve"> sword of a disorderly withdrawal may be in the hands of the remaining Member States.  Indeed, the UK managed to successfully extend this period three times after the remaining 27 Member States unanimously agreed to it. More importantly, the agreement of the qualified majority of the Council members after </w:t>
      </w:r>
      <w:r w:rsidR="0066042B" w:rsidRPr="00486DF6">
        <w:rPr>
          <w:rFonts w:ascii="Times New Roman" w:eastAsia="Times New Roman" w:hAnsi="Times New Roman" w:cs="Times New Roman"/>
          <w:color w:val="000000"/>
          <w:lang w:val="en-US" w:eastAsia="en-GB"/>
        </w:rPr>
        <w:t xml:space="preserve">having </w:t>
      </w:r>
      <w:r w:rsidR="00997DE5" w:rsidRPr="00486DF6">
        <w:rPr>
          <w:rFonts w:ascii="Times New Roman" w:eastAsia="Times New Roman" w:hAnsi="Times New Roman" w:cs="Times New Roman"/>
          <w:color w:val="000000"/>
          <w:lang w:val="en-US" w:eastAsia="en-GB"/>
        </w:rPr>
        <w:t>obtain</w:t>
      </w:r>
      <w:r w:rsidR="0066042B" w:rsidRPr="00486DF6">
        <w:rPr>
          <w:rFonts w:ascii="Times New Roman" w:eastAsia="Times New Roman" w:hAnsi="Times New Roman" w:cs="Times New Roman"/>
          <w:color w:val="000000"/>
          <w:lang w:val="en-US" w:eastAsia="en-GB"/>
        </w:rPr>
        <w:t xml:space="preserve">ed </w:t>
      </w:r>
      <w:r w:rsidR="00997DE5" w:rsidRPr="00486DF6">
        <w:rPr>
          <w:rFonts w:ascii="Times New Roman" w:eastAsia="Times New Roman" w:hAnsi="Times New Roman" w:cs="Times New Roman"/>
          <w:color w:val="000000"/>
          <w:lang w:val="en-US" w:eastAsia="en-GB"/>
        </w:rPr>
        <w:t>the consent of the European Parliament is also needed for reaching an agreement on the terms of the orderly withdrawal</w:t>
      </w:r>
      <w:r w:rsidR="0066042B" w:rsidRPr="00486DF6">
        <w:rPr>
          <w:rFonts w:ascii="Times New Roman" w:eastAsia="Times New Roman" w:hAnsi="Times New Roman" w:cs="Times New Roman"/>
          <w:color w:val="000000"/>
          <w:lang w:val="en-US" w:eastAsia="en-GB"/>
        </w:rPr>
        <w:t>.</w:t>
      </w:r>
      <w:r w:rsidR="007B6CC8">
        <w:rPr>
          <w:rFonts w:ascii="Times New Roman" w:eastAsia="Times New Roman" w:hAnsi="Times New Roman" w:cs="Times New Roman"/>
          <w:color w:val="000000"/>
          <w:lang w:val="en-US" w:eastAsia="en-GB"/>
        </w:rPr>
        <w:t xml:space="preserve"> All the above secure that an orderly complete withdrawal from the EU can never be achieved at the peril of the overall federal pact. In that way, </w:t>
      </w:r>
      <w:r w:rsidR="007B6CC8">
        <w:rPr>
          <w:rFonts w:ascii="Times New Roman" w:eastAsia="Times New Roman" w:hAnsi="Times New Roman" w:cs="Times New Roman"/>
          <w:color w:val="000000"/>
          <w:lang w:val="en-US" w:eastAsia="en-GB"/>
        </w:rPr>
        <w:lastRenderedPageBreak/>
        <w:t>and somewhat paradoxically, even the functional secession can be understood not only as an integral part of this federal order but also as an element that might have integrationist effects.</w:t>
      </w:r>
    </w:p>
    <w:p w14:paraId="2A5D29C0" w14:textId="77777777" w:rsidR="004C7489" w:rsidRPr="004C7489" w:rsidRDefault="004C7489" w:rsidP="004C7489">
      <w:pPr>
        <w:spacing w:line="480" w:lineRule="auto"/>
        <w:ind w:firstLine="720"/>
        <w:jc w:val="both"/>
        <w:rPr>
          <w:rFonts w:ascii="Times New Roman" w:eastAsia="Times New Roman" w:hAnsi="Times New Roman" w:cs="Times New Roman"/>
          <w:color w:val="000000"/>
          <w:lang w:val="en-US" w:eastAsia="en-GB"/>
        </w:rPr>
      </w:pPr>
    </w:p>
    <w:p w14:paraId="64F8E231" w14:textId="3EE8570A" w:rsidR="0048484D" w:rsidRPr="009A4A09" w:rsidRDefault="0048484D" w:rsidP="009A4A09">
      <w:pPr>
        <w:spacing w:line="480" w:lineRule="auto"/>
        <w:jc w:val="center"/>
        <w:rPr>
          <w:rFonts w:ascii="Times New Roman" w:eastAsia="Times New Roman" w:hAnsi="Times New Roman" w:cs="Times New Roman"/>
          <w:smallCaps/>
          <w:color w:val="000000"/>
          <w:lang w:val="en-US" w:eastAsia="en-GB"/>
        </w:rPr>
      </w:pPr>
      <w:r w:rsidRPr="009A4A09">
        <w:rPr>
          <w:rFonts w:ascii="Times New Roman" w:eastAsia="Times New Roman" w:hAnsi="Times New Roman" w:cs="Times New Roman"/>
          <w:smallCaps/>
          <w:color w:val="000000"/>
          <w:lang w:val="en-US" w:eastAsia="en-GB"/>
        </w:rPr>
        <w:t>Conclusion</w:t>
      </w:r>
    </w:p>
    <w:p w14:paraId="379A1AEA" w14:textId="62703D36" w:rsidR="00997DE5" w:rsidRPr="00486DF6" w:rsidRDefault="00997DE5" w:rsidP="009A4A09">
      <w:pPr>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t xml:space="preserve">In this </w:t>
      </w:r>
      <w:r w:rsidR="009825C5" w:rsidRPr="00486DF6">
        <w:rPr>
          <w:rFonts w:ascii="Times New Roman" w:hAnsi="Times New Roman" w:cs="Times New Roman"/>
          <w:lang w:val="en-US"/>
        </w:rPr>
        <w:t>article</w:t>
      </w:r>
      <w:r w:rsidRPr="00486DF6">
        <w:rPr>
          <w:rFonts w:ascii="Times New Roman" w:hAnsi="Times New Roman" w:cs="Times New Roman"/>
          <w:lang w:val="en-US"/>
        </w:rPr>
        <w:t xml:space="preserve">, we have </w:t>
      </w:r>
      <w:r w:rsidR="006D7303">
        <w:rPr>
          <w:rFonts w:ascii="Times New Roman" w:hAnsi="Times New Roman" w:cs="Times New Roman"/>
          <w:lang w:val="en-US"/>
        </w:rPr>
        <w:t>analyzed</w:t>
      </w:r>
      <w:r w:rsidRPr="00486DF6">
        <w:rPr>
          <w:rFonts w:ascii="Times New Roman" w:hAnsi="Times New Roman" w:cs="Times New Roman"/>
          <w:lang w:val="en-US"/>
        </w:rPr>
        <w:t xml:space="preserve"> the current phase of the European integration process in light of </w:t>
      </w:r>
      <w:r w:rsidR="00E94D8E">
        <w:rPr>
          <w:rFonts w:ascii="Times New Roman" w:hAnsi="Times New Roman" w:cs="Times New Roman"/>
          <w:lang w:val="en-US"/>
        </w:rPr>
        <w:t xml:space="preserve">two instruments of </w:t>
      </w:r>
      <w:proofErr w:type="spellStart"/>
      <w:r w:rsidR="00E94D8E">
        <w:rPr>
          <w:rFonts w:ascii="Times New Roman" w:hAnsi="Times New Roman" w:cs="Times New Roman"/>
          <w:lang w:val="en-US"/>
        </w:rPr>
        <w:t>contestatory</w:t>
      </w:r>
      <w:proofErr w:type="spellEnd"/>
      <w:r w:rsidR="00E94D8E">
        <w:rPr>
          <w:rFonts w:ascii="Times New Roman" w:hAnsi="Times New Roman" w:cs="Times New Roman"/>
          <w:lang w:val="en-US"/>
        </w:rPr>
        <w:t xml:space="preserve"> federalism:</w:t>
      </w:r>
      <w:r w:rsidRPr="00486DF6">
        <w:rPr>
          <w:rFonts w:ascii="Times New Roman" w:hAnsi="Times New Roman" w:cs="Times New Roman"/>
          <w:lang w:val="en-US"/>
        </w:rPr>
        <w:t xml:space="preserve"> nullification and secession. After defining these two concepts, we have reconstruct</w:t>
      </w:r>
      <w:r w:rsidR="006D7303">
        <w:rPr>
          <w:rFonts w:ascii="Times New Roman" w:hAnsi="Times New Roman" w:cs="Times New Roman"/>
          <w:lang w:val="en-US"/>
        </w:rPr>
        <w:t>ed</w:t>
      </w:r>
      <w:r w:rsidRPr="00486DF6">
        <w:rPr>
          <w:rFonts w:ascii="Times New Roman" w:hAnsi="Times New Roman" w:cs="Times New Roman"/>
          <w:lang w:val="en-US"/>
        </w:rPr>
        <w:t xml:space="preserve"> their nature by </w:t>
      </w:r>
      <w:r w:rsidR="0066042B" w:rsidRPr="00486DF6">
        <w:rPr>
          <w:rFonts w:ascii="Times New Roman" w:hAnsi="Times New Roman" w:cs="Times New Roman"/>
          <w:lang w:val="en-US"/>
        </w:rPr>
        <w:t>using the comparative method highlighting the</w:t>
      </w:r>
      <w:r w:rsidRPr="00486DF6">
        <w:rPr>
          <w:rFonts w:ascii="Times New Roman" w:hAnsi="Times New Roman" w:cs="Times New Roman"/>
          <w:lang w:val="en-US"/>
        </w:rPr>
        <w:t xml:space="preserve"> interesting similarities </w:t>
      </w:r>
      <w:r w:rsidR="00E94D8E">
        <w:rPr>
          <w:rFonts w:ascii="Times New Roman" w:hAnsi="Times New Roman" w:cs="Times New Roman"/>
          <w:lang w:val="en-US"/>
        </w:rPr>
        <w:t xml:space="preserve">and differences </w:t>
      </w:r>
      <w:r w:rsidRPr="00486DF6">
        <w:rPr>
          <w:rFonts w:ascii="Times New Roman" w:hAnsi="Times New Roman" w:cs="Times New Roman"/>
          <w:lang w:val="en-US"/>
        </w:rPr>
        <w:t>between the pre-Civil War United States and the</w:t>
      </w:r>
      <w:r w:rsidR="0066042B" w:rsidRPr="00486DF6">
        <w:rPr>
          <w:rFonts w:ascii="Times New Roman" w:hAnsi="Times New Roman" w:cs="Times New Roman"/>
          <w:lang w:val="en-US"/>
        </w:rPr>
        <w:t xml:space="preserve"> EU</w:t>
      </w:r>
      <w:r w:rsidR="00E94D8E">
        <w:rPr>
          <w:rFonts w:ascii="Times New Roman" w:hAnsi="Times New Roman" w:cs="Times New Roman"/>
          <w:lang w:val="en-US"/>
        </w:rPr>
        <w:t xml:space="preserve">. In both cases they can be seen as vehicles of constitutional conflicts. In fact, the respective constituent states use them in </w:t>
      </w:r>
      <w:r w:rsidRPr="00486DF6">
        <w:rPr>
          <w:rFonts w:ascii="Times New Roman" w:hAnsi="Times New Roman" w:cs="Times New Roman"/>
          <w:lang w:val="en-US"/>
        </w:rPr>
        <w:t xml:space="preserve">the belief </w:t>
      </w:r>
      <w:r w:rsidR="00E94D8E">
        <w:rPr>
          <w:rFonts w:ascii="Times New Roman" w:hAnsi="Times New Roman" w:cs="Times New Roman"/>
          <w:lang w:val="en-US"/>
        </w:rPr>
        <w:t>they can defend the</w:t>
      </w:r>
      <w:r w:rsidRPr="00486DF6">
        <w:rPr>
          <w:rFonts w:ascii="Times New Roman" w:hAnsi="Times New Roman" w:cs="Times New Roman"/>
          <w:lang w:val="en-US"/>
        </w:rPr>
        <w:t xml:space="preserve"> rights of their citizens.</w:t>
      </w:r>
      <w:r w:rsidR="00E94D8E">
        <w:rPr>
          <w:rFonts w:ascii="Times New Roman" w:hAnsi="Times New Roman" w:cs="Times New Roman"/>
          <w:lang w:val="en-US"/>
        </w:rPr>
        <w:t xml:space="preserve"> However, while in the case of the US, it has been made clear that those instruments violate the constitutional order, the EU constitutional order has exhibited such flexibility that allows even the accommodation of such extreme forms of </w:t>
      </w:r>
      <w:proofErr w:type="spellStart"/>
      <w:r w:rsidR="00E94D8E">
        <w:rPr>
          <w:rFonts w:ascii="Times New Roman" w:hAnsi="Times New Roman" w:cs="Times New Roman"/>
          <w:lang w:val="en-US"/>
        </w:rPr>
        <w:t>contestatory</w:t>
      </w:r>
      <w:proofErr w:type="spellEnd"/>
      <w:r w:rsidR="00E94D8E">
        <w:rPr>
          <w:rFonts w:ascii="Times New Roman" w:hAnsi="Times New Roman" w:cs="Times New Roman"/>
          <w:lang w:val="en-US"/>
        </w:rPr>
        <w:t xml:space="preserve"> federalism.</w:t>
      </w:r>
    </w:p>
    <w:p w14:paraId="19B96DB5" w14:textId="77777777" w:rsidR="006D7303" w:rsidRDefault="00E94D8E" w:rsidP="004A383E">
      <w:pPr>
        <w:spacing w:line="480" w:lineRule="auto"/>
        <w:ind w:firstLine="720"/>
        <w:jc w:val="both"/>
        <w:rPr>
          <w:rFonts w:ascii="Times New Roman" w:hAnsi="Times New Roman" w:cs="Times New Roman"/>
          <w:lang w:val="en-US"/>
        </w:rPr>
      </w:pPr>
      <w:r>
        <w:rPr>
          <w:rFonts w:ascii="Times New Roman" w:hAnsi="Times New Roman" w:cs="Times New Roman"/>
          <w:lang w:val="en-US"/>
        </w:rPr>
        <w:t>This is perhaps due to the fact that t</w:t>
      </w:r>
      <w:r w:rsidR="00A3225D" w:rsidRPr="00486DF6">
        <w:rPr>
          <w:rFonts w:ascii="Times New Roman" w:hAnsi="Times New Roman" w:cs="Times New Roman"/>
          <w:lang w:val="en-US"/>
        </w:rPr>
        <w:t xml:space="preserve">he architecture of EU federalism is based on the </w:t>
      </w:r>
      <w:proofErr w:type="spellStart"/>
      <w:r w:rsidR="00A3225D" w:rsidRPr="00486DF6">
        <w:rPr>
          <w:rFonts w:ascii="Times New Roman" w:hAnsi="Times New Roman" w:cs="Times New Roman"/>
          <w:lang w:val="en-US"/>
        </w:rPr>
        <w:t>constitutionali</w:t>
      </w:r>
      <w:r w:rsidR="009A4A09">
        <w:rPr>
          <w:rFonts w:ascii="Times New Roman" w:hAnsi="Times New Roman" w:cs="Times New Roman"/>
          <w:lang w:val="en-US"/>
        </w:rPr>
        <w:t>z</w:t>
      </w:r>
      <w:r w:rsidR="00A3225D" w:rsidRPr="00486DF6">
        <w:rPr>
          <w:rFonts w:ascii="Times New Roman" w:hAnsi="Times New Roman" w:cs="Times New Roman"/>
          <w:lang w:val="en-US"/>
        </w:rPr>
        <w:t>ation</w:t>
      </w:r>
      <w:proofErr w:type="spellEnd"/>
      <w:r w:rsidR="00A3225D" w:rsidRPr="00486DF6">
        <w:rPr>
          <w:rFonts w:ascii="Times New Roman" w:hAnsi="Times New Roman" w:cs="Times New Roman"/>
          <w:lang w:val="en-US"/>
        </w:rPr>
        <w:t xml:space="preserve"> of cooperative instruments</w:t>
      </w:r>
      <w:r w:rsidR="00CD19C6">
        <w:rPr>
          <w:rFonts w:ascii="Times New Roman" w:hAnsi="Times New Roman" w:cs="Times New Roman"/>
          <w:lang w:val="en-US"/>
        </w:rPr>
        <w:t>,</w:t>
      </w:r>
      <w:r w:rsidR="00A3225D" w:rsidRPr="00486DF6">
        <w:rPr>
          <w:rFonts w:ascii="Times New Roman" w:hAnsi="Times New Roman" w:cs="Times New Roman"/>
          <w:vertAlign w:val="superscript"/>
          <w:lang w:val="en-US"/>
        </w:rPr>
        <w:footnoteReference w:id="195"/>
      </w:r>
      <w:r w:rsidR="00A3225D" w:rsidRPr="00486DF6">
        <w:rPr>
          <w:rFonts w:ascii="Times New Roman" w:hAnsi="Times New Roman" w:cs="Times New Roman"/>
          <w:lang w:val="en-US"/>
        </w:rPr>
        <w:t xml:space="preserve"> </w:t>
      </w:r>
      <w:r w:rsidR="007064F7" w:rsidRPr="00486DF6">
        <w:rPr>
          <w:rFonts w:ascii="Times New Roman" w:hAnsi="Times New Roman" w:cs="Times New Roman"/>
          <w:lang w:val="en-US"/>
        </w:rPr>
        <w:t>while US federalism is (at least in theory) a dual system</w:t>
      </w:r>
      <w:r w:rsidR="00A3225D" w:rsidRPr="00486DF6">
        <w:rPr>
          <w:rFonts w:ascii="Times New Roman" w:hAnsi="Times New Roman" w:cs="Times New Roman"/>
          <w:lang w:val="en-US"/>
        </w:rPr>
        <w:t xml:space="preserve">. At the same time, the position of the Court of Justice is certainly stronger today than that of the Federal Supreme Court in </w:t>
      </w:r>
      <w:r w:rsidR="006D7303">
        <w:rPr>
          <w:rFonts w:ascii="Times New Roman" w:hAnsi="Times New Roman" w:cs="Times New Roman"/>
          <w:lang w:val="en-US"/>
        </w:rPr>
        <w:t>antebellum US</w:t>
      </w:r>
      <w:r w:rsidR="00A3225D" w:rsidRPr="00486DF6">
        <w:rPr>
          <w:rFonts w:ascii="Times New Roman" w:hAnsi="Times New Roman" w:cs="Times New Roman"/>
          <w:lang w:val="en-US"/>
        </w:rPr>
        <w:t>. This is not a detail, but an important difference. There are also remedies</w:t>
      </w:r>
      <w:r w:rsidR="006D7303">
        <w:rPr>
          <w:rFonts w:ascii="Times New Roman" w:hAnsi="Times New Roman" w:cs="Times New Roman"/>
          <w:lang w:val="en-US"/>
        </w:rPr>
        <w:t xml:space="preserve"> within the EU legal order</w:t>
      </w:r>
      <w:r w:rsidR="00A3225D" w:rsidRPr="00486DF6">
        <w:rPr>
          <w:rFonts w:ascii="Times New Roman" w:hAnsi="Times New Roman" w:cs="Times New Roman"/>
          <w:lang w:val="en-US"/>
        </w:rPr>
        <w:t xml:space="preserve"> to test</w:t>
      </w:r>
      <w:r w:rsidR="006D7303">
        <w:rPr>
          <w:rFonts w:ascii="Times New Roman" w:hAnsi="Times New Roman" w:cs="Times New Roman"/>
          <w:lang w:val="en-US"/>
        </w:rPr>
        <w:t xml:space="preserve"> the</w:t>
      </w:r>
      <w:r w:rsidR="00A3225D" w:rsidRPr="00486DF6">
        <w:rPr>
          <w:rFonts w:ascii="Times New Roman" w:hAnsi="Times New Roman" w:cs="Times New Roman"/>
          <w:lang w:val="en-US"/>
        </w:rPr>
        <w:t xml:space="preserve"> compliance</w:t>
      </w:r>
      <w:r w:rsidR="006D7303">
        <w:rPr>
          <w:rFonts w:ascii="Times New Roman" w:hAnsi="Times New Roman" w:cs="Times New Roman"/>
          <w:lang w:val="en-US"/>
        </w:rPr>
        <w:t xml:space="preserve"> of Member States</w:t>
      </w:r>
      <w:r w:rsidR="00A3225D" w:rsidRPr="00486DF6">
        <w:rPr>
          <w:rFonts w:ascii="Times New Roman" w:hAnsi="Times New Roman" w:cs="Times New Roman"/>
          <w:lang w:val="en-US"/>
        </w:rPr>
        <w:t xml:space="preserve"> with the principle of loyal cooperation and to protect the </w:t>
      </w:r>
      <w:r w:rsidR="006D7303">
        <w:rPr>
          <w:rFonts w:ascii="Times New Roman" w:hAnsi="Times New Roman" w:cs="Times New Roman"/>
          <w:lang w:val="en-US"/>
        </w:rPr>
        <w:t xml:space="preserve">fundamental </w:t>
      </w:r>
      <w:r w:rsidR="00A3225D" w:rsidRPr="00486DF6">
        <w:rPr>
          <w:rFonts w:ascii="Times New Roman" w:hAnsi="Times New Roman" w:cs="Times New Roman"/>
          <w:lang w:val="en-US"/>
        </w:rPr>
        <w:t xml:space="preserve">rights guaranteed </w:t>
      </w:r>
      <w:r w:rsidR="006D7303">
        <w:rPr>
          <w:rFonts w:ascii="Times New Roman" w:hAnsi="Times New Roman" w:cs="Times New Roman"/>
          <w:lang w:val="en-US"/>
        </w:rPr>
        <w:t>within the</w:t>
      </w:r>
      <w:r w:rsidR="00A3225D" w:rsidRPr="00486DF6">
        <w:rPr>
          <w:rFonts w:ascii="Times New Roman" w:hAnsi="Times New Roman" w:cs="Times New Roman"/>
          <w:lang w:val="en-US"/>
        </w:rPr>
        <w:t xml:space="preserve"> European </w:t>
      </w:r>
      <w:r w:rsidR="006D7303">
        <w:rPr>
          <w:rFonts w:ascii="Times New Roman" w:hAnsi="Times New Roman" w:cs="Times New Roman"/>
          <w:lang w:val="en-US"/>
        </w:rPr>
        <w:t>constitutional landscape</w:t>
      </w:r>
      <w:r w:rsidR="00A3225D" w:rsidRPr="00486DF6">
        <w:rPr>
          <w:rFonts w:ascii="Times New Roman" w:hAnsi="Times New Roman" w:cs="Times New Roman"/>
          <w:lang w:val="en-US"/>
        </w:rPr>
        <w:t xml:space="preserve">: from infringement proceedings to the </w:t>
      </w:r>
      <w:proofErr w:type="spellStart"/>
      <w:r w:rsidR="00A3225D" w:rsidRPr="00486DF6">
        <w:rPr>
          <w:rFonts w:ascii="Times New Roman" w:hAnsi="Times New Roman" w:cs="Times New Roman"/>
          <w:i/>
          <w:iCs/>
          <w:lang w:val="en-US"/>
        </w:rPr>
        <w:t>Köbler</w:t>
      </w:r>
      <w:proofErr w:type="spellEnd"/>
      <w:r w:rsidR="00A3225D" w:rsidRPr="00486DF6">
        <w:rPr>
          <w:rFonts w:ascii="Times New Roman" w:hAnsi="Times New Roman" w:cs="Times New Roman"/>
          <w:lang w:val="en-US"/>
        </w:rPr>
        <w:t xml:space="preserve"> doctrine</w:t>
      </w:r>
      <w:r w:rsidR="0056530E" w:rsidRPr="00486DF6">
        <w:rPr>
          <w:rFonts w:ascii="Times New Roman" w:hAnsi="Times New Roman" w:cs="Times New Roman"/>
          <w:lang w:val="en-US"/>
        </w:rPr>
        <w:t>.</w:t>
      </w:r>
      <w:r w:rsidR="00A3225D" w:rsidRPr="00486DF6">
        <w:rPr>
          <w:rFonts w:ascii="Times New Roman" w:hAnsi="Times New Roman" w:cs="Times New Roman"/>
          <w:vertAlign w:val="superscript"/>
          <w:lang w:val="en-US"/>
        </w:rPr>
        <w:footnoteReference w:id="196"/>
      </w:r>
      <w:r w:rsidR="00A3225D" w:rsidRPr="00486DF6">
        <w:rPr>
          <w:rFonts w:ascii="Times New Roman" w:hAnsi="Times New Roman" w:cs="Times New Roman"/>
          <w:lang w:val="en-US"/>
        </w:rPr>
        <w:t xml:space="preserve"> </w:t>
      </w:r>
    </w:p>
    <w:p w14:paraId="6D41B67C" w14:textId="281BE577" w:rsidR="006E16B8" w:rsidRPr="00486DF6" w:rsidRDefault="00A3225D" w:rsidP="004A383E">
      <w:pPr>
        <w:spacing w:line="480" w:lineRule="auto"/>
        <w:ind w:firstLine="720"/>
        <w:jc w:val="both"/>
        <w:rPr>
          <w:rFonts w:ascii="Times New Roman" w:hAnsi="Times New Roman" w:cs="Times New Roman"/>
          <w:lang w:val="en-US"/>
        </w:rPr>
      </w:pPr>
      <w:r w:rsidRPr="00486DF6">
        <w:rPr>
          <w:rFonts w:ascii="Times New Roman" w:hAnsi="Times New Roman" w:cs="Times New Roman"/>
          <w:lang w:val="en-US"/>
        </w:rPr>
        <w:lastRenderedPageBreak/>
        <w:t xml:space="preserve">The principle of loyal cooperation also allows us to distinguish the position of the German Constitutional Court from that of the other </w:t>
      </w:r>
      <w:r w:rsidR="00C94A44">
        <w:rPr>
          <w:rFonts w:ascii="Times New Roman" w:hAnsi="Times New Roman" w:cs="Times New Roman"/>
          <w:lang w:val="en-US"/>
        </w:rPr>
        <w:t>c</w:t>
      </w:r>
      <w:r w:rsidRPr="00486DF6">
        <w:rPr>
          <w:rFonts w:ascii="Times New Roman" w:hAnsi="Times New Roman" w:cs="Times New Roman"/>
          <w:lang w:val="en-US"/>
        </w:rPr>
        <w:t xml:space="preserve">onstitutional </w:t>
      </w:r>
      <w:r w:rsidR="0048020F">
        <w:rPr>
          <w:rFonts w:ascii="Times New Roman" w:hAnsi="Times New Roman" w:cs="Times New Roman"/>
          <w:lang w:val="en-US"/>
        </w:rPr>
        <w:t>c</w:t>
      </w:r>
      <w:r w:rsidRPr="00486DF6">
        <w:rPr>
          <w:rFonts w:ascii="Times New Roman" w:hAnsi="Times New Roman" w:cs="Times New Roman"/>
          <w:lang w:val="en-US"/>
        </w:rPr>
        <w:t xml:space="preserve">ourts that have used the </w:t>
      </w:r>
      <w:r w:rsidRPr="00486DF6">
        <w:rPr>
          <w:rFonts w:ascii="Times New Roman" w:hAnsi="Times New Roman" w:cs="Times New Roman"/>
          <w:i/>
          <w:iCs/>
          <w:lang w:val="en-US"/>
        </w:rPr>
        <w:t>ultra vires</w:t>
      </w:r>
      <w:r w:rsidRPr="00486DF6">
        <w:rPr>
          <w:rFonts w:ascii="Times New Roman" w:hAnsi="Times New Roman" w:cs="Times New Roman"/>
          <w:lang w:val="en-US"/>
        </w:rPr>
        <w:t xml:space="preserve"> argument. The German court declared the </w:t>
      </w:r>
      <w:r w:rsidRPr="00486DF6">
        <w:rPr>
          <w:rFonts w:ascii="Times New Roman" w:hAnsi="Times New Roman" w:cs="Times New Roman"/>
          <w:i/>
          <w:iCs/>
          <w:lang w:val="en-US"/>
        </w:rPr>
        <w:t>Weiss</w:t>
      </w:r>
      <w:r w:rsidRPr="00486DF6">
        <w:rPr>
          <w:rFonts w:ascii="Times New Roman" w:hAnsi="Times New Roman" w:cs="Times New Roman"/>
          <w:lang w:val="en-US"/>
        </w:rPr>
        <w:t xml:space="preserve"> judgment </w:t>
      </w:r>
      <w:r w:rsidRPr="00486DF6">
        <w:rPr>
          <w:rFonts w:ascii="Times New Roman" w:hAnsi="Times New Roman" w:cs="Times New Roman"/>
          <w:i/>
          <w:iCs/>
          <w:lang w:val="en-US"/>
        </w:rPr>
        <w:t>ultra vires</w:t>
      </w:r>
      <w:r w:rsidRPr="00486DF6">
        <w:rPr>
          <w:rFonts w:ascii="Times New Roman" w:hAnsi="Times New Roman" w:cs="Times New Roman"/>
          <w:lang w:val="en-US"/>
        </w:rPr>
        <w:t xml:space="preserve"> only after having used the preliminary ruling procedure, thus respecting the pattern given in </w:t>
      </w:r>
      <w:r w:rsidRPr="00486DF6">
        <w:rPr>
          <w:rFonts w:ascii="Times New Roman" w:hAnsi="Times New Roman" w:cs="Times New Roman"/>
          <w:i/>
          <w:iCs/>
          <w:lang w:val="en-US"/>
        </w:rPr>
        <w:t>Honeywell</w:t>
      </w:r>
      <w:r w:rsidR="0056530E" w:rsidRPr="00486DF6">
        <w:rPr>
          <w:rFonts w:ascii="Times New Roman" w:hAnsi="Times New Roman" w:cs="Times New Roman"/>
          <w:i/>
          <w:iCs/>
          <w:lang w:val="en-US"/>
        </w:rPr>
        <w:t>.</w:t>
      </w:r>
      <w:r w:rsidRPr="00486DF6">
        <w:rPr>
          <w:rFonts w:ascii="Times New Roman" w:hAnsi="Times New Roman" w:cs="Times New Roman"/>
          <w:vertAlign w:val="superscript"/>
          <w:lang w:val="en-US"/>
        </w:rPr>
        <w:footnoteReference w:id="197"/>
      </w:r>
      <w:r w:rsidRPr="00486DF6">
        <w:rPr>
          <w:rFonts w:ascii="Times New Roman" w:hAnsi="Times New Roman" w:cs="Times New Roman"/>
          <w:lang w:val="en-US"/>
        </w:rPr>
        <w:t xml:space="preserve"> The same cannot be said for the other courts</w:t>
      </w:r>
      <w:r w:rsidR="0056530E" w:rsidRPr="00486DF6">
        <w:rPr>
          <w:rFonts w:ascii="Times New Roman" w:hAnsi="Times New Roman" w:cs="Times New Roman"/>
          <w:lang w:val="en-US"/>
        </w:rPr>
        <w:t>.</w:t>
      </w:r>
      <w:r w:rsidRPr="00486DF6">
        <w:rPr>
          <w:rFonts w:ascii="Times New Roman" w:hAnsi="Times New Roman" w:cs="Times New Roman"/>
          <w:vertAlign w:val="superscript"/>
          <w:lang w:val="en-US"/>
        </w:rPr>
        <w:footnoteReference w:id="198"/>
      </w:r>
      <w:r w:rsidRPr="00486DF6">
        <w:rPr>
          <w:rFonts w:ascii="Times New Roman" w:hAnsi="Times New Roman" w:cs="Times New Roman"/>
          <w:lang w:val="en-US"/>
        </w:rPr>
        <w:t xml:space="preserve"> In conclusion, while the </w:t>
      </w:r>
      <w:r w:rsidR="0066042B" w:rsidRPr="00486DF6">
        <w:rPr>
          <w:rFonts w:ascii="Times New Roman" w:hAnsi="Times New Roman" w:cs="Times New Roman"/>
          <w:lang w:val="en-US"/>
        </w:rPr>
        <w:t xml:space="preserve">judgment of the </w:t>
      </w:r>
      <w:r w:rsidRPr="00486DF6">
        <w:rPr>
          <w:rFonts w:ascii="Times New Roman" w:hAnsi="Times New Roman" w:cs="Times New Roman"/>
          <w:lang w:val="en-US"/>
        </w:rPr>
        <w:t>German court may appear problematic, it does not represent the end of the process of European integration</w:t>
      </w:r>
      <w:r w:rsidR="0066042B" w:rsidRPr="00486DF6">
        <w:rPr>
          <w:rFonts w:ascii="Times New Roman" w:hAnsi="Times New Roman" w:cs="Times New Roman"/>
          <w:lang w:val="en-US"/>
        </w:rPr>
        <w:t xml:space="preserve">; rather it is a </w:t>
      </w:r>
      <w:r w:rsidRPr="00486DF6">
        <w:rPr>
          <w:rFonts w:ascii="Times New Roman" w:hAnsi="Times New Roman" w:cs="Times New Roman"/>
          <w:lang w:val="en-US"/>
        </w:rPr>
        <w:t>sign of the existence of federal dynamics that may pave the way for clearer relations between constitutional courts and the Court of Justice</w:t>
      </w:r>
      <w:r w:rsidR="0056530E" w:rsidRPr="00486DF6">
        <w:rPr>
          <w:rFonts w:ascii="Times New Roman" w:hAnsi="Times New Roman" w:cs="Times New Roman"/>
          <w:lang w:val="en-US"/>
        </w:rPr>
        <w:t>.</w:t>
      </w:r>
      <w:r w:rsidR="004A383E">
        <w:rPr>
          <w:rFonts w:ascii="Times New Roman" w:hAnsi="Times New Roman" w:cs="Times New Roman"/>
          <w:lang w:val="en-US"/>
        </w:rPr>
        <w:t xml:space="preserve"> </w:t>
      </w:r>
      <w:r w:rsidR="0056530E" w:rsidRPr="00486DF6">
        <w:rPr>
          <w:rFonts w:ascii="Times New Roman" w:hAnsi="Times New Roman" w:cs="Times New Roman"/>
          <w:lang w:val="en-US"/>
        </w:rPr>
        <w:t>Similarly, the Eurozone and the rule of law cris</w:t>
      </w:r>
      <w:r w:rsidR="006E16B8" w:rsidRPr="00486DF6">
        <w:rPr>
          <w:rFonts w:ascii="Times New Roman" w:hAnsi="Times New Roman" w:cs="Times New Roman"/>
          <w:lang w:val="en-US"/>
        </w:rPr>
        <w:t>e</w:t>
      </w:r>
      <w:r w:rsidR="0056530E" w:rsidRPr="00486DF6">
        <w:rPr>
          <w:rFonts w:ascii="Times New Roman" w:hAnsi="Times New Roman" w:cs="Times New Roman"/>
          <w:lang w:val="en-US"/>
        </w:rPr>
        <w:t xml:space="preserve">s and the respective attempts of the relevant political elites to achieve issue-based withdrawals from EU policies that </w:t>
      </w:r>
      <w:r w:rsidR="0066042B" w:rsidRPr="00486DF6">
        <w:rPr>
          <w:rFonts w:ascii="Times New Roman" w:hAnsi="Times New Roman" w:cs="Times New Roman"/>
          <w:lang w:val="en-US"/>
        </w:rPr>
        <w:t xml:space="preserve">were </w:t>
      </w:r>
      <w:r w:rsidR="0056530E" w:rsidRPr="00486DF6">
        <w:rPr>
          <w:rFonts w:ascii="Times New Roman" w:hAnsi="Times New Roman" w:cs="Times New Roman"/>
          <w:lang w:val="en-US"/>
        </w:rPr>
        <w:t>considered problematic for their national interests have actually led to the deepening of European integration. Even the UK’s withdrawal</w:t>
      </w:r>
      <w:r w:rsidR="007D7BB4" w:rsidRPr="00486DF6">
        <w:rPr>
          <w:rFonts w:ascii="Times New Roman" w:hAnsi="Times New Roman" w:cs="Times New Roman"/>
          <w:lang w:val="en-US"/>
        </w:rPr>
        <w:t>,</w:t>
      </w:r>
      <w:r w:rsidR="0056530E" w:rsidRPr="00486DF6">
        <w:rPr>
          <w:rFonts w:ascii="Times New Roman" w:hAnsi="Times New Roman" w:cs="Times New Roman"/>
          <w:lang w:val="en-US"/>
        </w:rPr>
        <w:t xml:space="preserve"> despite the obvious cost of </w:t>
      </w:r>
      <w:r w:rsidR="00CD19C6">
        <w:rPr>
          <w:rFonts w:ascii="Times New Roman" w:hAnsi="Times New Roman" w:cs="Times New Roman"/>
          <w:lang w:val="en-US"/>
        </w:rPr>
        <w:t>“</w:t>
      </w:r>
      <w:r w:rsidR="0056530E" w:rsidRPr="00486DF6">
        <w:rPr>
          <w:rFonts w:ascii="Times New Roman" w:hAnsi="Times New Roman" w:cs="Times New Roman"/>
          <w:lang w:val="en-US"/>
        </w:rPr>
        <w:t>losing</w:t>
      </w:r>
      <w:r w:rsidR="00CD19C6">
        <w:rPr>
          <w:rFonts w:ascii="Times New Roman" w:hAnsi="Times New Roman" w:cs="Times New Roman"/>
          <w:lang w:val="en-US"/>
        </w:rPr>
        <w:t>”</w:t>
      </w:r>
      <w:r w:rsidR="0056530E" w:rsidRPr="00486DF6">
        <w:rPr>
          <w:rFonts w:ascii="Times New Roman" w:hAnsi="Times New Roman" w:cs="Times New Roman"/>
          <w:lang w:val="en-US"/>
        </w:rPr>
        <w:t xml:space="preserve"> a Member State</w:t>
      </w:r>
      <w:r w:rsidR="007D7BB4" w:rsidRPr="00486DF6">
        <w:rPr>
          <w:rFonts w:ascii="Times New Roman" w:hAnsi="Times New Roman" w:cs="Times New Roman"/>
          <w:lang w:val="en-US"/>
        </w:rPr>
        <w:t>,</w:t>
      </w:r>
      <w:r w:rsidR="0056530E" w:rsidRPr="00486DF6">
        <w:rPr>
          <w:rFonts w:ascii="Times New Roman" w:hAnsi="Times New Roman" w:cs="Times New Roman"/>
          <w:lang w:val="en-US"/>
        </w:rPr>
        <w:t xml:space="preserve"> has led to the strengthening of the Union. The difficulties that</w:t>
      </w:r>
      <w:r w:rsidR="006E16B8" w:rsidRPr="00486DF6">
        <w:rPr>
          <w:rFonts w:ascii="Times New Roman" w:hAnsi="Times New Roman" w:cs="Times New Roman"/>
          <w:lang w:val="en-US"/>
        </w:rPr>
        <w:t xml:space="preserve"> the UK</w:t>
      </w:r>
      <w:r w:rsidR="0056530E" w:rsidRPr="00486DF6">
        <w:rPr>
          <w:rFonts w:ascii="Times New Roman" w:hAnsi="Times New Roman" w:cs="Times New Roman"/>
          <w:lang w:val="en-US"/>
        </w:rPr>
        <w:t xml:space="preserve"> faced as a withdrawing Member State and the real dangers of a disorderly withdrawal</w:t>
      </w:r>
      <w:r w:rsidR="006D7303">
        <w:rPr>
          <w:rFonts w:ascii="Times New Roman" w:hAnsi="Times New Roman" w:cs="Times New Roman"/>
          <w:lang w:val="en-US"/>
        </w:rPr>
        <w:t xml:space="preserve"> have</w:t>
      </w:r>
      <w:r w:rsidR="0056530E" w:rsidRPr="00486DF6">
        <w:rPr>
          <w:rFonts w:ascii="Times New Roman" w:hAnsi="Times New Roman" w:cs="Times New Roman"/>
          <w:lang w:val="en-US"/>
        </w:rPr>
        <w:t xml:space="preserve"> serve</w:t>
      </w:r>
      <w:r w:rsidR="006D7303">
        <w:rPr>
          <w:rFonts w:ascii="Times New Roman" w:hAnsi="Times New Roman" w:cs="Times New Roman"/>
          <w:lang w:val="en-US"/>
        </w:rPr>
        <w:t>d</w:t>
      </w:r>
      <w:r w:rsidR="0056530E" w:rsidRPr="00486DF6">
        <w:rPr>
          <w:rFonts w:ascii="Times New Roman" w:hAnsi="Times New Roman" w:cs="Times New Roman"/>
          <w:lang w:val="en-US"/>
        </w:rPr>
        <w:t xml:space="preserve"> as a cautionary tale to the outlier States that might consider triggering Article 50 TEU. </w:t>
      </w:r>
      <w:r w:rsidR="006E16B8" w:rsidRPr="00486DF6">
        <w:rPr>
          <w:rFonts w:ascii="Times New Roman" w:hAnsi="Times New Roman" w:cs="Times New Roman"/>
          <w:lang w:val="en-US"/>
        </w:rPr>
        <w:t xml:space="preserve"> In that sense, both the difficulty of achieving nullification and the risks that functional secession entail may have a paradoxically integrationist effect </w:t>
      </w:r>
      <w:r w:rsidR="007D7BB4" w:rsidRPr="00486DF6">
        <w:rPr>
          <w:rFonts w:ascii="Times New Roman" w:hAnsi="Times New Roman" w:cs="Times New Roman"/>
          <w:lang w:val="en-US"/>
        </w:rPr>
        <w:t xml:space="preserve">on </w:t>
      </w:r>
      <w:r w:rsidR="006E16B8" w:rsidRPr="00486DF6">
        <w:rPr>
          <w:rFonts w:ascii="Times New Roman" w:hAnsi="Times New Roman" w:cs="Times New Roman"/>
          <w:lang w:val="en-US"/>
        </w:rPr>
        <w:t>a Union that has never stopped moving from crisis to crisis.</w:t>
      </w:r>
    </w:p>
    <w:p w14:paraId="1C8D682F" w14:textId="77777777" w:rsidR="00E904D4" w:rsidRPr="00486DF6" w:rsidRDefault="00E904D4" w:rsidP="000E4CEC">
      <w:pPr>
        <w:spacing w:line="480" w:lineRule="auto"/>
        <w:rPr>
          <w:rFonts w:cstheme="minorHAnsi"/>
          <w:lang w:val="en-US"/>
        </w:rPr>
      </w:pPr>
    </w:p>
    <w:sectPr w:rsidR="00E904D4" w:rsidRPr="00486DF6" w:rsidSect="00D66AA1">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AD6B" w14:textId="77777777" w:rsidR="000D3D4F" w:rsidRDefault="000D3D4F" w:rsidP="0048484D">
      <w:r>
        <w:separator/>
      </w:r>
    </w:p>
  </w:endnote>
  <w:endnote w:type="continuationSeparator" w:id="0">
    <w:p w14:paraId="3BDDB1AC" w14:textId="77777777" w:rsidR="000D3D4F" w:rsidRDefault="000D3D4F" w:rsidP="0048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Baskerville">
    <w:panose1 w:val="02020502070401020303"/>
    <w:charset w:val="00"/>
    <w:family w:val="roman"/>
    <w:pitch w:val="variable"/>
    <w:sig w:usb0="80000067" w:usb1="02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9473732"/>
      <w:docPartObj>
        <w:docPartGallery w:val="Page Numbers (Bottom of Page)"/>
        <w:docPartUnique/>
      </w:docPartObj>
    </w:sdtPr>
    <w:sdtContent>
      <w:p w14:paraId="60D7086E" w14:textId="13D514A0" w:rsidR="007F5857" w:rsidRDefault="007F5857" w:rsidP="000864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C9B2A3" w14:textId="77777777" w:rsidR="007F5857" w:rsidRDefault="007F5857" w:rsidP="007F5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568199"/>
      <w:docPartObj>
        <w:docPartGallery w:val="Page Numbers (Bottom of Page)"/>
        <w:docPartUnique/>
      </w:docPartObj>
    </w:sdtPr>
    <w:sdtEndPr>
      <w:rPr>
        <w:rStyle w:val="PageNumber"/>
        <w:rFonts w:ascii="Times New Roman" w:hAnsi="Times New Roman" w:cs="Times New Roman"/>
      </w:rPr>
    </w:sdtEndPr>
    <w:sdtContent>
      <w:p w14:paraId="5B24C5B7" w14:textId="71B92BE8" w:rsidR="007F5857" w:rsidRPr="007F5857" w:rsidRDefault="007F5857" w:rsidP="0008642A">
        <w:pPr>
          <w:pStyle w:val="Footer"/>
          <w:framePr w:wrap="none" w:vAnchor="text" w:hAnchor="margin" w:xAlign="right" w:y="1"/>
          <w:rPr>
            <w:rStyle w:val="PageNumber"/>
            <w:rFonts w:ascii="Times New Roman" w:hAnsi="Times New Roman" w:cs="Times New Roman"/>
          </w:rPr>
        </w:pPr>
        <w:r w:rsidRPr="007F5857">
          <w:rPr>
            <w:rStyle w:val="PageNumber"/>
            <w:rFonts w:ascii="Times New Roman" w:hAnsi="Times New Roman" w:cs="Times New Roman"/>
          </w:rPr>
          <w:fldChar w:fldCharType="begin"/>
        </w:r>
        <w:r w:rsidRPr="007F5857">
          <w:rPr>
            <w:rStyle w:val="PageNumber"/>
            <w:rFonts w:ascii="Times New Roman" w:hAnsi="Times New Roman" w:cs="Times New Roman"/>
          </w:rPr>
          <w:instrText xml:space="preserve"> PAGE </w:instrText>
        </w:r>
        <w:r w:rsidRPr="007F5857">
          <w:rPr>
            <w:rStyle w:val="PageNumber"/>
            <w:rFonts w:ascii="Times New Roman" w:hAnsi="Times New Roman" w:cs="Times New Roman"/>
          </w:rPr>
          <w:fldChar w:fldCharType="separate"/>
        </w:r>
        <w:r w:rsidRPr="007F5857">
          <w:rPr>
            <w:rStyle w:val="PageNumber"/>
            <w:rFonts w:ascii="Times New Roman" w:hAnsi="Times New Roman" w:cs="Times New Roman"/>
            <w:noProof/>
          </w:rPr>
          <w:t>1</w:t>
        </w:r>
        <w:r w:rsidRPr="007F5857">
          <w:rPr>
            <w:rStyle w:val="PageNumber"/>
            <w:rFonts w:ascii="Times New Roman" w:hAnsi="Times New Roman" w:cs="Times New Roman"/>
          </w:rPr>
          <w:fldChar w:fldCharType="end"/>
        </w:r>
      </w:p>
    </w:sdtContent>
  </w:sdt>
  <w:p w14:paraId="72A265B5" w14:textId="77777777" w:rsidR="007F5857" w:rsidRPr="007F5857" w:rsidRDefault="007F5857" w:rsidP="007F5857">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CBBD" w14:textId="77777777" w:rsidR="000D3D4F" w:rsidRDefault="000D3D4F" w:rsidP="0048484D">
      <w:r>
        <w:separator/>
      </w:r>
    </w:p>
  </w:footnote>
  <w:footnote w:type="continuationSeparator" w:id="0">
    <w:p w14:paraId="0B1239DF" w14:textId="77777777" w:rsidR="000D3D4F" w:rsidRDefault="000D3D4F" w:rsidP="0048484D">
      <w:r>
        <w:continuationSeparator/>
      </w:r>
    </w:p>
  </w:footnote>
  <w:footnote w:id="1">
    <w:p w14:paraId="18509E16" w14:textId="0E26605A" w:rsidR="004351F8" w:rsidRPr="004351F8" w:rsidRDefault="004351F8">
      <w:pPr>
        <w:pStyle w:val="FootnoteText"/>
      </w:pPr>
      <w:r w:rsidRPr="004351F8">
        <w:rPr>
          <w:rStyle w:val="FootnoteReference"/>
        </w:rPr>
        <w:sym w:font="Symbol" w:char="F02A"/>
      </w:r>
      <w:r>
        <w:t xml:space="preserve"> </w:t>
      </w:r>
      <w:r w:rsidRPr="00EC4D3C">
        <w:rPr>
          <w:rFonts w:ascii="Times New Roman" w:hAnsi="Times New Roman" w:cs="Times New Roman"/>
          <w:color w:val="000000" w:themeColor="text1"/>
          <w:lang w:val="en-US"/>
        </w:rPr>
        <w:t xml:space="preserve">Giuseppe </w:t>
      </w:r>
      <w:proofErr w:type="spellStart"/>
      <w:r w:rsidRPr="00EC4D3C">
        <w:rPr>
          <w:rFonts w:ascii="Times New Roman" w:hAnsi="Times New Roman" w:cs="Times New Roman"/>
          <w:color w:val="000000" w:themeColor="text1"/>
          <w:lang w:val="en-US"/>
        </w:rPr>
        <w:t>Martinico</w:t>
      </w:r>
      <w:proofErr w:type="spellEnd"/>
      <w:r w:rsidRPr="00EC4D3C">
        <w:rPr>
          <w:rFonts w:ascii="Times New Roman" w:hAnsi="Times New Roman" w:cs="Times New Roman"/>
          <w:color w:val="000000" w:themeColor="text1"/>
          <w:lang w:val="en-US"/>
        </w:rPr>
        <w:t xml:space="preserve">, </w:t>
      </w:r>
      <w:r w:rsidRPr="00EC4D3C">
        <w:rPr>
          <w:rFonts w:ascii="Times New Roman" w:hAnsi="Times New Roman" w:cs="Times New Roman"/>
          <w:color w:val="000000" w:themeColor="text1"/>
          <w:shd w:val="clear" w:color="auto" w:fill="FFFFFF"/>
        </w:rPr>
        <w:t xml:space="preserve">Full Professor of Comparative Public law, </w:t>
      </w:r>
      <w:proofErr w:type="spellStart"/>
      <w:r w:rsidRPr="00EC4D3C">
        <w:rPr>
          <w:rFonts w:ascii="Times New Roman" w:hAnsi="Times New Roman" w:cs="Times New Roman"/>
          <w:color w:val="000000" w:themeColor="text1"/>
          <w:shd w:val="clear" w:color="auto" w:fill="FFFFFF"/>
        </w:rPr>
        <w:t>Scuola</w:t>
      </w:r>
      <w:proofErr w:type="spellEnd"/>
      <w:r w:rsidRPr="00EC4D3C">
        <w:rPr>
          <w:rFonts w:ascii="Times New Roman" w:hAnsi="Times New Roman" w:cs="Times New Roman"/>
          <w:color w:val="000000" w:themeColor="text1"/>
          <w:shd w:val="clear" w:color="auto" w:fill="FFFFFF"/>
        </w:rPr>
        <w:t xml:space="preserve"> </w:t>
      </w:r>
      <w:proofErr w:type="spellStart"/>
      <w:r w:rsidRPr="00EC4D3C">
        <w:rPr>
          <w:rFonts w:ascii="Times New Roman" w:hAnsi="Times New Roman" w:cs="Times New Roman"/>
          <w:color w:val="000000" w:themeColor="text1"/>
          <w:shd w:val="clear" w:color="auto" w:fill="FFFFFF"/>
        </w:rPr>
        <w:t>Superiore</w:t>
      </w:r>
      <w:proofErr w:type="spellEnd"/>
      <w:r w:rsidRPr="00EC4D3C">
        <w:rPr>
          <w:rFonts w:ascii="Times New Roman" w:hAnsi="Times New Roman" w:cs="Times New Roman"/>
          <w:color w:val="000000" w:themeColor="text1"/>
          <w:shd w:val="clear" w:color="auto" w:fill="FFFFFF"/>
        </w:rPr>
        <w:t xml:space="preserve"> </w:t>
      </w:r>
      <w:proofErr w:type="spellStart"/>
      <w:r w:rsidRPr="00EC4D3C">
        <w:rPr>
          <w:rFonts w:ascii="Times New Roman" w:hAnsi="Times New Roman" w:cs="Times New Roman"/>
          <w:color w:val="000000" w:themeColor="text1"/>
          <w:shd w:val="clear" w:color="auto" w:fill="FFFFFF"/>
        </w:rPr>
        <w:t>Sant'Anna</w:t>
      </w:r>
      <w:proofErr w:type="spellEnd"/>
      <w:r w:rsidRPr="00EC4D3C">
        <w:rPr>
          <w:rFonts w:ascii="Times New Roman" w:hAnsi="Times New Roman" w:cs="Times New Roman"/>
          <w:color w:val="000000" w:themeColor="text1"/>
          <w:shd w:val="clear" w:color="auto" w:fill="FFFFFF"/>
        </w:rPr>
        <w:t xml:space="preserve">, Pisa, Italy. Nikos Skoutaris, Professor in </w:t>
      </w:r>
      <w:r>
        <w:rPr>
          <w:rFonts w:ascii="Times New Roman" w:hAnsi="Times New Roman" w:cs="Times New Roman"/>
          <w:color w:val="000000" w:themeColor="text1"/>
          <w:shd w:val="clear" w:color="auto" w:fill="FFFFFF"/>
        </w:rPr>
        <w:t>European Constitutional Law</w:t>
      </w:r>
      <w:r w:rsidRPr="00EC4D3C">
        <w:rPr>
          <w:rFonts w:ascii="Times New Roman" w:hAnsi="Times New Roman" w:cs="Times New Roman"/>
          <w:color w:val="000000" w:themeColor="text1"/>
          <w:shd w:val="clear" w:color="auto" w:fill="FFFFFF"/>
        </w:rPr>
        <w:t xml:space="preserve">, University of East Anglia, UK. </w:t>
      </w:r>
      <w:r w:rsidRPr="00EC4D3C">
        <w:rPr>
          <w:rFonts w:ascii="Times New Roman" w:hAnsi="Times New Roman" w:cs="Times New Roman"/>
          <w:color w:val="000000" w:themeColor="text1"/>
          <w:lang w:val="en-US"/>
        </w:rPr>
        <w:t xml:space="preserve">We would like to thank Allan Tatham, Erin Delaney, Orlando </w:t>
      </w:r>
      <w:proofErr w:type="spellStart"/>
      <w:r w:rsidRPr="00EC4D3C">
        <w:rPr>
          <w:rFonts w:ascii="Times New Roman" w:hAnsi="Times New Roman" w:cs="Times New Roman"/>
          <w:color w:val="000000" w:themeColor="text1"/>
          <w:lang w:val="en-US"/>
        </w:rPr>
        <w:t>Scarcello</w:t>
      </w:r>
      <w:proofErr w:type="spellEnd"/>
      <w:r w:rsidRPr="00EC4D3C">
        <w:rPr>
          <w:rFonts w:ascii="Times New Roman" w:hAnsi="Times New Roman" w:cs="Times New Roman"/>
          <w:color w:val="000000" w:themeColor="text1"/>
          <w:lang w:val="en-US"/>
        </w:rPr>
        <w:t xml:space="preserve">, Umberto </w:t>
      </w:r>
      <w:proofErr w:type="spellStart"/>
      <w:r w:rsidRPr="00EC4D3C">
        <w:rPr>
          <w:rFonts w:ascii="Times New Roman" w:hAnsi="Times New Roman" w:cs="Times New Roman"/>
          <w:color w:val="000000" w:themeColor="text1"/>
          <w:lang w:val="en-US"/>
        </w:rPr>
        <w:t>Lattanzi</w:t>
      </w:r>
      <w:proofErr w:type="spellEnd"/>
      <w:r w:rsidRPr="00EC4D3C">
        <w:rPr>
          <w:rFonts w:ascii="Times New Roman" w:hAnsi="Times New Roman" w:cs="Times New Roman"/>
          <w:color w:val="000000" w:themeColor="text1"/>
          <w:lang w:val="en-US"/>
        </w:rPr>
        <w:t xml:space="preserve">, Matteo Monti, Leonardo </w:t>
      </w:r>
      <w:proofErr w:type="spellStart"/>
      <w:r w:rsidRPr="00EC4D3C">
        <w:rPr>
          <w:rFonts w:ascii="Times New Roman" w:hAnsi="Times New Roman" w:cs="Times New Roman"/>
          <w:color w:val="000000" w:themeColor="text1"/>
          <w:lang w:val="en-US"/>
        </w:rPr>
        <w:t>Pierdominici</w:t>
      </w:r>
      <w:proofErr w:type="spellEnd"/>
      <w:r w:rsidRPr="00EC4D3C">
        <w:rPr>
          <w:rFonts w:ascii="Times New Roman" w:hAnsi="Times New Roman" w:cs="Times New Roman"/>
          <w:color w:val="000000" w:themeColor="text1"/>
          <w:lang w:val="en-US"/>
        </w:rPr>
        <w:t xml:space="preserve">, Giacomo </w:t>
      </w:r>
      <w:proofErr w:type="spellStart"/>
      <w:r w:rsidRPr="00EC4D3C">
        <w:rPr>
          <w:rFonts w:ascii="Times New Roman" w:hAnsi="Times New Roman" w:cs="Times New Roman"/>
          <w:color w:val="000000" w:themeColor="text1"/>
          <w:lang w:val="en-US"/>
        </w:rPr>
        <w:t>Delledonne</w:t>
      </w:r>
      <w:proofErr w:type="spellEnd"/>
      <w:r w:rsidRPr="00EC4D3C">
        <w:rPr>
          <w:rFonts w:ascii="Times New Roman" w:hAnsi="Times New Roman" w:cs="Times New Roman"/>
          <w:color w:val="000000" w:themeColor="text1"/>
          <w:lang w:val="en-US"/>
        </w:rPr>
        <w:t xml:space="preserve">, Francesco Palermo, Elisabeth </w:t>
      </w:r>
      <w:proofErr w:type="spellStart"/>
      <w:r w:rsidRPr="00EC4D3C">
        <w:rPr>
          <w:rFonts w:ascii="Times New Roman" w:hAnsi="Times New Roman" w:cs="Times New Roman"/>
          <w:color w:val="000000" w:themeColor="text1"/>
          <w:lang w:val="en-US"/>
        </w:rPr>
        <w:t>Alber</w:t>
      </w:r>
      <w:proofErr w:type="spellEnd"/>
      <w:r w:rsidRPr="00EC4D3C">
        <w:rPr>
          <w:rFonts w:ascii="Times New Roman" w:hAnsi="Times New Roman" w:cs="Times New Roman"/>
          <w:color w:val="000000" w:themeColor="text1"/>
          <w:lang w:val="en-US"/>
        </w:rPr>
        <w:t xml:space="preserve">, Karl </w:t>
      </w:r>
      <w:proofErr w:type="spellStart"/>
      <w:r w:rsidRPr="00EC4D3C">
        <w:rPr>
          <w:rFonts w:ascii="Times New Roman" w:hAnsi="Times New Roman" w:cs="Times New Roman"/>
          <w:color w:val="000000" w:themeColor="text1"/>
          <w:lang w:val="en-US"/>
        </w:rPr>
        <w:t>Kössler</w:t>
      </w:r>
      <w:proofErr w:type="spellEnd"/>
      <w:r w:rsidRPr="00EC4D3C">
        <w:rPr>
          <w:rFonts w:ascii="Times New Roman" w:hAnsi="Times New Roman" w:cs="Times New Roman"/>
          <w:color w:val="000000" w:themeColor="text1"/>
          <w:lang w:val="en-US"/>
        </w:rPr>
        <w:t xml:space="preserve">, Francisco Javier Romero Caro, </w:t>
      </w:r>
      <w:proofErr w:type="spellStart"/>
      <w:r w:rsidRPr="00EC4D3C">
        <w:rPr>
          <w:rFonts w:ascii="Times New Roman" w:hAnsi="Times New Roman" w:cs="Times New Roman"/>
          <w:color w:val="000000" w:themeColor="text1"/>
          <w:lang w:val="en-US"/>
        </w:rPr>
        <w:t>Marjan</w:t>
      </w:r>
      <w:proofErr w:type="spellEnd"/>
      <w:r w:rsidRPr="00EC4D3C">
        <w:rPr>
          <w:rFonts w:ascii="Times New Roman" w:hAnsi="Times New Roman" w:cs="Times New Roman"/>
          <w:color w:val="000000" w:themeColor="text1"/>
          <w:lang w:val="en-US"/>
        </w:rPr>
        <w:t xml:space="preserve"> Kos, and Nicola Abate for their valuable comments and feedback on earlier drafts of the article. We would also like to thank Ben Evans </w:t>
      </w:r>
      <w:r>
        <w:rPr>
          <w:rFonts w:ascii="Times New Roman" w:hAnsi="Times New Roman" w:cs="Times New Roman"/>
          <w:color w:val="000000" w:themeColor="text1"/>
          <w:lang w:val="en-US"/>
        </w:rPr>
        <w:t xml:space="preserve">and Chris Gorman </w:t>
      </w:r>
      <w:r w:rsidRPr="00EC4D3C">
        <w:rPr>
          <w:rFonts w:ascii="Times New Roman" w:hAnsi="Times New Roman" w:cs="Times New Roman"/>
          <w:color w:val="000000" w:themeColor="text1"/>
          <w:lang w:val="en-US"/>
        </w:rPr>
        <w:t xml:space="preserve">for </w:t>
      </w:r>
      <w:r>
        <w:rPr>
          <w:rFonts w:ascii="Times New Roman" w:hAnsi="Times New Roman" w:cs="Times New Roman"/>
          <w:color w:val="000000" w:themeColor="text1"/>
          <w:lang w:val="en-US"/>
        </w:rPr>
        <w:t>their</w:t>
      </w:r>
      <w:r w:rsidRPr="00EC4D3C">
        <w:rPr>
          <w:rFonts w:ascii="Times New Roman" w:hAnsi="Times New Roman" w:cs="Times New Roman"/>
          <w:color w:val="000000" w:themeColor="text1"/>
          <w:lang w:val="en-US"/>
        </w:rPr>
        <w:t xml:space="preserve"> language editing and proof-reading. The usual disclaimer applies.</w:t>
      </w:r>
    </w:p>
  </w:footnote>
  <w:footnote w:id="2">
    <w:p w14:paraId="5FC203F2" w14:textId="4106C602"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2C7B7B" w:rsidRPr="00050C8B">
        <w:rPr>
          <w:rFonts w:ascii="Times New Roman" w:eastAsiaTheme="minorEastAsia" w:hAnsi="Times New Roman" w:cs="Times New Roman"/>
        </w:rPr>
        <w:t xml:space="preserve">Joseph H.H. </w:t>
      </w:r>
      <w:proofErr w:type="spellStart"/>
      <w:r w:rsidR="002C7B7B" w:rsidRPr="00050C8B">
        <w:rPr>
          <w:rFonts w:ascii="Times New Roman" w:eastAsiaTheme="minorEastAsia" w:hAnsi="Times New Roman" w:cs="Times New Roman"/>
        </w:rPr>
        <w:t>Weiler</w:t>
      </w:r>
      <w:proofErr w:type="spellEnd"/>
      <w:r w:rsidR="002C7B7B" w:rsidRPr="00050C8B">
        <w:rPr>
          <w:rFonts w:ascii="Times New Roman" w:eastAsiaTheme="minorEastAsia" w:hAnsi="Times New Roman" w:cs="Times New Roman"/>
        </w:rPr>
        <w:t xml:space="preserve">, </w:t>
      </w:r>
      <w:r w:rsidR="002C7B7B" w:rsidRPr="00050C8B">
        <w:rPr>
          <w:rFonts w:ascii="Times New Roman" w:eastAsiaTheme="minorEastAsia" w:hAnsi="Times New Roman" w:cs="Times New Roman"/>
          <w:i/>
          <w:iCs/>
        </w:rPr>
        <w:t>In Defence of the Status quo: Europe’s Sonderweg,</w:t>
      </w:r>
      <w:r w:rsidR="002C7B7B" w:rsidRPr="00050C8B">
        <w:rPr>
          <w:rFonts w:ascii="Times New Roman" w:eastAsiaTheme="minorEastAsia" w:hAnsi="Times New Roman" w:cs="Times New Roman"/>
        </w:rPr>
        <w:t xml:space="preserve"> </w:t>
      </w:r>
      <w:r w:rsidR="002C7B7B" w:rsidRPr="00050C8B">
        <w:rPr>
          <w:rFonts w:ascii="Times New Roman" w:eastAsiaTheme="minorEastAsia" w:hAnsi="Times New Roman" w:cs="Times New Roman"/>
          <w:i/>
          <w:iCs/>
        </w:rPr>
        <w:t>in</w:t>
      </w:r>
      <w:r w:rsidR="002C7B7B" w:rsidRPr="00050C8B">
        <w:rPr>
          <w:rFonts w:ascii="Times New Roman" w:eastAsiaTheme="minorEastAsia" w:hAnsi="Times New Roman" w:cs="Times New Roman"/>
        </w:rPr>
        <w:t xml:space="preserve"> </w:t>
      </w:r>
      <w:r w:rsidR="002C7B7B" w:rsidRPr="00050C8B">
        <w:rPr>
          <w:rFonts w:ascii="Times New Roman" w:eastAsiaTheme="minorEastAsia" w:hAnsi="Times New Roman" w:cs="Times New Roman"/>
          <w:smallCaps/>
        </w:rPr>
        <w:t>European Constitutionalism Beyond the State</w:t>
      </w:r>
      <w:r w:rsidR="002C7B7B" w:rsidRPr="00050C8B">
        <w:rPr>
          <w:rFonts w:ascii="Times New Roman" w:hAnsi="Times New Roman" w:cs="Times New Roman"/>
        </w:rPr>
        <w:t xml:space="preserve"> 7, 7 </w:t>
      </w:r>
      <w:r w:rsidR="002C7B7B" w:rsidRPr="00050C8B">
        <w:rPr>
          <w:rFonts w:ascii="Times New Roman" w:eastAsiaTheme="minorEastAsia" w:hAnsi="Times New Roman" w:cs="Times New Roman"/>
        </w:rPr>
        <w:t xml:space="preserve">(Marlene Wind and Joseph H.H. </w:t>
      </w:r>
      <w:proofErr w:type="spellStart"/>
      <w:r w:rsidR="002C7B7B" w:rsidRPr="00050C8B">
        <w:rPr>
          <w:rFonts w:ascii="Times New Roman" w:eastAsiaTheme="minorEastAsia" w:hAnsi="Times New Roman" w:cs="Times New Roman"/>
        </w:rPr>
        <w:t>Weiler</w:t>
      </w:r>
      <w:proofErr w:type="spellEnd"/>
      <w:r w:rsidR="002C7B7B" w:rsidRPr="00050C8B">
        <w:rPr>
          <w:rFonts w:ascii="Times New Roman" w:eastAsiaTheme="minorEastAsia" w:hAnsi="Times New Roman" w:cs="Times New Roman"/>
        </w:rPr>
        <w:t xml:space="preserve"> eds., 2003)</w:t>
      </w:r>
      <w:r w:rsidRPr="00050C8B">
        <w:rPr>
          <w:rFonts w:ascii="Times New Roman" w:eastAsiaTheme="minorEastAsia" w:hAnsi="Times New Roman" w:cs="Times New Roman"/>
        </w:rPr>
        <w:t>.</w:t>
      </w:r>
    </w:p>
  </w:footnote>
  <w:footnote w:id="3">
    <w:p w14:paraId="27AE8287" w14:textId="77777777" w:rsidR="005E0A6E" w:rsidRPr="00050C8B" w:rsidRDefault="005E0A6E" w:rsidP="005E0A6E">
      <w:pPr>
        <w:autoSpaceDE w:val="0"/>
        <w:autoSpaceDN w:val="0"/>
        <w:adjustRightInd w:val="0"/>
        <w:jc w:val="both"/>
        <w:rPr>
          <w:rFonts w:ascii="Times New Roman" w:eastAsiaTheme="minorEastAsia"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Pr="00050C8B">
        <w:rPr>
          <w:rFonts w:ascii="Times New Roman" w:eastAsiaTheme="minorEastAsia" w:hAnsi="Times New Roman" w:cs="Times New Roman"/>
          <w:sz w:val="20"/>
          <w:szCs w:val="20"/>
        </w:rPr>
        <w:t xml:space="preserve">Pekka Pohjankoski, </w:t>
      </w:r>
      <w:r w:rsidRPr="00050C8B">
        <w:rPr>
          <w:rFonts w:ascii="Times New Roman" w:eastAsiaTheme="minorEastAsia" w:hAnsi="Times New Roman" w:cs="Times New Roman"/>
          <w:i/>
          <w:iCs/>
          <w:sz w:val="20"/>
          <w:szCs w:val="20"/>
        </w:rPr>
        <w:t>‘Secession’ and ‘Withdrawal’ from the European Union as Constitutional Expressions</w:t>
      </w:r>
      <w:r w:rsidRPr="00050C8B">
        <w:rPr>
          <w:rFonts w:ascii="Times New Roman" w:eastAsiaTheme="minorEastAsia" w:hAnsi="Times New Roman" w:cs="Times New Roman"/>
          <w:sz w:val="20"/>
          <w:szCs w:val="20"/>
        </w:rPr>
        <w:t xml:space="preserve">, 14 </w:t>
      </w:r>
      <w:r w:rsidRPr="00050C8B">
        <w:rPr>
          <w:rFonts w:ascii="Times New Roman" w:eastAsiaTheme="minorEastAsia" w:hAnsi="Times New Roman" w:cs="Times New Roman"/>
          <w:smallCaps/>
          <w:sz w:val="20"/>
          <w:szCs w:val="20"/>
        </w:rPr>
        <w:t xml:space="preserve">European Constitutional Law </w:t>
      </w:r>
      <w:r w:rsidRPr="00050C8B">
        <w:rPr>
          <w:rFonts w:ascii="Times New Roman" w:eastAsiaTheme="minorEastAsia" w:hAnsi="Times New Roman" w:cs="Times New Roman"/>
          <w:smallCaps/>
          <w:noProof/>
          <w:sz w:val="20"/>
          <w:szCs w:val="20"/>
        </w:rPr>
        <w:t>Review</w:t>
      </w:r>
      <w:r w:rsidRPr="00050C8B">
        <w:rPr>
          <w:rFonts w:ascii="Times New Roman" w:eastAsiaTheme="minorEastAsia" w:hAnsi="Times New Roman" w:cs="Times New Roman"/>
          <w:sz w:val="20"/>
          <w:szCs w:val="20"/>
        </w:rPr>
        <w:t xml:space="preserve"> 845, 849 (2018).</w:t>
      </w:r>
    </w:p>
  </w:footnote>
  <w:footnote w:id="4">
    <w:p w14:paraId="06A9D708" w14:textId="3B9AFE3C" w:rsidR="00D37F93" w:rsidRPr="00D37F93" w:rsidRDefault="00D37F93">
      <w:pPr>
        <w:pStyle w:val="FootnoteText"/>
        <w:rPr>
          <w:rFonts w:ascii="Times New Roman" w:hAnsi="Times New Roman" w:cs="Times New Roman"/>
          <w:i/>
          <w:iCs/>
        </w:rPr>
      </w:pPr>
      <w:r w:rsidRPr="00D37F93">
        <w:rPr>
          <w:rStyle w:val="FootnoteReference"/>
          <w:rFonts w:ascii="Times New Roman" w:hAnsi="Times New Roman" w:cs="Times New Roman"/>
        </w:rPr>
        <w:footnoteRef/>
      </w:r>
      <w:r w:rsidRPr="00D37F93">
        <w:rPr>
          <w:rFonts w:ascii="Times New Roman" w:hAnsi="Times New Roman" w:cs="Times New Roman"/>
        </w:rPr>
        <w:t xml:space="preserve"> </w:t>
      </w:r>
      <w:r w:rsidRPr="00D37F93">
        <w:rPr>
          <w:rFonts w:ascii="Times New Roman" w:hAnsi="Times New Roman" w:cs="Times New Roman"/>
          <w:i/>
          <w:iCs/>
        </w:rPr>
        <w:t>EU Exit, Taking Back Control of our border, money and laws while protecting our economy, security and Union</w:t>
      </w:r>
      <w:r w:rsidRPr="00D37F93">
        <w:rPr>
          <w:rFonts w:ascii="Times New Roman" w:hAnsi="Times New Roman" w:cs="Times New Roman"/>
        </w:rPr>
        <w:t>, Presented to Parliament by the Prime Minister by command of Her Majesty (Cm 9741, November 2018), https://assets.publishing.service.gov.uk/media/5bfe7d6c40f0b65b14fc6631/28_November_EU_Exit_-_Taking_back_control_of_our_borders__money_and_laws_while_protecting_our_economy__security_and_Union__1_.pdf</w:t>
      </w:r>
      <w:r w:rsidRPr="00D37F93">
        <w:rPr>
          <w:rFonts w:ascii="Times New Roman" w:hAnsi="Times New Roman" w:cs="Times New Roman"/>
          <w:i/>
          <w:iCs/>
        </w:rPr>
        <w:t>.</w:t>
      </w:r>
    </w:p>
  </w:footnote>
  <w:footnote w:id="5">
    <w:p w14:paraId="6CD23B06" w14:textId="77777777" w:rsidR="005E0A6E" w:rsidRPr="00050C8B" w:rsidRDefault="005E0A6E" w:rsidP="005E0A6E">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Jure Vidmar, </w:t>
      </w:r>
      <w:r w:rsidRPr="00050C8B">
        <w:rPr>
          <w:rFonts w:ascii="Times New Roman" w:eastAsiaTheme="minorEastAsia" w:hAnsi="Times New Roman" w:cs="Times New Roman"/>
          <w:i/>
          <w:iCs/>
        </w:rPr>
        <w:t>Unilateral Revocability in Wightman: Fixing Article 50</w:t>
      </w:r>
      <w:r w:rsidRPr="00050C8B">
        <w:rPr>
          <w:rFonts w:ascii="Times New Roman" w:hAnsi="Times New Roman" w:cs="Times New Roman"/>
          <w:i/>
          <w:iCs/>
        </w:rPr>
        <w:t xml:space="preserve"> </w:t>
      </w:r>
      <w:r w:rsidRPr="00050C8B">
        <w:rPr>
          <w:rFonts w:ascii="Times New Roman" w:eastAsiaTheme="minorEastAsia" w:hAnsi="Times New Roman" w:cs="Times New Roman"/>
          <w:i/>
          <w:iCs/>
        </w:rPr>
        <w:t>with Constitutional Tools</w:t>
      </w:r>
      <w:r w:rsidRPr="00050C8B">
        <w:rPr>
          <w:rFonts w:ascii="Times New Roman" w:hAnsi="Times New Roman" w:cs="Times New Roman"/>
        </w:rPr>
        <w:t xml:space="preserve"> </w:t>
      </w:r>
      <w:r w:rsidRPr="00050C8B">
        <w:rPr>
          <w:rFonts w:ascii="Times New Roman" w:eastAsiaTheme="minorEastAsia" w:hAnsi="Times New Roman" w:cs="Times New Roman"/>
        </w:rPr>
        <w:t xml:space="preserve">15 </w:t>
      </w:r>
      <w:r w:rsidRPr="00050C8B">
        <w:rPr>
          <w:rFonts w:ascii="Times New Roman" w:eastAsiaTheme="minorEastAsia" w:hAnsi="Times New Roman" w:cs="Times New Roman"/>
          <w:smallCaps/>
        </w:rPr>
        <w:t>European Constitutional Law Review</w:t>
      </w:r>
      <w:r w:rsidRPr="00050C8B">
        <w:rPr>
          <w:rFonts w:ascii="Times New Roman" w:eastAsiaTheme="minorEastAsia" w:hAnsi="Times New Roman" w:cs="Times New Roman"/>
        </w:rPr>
        <w:t xml:space="preserve"> 359, 371 (2019).</w:t>
      </w:r>
    </w:p>
  </w:footnote>
  <w:footnote w:id="6">
    <w:p w14:paraId="5FFC263D" w14:textId="48ED0745" w:rsidR="003271BD" w:rsidRPr="00A04A94" w:rsidRDefault="003271BD" w:rsidP="00A04A94">
      <w:pPr>
        <w:pStyle w:val="Footnotes"/>
        <w:ind w:firstLine="0"/>
        <w:jc w:val="both"/>
        <w:rPr>
          <w:rFonts w:ascii="Times New Roman" w:hAnsi="Times New Roman" w:cs="Times New Roman"/>
          <w:sz w:val="20"/>
          <w:szCs w:val="20"/>
        </w:rPr>
      </w:pPr>
      <w:r w:rsidRPr="00A04A94">
        <w:rPr>
          <w:rStyle w:val="FootnoteReference"/>
          <w:rFonts w:ascii="Times New Roman" w:hAnsi="Times New Roman" w:cs="Times New Roman"/>
          <w:sz w:val="20"/>
          <w:szCs w:val="20"/>
        </w:rPr>
        <w:footnoteRef/>
      </w:r>
      <w:r w:rsidR="00A04A94" w:rsidRPr="00A04A94">
        <w:rPr>
          <w:rFonts w:ascii="Times New Roman" w:hAnsi="Times New Roman" w:cs="Times New Roman"/>
          <w:sz w:val="20"/>
          <w:szCs w:val="20"/>
        </w:rPr>
        <w:t xml:space="preserve"> </w:t>
      </w:r>
      <w:r w:rsidR="00A04A94" w:rsidRPr="00A04A94">
        <w:rPr>
          <w:rFonts w:ascii="Times New Roman" w:eastAsiaTheme="minorEastAsia" w:hAnsi="Times New Roman" w:cs="Times New Roman"/>
          <w:sz w:val="20"/>
          <w:szCs w:val="20"/>
        </w:rPr>
        <w:t xml:space="preserve">John R. Wood, </w:t>
      </w:r>
      <w:r w:rsidR="00A04A94" w:rsidRPr="00A04A94">
        <w:rPr>
          <w:rFonts w:ascii="Times New Roman" w:eastAsiaTheme="minorEastAsia" w:hAnsi="Times New Roman" w:cs="Times New Roman"/>
          <w:i/>
          <w:iCs/>
          <w:sz w:val="20"/>
          <w:szCs w:val="20"/>
        </w:rPr>
        <w:t>Secession: A Comparative Analytical Framework</w:t>
      </w:r>
      <w:r w:rsidR="00A04A94" w:rsidRPr="00A04A94">
        <w:rPr>
          <w:rFonts w:ascii="Times New Roman" w:eastAsiaTheme="minorEastAsia" w:hAnsi="Times New Roman" w:cs="Times New Roman"/>
          <w:sz w:val="20"/>
          <w:szCs w:val="20"/>
        </w:rPr>
        <w:t xml:space="preserve">, 14 </w:t>
      </w:r>
      <w:r w:rsidR="00A04A94" w:rsidRPr="00A04A94">
        <w:rPr>
          <w:rFonts w:ascii="Times New Roman" w:eastAsiaTheme="minorEastAsia" w:hAnsi="Times New Roman" w:cs="Times New Roman"/>
          <w:smallCaps/>
          <w:sz w:val="20"/>
          <w:szCs w:val="20"/>
        </w:rPr>
        <w:t>Can. J. Pol. Sci.</w:t>
      </w:r>
      <w:r w:rsidR="00A04A94" w:rsidRPr="00A04A94">
        <w:rPr>
          <w:rFonts w:ascii="Times New Roman" w:eastAsiaTheme="minorEastAsia" w:hAnsi="Times New Roman" w:cs="Times New Roman"/>
          <w:sz w:val="20"/>
          <w:szCs w:val="20"/>
        </w:rPr>
        <w:t xml:space="preserve"> 107, 110 (1981)</w:t>
      </w:r>
      <w:r w:rsidRPr="00A04A94">
        <w:rPr>
          <w:rFonts w:ascii="Times New Roman" w:hAnsi="Times New Roman" w:cs="Times New Roman"/>
          <w:sz w:val="20"/>
          <w:szCs w:val="20"/>
        </w:rPr>
        <w:t>.</w:t>
      </w:r>
    </w:p>
  </w:footnote>
  <w:footnote w:id="7">
    <w:p w14:paraId="78D49EA4" w14:textId="77777777" w:rsidR="005E0A6E" w:rsidRPr="00050C8B" w:rsidRDefault="005E0A6E" w:rsidP="005E0A6E">
      <w:pPr>
        <w:pStyle w:val="Default"/>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Ran Hirschl, </w:t>
      </w:r>
      <w:r w:rsidRPr="00050C8B">
        <w:rPr>
          <w:rFonts w:ascii="Times New Roman" w:hAnsi="Times New Roman" w:cs="Times New Roman"/>
          <w:i/>
          <w:iCs/>
          <w:sz w:val="20"/>
          <w:szCs w:val="20"/>
        </w:rPr>
        <w:t>Secession and Nullification as a Global Trend</w:t>
      </w:r>
      <w:r w:rsidRPr="00050C8B">
        <w:rPr>
          <w:rFonts w:ascii="Times New Roman" w:hAnsi="Times New Roman" w:cs="Times New Roman"/>
          <w:sz w:val="20"/>
          <w:szCs w:val="20"/>
        </w:rPr>
        <w:t xml:space="preserve">’ 2 </w:t>
      </w:r>
      <w:r w:rsidRPr="00050C8B">
        <w:rPr>
          <w:rFonts w:ascii="Times New Roman" w:hAnsi="Times New Roman" w:cs="Times New Roman"/>
          <w:smallCaps/>
          <w:sz w:val="20"/>
          <w:szCs w:val="20"/>
        </w:rPr>
        <w:t>Constitutional Studies</w:t>
      </w:r>
      <w:r w:rsidRPr="00050C8B">
        <w:rPr>
          <w:rFonts w:ascii="Times New Roman" w:hAnsi="Times New Roman" w:cs="Times New Roman"/>
          <w:sz w:val="20"/>
          <w:szCs w:val="20"/>
        </w:rPr>
        <w:t xml:space="preserve"> 23, 24 (2016).</w:t>
      </w:r>
    </w:p>
  </w:footnote>
  <w:footnote w:id="8">
    <w:p w14:paraId="0FD70459" w14:textId="77777777" w:rsidR="005E0A6E" w:rsidRPr="00050C8B" w:rsidRDefault="005E0A6E" w:rsidP="005E0A6E">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Ibid., 30.</w:t>
      </w:r>
    </w:p>
  </w:footnote>
  <w:footnote w:id="9">
    <w:p w14:paraId="5F1B047C" w14:textId="77777777" w:rsidR="003271BD" w:rsidRPr="00050C8B" w:rsidRDefault="003271BD" w:rsidP="003271BD">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Ibid.</w:t>
      </w:r>
    </w:p>
  </w:footnote>
  <w:footnote w:id="10">
    <w:p w14:paraId="2A87F2D9" w14:textId="77777777" w:rsidR="003271BD" w:rsidRPr="00050C8B" w:rsidRDefault="003271BD" w:rsidP="003271BD">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German Constitutional Court, 5 May 2020, - 2 BvR 859/15 - 2 BvR 1651/15 - 2 BvR 2006/15 - 2 BvR 980/16. </w:t>
      </w:r>
    </w:p>
  </w:footnote>
  <w:footnote w:id="11">
    <w:p w14:paraId="344093C3" w14:textId="77777777" w:rsidR="00A04A94" w:rsidRPr="00050C8B" w:rsidRDefault="00A04A94" w:rsidP="00A04A94">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For instance, Art. 326 TFEU allows for enhanced cooperation, as we shall see later.</w:t>
      </w:r>
    </w:p>
  </w:footnote>
  <w:footnote w:id="12">
    <w:p w14:paraId="526AE703" w14:textId="20A9AFAA" w:rsidR="00FA10F8" w:rsidRPr="00A04A94" w:rsidRDefault="00FA10F8" w:rsidP="00FA10F8">
      <w:pPr>
        <w:pStyle w:val="Footnotes"/>
        <w:ind w:firstLine="0"/>
        <w:jc w:val="both"/>
        <w:rPr>
          <w:rFonts w:ascii="Times New Roman" w:hAnsi="Times New Roman" w:cs="Times New Roman"/>
          <w:sz w:val="20"/>
          <w:szCs w:val="20"/>
        </w:rPr>
      </w:pPr>
      <w:r>
        <w:rPr>
          <w:rStyle w:val="FootnoteReference"/>
        </w:rPr>
        <w:footnoteRef/>
      </w:r>
      <w:r>
        <w:t xml:space="preserve"> </w:t>
      </w:r>
      <w:r w:rsidRPr="00A04A94">
        <w:rPr>
          <w:rFonts w:ascii="Times New Roman" w:eastAsiaTheme="minorEastAsia" w:hAnsi="Times New Roman" w:cs="Times New Roman"/>
          <w:sz w:val="20"/>
          <w:szCs w:val="20"/>
        </w:rPr>
        <w:t>J</w:t>
      </w:r>
      <w:r>
        <w:rPr>
          <w:rFonts w:ascii="Times New Roman" w:eastAsiaTheme="minorEastAsia" w:hAnsi="Times New Roman" w:cs="Times New Roman"/>
          <w:sz w:val="20"/>
          <w:szCs w:val="20"/>
        </w:rPr>
        <w:t>ames</w:t>
      </w:r>
      <w:r w:rsidRPr="00A04A94">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w:t>
      </w:r>
      <w:r w:rsidRPr="00A04A94">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Gardner</w:t>
      </w:r>
      <w:r w:rsidRPr="00A04A94">
        <w:rPr>
          <w:rFonts w:ascii="Times New Roman" w:eastAsiaTheme="minorEastAsia" w:hAnsi="Times New Roman" w:cs="Times New Roman"/>
          <w:sz w:val="20"/>
          <w:szCs w:val="20"/>
        </w:rPr>
        <w:t xml:space="preserve">, </w:t>
      </w:r>
      <w:r>
        <w:rPr>
          <w:rFonts w:ascii="Times New Roman" w:eastAsiaTheme="minorEastAsia" w:hAnsi="Times New Roman" w:cs="Times New Roman"/>
          <w:i/>
          <w:iCs/>
          <w:sz w:val="20"/>
          <w:szCs w:val="20"/>
        </w:rPr>
        <w:t>The Theory and Practice of</w:t>
      </w:r>
      <w:r w:rsidRPr="00A04A94">
        <w:rPr>
          <w:rFonts w:ascii="Times New Roman" w:eastAsiaTheme="minorEastAsia" w:hAnsi="Times New Roman" w:cs="Times New Roman"/>
          <w:i/>
          <w:iCs/>
          <w:sz w:val="20"/>
          <w:szCs w:val="20"/>
        </w:rPr>
        <w:t xml:space="preserve"> </w:t>
      </w:r>
      <w:r>
        <w:rPr>
          <w:rFonts w:ascii="Times New Roman" w:eastAsiaTheme="minorEastAsia" w:hAnsi="Times New Roman" w:cs="Times New Roman"/>
          <w:i/>
          <w:iCs/>
          <w:sz w:val="20"/>
          <w:szCs w:val="20"/>
        </w:rPr>
        <w:t>Contestatory Federalism</w:t>
      </w:r>
      <w:r w:rsidRPr="00A04A94">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60</w:t>
      </w:r>
      <w:r w:rsidRPr="00A04A94">
        <w:rPr>
          <w:rFonts w:ascii="Times New Roman" w:eastAsiaTheme="minorEastAsia" w:hAnsi="Times New Roman" w:cs="Times New Roman"/>
          <w:sz w:val="20"/>
          <w:szCs w:val="20"/>
        </w:rPr>
        <w:t xml:space="preserve"> </w:t>
      </w:r>
      <w:r>
        <w:rPr>
          <w:rFonts w:ascii="Times New Roman" w:eastAsiaTheme="minorEastAsia" w:hAnsi="Times New Roman" w:cs="Times New Roman"/>
          <w:smallCaps/>
          <w:sz w:val="20"/>
          <w:szCs w:val="20"/>
        </w:rPr>
        <w:t>Wm. &amp; Mary L</w:t>
      </w:r>
      <w:r w:rsidRPr="00A04A94">
        <w:rPr>
          <w:rFonts w:ascii="Times New Roman" w:eastAsiaTheme="minorEastAsia" w:hAnsi="Times New Roman" w:cs="Times New Roman"/>
          <w:smallCaps/>
          <w:sz w:val="20"/>
          <w:szCs w:val="20"/>
        </w:rPr>
        <w:t xml:space="preserve">. </w:t>
      </w:r>
      <w:r>
        <w:rPr>
          <w:rFonts w:ascii="Times New Roman" w:eastAsiaTheme="minorEastAsia" w:hAnsi="Times New Roman" w:cs="Times New Roman"/>
          <w:smallCaps/>
          <w:sz w:val="20"/>
          <w:szCs w:val="20"/>
        </w:rPr>
        <w:t>Rev</w:t>
      </w:r>
      <w:r w:rsidRPr="00A04A94">
        <w:rPr>
          <w:rFonts w:ascii="Times New Roman" w:eastAsiaTheme="minorEastAsia" w:hAnsi="Times New Roman" w:cs="Times New Roman"/>
          <w:smallCaps/>
          <w:sz w:val="20"/>
          <w:szCs w:val="20"/>
        </w:rPr>
        <w:t>.</w:t>
      </w:r>
      <w:r w:rsidRPr="00A04A94">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5</w:t>
      </w:r>
      <w:r w:rsidRPr="00A04A94">
        <w:rPr>
          <w:rFonts w:ascii="Times New Roman" w:eastAsiaTheme="minorEastAsia" w:hAnsi="Times New Roman" w:cs="Times New Roman"/>
          <w:sz w:val="20"/>
          <w:szCs w:val="20"/>
        </w:rPr>
        <w:t>07 (</w:t>
      </w:r>
      <w:r>
        <w:rPr>
          <w:rFonts w:ascii="Times New Roman" w:eastAsiaTheme="minorEastAsia" w:hAnsi="Times New Roman" w:cs="Times New Roman"/>
          <w:sz w:val="20"/>
          <w:szCs w:val="20"/>
        </w:rPr>
        <w:t>2018</w:t>
      </w:r>
      <w:r w:rsidRPr="00A04A94">
        <w:rPr>
          <w:rFonts w:ascii="Times New Roman" w:eastAsiaTheme="minorEastAsia" w:hAnsi="Times New Roman" w:cs="Times New Roman"/>
          <w:sz w:val="20"/>
          <w:szCs w:val="20"/>
        </w:rPr>
        <w:t>)</w:t>
      </w:r>
      <w:r w:rsidRPr="00A04A94">
        <w:rPr>
          <w:rFonts w:ascii="Times New Roman" w:hAnsi="Times New Roman" w:cs="Times New Roman"/>
          <w:sz w:val="20"/>
          <w:szCs w:val="20"/>
        </w:rPr>
        <w:t>.</w:t>
      </w:r>
    </w:p>
  </w:footnote>
  <w:footnote w:id="13">
    <w:p w14:paraId="039E77B8" w14:textId="073BEB8B" w:rsidR="00A04A94" w:rsidRPr="00FA10F8" w:rsidRDefault="00A04A94">
      <w:pPr>
        <w:pStyle w:val="FootnoteText"/>
        <w:rPr>
          <w:rFonts w:ascii="Times New Roman" w:hAnsi="Times New Roman" w:cs="Times New Roman"/>
        </w:rPr>
      </w:pPr>
      <w:r w:rsidRPr="00FA10F8">
        <w:rPr>
          <w:rStyle w:val="FootnoteReference"/>
          <w:rFonts w:ascii="Times New Roman" w:hAnsi="Times New Roman" w:cs="Times New Roman"/>
        </w:rPr>
        <w:footnoteRef/>
      </w:r>
      <w:r w:rsidRPr="00FA10F8">
        <w:rPr>
          <w:rFonts w:ascii="Times New Roman" w:hAnsi="Times New Roman" w:cs="Times New Roman"/>
        </w:rPr>
        <w:t xml:space="preserve"> Ibid., at 511 citing </w:t>
      </w:r>
      <w:r w:rsidRPr="00FA10F8">
        <w:rPr>
          <w:rFonts w:ascii="Times New Roman" w:hAnsi="Times New Roman" w:cs="Times New Roman"/>
          <w:smallCaps/>
        </w:rPr>
        <w:t>The Federalist</w:t>
      </w:r>
      <w:r w:rsidRPr="00FA10F8">
        <w:rPr>
          <w:rFonts w:ascii="Times New Roman" w:hAnsi="Times New Roman" w:cs="Times New Roman"/>
        </w:rPr>
        <w:t xml:space="preserve"> No. 51 at 357-59 (James Madison) (Benjamin Fletcher Wright ed., 1961).</w:t>
      </w:r>
    </w:p>
  </w:footnote>
  <w:footnote w:id="14">
    <w:p w14:paraId="38C5FC85" w14:textId="3407C308" w:rsidR="005F6274" w:rsidRPr="00FA10F8" w:rsidRDefault="005F6274">
      <w:pPr>
        <w:pStyle w:val="FootnoteText"/>
        <w:rPr>
          <w:rFonts w:ascii="Times New Roman" w:hAnsi="Times New Roman" w:cs="Times New Roman"/>
        </w:rPr>
      </w:pPr>
      <w:r w:rsidRPr="00FA10F8">
        <w:rPr>
          <w:rStyle w:val="FootnoteReference"/>
          <w:rFonts w:ascii="Times New Roman" w:hAnsi="Times New Roman" w:cs="Times New Roman"/>
        </w:rPr>
        <w:footnoteRef/>
      </w:r>
      <w:r w:rsidRPr="00FA10F8">
        <w:rPr>
          <w:rFonts w:ascii="Times New Roman" w:hAnsi="Times New Roman" w:cs="Times New Roman"/>
        </w:rPr>
        <w:t xml:space="preserve"> </w:t>
      </w:r>
      <w:r w:rsidRPr="00FA10F8">
        <w:rPr>
          <w:rFonts w:ascii="Times New Roman" w:eastAsiaTheme="minorEastAsia" w:hAnsi="Times New Roman" w:cs="Times New Roman"/>
        </w:rPr>
        <w:t xml:space="preserve">James A. Gardner, </w:t>
      </w:r>
      <w:r w:rsidRPr="00FA10F8">
        <w:rPr>
          <w:rFonts w:ascii="Times New Roman" w:hAnsi="Times New Roman" w:cs="Times New Roman"/>
          <w:i/>
          <w:iCs/>
        </w:rPr>
        <w:t>In Search of Sub-National Constitutionalism</w:t>
      </w:r>
      <w:r w:rsidRPr="00FA10F8">
        <w:rPr>
          <w:rFonts w:ascii="Times New Roman" w:hAnsi="Times New Roman" w:cs="Times New Roman"/>
        </w:rPr>
        <w:t xml:space="preserve">, 4 </w:t>
      </w:r>
      <w:r w:rsidRPr="00FA10F8">
        <w:rPr>
          <w:rFonts w:ascii="Times New Roman" w:eastAsiaTheme="minorEastAsia" w:hAnsi="Times New Roman" w:cs="Times New Roman"/>
          <w:smallCaps/>
        </w:rPr>
        <w:t>Eur. Const. L. Rev.</w:t>
      </w:r>
      <w:r w:rsidRPr="00FA10F8">
        <w:rPr>
          <w:rFonts w:ascii="Times New Roman" w:hAnsi="Times New Roman" w:cs="Times New Roman"/>
        </w:rPr>
        <w:t xml:space="preserve"> 325, 328 (2008).</w:t>
      </w:r>
    </w:p>
  </w:footnote>
  <w:footnote w:id="15">
    <w:p w14:paraId="2DDA1ED7" w14:textId="6E38613C" w:rsidR="00FA10F8" w:rsidRPr="00FA10F8" w:rsidRDefault="00FA10F8" w:rsidP="00FA10F8">
      <w:pPr>
        <w:pStyle w:val="Footnotes"/>
        <w:ind w:firstLine="0"/>
        <w:jc w:val="both"/>
        <w:rPr>
          <w:rFonts w:ascii="Times New Roman" w:hAnsi="Times New Roman" w:cs="Times New Roman"/>
          <w:sz w:val="20"/>
          <w:szCs w:val="20"/>
        </w:rPr>
      </w:pPr>
      <w:r w:rsidRPr="00FA10F8">
        <w:rPr>
          <w:rStyle w:val="FootnoteReference"/>
          <w:rFonts w:ascii="Times New Roman" w:hAnsi="Times New Roman" w:cs="Times New Roman"/>
          <w:sz w:val="20"/>
          <w:szCs w:val="20"/>
        </w:rPr>
        <w:footnoteRef/>
      </w:r>
      <w:r w:rsidRPr="00FA10F8">
        <w:rPr>
          <w:rFonts w:ascii="Times New Roman" w:hAnsi="Times New Roman" w:cs="Times New Roman"/>
          <w:sz w:val="20"/>
          <w:szCs w:val="20"/>
        </w:rPr>
        <w:t xml:space="preserve"> </w:t>
      </w:r>
      <w:r w:rsidRPr="00FA10F8">
        <w:rPr>
          <w:rFonts w:ascii="Times New Roman" w:eastAsiaTheme="minorEastAsia" w:hAnsi="Times New Roman" w:cs="Times New Roman"/>
          <w:i/>
          <w:iCs/>
          <w:sz w:val="20"/>
          <w:szCs w:val="20"/>
          <w:lang w:eastAsia="en-US"/>
        </w:rPr>
        <w:t xml:space="preserve">See </w:t>
      </w:r>
      <w:r w:rsidRPr="00FA10F8">
        <w:rPr>
          <w:rFonts w:ascii="Times New Roman" w:eastAsiaTheme="minorEastAsia" w:hAnsi="Times New Roman" w:cs="Times New Roman"/>
          <w:sz w:val="20"/>
          <w:szCs w:val="20"/>
          <w:lang w:eastAsia="en-US"/>
        </w:rPr>
        <w:t>Gardner</w:t>
      </w:r>
      <w:r w:rsidRPr="00FA10F8">
        <w:rPr>
          <w:rFonts w:ascii="Times New Roman" w:hAnsi="Times New Roman" w:cs="Times New Roman"/>
          <w:sz w:val="20"/>
          <w:szCs w:val="20"/>
        </w:rPr>
        <w:t xml:space="preserve">, </w:t>
      </w:r>
      <w:r w:rsidRPr="00FA10F8">
        <w:rPr>
          <w:rFonts w:ascii="Times New Roman" w:eastAsiaTheme="minorEastAsia" w:hAnsi="Times New Roman" w:cs="Times New Roman"/>
          <w:i/>
          <w:iCs/>
          <w:sz w:val="20"/>
          <w:szCs w:val="20"/>
          <w:lang w:eastAsia="en-US"/>
        </w:rPr>
        <w:t>supra</w:t>
      </w:r>
      <w:r w:rsidRPr="00FA10F8">
        <w:rPr>
          <w:rFonts w:ascii="Times New Roman" w:eastAsiaTheme="minorEastAsia" w:hAnsi="Times New Roman" w:cs="Times New Roman"/>
          <w:sz w:val="20"/>
          <w:szCs w:val="20"/>
          <w:lang w:eastAsia="en-US"/>
        </w:rPr>
        <w:t xml:space="preserve"> note </w:t>
      </w:r>
      <w:r w:rsidRPr="00FA10F8">
        <w:rPr>
          <w:rFonts w:ascii="Times New Roman" w:hAnsi="Times New Roman" w:cs="Times New Roman"/>
          <w:sz w:val="20"/>
          <w:szCs w:val="20"/>
        </w:rPr>
        <w:t>1</w:t>
      </w:r>
      <w:r w:rsidR="009F51AE">
        <w:rPr>
          <w:rFonts w:ascii="Times New Roman" w:hAnsi="Times New Roman" w:cs="Times New Roman"/>
          <w:sz w:val="20"/>
          <w:szCs w:val="20"/>
        </w:rPr>
        <w:t>1</w:t>
      </w:r>
      <w:r w:rsidRPr="00FA10F8">
        <w:rPr>
          <w:rFonts w:ascii="Times New Roman" w:hAnsi="Times New Roman" w:cs="Times New Roman"/>
          <w:sz w:val="20"/>
          <w:szCs w:val="20"/>
        </w:rPr>
        <w:t xml:space="preserve">, at 531-533. </w:t>
      </w:r>
    </w:p>
  </w:footnote>
  <w:footnote w:id="16">
    <w:p w14:paraId="043D3775" w14:textId="46E9E56B" w:rsidR="005648AE" w:rsidRPr="005648AE" w:rsidRDefault="005648AE">
      <w:pPr>
        <w:pStyle w:val="FootnoteText"/>
        <w:rPr>
          <w:rFonts w:ascii="Times New Roman" w:hAnsi="Times New Roman" w:cs="Times New Roman"/>
        </w:rPr>
      </w:pPr>
      <w:r w:rsidRPr="005648AE">
        <w:rPr>
          <w:rStyle w:val="FootnoteReference"/>
          <w:rFonts w:ascii="Times New Roman" w:hAnsi="Times New Roman" w:cs="Times New Roman"/>
        </w:rPr>
        <w:footnoteRef/>
      </w:r>
      <w:r w:rsidRPr="005648AE">
        <w:rPr>
          <w:rFonts w:ascii="Times New Roman" w:hAnsi="Times New Roman" w:cs="Times New Roman"/>
        </w:rPr>
        <w:t xml:space="preserve"> Ibid.</w:t>
      </w:r>
    </w:p>
  </w:footnote>
  <w:footnote w:id="17">
    <w:p w14:paraId="4E106687" w14:textId="3AFBEAA6" w:rsidR="00FA10F8" w:rsidRPr="00FA10F8" w:rsidRDefault="00FA10F8">
      <w:pPr>
        <w:pStyle w:val="FootnoteText"/>
        <w:rPr>
          <w:rFonts w:ascii="Times New Roman" w:hAnsi="Times New Roman" w:cs="Times New Roman"/>
        </w:rPr>
      </w:pPr>
      <w:r w:rsidRPr="00FA10F8">
        <w:rPr>
          <w:rStyle w:val="FootnoteReference"/>
          <w:rFonts w:ascii="Times New Roman" w:hAnsi="Times New Roman" w:cs="Times New Roman"/>
        </w:rPr>
        <w:footnoteRef/>
      </w:r>
      <w:r w:rsidRPr="00FA10F8">
        <w:rPr>
          <w:rFonts w:ascii="Times New Roman" w:hAnsi="Times New Roman" w:cs="Times New Roman"/>
        </w:rPr>
        <w:t xml:space="preserve"> </w:t>
      </w:r>
      <w:r w:rsidRPr="00FA10F8">
        <w:rPr>
          <w:rFonts w:ascii="Times New Roman" w:eastAsiaTheme="minorEastAsia" w:hAnsi="Times New Roman" w:cs="Times New Roman"/>
          <w:i/>
          <w:iCs/>
        </w:rPr>
        <w:t xml:space="preserve">See </w:t>
      </w:r>
      <w:r w:rsidRPr="00FA10F8">
        <w:rPr>
          <w:rFonts w:ascii="Times New Roman" w:eastAsiaTheme="minorEastAsia" w:hAnsi="Times New Roman" w:cs="Times New Roman"/>
        </w:rPr>
        <w:t>Gardner</w:t>
      </w:r>
      <w:r w:rsidRPr="00FA10F8">
        <w:rPr>
          <w:rFonts w:ascii="Times New Roman" w:hAnsi="Times New Roman" w:cs="Times New Roman"/>
        </w:rPr>
        <w:t xml:space="preserve">, </w:t>
      </w:r>
      <w:r w:rsidRPr="00FA10F8">
        <w:rPr>
          <w:rFonts w:ascii="Times New Roman" w:eastAsiaTheme="minorEastAsia" w:hAnsi="Times New Roman" w:cs="Times New Roman"/>
          <w:i/>
          <w:iCs/>
        </w:rPr>
        <w:t>supra</w:t>
      </w:r>
      <w:r w:rsidRPr="00FA10F8">
        <w:rPr>
          <w:rFonts w:ascii="Times New Roman" w:eastAsiaTheme="minorEastAsia" w:hAnsi="Times New Roman" w:cs="Times New Roman"/>
        </w:rPr>
        <w:t xml:space="preserve"> note </w:t>
      </w:r>
      <w:r w:rsidRPr="00FA10F8">
        <w:rPr>
          <w:rFonts w:ascii="Times New Roman" w:hAnsi="Times New Roman" w:cs="Times New Roman"/>
        </w:rPr>
        <w:t>1</w:t>
      </w:r>
      <w:r w:rsidR="009F51AE">
        <w:rPr>
          <w:rFonts w:ascii="Times New Roman" w:hAnsi="Times New Roman" w:cs="Times New Roman"/>
        </w:rPr>
        <w:t>3</w:t>
      </w:r>
      <w:r w:rsidRPr="00FA10F8">
        <w:rPr>
          <w:rFonts w:ascii="Times New Roman" w:hAnsi="Times New Roman" w:cs="Times New Roman"/>
        </w:rPr>
        <w:t>, at 330.</w:t>
      </w:r>
    </w:p>
  </w:footnote>
  <w:footnote w:id="18">
    <w:p w14:paraId="1C6939E7" w14:textId="6BC26A17" w:rsidR="00A231E1" w:rsidRPr="00A231E1" w:rsidRDefault="00A231E1">
      <w:pPr>
        <w:pStyle w:val="FootnoteText"/>
        <w:rPr>
          <w:rFonts w:ascii="Times New Roman" w:hAnsi="Times New Roman" w:cs="Times New Roman"/>
        </w:rPr>
      </w:pPr>
      <w:r w:rsidRPr="00A231E1">
        <w:rPr>
          <w:rStyle w:val="FootnoteReference"/>
          <w:rFonts w:ascii="Times New Roman" w:hAnsi="Times New Roman" w:cs="Times New Roman"/>
        </w:rPr>
        <w:footnoteRef/>
      </w:r>
      <w:r w:rsidRPr="00A231E1">
        <w:rPr>
          <w:rFonts w:ascii="Times New Roman" w:hAnsi="Times New Roman" w:cs="Times New Roman"/>
        </w:rPr>
        <w:t xml:space="preserve"> </w:t>
      </w:r>
      <w:r w:rsidRPr="00A231E1">
        <w:rPr>
          <w:rFonts w:ascii="Times New Roman" w:eastAsiaTheme="minorEastAsia" w:hAnsi="Times New Roman" w:cs="Times New Roman"/>
          <w:i/>
          <w:iCs/>
        </w:rPr>
        <w:t xml:space="preserve">See </w:t>
      </w:r>
      <w:r w:rsidRPr="00A231E1">
        <w:rPr>
          <w:rStyle w:val="None"/>
          <w:rFonts w:ascii="Times New Roman" w:hAnsi="Times New Roman" w:cs="Times New Roman"/>
          <w:color w:val="000000" w:themeColor="text1"/>
          <w:lang w:val="en-US"/>
        </w:rPr>
        <w:t xml:space="preserve">Robert Schütze, </w:t>
      </w:r>
      <w:r w:rsidRPr="00A231E1">
        <w:rPr>
          <w:rStyle w:val="None"/>
          <w:rFonts w:ascii="Times New Roman" w:hAnsi="Times New Roman" w:cs="Times New Roman"/>
          <w:i/>
          <w:iCs/>
          <w:color w:val="000000" w:themeColor="text1"/>
          <w:lang w:val="en-US"/>
        </w:rPr>
        <w:t>Federalism as Constitutional Pluralism: “Letter from America”, in</w:t>
      </w:r>
      <w:r w:rsidRPr="00A231E1">
        <w:rPr>
          <w:rStyle w:val="None"/>
          <w:rFonts w:ascii="Times New Roman" w:hAnsi="Times New Roman" w:cs="Times New Roman"/>
          <w:color w:val="000000" w:themeColor="text1"/>
          <w:lang w:val="en-US"/>
        </w:rPr>
        <w:t xml:space="preserve"> </w:t>
      </w:r>
      <w:r w:rsidRPr="00A231E1">
        <w:rPr>
          <w:rStyle w:val="None"/>
          <w:rFonts w:ascii="Times New Roman" w:hAnsi="Times New Roman" w:cs="Times New Roman"/>
          <w:smallCaps/>
          <w:color w:val="000000" w:themeColor="text1"/>
          <w:lang w:val="en-US"/>
        </w:rPr>
        <w:t>Constitutional Pluralism in the European Union and Beyond</w:t>
      </w:r>
      <w:r w:rsidRPr="00A231E1">
        <w:rPr>
          <w:rStyle w:val="None"/>
          <w:rFonts w:ascii="Times New Roman" w:hAnsi="Times New Roman" w:cs="Times New Roman"/>
          <w:color w:val="000000" w:themeColor="text1"/>
          <w:lang w:val="en-US"/>
        </w:rPr>
        <w:t xml:space="preserve"> 185 (Matej Avbelj and Jan Komárek eds., 2012).</w:t>
      </w:r>
    </w:p>
  </w:footnote>
  <w:footnote w:id="19">
    <w:p w14:paraId="2458B254" w14:textId="47A078C4" w:rsidR="00A231E1" w:rsidRPr="00A231E1" w:rsidRDefault="00A231E1" w:rsidP="00A231E1">
      <w:pPr>
        <w:autoSpaceDE w:val="0"/>
        <w:autoSpaceDN w:val="0"/>
        <w:adjustRightInd w:val="0"/>
        <w:jc w:val="both"/>
        <w:rPr>
          <w:rFonts w:ascii="Times New Roman" w:hAnsi="Times New Roman" w:cs="Times New Roman"/>
          <w:sz w:val="20"/>
          <w:szCs w:val="20"/>
        </w:rPr>
      </w:pPr>
      <w:r w:rsidRPr="00A231E1">
        <w:rPr>
          <w:rStyle w:val="FootnoteReference"/>
          <w:rFonts w:ascii="Times New Roman" w:hAnsi="Times New Roman" w:cs="Times New Roman"/>
          <w:sz w:val="20"/>
          <w:szCs w:val="20"/>
        </w:rPr>
        <w:footnoteRef/>
      </w:r>
      <w:r w:rsidRPr="00A231E1">
        <w:rPr>
          <w:rFonts w:ascii="Times New Roman" w:hAnsi="Times New Roman" w:cs="Times New Roman"/>
          <w:sz w:val="20"/>
          <w:szCs w:val="20"/>
        </w:rPr>
        <w:t xml:space="preserve"> Erin Delaney, </w:t>
      </w:r>
      <w:r w:rsidRPr="00A231E1">
        <w:rPr>
          <w:rFonts w:ascii="Times New Roman" w:hAnsi="Times New Roman" w:cs="Times New Roman"/>
          <w:i/>
          <w:iCs/>
          <w:sz w:val="20"/>
          <w:szCs w:val="20"/>
        </w:rPr>
        <w:t>The European Constitution and Europe’s Dialectical Federalism</w:t>
      </w:r>
      <w:r w:rsidRPr="00A231E1">
        <w:rPr>
          <w:rFonts w:ascii="Times New Roman" w:hAnsi="Times New Roman" w:cs="Times New Roman"/>
          <w:sz w:val="20"/>
          <w:szCs w:val="20"/>
        </w:rPr>
        <w:t xml:space="preserve">, </w:t>
      </w:r>
      <w:r w:rsidRPr="00A231E1">
        <w:rPr>
          <w:rFonts w:ascii="Times New Roman" w:hAnsi="Times New Roman" w:cs="Times New Roman"/>
          <w:i/>
          <w:iCs/>
          <w:sz w:val="20"/>
          <w:szCs w:val="20"/>
        </w:rPr>
        <w:t xml:space="preserve">in </w:t>
      </w:r>
      <w:r w:rsidRPr="00A231E1">
        <w:rPr>
          <w:rFonts w:ascii="Times New Roman" w:hAnsi="Times New Roman" w:cs="Times New Roman"/>
          <w:smallCaps/>
          <w:sz w:val="20"/>
          <w:szCs w:val="20"/>
        </w:rPr>
        <w:t>The Rise and Fall of the</w:t>
      </w:r>
      <w:r w:rsidRPr="00050C8B">
        <w:rPr>
          <w:rFonts w:ascii="Times New Roman" w:hAnsi="Times New Roman" w:cs="Times New Roman"/>
          <w:smallCaps/>
          <w:sz w:val="20"/>
          <w:szCs w:val="20"/>
        </w:rPr>
        <w:t xml:space="preserve"> European Constitution</w:t>
      </w:r>
      <w:r w:rsidRPr="00050C8B">
        <w:rPr>
          <w:rFonts w:ascii="Times New Roman" w:hAnsi="Times New Roman" w:cs="Times New Roman"/>
          <w:sz w:val="20"/>
          <w:szCs w:val="20"/>
        </w:rPr>
        <w:t xml:space="preserve"> 73, 87 (Nick W Barber, Maria Cahill, Richard Ekins eds., 2019).</w:t>
      </w:r>
    </w:p>
  </w:footnote>
  <w:footnote w:id="20">
    <w:p w14:paraId="5B0F0231" w14:textId="72CA4ACB" w:rsidR="00FA10F8" w:rsidRPr="00184F31" w:rsidRDefault="00FA10F8" w:rsidP="00FA10F8">
      <w:pPr>
        <w:pStyle w:val="FootnoteText"/>
        <w:jc w:val="both"/>
        <w:rPr>
          <w:rFonts w:ascii="Times New Roman" w:hAnsi="Times New Roman" w:cs="Times New Roman"/>
        </w:rPr>
      </w:pPr>
      <w:r w:rsidRPr="00FA10F8">
        <w:rPr>
          <w:rStyle w:val="FootnoteReference"/>
          <w:rFonts w:ascii="Times New Roman" w:hAnsi="Times New Roman" w:cs="Times New Roman"/>
        </w:rPr>
        <w:footnoteRef/>
      </w:r>
      <w:r w:rsidRPr="00FA10F8">
        <w:rPr>
          <w:rFonts w:ascii="Times New Roman" w:hAnsi="Times New Roman" w:cs="Times New Roman"/>
        </w:rPr>
        <w:t xml:space="preserve"> </w:t>
      </w:r>
      <w:r w:rsidR="00184F31" w:rsidRPr="00050C8B">
        <w:rPr>
          <w:rFonts w:ascii="Times New Roman" w:eastAsiaTheme="minorEastAsia" w:hAnsi="Times New Roman" w:cs="Times New Roman"/>
          <w:i/>
          <w:iCs/>
        </w:rPr>
        <w:t>See</w:t>
      </w:r>
      <w:r w:rsidR="00184F31" w:rsidRPr="00050C8B">
        <w:rPr>
          <w:rFonts w:ascii="Times New Roman" w:eastAsiaTheme="minorEastAsia" w:hAnsi="Times New Roman" w:cs="Times New Roman"/>
        </w:rPr>
        <w:t xml:space="preserve"> </w:t>
      </w:r>
      <w:r w:rsidR="00184F31" w:rsidRPr="00A231E1">
        <w:rPr>
          <w:rStyle w:val="None"/>
          <w:rFonts w:ascii="Times New Roman" w:hAnsi="Times New Roman" w:cs="Times New Roman"/>
          <w:color w:val="000000" w:themeColor="text1"/>
          <w:lang w:val="en-US"/>
        </w:rPr>
        <w:t>Schütze</w:t>
      </w:r>
      <w:r w:rsidR="00184F31" w:rsidRPr="00050C8B">
        <w:rPr>
          <w:rFonts w:ascii="Times New Roman" w:hAnsi="Times New Roman" w:cs="Times New Roman"/>
          <w:color w:val="000000" w:themeColor="text1"/>
        </w:rPr>
        <w:t xml:space="preserve"> </w:t>
      </w:r>
      <w:r w:rsidR="00184F31" w:rsidRPr="00050C8B">
        <w:rPr>
          <w:rFonts w:ascii="Times New Roman" w:eastAsiaTheme="minorEastAsia" w:hAnsi="Times New Roman" w:cs="Times New Roman"/>
          <w:i/>
          <w:iCs/>
        </w:rPr>
        <w:t>supra</w:t>
      </w:r>
      <w:r w:rsidR="00184F31" w:rsidRPr="00050C8B">
        <w:rPr>
          <w:rFonts w:ascii="Times New Roman" w:eastAsiaTheme="minorEastAsia" w:hAnsi="Times New Roman" w:cs="Times New Roman"/>
        </w:rPr>
        <w:t xml:space="preserve"> note</w:t>
      </w:r>
      <w:r w:rsidR="00184F31" w:rsidRPr="00050C8B">
        <w:rPr>
          <w:rFonts w:ascii="Times New Roman" w:eastAsiaTheme="minorEastAsia" w:hAnsi="Times New Roman" w:cs="Times New Roman"/>
          <w:i/>
          <w:iCs/>
        </w:rPr>
        <w:t xml:space="preserve"> </w:t>
      </w:r>
      <w:r w:rsidR="00184F31" w:rsidRPr="00050C8B">
        <w:rPr>
          <w:rFonts w:ascii="Times New Roman" w:hAnsi="Times New Roman" w:cs="Times New Roman"/>
          <w:color w:val="000000" w:themeColor="text1"/>
        </w:rPr>
        <w:t>1</w:t>
      </w:r>
      <w:r w:rsidR="009F51AE">
        <w:rPr>
          <w:rFonts w:ascii="Times New Roman" w:hAnsi="Times New Roman" w:cs="Times New Roman"/>
          <w:color w:val="000000" w:themeColor="text1"/>
        </w:rPr>
        <w:t>7</w:t>
      </w:r>
      <w:r w:rsidR="00184F31">
        <w:rPr>
          <w:rFonts w:ascii="Times New Roman" w:hAnsi="Times New Roman" w:cs="Times New Roman"/>
        </w:rPr>
        <w:t xml:space="preserve"> </w:t>
      </w:r>
      <w:r w:rsidR="00A231E1" w:rsidRPr="00FA10F8">
        <w:rPr>
          <w:rFonts w:ascii="Times New Roman" w:hAnsi="Times New Roman" w:cs="Times New Roman"/>
        </w:rPr>
        <w:t>at</w:t>
      </w:r>
      <w:r>
        <w:rPr>
          <w:rStyle w:val="None"/>
          <w:rFonts w:ascii="Times New Roman" w:hAnsi="Times New Roman" w:cs="Times New Roman"/>
          <w:color w:val="000000" w:themeColor="text1"/>
          <w:lang w:val="en-US"/>
        </w:rPr>
        <w:t xml:space="preserve"> 196</w:t>
      </w:r>
      <w:r w:rsidRPr="00050C8B">
        <w:rPr>
          <w:rStyle w:val="None"/>
          <w:rFonts w:ascii="Times New Roman" w:hAnsi="Times New Roman" w:cs="Times New Roman"/>
          <w:color w:val="000000" w:themeColor="text1"/>
          <w:lang w:val="en-US"/>
        </w:rPr>
        <w:t>.</w:t>
      </w:r>
    </w:p>
  </w:footnote>
  <w:footnote w:id="21">
    <w:p w14:paraId="137983C3" w14:textId="77777777" w:rsidR="00FA10F8" w:rsidRPr="00050C8B" w:rsidRDefault="00FA10F8" w:rsidP="00FA10F8">
      <w:pPr>
        <w:pStyle w:val="FootnoteText"/>
        <w:tabs>
          <w:tab w:val="left" w:pos="812"/>
        </w:tabs>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color w:val="000000" w:themeColor="text1"/>
        </w:rPr>
        <w:t xml:space="preserve">Sacha Garben, </w:t>
      </w:r>
      <w:r w:rsidRPr="00050C8B">
        <w:rPr>
          <w:rFonts w:ascii="Times New Roman" w:hAnsi="Times New Roman" w:cs="Times New Roman"/>
          <w:i/>
          <w:iCs/>
        </w:rPr>
        <w:t>Collective Identity as a Legal Limit to European Integration in Areas of Core State Powers</w:t>
      </w:r>
      <w:r w:rsidRPr="00050C8B">
        <w:rPr>
          <w:rFonts w:ascii="Times New Roman" w:hAnsi="Times New Roman" w:cs="Times New Roman"/>
        </w:rPr>
        <w:t xml:space="preserve">, 58 </w:t>
      </w:r>
      <w:r w:rsidRPr="00050C8B">
        <w:rPr>
          <w:rFonts w:ascii="Times New Roman" w:hAnsi="Times New Roman" w:cs="Times New Roman"/>
          <w:smallCaps/>
        </w:rPr>
        <w:t>Journal of Common Market Studies</w:t>
      </w:r>
      <w:r w:rsidRPr="00050C8B">
        <w:rPr>
          <w:rFonts w:ascii="Times New Roman" w:hAnsi="Times New Roman" w:cs="Times New Roman"/>
        </w:rPr>
        <w:t xml:space="preserve"> 41, 52 (2020).</w:t>
      </w:r>
    </w:p>
  </w:footnote>
  <w:footnote w:id="22">
    <w:p w14:paraId="53134A89" w14:textId="77777777" w:rsidR="00FA10F8" w:rsidRPr="00050C8B" w:rsidRDefault="00FA10F8" w:rsidP="00FA10F8">
      <w:pPr>
        <w:autoSpaceDE w:val="0"/>
        <w:autoSpaceDN w:val="0"/>
        <w:adjustRightInd w:val="0"/>
        <w:jc w:val="both"/>
        <w:rPr>
          <w:rFonts w:ascii="Times New Roman" w:hAnsi="Times New Roman" w:cs="Times New Roman"/>
          <w:i/>
          <w:iCs/>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Christophe Hillion,</w:t>
      </w:r>
      <w:r w:rsidRPr="00050C8B">
        <w:rPr>
          <w:rFonts w:ascii="Times New Roman" w:hAnsi="Times New Roman" w:cs="Times New Roman"/>
          <w:i/>
          <w:iCs/>
          <w:sz w:val="20"/>
          <w:szCs w:val="20"/>
        </w:rPr>
        <w:t xml:space="preserve"> Leaving the European Union, the Union Way</w:t>
      </w:r>
      <w:r w:rsidRPr="00050C8B">
        <w:rPr>
          <w:rFonts w:ascii="Times New Roman" w:hAnsi="Times New Roman" w:cs="Times New Roman"/>
          <w:sz w:val="20"/>
          <w:szCs w:val="20"/>
        </w:rPr>
        <w:t>,</w:t>
      </w:r>
      <w:r w:rsidRPr="00050C8B">
        <w:rPr>
          <w:rFonts w:ascii="Times New Roman" w:hAnsi="Times New Roman" w:cs="Times New Roman"/>
          <w:i/>
          <w:iCs/>
          <w:sz w:val="20"/>
          <w:szCs w:val="20"/>
        </w:rPr>
        <w:t xml:space="preserve"> </w:t>
      </w:r>
      <w:r w:rsidRPr="00050C8B">
        <w:rPr>
          <w:rFonts w:ascii="Times New Roman" w:hAnsi="Times New Roman" w:cs="Times New Roman"/>
          <w:sz w:val="20"/>
          <w:szCs w:val="20"/>
        </w:rPr>
        <w:t xml:space="preserve">8 </w:t>
      </w:r>
      <w:r w:rsidRPr="00050C8B">
        <w:rPr>
          <w:rFonts w:ascii="Times New Roman" w:hAnsi="Times New Roman" w:cs="Times New Roman"/>
          <w:smallCaps/>
          <w:sz w:val="20"/>
          <w:szCs w:val="20"/>
        </w:rPr>
        <w:t xml:space="preserve">SIEPS European Policy Analysis </w:t>
      </w:r>
      <w:r w:rsidRPr="00050C8B">
        <w:rPr>
          <w:rFonts w:ascii="Times New Roman" w:hAnsi="Times New Roman" w:cs="Times New Roman"/>
          <w:sz w:val="20"/>
          <w:szCs w:val="20"/>
        </w:rPr>
        <w:t>(2016)</w:t>
      </w:r>
      <w:r w:rsidRPr="00050C8B">
        <w:rPr>
          <w:rFonts w:ascii="Times New Roman" w:hAnsi="Times New Roman" w:cs="Times New Roman"/>
          <w:i/>
          <w:iCs/>
          <w:sz w:val="20"/>
          <w:szCs w:val="20"/>
        </w:rPr>
        <w:t>.</w:t>
      </w:r>
    </w:p>
  </w:footnote>
  <w:footnote w:id="23">
    <w:p w14:paraId="0AE79372" w14:textId="17C89DA3" w:rsidR="005A0ACE" w:rsidRPr="00050C8B" w:rsidRDefault="005A0ACE" w:rsidP="00184F31">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184F31" w:rsidRPr="00050C8B">
        <w:rPr>
          <w:rFonts w:ascii="Times New Roman" w:eastAsiaTheme="minorEastAsia" w:hAnsi="Times New Roman" w:cs="Times New Roman"/>
          <w:i/>
          <w:iCs/>
        </w:rPr>
        <w:t>See</w:t>
      </w:r>
      <w:r w:rsidR="00184F31" w:rsidRPr="00050C8B">
        <w:rPr>
          <w:rFonts w:ascii="Times New Roman" w:eastAsiaTheme="minorEastAsia" w:hAnsi="Times New Roman" w:cs="Times New Roman"/>
        </w:rPr>
        <w:t xml:space="preserve"> </w:t>
      </w:r>
      <w:r w:rsidR="00184F31" w:rsidRPr="00050C8B">
        <w:rPr>
          <w:rFonts w:ascii="Times New Roman" w:hAnsi="Times New Roman" w:cs="Times New Roman"/>
        </w:rPr>
        <w:t>Delaney</w:t>
      </w:r>
      <w:r w:rsidR="00184F31" w:rsidRPr="00050C8B">
        <w:rPr>
          <w:rFonts w:ascii="Times New Roman" w:hAnsi="Times New Roman" w:cs="Times New Roman"/>
          <w:color w:val="000000" w:themeColor="text1"/>
        </w:rPr>
        <w:t xml:space="preserve"> </w:t>
      </w:r>
      <w:r w:rsidR="00184F31" w:rsidRPr="00050C8B">
        <w:rPr>
          <w:rFonts w:ascii="Times New Roman" w:eastAsiaTheme="minorEastAsia" w:hAnsi="Times New Roman" w:cs="Times New Roman"/>
          <w:i/>
          <w:iCs/>
        </w:rPr>
        <w:t>supra</w:t>
      </w:r>
      <w:r w:rsidR="00184F31" w:rsidRPr="00050C8B">
        <w:rPr>
          <w:rFonts w:ascii="Times New Roman" w:eastAsiaTheme="minorEastAsia" w:hAnsi="Times New Roman" w:cs="Times New Roman"/>
        </w:rPr>
        <w:t xml:space="preserve"> note</w:t>
      </w:r>
      <w:r w:rsidR="00184F31" w:rsidRPr="00050C8B">
        <w:rPr>
          <w:rFonts w:ascii="Times New Roman" w:eastAsiaTheme="minorEastAsia" w:hAnsi="Times New Roman" w:cs="Times New Roman"/>
          <w:i/>
          <w:iCs/>
        </w:rPr>
        <w:t xml:space="preserve"> </w:t>
      </w:r>
      <w:r w:rsidR="00184F31" w:rsidRPr="00050C8B">
        <w:rPr>
          <w:rFonts w:ascii="Times New Roman" w:hAnsi="Times New Roman" w:cs="Times New Roman"/>
          <w:color w:val="000000" w:themeColor="text1"/>
        </w:rPr>
        <w:t>1</w:t>
      </w:r>
      <w:r w:rsidR="009F51AE">
        <w:rPr>
          <w:rFonts w:ascii="Times New Roman" w:hAnsi="Times New Roman" w:cs="Times New Roman"/>
          <w:color w:val="000000" w:themeColor="text1"/>
        </w:rPr>
        <w:t>8</w:t>
      </w:r>
      <w:r w:rsidRPr="00050C8B">
        <w:rPr>
          <w:rFonts w:ascii="Times New Roman" w:hAnsi="Times New Roman" w:cs="Times New Roman"/>
        </w:rPr>
        <w:t>.</w:t>
      </w:r>
    </w:p>
  </w:footnote>
  <w:footnote w:id="24">
    <w:p w14:paraId="205E480F" w14:textId="76B144F2"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F</w:t>
      </w:r>
      <w:r w:rsidR="00AE0154" w:rsidRPr="00050C8B">
        <w:rPr>
          <w:rFonts w:ascii="Times New Roman" w:hAnsi="Times New Roman" w:cs="Times New Roman"/>
          <w:lang w:val="en-US"/>
        </w:rPr>
        <w:t>ederico</w:t>
      </w:r>
      <w:r w:rsidRPr="00050C8B">
        <w:rPr>
          <w:rFonts w:ascii="Times New Roman" w:hAnsi="Times New Roman" w:cs="Times New Roman"/>
          <w:lang w:val="en-US"/>
        </w:rPr>
        <w:t xml:space="preserve"> Fabbrini and R</w:t>
      </w:r>
      <w:r w:rsidR="00AE0154" w:rsidRPr="00050C8B">
        <w:rPr>
          <w:rFonts w:ascii="Times New Roman" w:hAnsi="Times New Roman" w:cs="Times New Roman"/>
          <w:lang w:val="en-US"/>
        </w:rPr>
        <w:t xml:space="preserve">. </w:t>
      </w:r>
      <w:r w:rsidRPr="00050C8B">
        <w:rPr>
          <w:rFonts w:ascii="Times New Roman" w:hAnsi="Times New Roman" w:cs="Times New Roman"/>
          <w:lang w:val="en-US"/>
        </w:rPr>
        <w:t>D</w:t>
      </w:r>
      <w:r w:rsidR="00AE0154" w:rsidRPr="00050C8B">
        <w:rPr>
          <w:rFonts w:ascii="Times New Roman" w:hAnsi="Times New Roman" w:cs="Times New Roman"/>
          <w:lang w:val="en-US"/>
        </w:rPr>
        <w:t>aniel</w:t>
      </w:r>
      <w:r w:rsidRPr="00050C8B">
        <w:rPr>
          <w:rFonts w:ascii="Times New Roman" w:hAnsi="Times New Roman" w:cs="Times New Roman"/>
          <w:lang w:val="en-US"/>
        </w:rPr>
        <w:t xml:space="preserve"> Kelemen, ‘With one court decision, Germany may be plunging Europe into a constitutional crisis’ (2020), </w:t>
      </w:r>
      <w:hyperlink r:id="rId1" w:history="1">
        <w:r w:rsidR="008C24D2" w:rsidRPr="00050C8B">
          <w:rPr>
            <w:rStyle w:val="Hyperlink"/>
            <w:rFonts w:ascii="Times New Roman" w:hAnsi="Times New Roman" w:cs="Times New Roman"/>
          </w:rPr>
          <w:t>https://www.washingtonpost.com/politics/2020/05/07/germany-may-be-plunging-europe-into-constitutional-crisis/</w:t>
        </w:r>
      </w:hyperlink>
      <w:r w:rsidR="008C24D2" w:rsidRPr="00050C8B">
        <w:rPr>
          <w:rFonts w:ascii="Times New Roman" w:hAnsi="Times New Roman" w:cs="Times New Roman"/>
        </w:rPr>
        <w:t xml:space="preserve"> </w:t>
      </w:r>
    </w:p>
  </w:footnote>
  <w:footnote w:id="25">
    <w:p w14:paraId="5BFF1D06" w14:textId="1D78717A" w:rsidR="00F43B80" w:rsidRPr="00050C8B" w:rsidRDefault="00F43B80" w:rsidP="00050C8B">
      <w:pPr>
        <w:pStyle w:val="FootnoteText"/>
        <w:jc w:val="both"/>
        <w:rPr>
          <w:rFonts w:ascii="Times New Roman" w:hAnsi="Times New Roman" w:cs="Times New Roman"/>
          <w:color w:val="000000"/>
          <w:lang w:val="en-US"/>
        </w:rPr>
      </w:pPr>
      <w:r w:rsidRPr="00050C8B">
        <w:rPr>
          <w:rStyle w:val="None"/>
          <w:rFonts w:ascii="Times New Roman" w:hAnsi="Times New Roman" w:cs="Times New Roman"/>
          <w:color w:val="000000"/>
          <w:vertAlign w:val="superscript"/>
        </w:rPr>
        <w:footnoteRef/>
      </w:r>
      <w:r w:rsidRPr="00050C8B">
        <w:rPr>
          <w:rStyle w:val="None"/>
          <w:rFonts w:ascii="Times New Roman" w:hAnsi="Times New Roman" w:cs="Times New Roman"/>
          <w:color w:val="000000"/>
          <w:lang w:val="en-US"/>
        </w:rPr>
        <w:t xml:space="preserve"> German Constitutional Court, 5 May 2020, 2 BvR 859/15 - - 2 BvR 1651/15 - - 2 BvR 2006/15 - - 2 BvR 980/16. For some comments see M</w:t>
      </w:r>
      <w:r w:rsidR="00AE0154" w:rsidRPr="00050C8B">
        <w:rPr>
          <w:rStyle w:val="None"/>
          <w:rFonts w:ascii="Times New Roman" w:hAnsi="Times New Roman" w:cs="Times New Roman"/>
          <w:color w:val="000000"/>
          <w:lang w:val="en-US"/>
        </w:rPr>
        <w:t>iguel</w:t>
      </w:r>
      <w:r w:rsidRPr="00050C8B">
        <w:rPr>
          <w:rStyle w:val="None"/>
          <w:rFonts w:ascii="Times New Roman" w:hAnsi="Times New Roman" w:cs="Times New Roman"/>
          <w:color w:val="000000"/>
          <w:lang w:val="en-US"/>
        </w:rPr>
        <w:t xml:space="preserve"> Poiares Maduro, </w:t>
      </w:r>
      <w:r w:rsidRPr="00050C8B">
        <w:rPr>
          <w:rStyle w:val="None"/>
          <w:rFonts w:ascii="Times New Roman" w:hAnsi="Times New Roman" w:cs="Times New Roman"/>
          <w:i/>
          <w:iCs/>
          <w:color w:val="000000"/>
          <w:lang w:val="en-US"/>
        </w:rPr>
        <w:t>Some Preliminary Remarks on the PSPP Decision of the German Constitutional Court</w:t>
      </w:r>
      <w:r w:rsidRPr="00050C8B">
        <w:rPr>
          <w:rStyle w:val="None"/>
          <w:rFonts w:ascii="Times New Roman" w:hAnsi="Times New Roman" w:cs="Times New Roman"/>
          <w:color w:val="000000"/>
          <w:lang w:val="en-US"/>
        </w:rPr>
        <w:t xml:space="preserve">, </w:t>
      </w:r>
      <w:r w:rsidR="00AE0154" w:rsidRPr="00050C8B">
        <w:rPr>
          <w:rFonts w:ascii="Times New Roman" w:hAnsi="Times New Roman" w:cs="Times New Roman"/>
          <w:iCs/>
          <w:smallCaps/>
          <w:color w:val="000000" w:themeColor="text1"/>
        </w:rPr>
        <w:t>Verfassungsblog</w:t>
      </w:r>
      <w:r w:rsidR="00AE0154" w:rsidRPr="00050C8B">
        <w:rPr>
          <w:rStyle w:val="None"/>
          <w:rFonts w:ascii="Times New Roman" w:hAnsi="Times New Roman" w:cs="Times New Roman"/>
          <w:color w:val="000000"/>
          <w:lang w:val="en-US"/>
        </w:rPr>
        <w:t xml:space="preserve"> (6 May </w:t>
      </w:r>
      <w:r w:rsidRPr="00050C8B">
        <w:rPr>
          <w:rStyle w:val="None"/>
          <w:rFonts w:ascii="Times New Roman" w:hAnsi="Times New Roman" w:cs="Times New Roman"/>
          <w:color w:val="000000"/>
          <w:lang w:val="en-US"/>
        </w:rPr>
        <w:t>2020</w:t>
      </w:r>
      <w:r w:rsidR="00AE0154" w:rsidRPr="00050C8B">
        <w:rPr>
          <w:rStyle w:val="None"/>
          <w:rFonts w:ascii="Times New Roman" w:hAnsi="Times New Roman" w:cs="Times New Roman"/>
          <w:color w:val="000000"/>
          <w:lang w:val="en-US"/>
        </w:rPr>
        <w:t>)</w:t>
      </w:r>
      <w:r w:rsidRPr="00050C8B">
        <w:rPr>
          <w:rStyle w:val="None"/>
          <w:rFonts w:ascii="Times New Roman" w:hAnsi="Times New Roman" w:cs="Times New Roman"/>
          <w:color w:val="000000"/>
          <w:lang w:val="en-US"/>
        </w:rPr>
        <w:t xml:space="preserve">, </w:t>
      </w:r>
      <w:hyperlink r:id="rId2" w:history="1">
        <w:r w:rsidRPr="00050C8B">
          <w:rPr>
            <w:rStyle w:val="Hyperlink0"/>
            <w:rFonts w:ascii="Times New Roman" w:eastAsia="Calibri" w:hAnsi="Times New Roman" w:cs="Times New Roman"/>
            <w:color w:val="000000"/>
          </w:rPr>
          <w:t>https://verfassungsblog.de/some-preliminary-remarks-on-the-pspp-decision-of-the-german-constitutional-court</w:t>
        </w:r>
      </w:hyperlink>
      <w:r w:rsidRPr="00050C8B">
        <w:rPr>
          <w:rStyle w:val="None"/>
          <w:rFonts w:ascii="Times New Roman" w:hAnsi="Times New Roman" w:cs="Times New Roman"/>
          <w:color w:val="000000"/>
          <w:lang w:val="en-US"/>
        </w:rPr>
        <w:t>; M</w:t>
      </w:r>
      <w:r w:rsidR="00AE0154" w:rsidRPr="00050C8B">
        <w:rPr>
          <w:rStyle w:val="None"/>
          <w:rFonts w:ascii="Times New Roman" w:hAnsi="Times New Roman" w:cs="Times New Roman"/>
          <w:color w:val="000000"/>
          <w:lang w:val="en-US"/>
        </w:rPr>
        <w:t>atej</w:t>
      </w:r>
      <w:r w:rsidRPr="00050C8B">
        <w:rPr>
          <w:rStyle w:val="None"/>
          <w:rFonts w:ascii="Times New Roman" w:hAnsi="Times New Roman" w:cs="Times New Roman"/>
          <w:color w:val="000000"/>
          <w:lang w:val="en-US"/>
        </w:rPr>
        <w:t xml:space="preserve"> Avbelj, </w:t>
      </w:r>
      <w:r w:rsidRPr="00050C8B">
        <w:rPr>
          <w:rStyle w:val="None"/>
          <w:rFonts w:ascii="Times New Roman" w:hAnsi="Times New Roman" w:cs="Times New Roman"/>
          <w:i/>
          <w:iCs/>
          <w:color w:val="000000"/>
          <w:lang w:val="en-US"/>
        </w:rPr>
        <w:t>The Right Question about the FCC Ultra Vires Decision</w:t>
      </w:r>
      <w:r w:rsidRPr="00050C8B">
        <w:rPr>
          <w:rStyle w:val="None"/>
          <w:rFonts w:ascii="Times New Roman" w:hAnsi="Times New Roman" w:cs="Times New Roman"/>
          <w:color w:val="000000"/>
          <w:lang w:val="en-US"/>
        </w:rPr>
        <w:t xml:space="preserve">, </w:t>
      </w:r>
      <w:r w:rsidR="00AE0154" w:rsidRPr="00050C8B">
        <w:rPr>
          <w:rFonts w:ascii="Times New Roman" w:hAnsi="Times New Roman" w:cs="Times New Roman"/>
          <w:iCs/>
          <w:smallCaps/>
          <w:color w:val="000000" w:themeColor="text1"/>
        </w:rPr>
        <w:t>Verfassungsblog</w:t>
      </w:r>
      <w:r w:rsidR="00AE0154" w:rsidRPr="00050C8B">
        <w:rPr>
          <w:rStyle w:val="None"/>
          <w:rFonts w:ascii="Times New Roman" w:hAnsi="Times New Roman" w:cs="Times New Roman"/>
          <w:color w:val="000000"/>
          <w:lang w:val="en-US"/>
        </w:rPr>
        <w:t xml:space="preserve"> (6 May 2020), </w:t>
      </w:r>
      <w:hyperlink r:id="rId3" w:history="1">
        <w:r w:rsidRPr="00050C8B">
          <w:rPr>
            <w:rStyle w:val="Hyperlink0"/>
            <w:rFonts w:ascii="Times New Roman" w:eastAsia="Calibri" w:hAnsi="Times New Roman" w:cs="Times New Roman"/>
            <w:color w:val="000000"/>
          </w:rPr>
          <w:t>https://verfassungsblog.de/the-right-question-about-the-fcc-ultra-vires-decision</w:t>
        </w:r>
      </w:hyperlink>
      <w:r w:rsidRPr="00050C8B">
        <w:rPr>
          <w:rStyle w:val="None"/>
          <w:rFonts w:ascii="Times New Roman" w:hAnsi="Times New Roman" w:cs="Times New Roman"/>
          <w:color w:val="000000"/>
          <w:lang w:val="en-US"/>
        </w:rPr>
        <w:t>; T</w:t>
      </w:r>
      <w:r w:rsidR="00B67C77" w:rsidRPr="00050C8B">
        <w:rPr>
          <w:rStyle w:val="None"/>
          <w:rFonts w:ascii="Times New Roman" w:hAnsi="Times New Roman" w:cs="Times New Roman"/>
          <w:color w:val="000000"/>
          <w:lang w:val="en-US"/>
        </w:rPr>
        <w:t>oni</w:t>
      </w:r>
      <w:r w:rsidRPr="00050C8B">
        <w:rPr>
          <w:rStyle w:val="None"/>
          <w:rFonts w:ascii="Times New Roman" w:hAnsi="Times New Roman" w:cs="Times New Roman"/>
          <w:color w:val="000000"/>
          <w:lang w:val="en-US"/>
        </w:rPr>
        <w:t xml:space="preserve"> Marzal, </w:t>
      </w:r>
      <w:r w:rsidRPr="00050C8B">
        <w:rPr>
          <w:rStyle w:val="None"/>
          <w:rFonts w:ascii="Times New Roman" w:hAnsi="Times New Roman" w:cs="Times New Roman"/>
          <w:i/>
          <w:iCs/>
          <w:color w:val="000000"/>
          <w:lang w:val="en-US"/>
        </w:rPr>
        <w:t>Is the BVerfG PSPP decision “simply not comprehensible”? A critique of the judgment’s reasoning on proportionality</w:t>
      </w:r>
      <w:r w:rsidRPr="00050C8B">
        <w:rPr>
          <w:rStyle w:val="None"/>
          <w:rFonts w:ascii="Times New Roman" w:hAnsi="Times New Roman" w:cs="Times New Roman"/>
          <w:color w:val="000000"/>
          <w:lang w:val="en-US"/>
        </w:rPr>
        <w:t xml:space="preserve">, </w:t>
      </w:r>
      <w:r w:rsidR="00B67C77" w:rsidRPr="00050C8B">
        <w:rPr>
          <w:rFonts w:ascii="Times New Roman" w:hAnsi="Times New Roman" w:cs="Times New Roman"/>
          <w:iCs/>
          <w:smallCaps/>
          <w:color w:val="000000" w:themeColor="text1"/>
        </w:rPr>
        <w:t>Verfassungsblog</w:t>
      </w:r>
      <w:r w:rsidR="00B67C77" w:rsidRPr="00050C8B">
        <w:rPr>
          <w:rStyle w:val="None"/>
          <w:rFonts w:ascii="Times New Roman" w:hAnsi="Times New Roman" w:cs="Times New Roman"/>
          <w:color w:val="000000"/>
          <w:lang w:val="en-US"/>
        </w:rPr>
        <w:t xml:space="preserve"> (6 May 2020), </w:t>
      </w:r>
      <w:r w:rsidRPr="00050C8B">
        <w:rPr>
          <w:rStyle w:val="None"/>
          <w:rFonts w:ascii="Times New Roman" w:hAnsi="Times New Roman" w:cs="Times New Roman"/>
          <w:color w:val="000000"/>
          <w:lang w:val="en-US"/>
        </w:rPr>
        <w:t xml:space="preserve"> </w:t>
      </w:r>
      <w:hyperlink r:id="rId4" w:history="1">
        <w:r w:rsidRPr="00050C8B">
          <w:rPr>
            <w:rStyle w:val="Hyperlink0"/>
            <w:rFonts w:ascii="Times New Roman" w:eastAsia="Calibri" w:hAnsi="Times New Roman" w:cs="Times New Roman"/>
            <w:color w:val="000000"/>
          </w:rPr>
          <w:t>https://verfassungsblog.de/is-the-bverfg-pspp-decision-simply-not-comprehensible</w:t>
        </w:r>
      </w:hyperlink>
      <w:r w:rsidRPr="00050C8B">
        <w:rPr>
          <w:rStyle w:val="None"/>
          <w:rFonts w:ascii="Times New Roman" w:hAnsi="Times New Roman" w:cs="Times New Roman"/>
          <w:color w:val="000000"/>
          <w:lang w:val="en-US"/>
        </w:rPr>
        <w:t xml:space="preserve"> </w:t>
      </w:r>
    </w:p>
  </w:footnote>
  <w:footnote w:id="26">
    <w:p w14:paraId="65094425" w14:textId="7777777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i/>
          <w:iCs/>
        </w:rPr>
        <w:t xml:space="preserve"> Ratification of the Constitution by the State of Virginia</w:t>
      </w:r>
      <w:r w:rsidRPr="00050C8B">
        <w:rPr>
          <w:rFonts w:ascii="Times New Roman" w:hAnsi="Times New Roman" w:cs="Times New Roman"/>
        </w:rPr>
        <w:t xml:space="preserve">, 26 June 1788, </w:t>
      </w:r>
      <w:hyperlink r:id="rId5" w:history="1">
        <w:r w:rsidRPr="00050C8B">
          <w:rPr>
            <w:rStyle w:val="Hyperlink"/>
            <w:rFonts w:ascii="Times New Roman" w:hAnsi="Times New Roman" w:cs="Times New Roman"/>
          </w:rPr>
          <w:t>https://avalon.law.yale.edu/18th_century/ratva.asp</w:t>
        </w:r>
      </w:hyperlink>
      <w:r w:rsidRPr="00050C8B">
        <w:rPr>
          <w:rFonts w:ascii="Times New Roman" w:hAnsi="Times New Roman" w:cs="Times New Roman"/>
        </w:rPr>
        <w:t>.</w:t>
      </w:r>
    </w:p>
  </w:footnote>
  <w:footnote w:id="27">
    <w:p w14:paraId="2F883EE5" w14:textId="496FDEC2" w:rsidR="00F43B80" w:rsidRPr="00050C8B" w:rsidRDefault="00F43B80" w:rsidP="00050C8B">
      <w:pPr>
        <w:pStyle w:val="FootnoteText"/>
        <w:jc w:val="both"/>
        <w:rPr>
          <w:rFonts w:ascii="Times New Roman" w:hAnsi="Times New Roman" w:cs="Times New Roman"/>
          <w:lang w:val="it-IT"/>
        </w:rPr>
      </w:pPr>
      <w:r w:rsidRPr="00050C8B">
        <w:rPr>
          <w:rStyle w:val="FootnoteReference"/>
          <w:rFonts w:ascii="Times New Roman" w:hAnsi="Times New Roman" w:cs="Times New Roman"/>
        </w:rPr>
        <w:footnoteRef/>
      </w:r>
      <w:r w:rsidRPr="00050C8B">
        <w:rPr>
          <w:rFonts w:ascii="Times New Roman" w:hAnsi="Times New Roman" w:cs="Times New Roman"/>
          <w:lang w:val="it-IT"/>
        </w:rPr>
        <w:t xml:space="preserve"> Ibid.</w:t>
      </w:r>
    </w:p>
  </w:footnote>
  <w:footnote w:id="28">
    <w:p w14:paraId="25263385" w14:textId="362B9076" w:rsidR="00F43B80" w:rsidRPr="00050C8B" w:rsidRDefault="00F43B80" w:rsidP="00050C8B">
      <w:pPr>
        <w:pStyle w:val="FootnoteText"/>
        <w:jc w:val="both"/>
        <w:rPr>
          <w:rFonts w:ascii="Times New Roman" w:hAnsi="Times New Roman" w:cs="Times New Roman"/>
          <w:i/>
          <w:iCs/>
          <w:lang w:val="it-IT"/>
        </w:rPr>
      </w:pPr>
      <w:r w:rsidRPr="00050C8B">
        <w:rPr>
          <w:rStyle w:val="FootnoteReference"/>
          <w:rFonts w:ascii="Times New Roman" w:hAnsi="Times New Roman" w:cs="Times New Roman"/>
        </w:rPr>
        <w:footnoteRef/>
      </w:r>
      <w:r w:rsidRPr="00050C8B">
        <w:rPr>
          <w:rFonts w:ascii="Times New Roman" w:hAnsi="Times New Roman" w:cs="Times New Roman"/>
          <w:lang w:val="it-IT"/>
        </w:rPr>
        <w:t xml:space="preserve"> M</w:t>
      </w:r>
      <w:r w:rsidR="001B7B18" w:rsidRPr="00050C8B">
        <w:rPr>
          <w:rFonts w:ascii="Times New Roman" w:hAnsi="Times New Roman" w:cs="Times New Roman"/>
          <w:lang w:val="it-IT"/>
        </w:rPr>
        <w:t>atteo</w:t>
      </w:r>
      <w:r w:rsidRPr="00050C8B">
        <w:rPr>
          <w:rFonts w:ascii="Times New Roman" w:hAnsi="Times New Roman" w:cs="Times New Roman"/>
          <w:lang w:val="it-IT"/>
        </w:rPr>
        <w:t xml:space="preserve"> Monti, </w:t>
      </w:r>
      <w:r w:rsidRPr="00050C8B">
        <w:rPr>
          <w:rFonts w:ascii="Times New Roman" w:hAnsi="Times New Roman" w:cs="Times New Roman"/>
          <w:i/>
          <w:iCs/>
          <w:lang w:val="it-IT"/>
        </w:rPr>
        <w:t xml:space="preserve">Il </w:t>
      </w:r>
      <w:r w:rsidR="001B7B18" w:rsidRPr="00050C8B">
        <w:rPr>
          <w:rFonts w:ascii="Times New Roman" w:hAnsi="Times New Roman" w:cs="Times New Roman"/>
          <w:i/>
          <w:iCs/>
          <w:lang w:val="it-IT"/>
        </w:rPr>
        <w:t>“</w:t>
      </w:r>
      <w:r w:rsidRPr="00050C8B">
        <w:rPr>
          <w:rFonts w:ascii="Times New Roman" w:hAnsi="Times New Roman" w:cs="Times New Roman"/>
          <w:i/>
          <w:iCs/>
          <w:lang w:val="it-IT"/>
        </w:rPr>
        <w:t>Sedition Act” europeo? Spunti dalla comparazione sull’esclusione di Russia</w:t>
      </w:r>
      <w:r w:rsidR="001B7B18" w:rsidRPr="00050C8B">
        <w:rPr>
          <w:rFonts w:ascii="Times New Roman" w:hAnsi="Times New Roman" w:cs="Times New Roman"/>
          <w:i/>
          <w:iCs/>
          <w:lang w:val="it-IT"/>
        </w:rPr>
        <w:t xml:space="preserve"> </w:t>
      </w:r>
      <w:r w:rsidRPr="00050C8B">
        <w:rPr>
          <w:rFonts w:ascii="Times New Roman" w:hAnsi="Times New Roman" w:cs="Times New Roman"/>
          <w:i/>
          <w:iCs/>
          <w:lang w:val="it-IT"/>
        </w:rPr>
        <w:t>Today e Sputnik dal mercato dell’informazione unionale</w:t>
      </w:r>
      <w:r w:rsidRPr="00050C8B">
        <w:rPr>
          <w:rFonts w:ascii="Times New Roman" w:hAnsi="Times New Roman" w:cs="Times New Roman"/>
          <w:lang w:val="it-IT"/>
        </w:rPr>
        <w:t xml:space="preserve">, </w:t>
      </w:r>
      <w:r w:rsidRPr="00050C8B">
        <w:rPr>
          <w:rFonts w:ascii="Times New Roman" w:hAnsi="Times New Roman" w:cs="Times New Roman"/>
          <w:smallCaps/>
          <w:lang w:val="it-IT"/>
        </w:rPr>
        <w:t>Osservatorio AIC</w:t>
      </w:r>
      <w:r w:rsidRPr="00050C8B">
        <w:rPr>
          <w:rFonts w:ascii="Times New Roman" w:hAnsi="Times New Roman" w:cs="Times New Roman"/>
          <w:lang w:val="it-IT"/>
        </w:rPr>
        <w:t xml:space="preserve">, </w:t>
      </w:r>
      <w:r w:rsidR="001B7B18" w:rsidRPr="00050C8B">
        <w:rPr>
          <w:rFonts w:ascii="Times New Roman" w:hAnsi="Times New Roman" w:cs="Times New Roman"/>
          <w:lang w:val="it-IT"/>
        </w:rPr>
        <w:t xml:space="preserve">(3 January </w:t>
      </w:r>
      <w:r w:rsidRPr="00050C8B">
        <w:rPr>
          <w:rFonts w:ascii="Times New Roman" w:hAnsi="Times New Roman" w:cs="Times New Roman"/>
          <w:lang w:val="it-IT"/>
        </w:rPr>
        <w:t>2023</w:t>
      </w:r>
      <w:r w:rsidR="001B7B18" w:rsidRPr="00050C8B">
        <w:rPr>
          <w:rFonts w:ascii="Times New Roman" w:hAnsi="Times New Roman" w:cs="Times New Roman"/>
          <w:lang w:val="it-IT"/>
        </w:rPr>
        <w:t>)</w:t>
      </w:r>
      <w:r w:rsidRPr="00050C8B">
        <w:rPr>
          <w:rFonts w:ascii="Times New Roman" w:hAnsi="Times New Roman" w:cs="Times New Roman"/>
          <w:lang w:val="it-IT"/>
        </w:rPr>
        <w:t xml:space="preserve">, </w:t>
      </w:r>
      <w:hyperlink r:id="rId6" w:history="1">
        <w:r w:rsidRPr="00050C8B">
          <w:rPr>
            <w:rStyle w:val="Hyperlink"/>
            <w:rFonts w:ascii="Times New Roman" w:hAnsi="Times New Roman" w:cs="Times New Roman"/>
            <w:lang w:val="it-IT"/>
          </w:rPr>
          <w:t>https://www.osservatorioaic.it/images/rivista/pdf/2023_1_05_Monti.pdf</w:t>
        </w:r>
      </w:hyperlink>
      <w:r w:rsidR="001B7B18" w:rsidRPr="00050C8B">
        <w:rPr>
          <w:rStyle w:val="Hyperlink"/>
          <w:rFonts w:ascii="Times New Roman" w:hAnsi="Times New Roman" w:cs="Times New Roman"/>
          <w:lang w:val="it-IT"/>
        </w:rPr>
        <w:t>.</w:t>
      </w:r>
      <w:r w:rsidRPr="00050C8B">
        <w:rPr>
          <w:rFonts w:ascii="Times New Roman" w:hAnsi="Times New Roman" w:cs="Times New Roman"/>
          <w:lang w:val="it-IT"/>
        </w:rPr>
        <w:t xml:space="preserve"> </w:t>
      </w:r>
    </w:p>
  </w:footnote>
  <w:footnote w:id="29">
    <w:p w14:paraId="0CA26F67" w14:textId="653DA391"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00B0089B" w:rsidRPr="00050C8B">
        <w:rPr>
          <w:rFonts w:ascii="Times New Roman" w:eastAsiaTheme="minorEastAsia" w:hAnsi="Times New Roman" w:cs="Times New Roman"/>
          <w:i/>
          <w:iCs/>
        </w:rPr>
        <w:t xml:space="preserve"> See</w:t>
      </w:r>
      <w:r w:rsidR="00B0089B" w:rsidRPr="00050C8B">
        <w:rPr>
          <w:rFonts w:ascii="Times New Roman" w:eastAsiaTheme="minorEastAsia" w:hAnsi="Times New Roman" w:cs="Times New Roman"/>
        </w:rPr>
        <w:t xml:space="preserve"> </w:t>
      </w:r>
      <w:r w:rsidR="00B0089B" w:rsidRPr="00050C8B">
        <w:rPr>
          <w:rFonts w:ascii="Times New Roman" w:hAnsi="Times New Roman" w:cs="Times New Roman"/>
        </w:rPr>
        <w:t>Delaney</w:t>
      </w:r>
      <w:r w:rsidR="00B0089B" w:rsidRPr="00050C8B">
        <w:rPr>
          <w:rFonts w:ascii="Times New Roman" w:hAnsi="Times New Roman" w:cs="Times New Roman"/>
          <w:color w:val="000000" w:themeColor="text1"/>
        </w:rPr>
        <w:t xml:space="preserve"> </w:t>
      </w:r>
      <w:r w:rsidR="00B0089B" w:rsidRPr="00050C8B">
        <w:rPr>
          <w:rFonts w:ascii="Times New Roman" w:eastAsiaTheme="minorEastAsia" w:hAnsi="Times New Roman" w:cs="Times New Roman"/>
          <w:i/>
          <w:iCs/>
        </w:rPr>
        <w:t>supra</w:t>
      </w:r>
      <w:r w:rsidR="00B0089B" w:rsidRPr="00050C8B">
        <w:rPr>
          <w:rFonts w:ascii="Times New Roman" w:eastAsiaTheme="minorEastAsia" w:hAnsi="Times New Roman" w:cs="Times New Roman"/>
        </w:rPr>
        <w:t xml:space="preserve"> note</w:t>
      </w:r>
      <w:r w:rsidR="00B0089B" w:rsidRPr="00050C8B">
        <w:rPr>
          <w:rFonts w:ascii="Times New Roman" w:eastAsiaTheme="minorEastAsia" w:hAnsi="Times New Roman" w:cs="Times New Roman"/>
          <w:i/>
          <w:iCs/>
        </w:rPr>
        <w:t xml:space="preserve"> </w:t>
      </w:r>
      <w:r w:rsidR="00B0089B" w:rsidRPr="00050C8B">
        <w:rPr>
          <w:rFonts w:ascii="Times New Roman" w:hAnsi="Times New Roman" w:cs="Times New Roman"/>
          <w:color w:val="000000" w:themeColor="text1"/>
        </w:rPr>
        <w:t>1</w:t>
      </w:r>
      <w:r w:rsidR="009F51AE">
        <w:rPr>
          <w:rFonts w:ascii="Times New Roman" w:hAnsi="Times New Roman" w:cs="Times New Roman"/>
          <w:color w:val="000000" w:themeColor="text1"/>
        </w:rPr>
        <w:t>8</w:t>
      </w:r>
      <w:r w:rsidRPr="00050C8B">
        <w:rPr>
          <w:rFonts w:ascii="Times New Roman" w:hAnsi="Times New Roman" w:cs="Times New Roman"/>
        </w:rPr>
        <w:t>.</w:t>
      </w:r>
    </w:p>
  </w:footnote>
  <w:footnote w:id="30">
    <w:p w14:paraId="57E48DA3" w14:textId="3AB2DF50"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On reconstruction as a second founding moment, see </w:t>
      </w:r>
      <w:r w:rsidRPr="00050C8B">
        <w:rPr>
          <w:rFonts w:ascii="Times New Roman" w:hAnsi="Times New Roman" w:cs="Times New Roman"/>
          <w:smallCaps/>
        </w:rPr>
        <w:t>E</w:t>
      </w:r>
      <w:r w:rsidR="001B7B18" w:rsidRPr="00050C8B">
        <w:rPr>
          <w:rFonts w:ascii="Times New Roman" w:hAnsi="Times New Roman" w:cs="Times New Roman"/>
          <w:smallCaps/>
        </w:rPr>
        <w:t>ric</w:t>
      </w:r>
      <w:r w:rsidRPr="00050C8B">
        <w:rPr>
          <w:rFonts w:ascii="Times New Roman" w:hAnsi="Times New Roman" w:cs="Times New Roman"/>
          <w:smallCaps/>
        </w:rPr>
        <w:t xml:space="preserve"> Foner, The Second Founding. How the Civil War and Reconstruction Remade the Constitution </w:t>
      </w:r>
      <w:r w:rsidRPr="00050C8B">
        <w:rPr>
          <w:rFonts w:ascii="Times New Roman" w:hAnsi="Times New Roman" w:cs="Times New Roman"/>
        </w:rPr>
        <w:t>(</w:t>
      </w:r>
      <w:r w:rsidR="001B7B18" w:rsidRPr="00050C8B">
        <w:rPr>
          <w:rFonts w:ascii="Times New Roman" w:hAnsi="Times New Roman" w:cs="Times New Roman"/>
        </w:rPr>
        <w:t>2019</w:t>
      </w:r>
      <w:r w:rsidRPr="00050C8B">
        <w:rPr>
          <w:rFonts w:ascii="Times New Roman" w:hAnsi="Times New Roman" w:cs="Times New Roman"/>
        </w:rPr>
        <w:t>)</w:t>
      </w:r>
      <w:r w:rsidR="001B7B18" w:rsidRPr="00050C8B">
        <w:rPr>
          <w:rFonts w:ascii="Times New Roman" w:hAnsi="Times New Roman" w:cs="Times New Roman"/>
        </w:rPr>
        <w:t>.</w:t>
      </w:r>
      <w:r w:rsidRPr="00050C8B">
        <w:rPr>
          <w:rFonts w:ascii="Times New Roman" w:hAnsi="Times New Roman" w:cs="Times New Roman"/>
        </w:rPr>
        <w:t xml:space="preserve"> </w:t>
      </w:r>
    </w:p>
  </w:footnote>
  <w:footnote w:id="31">
    <w:p w14:paraId="761A88E4" w14:textId="5EFCD1EC"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T</w:t>
      </w:r>
      <w:r w:rsidR="00234286" w:rsidRPr="00050C8B">
        <w:rPr>
          <w:rFonts w:ascii="Times New Roman" w:hAnsi="Times New Roman" w:cs="Times New Roman"/>
        </w:rPr>
        <w:t>homas</w:t>
      </w:r>
      <w:r w:rsidRPr="00050C8B">
        <w:rPr>
          <w:rFonts w:ascii="Times New Roman" w:hAnsi="Times New Roman" w:cs="Times New Roman"/>
        </w:rPr>
        <w:t xml:space="preserve"> Jefferson, </w:t>
      </w:r>
      <w:r w:rsidRPr="00050C8B">
        <w:rPr>
          <w:rFonts w:ascii="Times New Roman" w:hAnsi="Times New Roman" w:cs="Times New Roman"/>
          <w:i/>
          <w:iCs/>
        </w:rPr>
        <w:t>Thomas Jefferson to Destutt de Tracy</w:t>
      </w:r>
      <w:r w:rsidR="00234286" w:rsidRPr="00050C8B">
        <w:rPr>
          <w:rFonts w:ascii="Times New Roman" w:hAnsi="Times New Roman" w:cs="Times New Roman"/>
        </w:rPr>
        <w:t>, (</w:t>
      </w:r>
      <w:r w:rsidRPr="00050C8B">
        <w:rPr>
          <w:rFonts w:ascii="Times New Roman" w:hAnsi="Times New Roman" w:cs="Times New Roman"/>
        </w:rPr>
        <w:t>1811</w:t>
      </w:r>
      <w:r w:rsidR="00234286" w:rsidRPr="00050C8B">
        <w:rPr>
          <w:rFonts w:ascii="Times New Roman" w:hAnsi="Times New Roman" w:cs="Times New Roman"/>
        </w:rPr>
        <w:t>)</w:t>
      </w:r>
      <w:r w:rsidRPr="00050C8B">
        <w:rPr>
          <w:rFonts w:ascii="Times New Roman" w:hAnsi="Times New Roman" w:cs="Times New Roman"/>
        </w:rPr>
        <w:t xml:space="preserve"> </w:t>
      </w:r>
      <w:hyperlink r:id="rId7" w:history="1">
        <w:r w:rsidRPr="00050C8B">
          <w:rPr>
            <w:rStyle w:val="Hyperlink"/>
            <w:rFonts w:ascii="Times New Roman" w:hAnsi="Times New Roman" w:cs="Times New Roman"/>
          </w:rPr>
          <w:t>https://founders.archives.gov/documents/Jefferson/03-03-02-0258</w:t>
        </w:r>
      </w:hyperlink>
      <w:r w:rsidRPr="00050C8B">
        <w:rPr>
          <w:rStyle w:val="Hyperlink"/>
          <w:rFonts w:ascii="Times New Roman" w:hAnsi="Times New Roman" w:cs="Times New Roman"/>
        </w:rPr>
        <w:t>.</w:t>
      </w:r>
      <w:r w:rsidRPr="00050C8B">
        <w:rPr>
          <w:rFonts w:ascii="Times New Roman" w:hAnsi="Times New Roman" w:cs="Times New Roman"/>
        </w:rPr>
        <w:t xml:space="preserve"> The term nullification, however, did not appear in the final text of the Kentucky resolutions of 1798. They retained the passage in which an abusive federal act was conceived as </w:t>
      </w:r>
      <w:r w:rsidR="00234286" w:rsidRPr="00050C8B">
        <w:rPr>
          <w:rFonts w:ascii="Times New Roman" w:hAnsi="Times New Roman" w:cs="Times New Roman"/>
        </w:rPr>
        <w:t>“</w:t>
      </w:r>
      <w:r w:rsidRPr="00050C8B">
        <w:rPr>
          <w:rFonts w:ascii="Times New Roman" w:hAnsi="Times New Roman" w:cs="Times New Roman"/>
        </w:rPr>
        <w:t>unauthoritative, void, and of no forc</w:t>
      </w:r>
      <w:r w:rsidR="00234286" w:rsidRPr="00050C8B">
        <w:rPr>
          <w:rFonts w:ascii="Times New Roman" w:hAnsi="Times New Roman" w:cs="Times New Roman"/>
        </w:rPr>
        <w:t>e”</w:t>
      </w:r>
      <w:r w:rsidRPr="00050C8B">
        <w:rPr>
          <w:rFonts w:ascii="Times New Roman" w:hAnsi="Times New Roman" w:cs="Times New Roman"/>
        </w:rPr>
        <w:t xml:space="preserve">. They also stated that, because of the absence of a </w:t>
      </w:r>
      <w:r w:rsidR="00234286" w:rsidRPr="00050C8B">
        <w:rPr>
          <w:rFonts w:ascii="Times New Roman" w:hAnsi="Times New Roman" w:cs="Times New Roman"/>
        </w:rPr>
        <w:t>“</w:t>
      </w:r>
      <w:r w:rsidRPr="00050C8B">
        <w:rPr>
          <w:rFonts w:ascii="Times New Roman" w:hAnsi="Times New Roman" w:cs="Times New Roman"/>
        </w:rPr>
        <w:t>common Judge</w:t>
      </w:r>
      <w:r w:rsidR="00234286" w:rsidRPr="00050C8B">
        <w:rPr>
          <w:rFonts w:ascii="Times New Roman" w:hAnsi="Times New Roman" w:cs="Times New Roman"/>
        </w:rPr>
        <w:t>”</w:t>
      </w:r>
      <w:r w:rsidRPr="00050C8B">
        <w:rPr>
          <w:rFonts w:ascii="Times New Roman" w:hAnsi="Times New Roman" w:cs="Times New Roman"/>
        </w:rPr>
        <w:t xml:space="preserve">, </w:t>
      </w:r>
      <w:r w:rsidR="00234286" w:rsidRPr="00050C8B">
        <w:rPr>
          <w:rFonts w:ascii="Times New Roman" w:hAnsi="Times New Roman" w:cs="Times New Roman"/>
        </w:rPr>
        <w:t>“</w:t>
      </w:r>
      <w:r w:rsidRPr="00050C8B">
        <w:rPr>
          <w:rFonts w:ascii="Times New Roman" w:hAnsi="Times New Roman" w:cs="Times New Roman"/>
        </w:rPr>
        <w:t>each party has an equal right to judge for itself, as well of infractions as of the mode and measure of redress</w:t>
      </w:r>
      <w:r w:rsidR="00234286" w:rsidRPr="00050C8B">
        <w:rPr>
          <w:rFonts w:ascii="Times New Roman" w:hAnsi="Times New Roman" w:cs="Times New Roman"/>
        </w:rPr>
        <w:t>”</w:t>
      </w:r>
      <w:r w:rsidRPr="00050C8B">
        <w:rPr>
          <w:rFonts w:ascii="Times New Roman" w:hAnsi="Times New Roman" w:cs="Times New Roman"/>
        </w:rPr>
        <w:t xml:space="preserve"> (</w:t>
      </w:r>
      <w:r w:rsidRPr="00050C8B">
        <w:rPr>
          <w:rFonts w:ascii="Times New Roman" w:hAnsi="Times New Roman" w:cs="Times New Roman"/>
          <w:i/>
          <w:iCs/>
        </w:rPr>
        <w:t>Resolutions Adopted by the Kentucky General Assembly</w:t>
      </w:r>
      <w:r w:rsidRPr="00050C8B">
        <w:rPr>
          <w:rFonts w:ascii="Times New Roman" w:hAnsi="Times New Roman" w:cs="Times New Roman"/>
          <w:iCs/>
        </w:rPr>
        <w:t>)</w:t>
      </w:r>
      <w:r w:rsidRPr="00050C8B">
        <w:rPr>
          <w:rFonts w:ascii="Times New Roman" w:hAnsi="Times New Roman" w:cs="Times New Roman"/>
        </w:rPr>
        <w:t xml:space="preserve"> as the principles of ‘98 preceded the invention of the judicial review of legislation in Marbury v. Madison.  Incidentally, the word nullification would later be used in the Kentucky resolutions of 1799 (Kentucky resolutions </w:t>
      </w:r>
      <w:r w:rsidR="00234286" w:rsidRPr="00050C8B">
        <w:rPr>
          <w:rFonts w:ascii="Times New Roman" w:hAnsi="Times New Roman" w:cs="Times New Roman"/>
        </w:rPr>
        <w:t>(</w:t>
      </w:r>
      <w:r w:rsidRPr="00050C8B">
        <w:rPr>
          <w:rFonts w:ascii="Times New Roman" w:hAnsi="Times New Roman" w:cs="Times New Roman"/>
        </w:rPr>
        <w:t>1799</w:t>
      </w:r>
      <w:r w:rsidR="00234286" w:rsidRPr="00050C8B">
        <w:rPr>
          <w:rFonts w:ascii="Times New Roman" w:hAnsi="Times New Roman" w:cs="Times New Roman"/>
        </w:rPr>
        <w:t>)</w:t>
      </w:r>
      <w:r w:rsidRPr="00050C8B">
        <w:rPr>
          <w:rFonts w:ascii="Times New Roman" w:hAnsi="Times New Roman" w:cs="Times New Roman"/>
        </w:rPr>
        <w:t xml:space="preserve">, </w:t>
      </w:r>
      <w:hyperlink r:id="rId8" w:history="1">
        <w:r w:rsidRPr="00050C8B">
          <w:rPr>
            <w:rStyle w:val="Hyperlink"/>
            <w:rFonts w:ascii="Times New Roman" w:hAnsi="Times New Roman" w:cs="Times New Roman"/>
          </w:rPr>
          <w:t>https://avalon.law.yale.edu/18th_century/kenres.asp</w:t>
        </w:r>
      </w:hyperlink>
      <w:proofErr w:type="gramStart"/>
      <w:r w:rsidRPr="00050C8B">
        <w:rPr>
          <w:rStyle w:val="Hyperlink"/>
          <w:rFonts w:ascii="Times New Roman" w:hAnsi="Times New Roman" w:cs="Times New Roman"/>
        </w:rPr>
        <w:t>)</w:t>
      </w:r>
      <w:r w:rsidRPr="00050C8B">
        <w:rPr>
          <w:rFonts w:ascii="Times New Roman" w:hAnsi="Times New Roman" w:cs="Times New Roman"/>
        </w:rPr>
        <w:t>,  although</w:t>
      </w:r>
      <w:proofErr w:type="gramEnd"/>
      <w:r w:rsidRPr="00050C8B">
        <w:rPr>
          <w:rFonts w:ascii="Times New Roman" w:hAnsi="Times New Roman" w:cs="Times New Roman"/>
        </w:rPr>
        <w:t xml:space="preserve"> it is not clear whether the author of this text was also Jefferson.  Like Calhoun years later, Jefferson kept the authorship of the Kentucky resolutions of 1798 a secret. </w:t>
      </w:r>
      <w:r w:rsidR="00234286" w:rsidRPr="00050C8B">
        <w:rPr>
          <w:rFonts w:ascii="Times New Roman" w:hAnsi="Times New Roman" w:cs="Times New Roman"/>
        </w:rPr>
        <w:t>“</w:t>
      </w:r>
      <w:r w:rsidRPr="00050C8B">
        <w:rPr>
          <w:rFonts w:ascii="Times New Roman" w:hAnsi="Times New Roman" w:cs="Times New Roman"/>
        </w:rPr>
        <w:t>The Kentucky Resolutions of 1799 are of uncertain authorship, but revived Jefferson’s nullification language, asserting that “the several states who formed [the Constitution] ... have the unquestionable right to judge of its infraction; and, That a nullification...of all unauthorized acts...is the rightful remedy”’, N</w:t>
      </w:r>
      <w:r w:rsidR="00234286" w:rsidRPr="00050C8B">
        <w:rPr>
          <w:rFonts w:ascii="Times New Roman" w:hAnsi="Times New Roman" w:cs="Times New Roman"/>
        </w:rPr>
        <w:t>ancy</w:t>
      </w:r>
      <w:r w:rsidRPr="00050C8B">
        <w:rPr>
          <w:rFonts w:ascii="Times New Roman" w:hAnsi="Times New Roman" w:cs="Times New Roman"/>
        </w:rPr>
        <w:t xml:space="preserve"> Verell and J</w:t>
      </w:r>
      <w:r w:rsidR="00234286" w:rsidRPr="00050C8B">
        <w:rPr>
          <w:rFonts w:ascii="Times New Roman" w:hAnsi="Times New Roman" w:cs="Times New Roman"/>
        </w:rPr>
        <w:t>ohn</w:t>
      </w:r>
      <w:r w:rsidRPr="00050C8B">
        <w:rPr>
          <w:rFonts w:ascii="Times New Roman" w:hAnsi="Times New Roman" w:cs="Times New Roman"/>
        </w:rPr>
        <w:t xml:space="preserve"> Ragosta, </w:t>
      </w:r>
      <w:r w:rsidRPr="00050C8B">
        <w:rPr>
          <w:rFonts w:ascii="Times New Roman" w:hAnsi="Times New Roman" w:cs="Times New Roman"/>
          <w:i/>
          <w:iCs/>
        </w:rPr>
        <w:t>Kentucky and Virginia Resolutions</w:t>
      </w:r>
      <w:r w:rsidRPr="00050C8B">
        <w:rPr>
          <w:rFonts w:ascii="Times New Roman" w:hAnsi="Times New Roman" w:cs="Times New Roman"/>
        </w:rPr>
        <w:t xml:space="preserve"> (2018) </w:t>
      </w:r>
      <w:hyperlink r:id="rId9" w:history="1">
        <w:r w:rsidRPr="00050C8B">
          <w:rPr>
            <w:rStyle w:val="Hyperlink"/>
            <w:rFonts w:ascii="Times New Roman" w:hAnsi="Times New Roman" w:cs="Times New Roman"/>
          </w:rPr>
          <w:t>https://www.monticello.org/site/research-and-collections/kentucky-and-virginia-resolutions</w:t>
        </w:r>
      </w:hyperlink>
      <w:r w:rsidRPr="00050C8B">
        <w:rPr>
          <w:rStyle w:val="Hyperlink"/>
          <w:rFonts w:ascii="Times New Roman" w:hAnsi="Times New Roman" w:cs="Times New Roman"/>
        </w:rPr>
        <w:t xml:space="preserve"> </w:t>
      </w:r>
      <w:r w:rsidRPr="00050C8B">
        <w:rPr>
          <w:rFonts w:ascii="Times New Roman" w:hAnsi="Times New Roman" w:cs="Times New Roman"/>
        </w:rPr>
        <w:t>Having said that, the text of the Virginia resolutions reveals some important differences with the Kentucky ones both with regard to the terminology and concepts used. The former used the term ‘interpose’ (</w:t>
      </w:r>
      <w:r w:rsidRPr="00050C8B">
        <w:rPr>
          <w:rFonts w:ascii="Times New Roman" w:hAnsi="Times New Roman" w:cs="Times New Roman"/>
          <w:i/>
          <w:lang w:val="en-US"/>
        </w:rPr>
        <w:t>Virginia resolutions</w:t>
      </w:r>
      <w:r w:rsidRPr="00050C8B">
        <w:rPr>
          <w:rFonts w:ascii="Times New Roman" w:hAnsi="Times New Roman" w:cs="Times New Roman"/>
          <w:lang w:val="en-US"/>
        </w:rPr>
        <w:t xml:space="preserve">, 1798, </w:t>
      </w:r>
      <w:hyperlink r:id="rId10" w:history="1">
        <w:r w:rsidRPr="00050C8B">
          <w:rPr>
            <w:rStyle w:val="Hyperlink"/>
            <w:rFonts w:ascii="Times New Roman" w:hAnsi="Times New Roman" w:cs="Times New Roman"/>
            <w:lang w:val="en-US"/>
          </w:rPr>
          <w:t>http://www.constitution.org/cons/virg1798.htm</w:t>
        </w:r>
      </w:hyperlink>
      <w:r w:rsidRPr="00050C8B">
        <w:rPr>
          <w:rStyle w:val="Hyperlink"/>
          <w:rFonts w:ascii="Times New Roman" w:hAnsi="Times New Roman" w:cs="Times New Roman"/>
          <w:lang w:val="en-US"/>
        </w:rPr>
        <w:t>)</w:t>
      </w:r>
      <w:r w:rsidRPr="00050C8B">
        <w:rPr>
          <w:rFonts w:ascii="Times New Roman" w:hAnsi="Times New Roman" w:cs="Times New Roman"/>
        </w:rPr>
        <w:t>. More importantly, while nullification seems to have been conceived as a unilateral right of each state, interposition seems to have been a kind of ‘collective’ right of the states.</w:t>
      </w:r>
    </w:p>
  </w:footnote>
  <w:footnote w:id="32">
    <w:p w14:paraId="7144FC64" w14:textId="4594605F"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9C7817" w:rsidRPr="00050C8B">
        <w:rPr>
          <w:rFonts w:ascii="Times New Roman" w:hAnsi="Times New Roman" w:cs="Times New Roman"/>
          <w:lang w:val="en-US"/>
        </w:rPr>
        <w:t xml:space="preserve">Giuseppe Martinico, </w:t>
      </w:r>
      <w:r w:rsidR="009C7817" w:rsidRPr="00050C8B">
        <w:rPr>
          <w:rFonts w:ascii="Times New Roman" w:hAnsi="Times New Roman" w:cs="Times New Roman"/>
          <w:i/>
          <w:iCs/>
          <w:lang w:val="en-US"/>
        </w:rPr>
        <w:t>Jeffersonian Federalism and Constitutional Conflicts</w:t>
      </w:r>
      <w:r w:rsidR="009C7817" w:rsidRPr="00050C8B">
        <w:rPr>
          <w:rFonts w:ascii="Times New Roman" w:hAnsi="Times New Roman" w:cs="Times New Roman"/>
          <w:lang w:val="en-US"/>
        </w:rPr>
        <w:t xml:space="preserve">, </w:t>
      </w:r>
      <w:r w:rsidR="009C7817" w:rsidRPr="00050C8B">
        <w:rPr>
          <w:rFonts w:ascii="Times New Roman" w:hAnsi="Times New Roman" w:cs="Times New Roman"/>
          <w:i/>
          <w:iCs/>
          <w:lang w:val="en-US"/>
        </w:rPr>
        <w:t>in</w:t>
      </w:r>
      <w:r w:rsidR="009C7817" w:rsidRPr="00050C8B">
        <w:rPr>
          <w:rFonts w:ascii="Times New Roman" w:hAnsi="Times New Roman" w:cs="Times New Roman"/>
          <w:lang w:val="en-US"/>
        </w:rPr>
        <w:t xml:space="preserve"> </w:t>
      </w:r>
      <w:r w:rsidR="009C7817" w:rsidRPr="00050C8B">
        <w:rPr>
          <w:rFonts w:ascii="Times New Roman" w:hAnsi="Times New Roman" w:cs="Times New Roman"/>
          <w:smallCaps/>
          <w:lang w:val="en-US"/>
        </w:rPr>
        <w:t>The Future of EU Constitutionalism</w:t>
      </w:r>
      <w:r w:rsidR="009C7817" w:rsidRPr="00050C8B">
        <w:rPr>
          <w:rFonts w:ascii="Times New Roman" w:hAnsi="Times New Roman" w:cs="Times New Roman"/>
          <w:lang w:val="en-US"/>
        </w:rPr>
        <w:t xml:space="preserve"> 71 (Matej Avbelj ed., 2023)</w:t>
      </w:r>
      <w:r w:rsidRPr="00050C8B">
        <w:rPr>
          <w:rFonts w:ascii="Times New Roman" w:hAnsi="Times New Roman" w:cs="Times New Roman"/>
          <w:lang w:val="en-US"/>
        </w:rPr>
        <w:t>.</w:t>
      </w:r>
    </w:p>
  </w:footnote>
  <w:footnote w:id="33">
    <w:p w14:paraId="2C3C277F" w14:textId="77777777" w:rsidR="006B4E88" w:rsidRPr="00050C8B" w:rsidRDefault="006B4E88" w:rsidP="006B4E88">
      <w:pPr>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John C. Calhoun, </w:t>
      </w:r>
      <w:r w:rsidRPr="00050C8B">
        <w:rPr>
          <w:rFonts w:ascii="Times New Roman" w:hAnsi="Times New Roman" w:cs="Times New Roman"/>
          <w:i/>
          <w:iCs/>
          <w:sz w:val="20"/>
          <w:szCs w:val="20"/>
        </w:rPr>
        <w:t>South Carolina Exposition and Protest</w:t>
      </w:r>
      <w:r w:rsidRPr="00050C8B">
        <w:rPr>
          <w:rFonts w:ascii="Times New Roman" w:hAnsi="Times New Roman" w:cs="Times New Roman"/>
          <w:sz w:val="20"/>
          <w:szCs w:val="20"/>
        </w:rPr>
        <w:t xml:space="preserve">, (1828) </w:t>
      </w:r>
      <w:hyperlink r:id="rId11" w:history="1">
        <w:r w:rsidRPr="00050C8B">
          <w:rPr>
            <w:rStyle w:val="Hyperlink"/>
            <w:rFonts w:ascii="Times New Roman" w:hAnsi="Times New Roman" w:cs="Times New Roman"/>
            <w:sz w:val="20"/>
            <w:szCs w:val="20"/>
          </w:rPr>
          <w:t>https://clockworkconservative.wordpress.com/freedom/primary-documents/south-carolina-exposition-and-protest/</w:t>
        </w:r>
      </w:hyperlink>
      <w:r w:rsidRPr="00050C8B">
        <w:rPr>
          <w:rFonts w:ascii="Times New Roman" w:hAnsi="Times New Roman" w:cs="Times New Roman"/>
          <w:sz w:val="20"/>
          <w:szCs w:val="20"/>
        </w:rPr>
        <w:t xml:space="preserve"> </w:t>
      </w:r>
    </w:p>
  </w:footnote>
  <w:footnote w:id="34">
    <w:p w14:paraId="34370C25" w14:textId="77777777" w:rsidR="004D342D" w:rsidRPr="00050C8B" w:rsidRDefault="004D342D" w:rsidP="004D342D">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On the importance of the Virginia and Kentucky resolutions see K.R. Constantine Gutzman, </w:t>
      </w:r>
      <w:r w:rsidRPr="00050C8B">
        <w:rPr>
          <w:rFonts w:ascii="Times New Roman" w:hAnsi="Times New Roman" w:cs="Times New Roman"/>
          <w:i/>
          <w:iCs/>
        </w:rPr>
        <w:t>The Virginia and Kentucky Resolutions Reconsidered: “An Appeal to the Real Laws of Our Country”</w:t>
      </w:r>
      <w:r w:rsidRPr="00050C8B">
        <w:rPr>
          <w:rFonts w:ascii="Times New Roman" w:hAnsi="Times New Roman" w:cs="Times New Roman"/>
        </w:rPr>
        <w:t xml:space="preserve"> 3 </w:t>
      </w:r>
      <w:r w:rsidRPr="00050C8B">
        <w:rPr>
          <w:rFonts w:ascii="Times New Roman" w:hAnsi="Times New Roman" w:cs="Times New Roman"/>
          <w:smallCaps/>
        </w:rPr>
        <w:t>Journal of Southern History</w:t>
      </w:r>
      <w:r w:rsidRPr="00050C8B">
        <w:rPr>
          <w:rFonts w:ascii="Times New Roman" w:hAnsi="Times New Roman" w:cs="Times New Roman"/>
        </w:rPr>
        <w:t xml:space="preserve"> 473 (2000).</w:t>
      </w:r>
    </w:p>
  </w:footnote>
  <w:footnote w:id="35">
    <w:p w14:paraId="3ED9ADE0" w14:textId="77777777" w:rsidR="004D342D" w:rsidRPr="00050C8B" w:rsidRDefault="004D342D" w:rsidP="004D342D">
      <w:pPr>
        <w:pStyle w:val="FootnoteText"/>
        <w:jc w:val="both"/>
        <w:rPr>
          <w:rFonts w:ascii="Times New Roman" w:hAnsi="Times New Roman" w:cs="Times New Roman"/>
          <w:lang w:val="it-IT"/>
        </w:rPr>
      </w:pPr>
      <w:r w:rsidRPr="00050C8B">
        <w:rPr>
          <w:rStyle w:val="FootnoteReference"/>
          <w:rFonts w:ascii="Times New Roman" w:hAnsi="Times New Roman" w:cs="Times New Roman"/>
        </w:rPr>
        <w:footnoteRef/>
      </w:r>
      <w:r w:rsidRPr="00050C8B">
        <w:rPr>
          <w:rFonts w:ascii="Times New Roman" w:hAnsi="Times New Roman" w:cs="Times New Roman"/>
          <w:lang w:val="it-IT"/>
        </w:rPr>
        <w:t xml:space="preserve"> </w:t>
      </w:r>
      <w:r w:rsidRPr="00050C8B">
        <w:rPr>
          <w:rFonts w:ascii="Times New Roman" w:hAnsi="Times New Roman" w:cs="Times New Roman"/>
          <w:smallCaps/>
          <w:lang w:val="it-IT"/>
        </w:rPr>
        <w:t xml:space="preserve">Antonio La Pergola, </w:t>
      </w:r>
      <w:r w:rsidRPr="00050C8B">
        <w:rPr>
          <w:rFonts w:ascii="Times New Roman" w:eastAsia="Times New Roman" w:hAnsi="Times New Roman" w:cs="Times New Roman"/>
          <w:iCs/>
          <w:smallCaps/>
          <w:lang w:val="it-IT" w:eastAsia="zh-TW"/>
        </w:rPr>
        <w:t>Residui contrattualistici e struttura federale nell’ordinamento degli Stati Uniti,</w:t>
      </w:r>
      <w:r w:rsidRPr="00050C8B">
        <w:rPr>
          <w:rFonts w:ascii="Times New Roman" w:eastAsia="Times New Roman" w:hAnsi="Times New Roman" w:cs="Times New Roman"/>
          <w:iCs/>
          <w:lang w:val="it-IT" w:eastAsia="zh-TW"/>
        </w:rPr>
        <w:t xml:space="preserve"> 58</w:t>
      </w:r>
      <w:r w:rsidRPr="00050C8B">
        <w:rPr>
          <w:rFonts w:ascii="Times New Roman" w:eastAsia="Times New Roman" w:hAnsi="Times New Roman" w:cs="Times New Roman"/>
          <w:lang w:val="it-IT" w:eastAsia="zh-TW"/>
        </w:rPr>
        <w:t xml:space="preserve"> (1969)</w:t>
      </w:r>
      <w:r w:rsidRPr="00050C8B">
        <w:rPr>
          <w:rFonts w:ascii="Times New Roman" w:hAnsi="Times New Roman" w:cs="Times New Roman"/>
          <w:lang w:val="it-IT"/>
        </w:rPr>
        <w:t>.</w:t>
      </w:r>
    </w:p>
  </w:footnote>
  <w:footnote w:id="36">
    <w:p w14:paraId="3FF03A53" w14:textId="77777777" w:rsidR="004D342D" w:rsidRPr="00050C8B" w:rsidRDefault="004D342D" w:rsidP="004D342D">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This, according to Calhoun, was an interpretation that could be inferred from the letter of Article VII of the US Constitution: “The ratification of the conventions of nine states, shall be sufficient for the establishment of this Constitution between the states so ratifying the same”. It was precisely this ‘between’ that gave the idea of the Constitution as a pact ‘between’ the states or, in Calhoun’s words: “They established it as a compact between them, and not as a constitution over them; and that, as a compact, they are parties to it, in the same character. I have thus established, conclusively, that these States, in ratifying the constitution, did not lose the confederated character which they possessed when they ratified it, as well as in all the preceding stages of their existence; but, on the contrary, still retained it to the full”, John C. Calhoun, </w:t>
      </w:r>
      <w:r w:rsidRPr="00050C8B">
        <w:rPr>
          <w:rFonts w:ascii="Times New Roman" w:hAnsi="Times New Roman" w:cs="Times New Roman"/>
          <w:i/>
        </w:rPr>
        <w:t>A Discourse on the Government and Constitution of the United States</w:t>
      </w:r>
      <w:r w:rsidRPr="00050C8B">
        <w:rPr>
          <w:rFonts w:ascii="Times New Roman" w:hAnsi="Times New Roman" w:cs="Times New Roman"/>
        </w:rPr>
        <w:t xml:space="preserve"> (1851) </w:t>
      </w:r>
      <w:hyperlink r:id="rId12" w:history="1">
        <w:r w:rsidRPr="00050C8B">
          <w:rPr>
            <w:rStyle w:val="Hyperlink"/>
            <w:rFonts w:ascii="Times New Roman" w:hAnsi="Times New Roman" w:cs="Times New Roman"/>
          </w:rPr>
          <w:t>http://www.constitution.org/jcc/dcgus.htm</w:t>
        </w:r>
      </w:hyperlink>
    </w:p>
  </w:footnote>
  <w:footnote w:id="37">
    <w:p w14:paraId="69046012" w14:textId="42F4D8D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On conventions in American law, see </w:t>
      </w:r>
      <w:r w:rsidRPr="00050C8B">
        <w:rPr>
          <w:rFonts w:ascii="Times New Roman" w:hAnsi="Times New Roman" w:cs="Times New Roman"/>
          <w:smallCaps/>
        </w:rPr>
        <w:t>G</w:t>
      </w:r>
      <w:r w:rsidR="00370E12" w:rsidRPr="00050C8B">
        <w:rPr>
          <w:rFonts w:ascii="Times New Roman" w:hAnsi="Times New Roman" w:cs="Times New Roman"/>
          <w:smallCaps/>
        </w:rPr>
        <w:t xml:space="preserve">ordon </w:t>
      </w:r>
      <w:r w:rsidRPr="00050C8B">
        <w:rPr>
          <w:rFonts w:ascii="Times New Roman" w:hAnsi="Times New Roman" w:cs="Times New Roman"/>
          <w:smallCaps/>
        </w:rPr>
        <w:t>S</w:t>
      </w:r>
      <w:r w:rsidR="00370E12" w:rsidRPr="00050C8B">
        <w:rPr>
          <w:rFonts w:ascii="Times New Roman" w:hAnsi="Times New Roman" w:cs="Times New Roman"/>
          <w:smallCaps/>
        </w:rPr>
        <w:t>.</w:t>
      </w:r>
      <w:r w:rsidRPr="00050C8B">
        <w:rPr>
          <w:rFonts w:ascii="Times New Roman" w:hAnsi="Times New Roman" w:cs="Times New Roman"/>
          <w:smallCaps/>
        </w:rPr>
        <w:t xml:space="preserve"> Wood, </w:t>
      </w:r>
      <w:r w:rsidRPr="00050C8B">
        <w:rPr>
          <w:rFonts w:ascii="Times New Roman" w:hAnsi="Times New Roman" w:cs="Times New Roman"/>
          <w:iCs/>
          <w:smallCaps/>
        </w:rPr>
        <w:t>The Creation of the American Republic, 1776-1787</w:t>
      </w:r>
      <w:r w:rsidR="00370E12" w:rsidRPr="00050C8B">
        <w:rPr>
          <w:rFonts w:ascii="Times New Roman" w:hAnsi="Times New Roman" w:cs="Times New Roman"/>
          <w:iCs/>
          <w:smallCaps/>
        </w:rPr>
        <w:t>,</w:t>
      </w:r>
      <w:r w:rsidRPr="00050C8B">
        <w:rPr>
          <w:rFonts w:ascii="Times New Roman" w:hAnsi="Times New Roman" w:cs="Times New Roman"/>
        </w:rPr>
        <w:t xml:space="preserve"> </w:t>
      </w:r>
      <w:r w:rsidR="00370E12" w:rsidRPr="00050C8B">
        <w:rPr>
          <w:rFonts w:ascii="Times New Roman" w:hAnsi="Times New Roman" w:cs="Times New Roman"/>
        </w:rPr>
        <w:t xml:space="preserve">ch. 8 </w:t>
      </w:r>
      <w:r w:rsidRPr="00050C8B">
        <w:rPr>
          <w:rFonts w:ascii="Times New Roman" w:hAnsi="Times New Roman" w:cs="Times New Roman"/>
        </w:rPr>
        <w:t>(1998)</w:t>
      </w:r>
    </w:p>
  </w:footnote>
  <w:footnote w:id="38">
    <w:p w14:paraId="4A6865C3" w14:textId="6CC7E3D5"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w:t>
      </w:r>
      <w:r w:rsidR="009C520B" w:rsidRPr="00050C8B">
        <w:rPr>
          <w:rFonts w:ascii="Times New Roman" w:hAnsi="Times New Roman" w:cs="Times New Roman"/>
        </w:rPr>
        <w:t>illiam</w:t>
      </w:r>
      <w:r w:rsidRPr="00050C8B">
        <w:rPr>
          <w:rFonts w:ascii="Times New Roman" w:hAnsi="Times New Roman" w:cs="Times New Roman"/>
        </w:rPr>
        <w:t xml:space="preserve"> Cohen, </w:t>
      </w:r>
      <w:r w:rsidRPr="00050C8B">
        <w:rPr>
          <w:rFonts w:ascii="Times New Roman" w:hAnsi="Times New Roman" w:cs="Times New Roman"/>
          <w:i/>
          <w:iCs/>
        </w:rPr>
        <w:t>Thomas Jefferson and the Problem of Slavery</w:t>
      </w:r>
      <w:r w:rsidRPr="00050C8B">
        <w:rPr>
          <w:rFonts w:ascii="Times New Roman" w:hAnsi="Times New Roman" w:cs="Times New Roman"/>
        </w:rPr>
        <w:t xml:space="preserve">, </w:t>
      </w:r>
      <w:r w:rsidR="009C520B" w:rsidRPr="00050C8B">
        <w:rPr>
          <w:rFonts w:ascii="Times New Roman" w:hAnsi="Times New Roman" w:cs="Times New Roman"/>
        </w:rPr>
        <w:t xml:space="preserve">56 </w:t>
      </w:r>
      <w:r w:rsidRPr="00050C8B">
        <w:rPr>
          <w:rFonts w:ascii="Times New Roman" w:hAnsi="Times New Roman" w:cs="Times New Roman"/>
          <w:smallCaps/>
        </w:rPr>
        <w:t>The Journal of American History</w:t>
      </w:r>
      <w:r w:rsidRPr="00050C8B">
        <w:rPr>
          <w:rFonts w:ascii="Times New Roman" w:hAnsi="Times New Roman" w:cs="Times New Roman"/>
        </w:rPr>
        <w:t>,</w:t>
      </w:r>
      <w:r w:rsidR="009C520B" w:rsidRPr="00050C8B">
        <w:rPr>
          <w:rFonts w:ascii="Times New Roman" w:hAnsi="Times New Roman" w:cs="Times New Roman"/>
        </w:rPr>
        <w:t xml:space="preserve"> 503</w:t>
      </w:r>
      <w:r w:rsidRPr="00050C8B">
        <w:rPr>
          <w:rFonts w:ascii="Times New Roman" w:hAnsi="Times New Roman" w:cs="Times New Roman"/>
        </w:rPr>
        <w:t xml:space="preserve"> (1969)</w:t>
      </w:r>
      <w:r w:rsidR="009C520B" w:rsidRPr="00050C8B">
        <w:rPr>
          <w:rFonts w:ascii="Times New Roman" w:hAnsi="Times New Roman" w:cs="Times New Roman"/>
        </w:rPr>
        <w:t>.</w:t>
      </w:r>
    </w:p>
  </w:footnote>
  <w:footnote w:id="39">
    <w:p w14:paraId="788350BE" w14:textId="1A819907" w:rsidR="00F43B80" w:rsidRPr="00050C8B" w:rsidRDefault="00F43B80" w:rsidP="00050C8B">
      <w:pPr>
        <w:pStyle w:val="Heading1"/>
        <w:shd w:val="clear" w:color="auto" w:fill="FFFFFF"/>
        <w:spacing w:before="0" w:beforeAutospacing="0" w:after="0" w:afterAutospacing="0"/>
        <w:jc w:val="both"/>
        <w:rPr>
          <w:b w:val="0"/>
          <w:bCs w:val="0"/>
          <w:color w:val="1A1A1A"/>
          <w:sz w:val="20"/>
          <w:szCs w:val="20"/>
        </w:rPr>
      </w:pPr>
      <w:r w:rsidRPr="00050C8B">
        <w:rPr>
          <w:rStyle w:val="FootnoteReference"/>
          <w:b w:val="0"/>
          <w:bCs w:val="0"/>
          <w:sz w:val="20"/>
          <w:szCs w:val="20"/>
        </w:rPr>
        <w:footnoteRef/>
      </w:r>
      <w:r w:rsidRPr="00050C8B">
        <w:rPr>
          <w:b w:val="0"/>
          <w:bCs w:val="0"/>
          <w:sz w:val="20"/>
          <w:szCs w:val="20"/>
        </w:rPr>
        <w:t xml:space="preserve"> </w:t>
      </w:r>
      <w:r w:rsidR="002F142A" w:rsidRPr="00050C8B">
        <w:rPr>
          <w:b w:val="0"/>
          <w:bCs w:val="0"/>
          <w:i/>
          <w:iCs/>
          <w:color w:val="1A1A1A"/>
          <w:sz w:val="20"/>
          <w:szCs w:val="20"/>
        </w:rPr>
        <w:t>Martin v. Hunter's Lessee</w:t>
      </w:r>
      <w:r w:rsidR="002F142A" w:rsidRPr="00050C8B">
        <w:rPr>
          <w:b w:val="0"/>
          <w:bCs w:val="0"/>
          <w:color w:val="1A1A1A"/>
          <w:sz w:val="20"/>
          <w:szCs w:val="20"/>
        </w:rPr>
        <w:t>, 14 U.S. 304 (1816)</w:t>
      </w:r>
    </w:p>
  </w:footnote>
  <w:footnote w:id="40">
    <w:p w14:paraId="7695DF0F" w14:textId="59508E7D"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“According to Calhoun, the amending power is the linchpin of state sovereignty and final proof of its rightful place in the American compact. Article V of the Constitution, in fact, </w:t>
      </w:r>
      <w:r w:rsidR="002F142A" w:rsidRPr="00050C8B">
        <w:rPr>
          <w:rFonts w:ascii="Times New Roman" w:hAnsi="Times New Roman" w:cs="Times New Roman"/>
          <w:lang w:val="en-US"/>
        </w:rPr>
        <w:t>“</w:t>
      </w:r>
      <w:r w:rsidRPr="00050C8B">
        <w:rPr>
          <w:rFonts w:ascii="Times New Roman" w:hAnsi="Times New Roman" w:cs="Times New Roman"/>
          <w:lang w:val="en-US"/>
        </w:rPr>
        <w:t>shows, conclusively, that the people of the several States still retain that supreme ultimate power, called sovereignty—the power by which they ordained and established the constitution; and which can rightfully create, modify, amend, or abolish it, at its pleasure</w:t>
      </w:r>
      <w:r w:rsidR="002F142A" w:rsidRPr="00050C8B">
        <w:rPr>
          <w:rFonts w:ascii="Times New Roman" w:hAnsi="Times New Roman" w:cs="Times New Roman"/>
          <w:lang w:val="en-US"/>
        </w:rPr>
        <w:t>”</w:t>
      </w:r>
      <w:r w:rsidRPr="00050C8B">
        <w:rPr>
          <w:rFonts w:ascii="Times New Roman" w:hAnsi="Times New Roman" w:cs="Times New Roman"/>
          <w:lang w:val="en-US"/>
        </w:rPr>
        <w:t>.</w:t>
      </w:r>
      <w:r w:rsidR="00F31F08" w:rsidRPr="00050C8B">
        <w:rPr>
          <w:rFonts w:ascii="Times New Roman" w:hAnsi="Times New Roman" w:cs="Times New Roman"/>
          <w:lang w:val="en-US"/>
        </w:rPr>
        <w:t xml:space="preserve"> </w:t>
      </w:r>
      <w:r w:rsidRPr="00050C8B">
        <w:rPr>
          <w:rFonts w:ascii="Times New Roman" w:hAnsi="Times New Roman" w:cs="Times New Roman"/>
          <w:lang w:val="en-US"/>
        </w:rPr>
        <w:t>The Constitution therefore was not some higher law open to evolving with the spirit of the times, majority will, the political classes in power, or the preferences of Supreme Court Justices, but a compact between sovereign states, renegotiable only through amendments [...] The utmost guarantee against possible abuses of power was provided by the fact that the Constitution could only be amended only by (at least) three quarters of the states. Nullification, then, takes shape as the possibility that a single state could appeal to the supermajority — the highest constitutional authority. Nullification was thus entirely within the system, but it logically opens the way to revision of the constitutional pact, thus presenting each state with the dilemma whether to adhere to the new pact or withdraw from the Union.”. , M</w:t>
      </w:r>
      <w:r w:rsidR="002F142A" w:rsidRPr="00050C8B">
        <w:rPr>
          <w:rFonts w:ascii="Times New Roman" w:hAnsi="Times New Roman" w:cs="Times New Roman"/>
          <w:lang w:val="en-US"/>
        </w:rPr>
        <w:t>arco</w:t>
      </w:r>
      <w:r w:rsidRPr="00050C8B">
        <w:rPr>
          <w:rFonts w:ascii="Times New Roman" w:hAnsi="Times New Roman" w:cs="Times New Roman"/>
          <w:lang w:val="en-US"/>
        </w:rPr>
        <w:t xml:space="preserve"> Bassani, </w:t>
      </w:r>
      <w:r w:rsidRPr="00050C8B">
        <w:rPr>
          <w:rFonts w:ascii="Times New Roman" w:hAnsi="Times New Roman" w:cs="Times New Roman"/>
          <w:i/>
          <w:iCs/>
          <w:lang w:val="en-US"/>
        </w:rPr>
        <w:t>John C. Calhoun: Nullification, Secession, Constitution</w:t>
      </w:r>
      <w:r w:rsidRPr="00050C8B">
        <w:rPr>
          <w:rFonts w:ascii="Times New Roman" w:hAnsi="Times New Roman" w:cs="Times New Roman"/>
          <w:lang w:val="en-US"/>
        </w:rPr>
        <w:t>,</w:t>
      </w:r>
      <w:r w:rsidR="000F5879" w:rsidRPr="00050C8B">
        <w:rPr>
          <w:rFonts w:ascii="Times New Roman" w:hAnsi="Times New Roman" w:cs="Times New Roman"/>
          <w:lang w:val="en-US"/>
        </w:rPr>
        <w:t xml:space="preserve"> </w:t>
      </w:r>
      <w:r w:rsidR="000F5879" w:rsidRPr="00050C8B">
        <w:rPr>
          <w:rFonts w:ascii="Times New Roman" w:hAnsi="Times New Roman" w:cs="Times New Roman"/>
          <w:smallCaps/>
          <w:lang w:val="en-US"/>
        </w:rPr>
        <w:t>Abbeville Institute Press</w:t>
      </w:r>
      <w:r w:rsidRPr="00050C8B">
        <w:rPr>
          <w:rFonts w:ascii="Times New Roman" w:hAnsi="Times New Roman" w:cs="Times New Roman"/>
          <w:lang w:val="en-US"/>
        </w:rPr>
        <w:t xml:space="preserve"> </w:t>
      </w:r>
      <w:r w:rsidR="000F5879" w:rsidRPr="00050C8B">
        <w:rPr>
          <w:rFonts w:ascii="Times New Roman" w:hAnsi="Times New Roman" w:cs="Times New Roman"/>
          <w:lang w:val="en-US"/>
        </w:rPr>
        <w:t xml:space="preserve">(8 August </w:t>
      </w:r>
      <w:r w:rsidRPr="00050C8B">
        <w:rPr>
          <w:rFonts w:ascii="Times New Roman" w:hAnsi="Times New Roman" w:cs="Times New Roman"/>
          <w:lang w:val="en-US"/>
        </w:rPr>
        <w:t>2014</w:t>
      </w:r>
      <w:r w:rsidR="000F5879" w:rsidRPr="00050C8B">
        <w:rPr>
          <w:rFonts w:ascii="Times New Roman" w:hAnsi="Times New Roman" w:cs="Times New Roman"/>
          <w:lang w:val="en-US"/>
        </w:rPr>
        <w:t>)</w:t>
      </w:r>
      <w:r w:rsidRPr="00050C8B">
        <w:rPr>
          <w:rFonts w:ascii="Times New Roman" w:hAnsi="Times New Roman" w:cs="Times New Roman"/>
          <w:lang w:val="en-US"/>
        </w:rPr>
        <w:t xml:space="preserve">, </w:t>
      </w:r>
      <w:hyperlink r:id="rId13" w:history="1">
        <w:r w:rsidRPr="00050C8B">
          <w:rPr>
            <w:rStyle w:val="Hyperlink"/>
            <w:rFonts w:ascii="Times New Roman" w:hAnsi="Times New Roman" w:cs="Times New Roman"/>
            <w:lang w:val="en-US"/>
          </w:rPr>
          <w:t>https://www.abbevilleinstitute.org/john-c-calhoun-nullification-secession-constitution/</w:t>
        </w:r>
      </w:hyperlink>
      <w:r w:rsidRPr="00050C8B">
        <w:rPr>
          <w:rFonts w:ascii="Times New Roman" w:hAnsi="Times New Roman" w:cs="Times New Roman"/>
          <w:lang w:val="en-US"/>
        </w:rPr>
        <w:t xml:space="preserve"> </w:t>
      </w:r>
    </w:p>
  </w:footnote>
  <w:footnote w:id="41">
    <w:p w14:paraId="436F59BC" w14:textId="19DA07D1"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w:t>
      </w:r>
      <w:r w:rsidR="000F5879" w:rsidRPr="00050C8B">
        <w:rPr>
          <w:rFonts w:ascii="Times New Roman" w:hAnsi="Times New Roman" w:cs="Times New Roman"/>
          <w:smallCaps/>
          <w:color w:val="000000" w:themeColor="text1"/>
          <w:lang w:val="en-US"/>
        </w:rPr>
        <w:t>J</w:t>
      </w:r>
      <w:r w:rsidR="000F5879" w:rsidRPr="00050C8B">
        <w:rPr>
          <w:rFonts w:ascii="Times New Roman" w:hAnsi="Times New Roman" w:cs="Times New Roman"/>
          <w:color w:val="000000" w:themeColor="text1"/>
          <w:lang w:val="en-US"/>
        </w:rPr>
        <w:t>ohn</w:t>
      </w:r>
      <w:r w:rsidR="000F5879" w:rsidRPr="00050C8B">
        <w:rPr>
          <w:rFonts w:ascii="Times New Roman" w:hAnsi="Times New Roman" w:cs="Times New Roman"/>
          <w:smallCaps/>
          <w:color w:val="000000" w:themeColor="text1"/>
          <w:lang w:val="en-US"/>
        </w:rPr>
        <w:t xml:space="preserve"> C. </w:t>
      </w:r>
      <w:r w:rsidR="000F5879" w:rsidRPr="00050C8B">
        <w:rPr>
          <w:rFonts w:ascii="Times New Roman" w:hAnsi="Times New Roman" w:cs="Times New Roman"/>
          <w:color w:val="000000" w:themeColor="text1"/>
          <w:lang w:val="en-US"/>
        </w:rPr>
        <w:t xml:space="preserve">Calhoun, </w:t>
      </w:r>
      <w:r w:rsidR="000F5879" w:rsidRPr="00050C8B">
        <w:rPr>
          <w:rFonts w:ascii="Times New Roman" w:hAnsi="Times New Roman" w:cs="Times New Roman"/>
          <w:i/>
          <w:iCs/>
          <w:color w:val="000000" w:themeColor="text1"/>
          <w:lang w:val="en-US"/>
        </w:rPr>
        <w:t>To General Hamilton on the subject of State Interposition</w:t>
      </w:r>
      <w:r w:rsidR="000F5879" w:rsidRPr="00050C8B">
        <w:rPr>
          <w:rFonts w:ascii="Times New Roman" w:eastAsia="MS Mincho" w:hAnsi="Times New Roman" w:cs="Times New Roman"/>
          <w:i/>
          <w:iCs/>
          <w:color w:val="000000" w:themeColor="text1"/>
          <w:lang w:val="en-US" w:eastAsia="it-IT"/>
        </w:rPr>
        <w:t xml:space="preserve"> </w:t>
      </w:r>
      <w:r w:rsidR="000F5879" w:rsidRPr="00050C8B">
        <w:rPr>
          <w:rFonts w:ascii="Times New Roman" w:eastAsia="MS Mincho" w:hAnsi="Times New Roman" w:cs="Times New Roman"/>
          <w:color w:val="000000" w:themeColor="text1"/>
          <w:lang w:val="en-US" w:eastAsia="it-IT"/>
        </w:rPr>
        <w:t xml:space="preserve">(1832), </w:t>
      </w:r>
      <w:r w:rsidR="000F5879" w:rsidRPr="00050C8B">
        <w:rPr>
          <w:rFonts w:ascii="Times New Roman" w:eastAsia="MS Mincho" w:hAnsi="Times New Roman" w:cs="Times New Roman"/>
          <w:color w:val="000000" w:themeColor="text1"/>
        </w:rPr>
        <w:t>https://www.loc.gov/item/09022902/, at p. 14.</w:t>
      </w:r>
      <w:r w:rsidR="000F5879" w:rsidRPr="00050C8B">
        <w:rPr>
          <w:rFonts w:ascii="Times New Roman" w:eastAsia="MS Mincho" w:hAnsi="Times New Roman" w:cs="Times New Roman"/>
          <w:color w:val="000000" w:themeColor="text1"/>
          <w:lang w:val="en-US" w:eastAsia="it-IT"/>
        </w:rPr>
        <w:t xml:space="preserve"> </w:t>
      </w:r>
      <w:r w:rsidRPr="00050C8B">
        <w:rPr>
          <w:rFonts w:ascii="Times New Roman" w:eastAsia="MS Mincho" w:hAnsi="Times New Roman" w:cs="Times New Roman"/>
          <w:lang w:eastAsia="it-IT"/>
        </w:rPr>
        <w:t xml:space="preserve"> </w:t>
      </w:r>
    </w:p>
  </w:footnote>
  <w:footnote w:id="42">
    <w:p w14:paraId="21D25A8A" w14:textId="6AB46771" w:rsidR="00F43B80" w:rsidRPr="00050C8B" w:rsidRDefault="00F43B80" w:rsidP="00050C8B">
      <w:pPr>
        <w:pStyle w:val="FootnoteText"/>
        <w:jc w:val="both"/>
        <w:rPr>
          <w:rFonts w:ascii="Times New Roman" w:hAnsi="Times New Roman" w:cs="Times New Roman"/>
          <w:lang w:val="it-IT"/>
        </w:rPr>
      </w:pPr>
      <w:r w:rsidRPr="00050C8B">
        <w:rPr>
          <w:rStyle w:val="FootnoteReference"/>
          <w:rFonts w:ascii="Times New Roman" w:hAnsi="Times New Roman" w:cs="Times New Roman"/>
        </w:rPr>
        <w:footnoteRef/>
      </w:r>
      <w:r w:rsidRPr="00050C8B">
        <w:rPr>
          <w:rFonts w:ascii="Times New Roman" w:hAnsi="Times New Roman" w:cs="Times New Roman"/>
          <w:lang w:val="it-IT"/>
        </w:rPr>
        <w:t xml:space="preserve"> </w:t>
      </w:r>
      <w:r w:rsidR="00D6409D" w:rsidRPr="00050C8B">
        <w:rPr>
          <w:rFonts w:ascii="Times New Roman" w:hAnsi="Times New Roman" w:cs="Times New Roman"/>
          <w:lang w:val="it-IT"/>
        </w:rPr>
        <w:t xml:space="preserve">Bassani, </w:t>
      </w:r>
      <w:proofErr w:type="spellStart"/>
      <w:r w:rsidR="00D6409D" w:rsidRPr="00050C8B">
        <w:rPr>
          <w:rFonts w:ascii="Times New Roman" w:hAnsi="Times New Roman" w:cs="Times New Roman"/>
          <w:i/>
          <w:iCs/>
          <w:lang w:val="it-IT"/>
        </w:rPr>
        <w:t>supra</w:t>
      </w:r>
      <w:proofErr w:type="spellEnd"/>
      <w:r w:rsidR="00D6409D" w:rsidRPr="00050C8B">
        <w:rPr>
          <w:rFonts w:ascii="Times New Roman" w:hAnsi="Times New Roman" w:cs="Times New Roman"/>
          <w:i/>
          <w:iCs/>
          <w:lang w:val="it-IT"/>
        </w:rPr>
        <w:t xml:space="preserve"> </w:t>
      </w:r>
      <w:r w:rsidR="00D6409D" w:rsidRPr="00050C8B">
        <w:rPr>
          <w:rFonts w:ascii="Times New Roman" w:hAnsi="Times New Roman" w:cs="Times New Roman"/>
          <w:lang w:val="it-IT"/>
        </w:rPr>
        <w:t xml:space="preserve">note </w:t>
      </w:r>
      <w:r w:rsidR="00301050">
        <w:rPr>
          <w:rFonts w:ascii="Times New Roman" w:hAnsi="Times New Roman" w:cs="Times New Roman"/>
          <w:lang w:val="it-IT"/>
        </w:rPr>
        <w:t>39</w:t>
      </w:r>
      <w:r w:rsidR="00D6409D" w:rsidRPr="00050C8B">
        <w:rPr>
          <w:rFonts w:ascii="Times New Roman" w:hAnsi="Times New Roman" w:cs="Times New Roman"/>
          <w:lang w:val="it-IT"/>
        </w:rPr>
        <w:t xml:space="preserve">. </w:t>
      </w:r>
    </w:p>
  </w:footnote>
  <w:footnote w:id="43">
    <w:p w14:paraId="1DE8206C" w14:textId="042D4547" w:rsidR="00F43B80" w:rsidRPr="00050C8B" w:rsidRDefault="00F43B80" w:rsidP="00050C8B">
      <w:pPr>
        <w:pStyle w:val="FootnoteText"/>
        <w:jc w:val="both"/>
        <w:rPr>
          <w:rFonts w:ascii="Times New Roman" w:hAnsi="Times New Roman" w:cs="Times New Roman"/>
          <w:lang w:val="it-IT"/>
        </w:rPr>
      </w:pPr>
      <w:r w:rsidRPr="00050C8B">
        <w:rPr>
          <w:rStyle w:val="FootnoteReference"/>
          <w:rFonts w:ascii="Times New Roman" w:hAnsi="Times New Roman" w:cs="Times New Roman"/>
        </w:rPr>
        <w:footnoteRef/>
      </w:r>
      <w:r w:rsidRPr="00050C8B">
        <w:rPr>
          <w:rFonts w:ascii="Times New Roman" w:hAnsi="Times New Roman" w:cs="Times New Roman"/>
          <w:lang w:val="it-IT"/>
        </w:rPr>
        <w:t xml:space="preserve"> </w:t>
      </w:r>
      <w:proofErr w:type="spellStart"/>
      <w:r w:rsidRPr="00050C8B">
        <w:rPr>
          <w:rFonts w:ascii="Times New Roman" w:hAnsi="Times New Roman" w:cs="Times New Roman"/>
          <w:lang w:val="it-IT"/>
        </w:rPr>
        <w:t>Calhoun</w:t>
      </w:r>
      <w:proofErr w:type="spellEnd"/>
      <w:r w:rsidRPr="00050C8B">
        <w:rPr>
          <w:rFonts w:ascii="Times New Roman" w:hAnsi="Times New Roman" w:cs="Times New Roman"/>
          <w:lang w:val="it-IT"/>
        </w:rPr>
        <w:t xml:space="preserve">, </w:t>
      </w:r>
      <w:proofErr w:type="spellStart"/>
      <w:r w:rsidR="00D6409D" w:rsidRPr="00050C8B">
        <w:rPr>
          <w:rFonts w:ascii="Times New Roman" w:hAnsi="Times New Roman" w:cs="Times New Roman"/>
          <w:i/>
          <w:iCs/>
          <w:lang w:val="it-IT"/>
        </w:rPr>
        <w:t>supra</w:t>
      </w:r>
      <w:proofErr w:type="spellEnd"/>
      <w:r w:rsidR="00D6409D" w:rsidRPr="00050C8B">
        <w:rPr>
          <w:rFonts w:ascii="Times New Roman" w:hAnsi="Times New Roman" w:cs="Times New Roman"/>
          <w:i/>
          <w:iCs/>
          <w:lang w:val="it-IT"/>
        </w:rPr>
        <w:t xml:space="preserve"> </w:t>
      </w:r>
      <w:r w:rsidR="00D6409D" w:rsidRPr="00050C8B">
        <w:rPr>
          <w:rFonts w:ascii="Times New Roman" w:hAnsi="Times New Roman" w:cs="Times New Roman"/>
          <w:lang w:val="it-IT"/>
        </w:rPr>
        <w:t xml:space="preserve">note </w:t>
      </w:r>
      <w:r w:rsidR="00301050">
        <w:rPr>
          <w:rFonts w:ascii="Times New Roman" w:hAnsi="Times New Roman" w:cs="Times New Roman"/>
          <w:lang w:val="it-IT"/>
        </w:rPr>
        <w:t>3</w:t>
      </w:r>
      <w:r w:rsidR="00B157B9">
        <w:rPr>
          <w:rFonts w:ascii="Times New Roman" w:hAnsi="Times New Roman" w:cs="Times New Roman"/>
          <w:lang w:val="it-IT"/>
        </w:rPr>
        <w:t>5</w:t>
      </w:r>
      <w:r w:rsidR="00D6409D" w:rsidRPr="00050C8B">
        <w:rPr>
          <w:rFonts w:ascii="Times New Roman" w:hAnsi="Times New Roman" w:cs="Times New Roman"/>
          <w:lang w:val="it-IT"/>
        </w:rPr>
        <w:t>.</w:t>
      </w:r>
    </w:p>
  </w:footnote>
  <w:footnote w:id="44">
    <w:p w14:paraId="7DF2D9A8" w14:textId="276B25C8"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“The primary function of nullification for Calhoun is not, in fact, antagonistic use of state power against the federal government; it is rather an appeal to the supreme federal power: the three-quarters majority of sovereign states. A state signals a de facto alteration in the nature of the Union, and thus of federal powers, by nullifying. The super-majority has the right to accept a different, more energetic, and powerful agent for managing common affairs. When the super-majority sustains the nullifying state, that state cannot legitimately secede.</w:t>
      </w:r>
      <w:r w:rsidR="00D6409D" w:rsidRPr="00050C8B">
        <w:rPr>
          <w:rFonts w:ascii="Times New Roman" w:hAnsi="Times New Roman" w:cs="Times New Roman"/>
          <w:lang w:val="en-US"/>
        </w:rPr>
        <w:t xml:space="preserve"> </w:t>
      </w:r>
      <w:r w:rsidRPr="00050C8B">
        <w:rPr>
          <w:rFonts w:ascii="Times New Roman" w:hAnsi="Times New Roman" w:cs="Times New Roman"/>
          <w:lang w:val="en-US"/>
        </w:rPr>
        <w:t xml:space="preserve">But if the Constitution is no longer the same, after consultation, two paths are open to the nullifying state: accession to the modified contract, or withdrawal from the Union. Calhoun’s theory of secession rests within these rigorous conditions; secession is then precisely the withdrawal from the political obligations that the states voluntarily imposed on themselves, justified only by alteration of the constitutional compact.”, </w:t>
      </w:r>
      <w:proofErr w:type="spellStart"/>
      <w:r w:rsidR="00D6409D" w:rsidRPr="00050C8B">
        <w:rPr>
          <w:rFonts w:ascii="Times New Roman" w:hAnsi="Times New Roman" w:cs="Times New Roman"/>
          <w:lang w:val="en-US"/>
        </w:rPr>
        <w:t>Bassani</w:t>
      </w:r>
      <w:proofErr w:type="spellEnd"/>
      <w:r w:rsidR="00D6409D" w:rsidRPr="00050C8B">
        <w:rPr>
          <w:rFonts w:ascii="Times New Roman" w:hAnsi="Times New Roman" w:cs="Times New Roman"/>
          <w:lang w:val="en-US"/>
        </w:rPr>
        <w:t xml:space="preserve">, </w:t>
      </w:r>
      <w:r w:rsidR="00D6409D" w:rsidRPr="00050C8B">
        <w:rPr>
          <w:rFonts w:ascii="Times New Roman" w:hAnsi="Times New Roman" w:cs="Times New Roman"/>
          <w:i/>
          <w:iCs/>
          <w:lang w:val="en-US"/>
        </w:rPr>
        <w:t xml:space="preserve">supra </w:t>
      </w:r>
      <w:r w:rsidR="00D6409D" w:rsidRPr="00050C8B">
        <w:rPr>
          <w:rFonts w:ascii="Times New Roman" w:hAnsi="Times New Roman" w:cs="Times New Roman"/>
          <w:lang w:val="en-US"/>
        </w:rPr>
        <w:t xml:space="preserve">note </w:t>
      </w:r>
      <w:r w:rsidR="00301050">
        <w:rPr>
          <w:rFonts w:ascii="Times New Roman" w:hAnsi="Times New Roman" w:cs="Times New Roman"/>
          <w:lang w:val="en-US"/>
        </w:rPr>
        <w:t>39</w:t>
      </w:r>
      <w:r w:rsidR="00D6409D" w:rsidRPr="00050C8B">
        <w:rPr>
          <w:rFonts w:ascii="Times New Roman" w:hAnsi="Times New Roman" w:cs="Times New Roman"/>
          <w:lang w:val="en-US"/>
        </w:rPr>
        <w:t>.</w:t>
      </w:r>
    </w:p>
  </w:footnote>
  <w:footnote w:id="45">
    <w:p w14:paraId="0249AEDC" w14:textId="01D77233" w:rsidR="004160F1" w:rsidRPr="004160F1" w:rsidRDefault="004160F1" w:rsidP="004160F1">
      <w:pPr>
        <w:autoSpaceDE w:val="0"/>
        <w:autoSpaceDN w:val="0"/>
        <w:adjustRightInd w:val="0"/>
        <w:jc w:val="both"/>
        <w:rPr>
          <w:rFonts w:ascii="Times New Roman" w:hAnsi="Times New Roman" w:cs="Times New Roman"/>
          <w:sz w:val="20"/>
          <w:szCs w:val="20"/>
        </w:rPr>
      </w:pPr>
      <w:r w:rsidRPr="004160F1">
        <w:rPr>
          <w:rStyle w:val="FootnoteReference"/>
          <w:rFonts w:ascii="Times New Roman" w:hAnsi="Times New Roman" w:cs="Times New Roman"/>
          <w:sz w:val="20"/>
          <w:szCs w:val="20"/>
        </w:rPr>
        <w:footnoteRef/>
      </w:r>
      <w:r w:rsidRPr="004160F1">
        <w:rPr>
          <w:rFonts w:ascii="Times New Roman" w:hAnsi="Times New Roman" w:cs="Times New Roman"/>
          <w:sz w:val="20"/>
          <w:szCs w:val="20"/>
        </w:rPr>
        <w:t xml:space="preserve"> The text of Jackson’s Proclamation to the People of South Carolina (10 December 1832) can be</w:t>
      </w:r>
      <w:r>
        <w:rPr>
          <w:rFonts w:ascii="Times New Roman" w:hAnsi="Times New Roman" w:cs="Times New Roman"/>
          <w:sz w:val="20"/>
          <w:szCs w:val="20"/>
        </w:rPr>
        <w:t xml:space="preserve"> </w:t>
      </w:r>
      <w:r w:rsidRPr="004160F1">
        <w:rPr>
          <w:rFonts w:ascii="Times New Roman" w:hAnsi="Times New Roman" w:cs="Times New Roman"/>
          <w:sz w:val="20"/>
          <w:szCs w:val="20"/>
        </w:rPr>
        <w:t xml:space="preserve">found in </w:t>
      </w:r>
      <w:r w:rsidRPr="004160F1">
        <w:rPr>
          <w:rFonts w:ascii="Times New Roman" w:hAnsi="Times New Roman" w:cs="Times New Roman"/>
          <w:i/>
          <w:iCs/>
          <w:sz w:val="20"/>
          <w:szCs w:val="20"/>
        </w:rPr>
        <w:t>Documents of American History. Volume 1</w:t>
      </w:r>
      <w:r>
        <w:rPr>
          <w:rFonts w:ascii="Times New Roman" w:hAnsi="Times New Roman" w:cs="Times New Roman"/>
          <w:sz w:val="20"/>
          <w:szCs w:val="20"/>
        </w:rPr>
        <w:t>, 263</w:t>
      </w:r>
      <w:r w:rsidRPr="004160F1">
        <w:rPr>
          <w:rFonts w:ascii="Times New Roman" w:hAnsi="Times New Roman" w:cs="Times New Roman"/>
          <w:i/>
          <w:iCs/>
          <w:sz w:val="20"/>
          <w:szCs w:val="20"/>
        </w:rPr>
        <w:t xml:space="preserve"> </w:t>
      </w:r>
      <w:r>
        <w:rPr>
          <w:rFonts w:ascii="Times New Roman" w:hAnsi="Times New Roman" w:cs="Times New Roman"/>
          <w:sz w:val="20"/>
          <w:szCs w:val="20"/>
        </w:rPr>
        <w:t>(</w:t>
      </w:r>
      <w:r w:rsidRPr="004160F1">
        <w:rPr>
          <w:rFonts w:ascii="Times New Roman" w:hAnsi="Times New Roman" w:cs="Times New Roman"/>
          <w:sz w:val="20"/>
          <w:szCs w:val="20"/>
        </w:rPr>
        <w:t>HS Commager</w:t>
      </w:r>
      <w:r>
        <w:rPr>
          <w:rFonts w:ascii="Times New Roman" w:hAnsi="Times New Roman" w:cs="Times New Roman"/>
          <w:sz w:val="20"/>
          <w:szCs w:val="20"/>
        </w:rPr>
        <w:t xml:space="preserve">, </w:t>
      </w:r>
      <w:r w:rsidRPr="004160F1">
        <w:rPr>
          <w:rFonts w:ascii="Times New Roman" w:hAnsi="Times New Roman" w:cs="Times New Roman"/>
          <w:sz w:val="20"/>
          <w:szCs w:val="20"/>
        </w:rPr>
        <w:t>ed</w:t>
      </w:r>
      <w:r>
        <w:rPr>
          <w:rFonts w:ascii="Times New Roman" w:hAnsi="Times New Roman" w:cs="Times New Roman"/>
          <w:sz w:val="20"/>
          <w:szCs w:val="20"/>
        </w:rPr>
        <w:t>., 1949)</w:t>
      </w:r>
    </w:p>
  </w:footnote>
  <w:footnote w:id="46">
    <w:p w14:paraId="3A9DF9CD" w14:textId="12012919" w:rsidR="00366B70" w:rsidRPr="00050C8B" w:rsidRDefault="00366B70" w:rsidP="00366B70">
      <w:pPr>
        <w:pStyle w:val="FootnoteText"/>
        <w:jc w:val="both"/>
        <w:rPr>
          <w:rFonts w:ascii="Times New Roman" w:hAnsi="Times New Roman" w:cs="Times New Roman"/>
        </w:rPr>
      </w:pPr>
      <w:r w:rsidRPr="00366B70">
        <w:rPr>
          <w:rStyle w:val="FootnoteReference"/>
          <w:rFonts w:ascii="Times New Roman" w:hAnsi="Times New Roman" w:cs="Times New Roman"/>
          <w:color w:val="000000" w:themeColor="text1"/>
        </w:rPr>
        <w:footnoteRef/>
      </w:r>
      <w:r w:rsidRPr="00366B70">
        <w:rPr>
          <w:rFonts w:ascii="Times New Roman" w:hAnsi="Times New Roman" w:cs="Times New Roman"/>
          <w:color w:val="000000" w:themeColor="text1"/>
          <w:lang w:val="en-US"/>
        </w:rPr>
        <w:t xml:space="preserve"> US Supreme Court, </w:t>
      </w:r>
      <w:r w:rsidRPr="00366B70">
        <w:rPr>
          <w:rFonts w:ascii="Times New Roman" w:hAnsi="Times New Roman" w:cs="Times New Roman"/>
          <w:i/>
          <w:iCs/>
          <w:color w:val="000000" w:themeColor="text1"/>
          <w:lang w:val="en-US"/>
        </w:rPr>
        <w:t>Texas v White</w:t>
      </w:r>
      <w:r w:rsidRPr="00366B70">
        <w:rPr>
          <w:rFonts w:ascii="Times New Roman" w:hAnsi="Times New Roman" w:cs="Times New Roman"/>
          <w:color w:val="000000" w:themeColor="text1"/>
          <w:lang w:val="en-US"/>
        </w:rPr>
        <w:t xml:space="preserve">, 74 (7 Wall) 700 (1869), 725. </w:t>
      </w:r>
      <w:r w:rsidRPr="00366B70">
        <w:rPr>
          <w:rFonts w:ascii="Times New Roman" w:hAnsi="Times New Roman" w:cs="Times New Roman"/>
        </w:rPr>
        <w:t xml:space="preserve">Notwithstanding, as Radan pointed out, it also left the door ajar for the possibility for secession “through revolution, or through consent of the States.”  Peter </w:t>
      </w:r>
      <w:r>
        <w:rPr>
          <w:rFonts w:ascii="Times New Roman" w:hAnsi="Times New Roman" w:cs="Times New Roman"/>
        </w:rPr>
        <w:t xml:space="preserve">Radan </w:t>
      </w:r>
      <w:r w:rsidRPr="00366B70">
        <w:rPr>
          <w:rFonts w:ascii="Times New Roman" w:hAnsi="Times New Roman" w:cs="Times New Roman"/>
        </w:rPr>
        <w:t xml:space="preserve">(2006), </w:t>
      </w:r>
      <w:r w:rsidRPr="00366B70">
        <w:rPr>
          <w:rFonts w:ascii="Times New Roman" w:hAnsi="Times New Roman" w:cs="Times New Roman"/>
          <w:i/>
          <w:iCs/>
        </w:rPr>
        <w:t>An Indestructible Union… of Indestructible States: The Supreme Court of the United States and Secession</w:t>
      </w:r>
      <w:r>
        <w:rPr>
          <w:rFonts w:ascii="Times New Roman" w:hAnsi="Times New Roman" w:cs="Times New Roman"/>
        </w:rPr>
        <w:t>, 10</w:t>
      </w:r>
      <w:r w:rsidRPr="00366B70">
        <w:rPr>
          <w:rFonts w:ascii="Times New Roman" w:hAnsi="Times New Roman" w:cs="Times New Roman"/>
        </w:rPr>
        <w:t xml:space="preserve"> </w:t>
      </w:r>
      <w:r w:rsidRPr="00366B70">
        <w:rPr>
          <w:rFonts w:ascii="Times New Roman" w:hAnsi="Times New Roman" w:cs="Times New Roman"/>
          <w:i/>
          <w:iCs/>
        </w:rPr>
        <w:t>Legal History</w:t>
      </w:r>
      <w:r w:rsidRPr="00366B70">
        <w:rPr>
          <w:rFonts w:ascii="Times New Roman" w:hAnsi="Times New Roman" w:cs="Times New Roman"/>
        </w:rPr>
        <w:t xml:space="preserve"> 187</w:t>
      </w:r>
      <w:r>
        <w:rPr>
          <w:rFonts w:ascii="Times New Roman" w:hAnsi="Times New Roman" w:cs="Times New Roman"/>
        </w:rPr>
        <w:t>, 191 (2006)</w:t>
      </w:r>
      <w:r w:rsidRPr="00366B70">
        <w:rPr>
          <w:rFonts w:ascii="Times New Roman" w:hAnsi="Times New Roman" w:cs="Times New Roman"/>
        </w:rPr>
        <w:t>.</w:t>
      </w:r>
    </w:p>
    <w:p w14:paraId="25520333" w14:textId="598513C0" w:rsidR="00366B70" w:rsidRPr="00366B70" w:rsidRDefault="00366B70" w:rsidP="00366B70">
      <w:pPr>
        <w:pStyle w:val="Footnotes"/>
        <w:ind w:firstLine="0"/>
        <w:jc w:val="both"/>
        <w:rPr>
          <w:rFonts w:ascii="Times New Roman" w:eastAsiaTheme="minorEastAsia" w:hAnsi="Times New Roman" w:cs="Times New Roman"/>
          <w:sz w:val="20"/>
          <w:szCs w:val="20"/>
        </w:rPr>
      </w:pPr>
      <w:r w:rsidRPr="00366B70">
        <w:rPr>
          <w:rFonts w:ascii="Times New Roman" w:hAnsi="Times New Roman" w:cs="Times New Roman"/>
          <w:sz w:val="20"/>
          <w:szCs w:val="20"/>
        </w:rPr>
        <w:t>Following the logic of the court, secession of a state is not unconceivable, if the US constitution is amended accordingly.</w:t>
      </w:r>
    </w:p>
  </w:footnote>
  <w:footnote w:id="47">
    <w:p w14:paraId="4D1E24B9" w14:textId="77777777" w:rsidR="00EB6542" w:rsidRPr="00050C8B" w:rsidRDefault="00EB6542" w:rsidP="00EB6542">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w:t>
      </w:r>
      <w:r w:rsidRPr="00050C8B">
        <w:rPr>
          <w:rFonts w:ascii="Times New Roman" w:hAnsi="Times New Roman" w:cs="Times New Roman"/>
          <w:smallCaps/>
          <w:lang w:val="en-US"/>
        </w:rPr>
        <w:t xml:space="preserve">Peter Hay, Federalism and Supranational Organizations. </w:t>
      </w:r>
      <w:r w:rsidRPr="00050C8B">
        <w:rPr>
          <w:rFonts w:ascii="Times New Roman" w:hAnsi="Times New Roman" w:cs="Times New Roman"/>
          <w:smallCaps/>
        </w:rPr>
        <w:t>Patterns for New Legal Structures</w:t>
      </w:r>
      <w:r w:rsidRPr="00050C8B">
        <w:rPr>
          <w:rFonts w:ascii="Times New Roman" w:hAnsi="Times New Roman" w:cs="Times New Roman"/>
        </w:rPr>
        <w:t xml:space="preserve"> (1966). </w:t>
      </w:r>
      <w:r w:rsidRPr="00050C8B">
        <w:rPr>
          <w:rFonts w:ascii="Times New Roman" w:hAnsi="Times New Roman" w:cs="Times New Roman"/>
          <w:smallCaps/>
          <w:lang w:val="en-US"/>
        </w:rPr>
        <w:t>Robert Schütze</w:t>
      </w:r>
      <w:r w:rsidRPr="00050C8B">
        <w:rPr>
          <w:rFonts w:ascii="Times New Roman" w:hAnsi="Times New Roman" w:cs="Times New Roman"/>
          <w:lang w:val="en-US"/>
        </w:rPr>
        <w:t xml:space="preserve">, </w:t>
      </w:r>
      <w:r w:rsidRPr="00050C8B">
        <w:rPr>
          <w:rFonts w:ascii="Times New Roman" w:hAnsi="Times New Roman" w:cs="Times New Roman"/>
          <w:smallCaps/>
          <w:lang w:val="en-US"/>
        </w:rPr>
        <w:t>From Dual to Cooperative Federalism: The Changing Structure of European Law (</w:t>
      </w:r>
      <w:r w:rsidRPr="00050C8B">
        <w:rPr>
          <w:rFonts w:ascii="Times New Roman" w:hAnsi="Times New Roman" w:cs="Times New Roman"/>
          <w:lang w:val="en-US"/>
        </w:rPr>
        <w:t xml:space="preserve">2009). </w:t>
      </w:r>
      <w:r w:rsidRPr="00050C8B">
        <w:rPr>
          <w:rFonts w:ascii="Times New Roman" w:hAnsi="Times New Roman" w:cs="Times New Roman"/>
        </w:rPr>
        <w:t xml:space="preserve">On the concept of “federalizing process” see: </w:t>
      </w:r>
      <w:r w:rsidRPr="00050C8B">
        <w:rPr>
          <w:rFonts w:ascii="Times New Roman" w:hAnsi="Times New Roman" w:cs="Times New Roman"/>
          <w:smallCaps/>
        </w:rPr>
        <w:t>Carl J. Friedrich, Trends of Federalism in Theory and Practice</w:t>
      </w:r>
      <w:r w:rsidRPr="00050C8B">
        <w:rPr>
          <w:rFonts w:ascii="Times New Roman" w:hAnsi="Times New Roman" w:cs="Times New Roman"/>
        </w:rPr>
        <w:t xml:space="preserve"> (1969).</w:t>
      </w:r>
    </w:p>
  </w:footnote>
  <w:footnote w:id="48">
    <w:p w14:paraId="23EDC990" w14:textId="644949FC" w:rsidR="00720D86" w:rsidRPr="00050C8B" w:rsidRDefault="00720D86" w:rsidP="00720D86">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i/>
          <w:iCs/>
          <w:lang w:val="en-US"/>
        </w:rPr>
        <w:t>See</w:t>
      </w:r>
      <w:r w:rsidRPr="00050C8B">
        <w:rPr>
          <w:rFonts w:ascii="Times New Roman" w:hAnsi="Times New Roman" w:cs="Times New Roman"/>
          <w:lang w:val="en-US"/>
        </w:rPr>
        <w:t xml:space="preserve"> </w:t>
      </w:r>
      <w:proofErr w:type="spellStart"/>
      <w:r w:rsidRPr="00050C8B">
        <w:rPr>
          <w:rFonts w:ascii="Times New Roman" w:hAnsi="Times New Roman" w:cs="Times New Roman"/>
          <w:lang w:val="en-US"/>
        </w:rPr>
        <w:t>Martinico</w:t>
      </w:r>
      <w:proofErr w:type="spellEnd"/>
      <w:r w:rsidRPr="00050C8B">
        <w:rPr>
          <w:rFonts w:ascii="Times New Roman" w:hAnsi="Times New Roman" w:cs="Times New Roman"/>
          <w:lang w:val="en-US"/>
        </w:rPr>
        <w:t xml:space="preserve">, </w:t>
      </w:r>
      <w:r w:rsidRPr="00050C8B">
        <w:rPr>
          <w:rFonts w:ascii="Times New Roman" w:hAnsi="Times New Roman" w:cs="Times New Roman"/>
          <w:i/>
          <w:iCs/>
          <w:lang w:val="en-US"/>
        </w:rPr>
        <w:t xml:space="preserve">supra </w:t>
      </w:r>
      <w:r w:rsidRPr="00050C8B">
        <w:rPr>
          <w:rFonts w:ascii="Times New Roman" w:hAnsi="Times New Roman" w:cs="Times New Roman"/>
          <w:lang w:val="en-US"/>
        </w:rPr>
        <w:t xml:space="preserve">note </w:t>
      </w:r>
      <w:r w:rsidR="00301050">
        <w:rPr>
          <w:rFonts w:ascii="Times New Roman" w:hAnsi="Times New Roman" w:cs="Times New Roman"/>
          <w:lang w:val="en-US"/>
        </w:rPr>
        <w:t>31</w:t>
      </w:r>
      <w:r w:rsidRPr="00050C8B">
        <w:rPr>
          <w:rFonts w:ascii="Times New Roman" w:hAnsi="Times New Roman" w:cs="Times New Roman"/>
          <w:lang w:val="en-US"/>
        </w:rPr>
        <w:t>.</w:t>
      </w:r>
    </w:p>
  </w:footnote>
  <w:footnote w:id="49">
    <w:p w14:paraId="286AC151" w14:textId="50AED0F4" w:rsidR="00A073E0" w:rsidRPr="00184F31" w:rsidRDefault="00A073E0" w:rsidP="00A073E0">
      <w:pPr>
        <w:pStyle w:val="FootnoteText"/>
        <w:jc w:val="both"/>
        <w:rPr>
          <w:rFonts w:ascii="Times New Roman" w:hAnsi="Times New Roman" w:cs="Times New Roman"/>
        </w:rPr>
      </w:pPr>
      <w:r w:rsidRPr="00FA10F8">
        <w:rPr>
          <w:rStyle w:val="FootnoteReference"/>
          <w:rFonts w:ascii="Times New Roman" w:hAnsi="Times New Roman" w:cs="Times New Roman"/>
        </w:rPr>
        <w:footnoteRef/>
      </w:r>
      <w:r w:rsidRPr="00FA10F8">
        <w:rPr>
          <w:rFonts w:ascii="Times New Roman" w:hAnsi="Times New Roman" w:cs="Times New Roman"/>
        </w:rPr>
        <w:t xml:space="preserve"> </w:t>
      </w:r>
      <w:r w:rsidRPr="00050C8B">
        <w:rPr>
          <w:rFonts w:ascii="Times New Roman" w:eastAsiaTheme="minorEastAsia" w:hAnsi="Times New Roman" w:cs="Times New Roman"/>
          <w:i/>
          <w:iCs/>
        </w:rPr>
        <w:t>See</w:t>
      </w:r>
      <w:r w:rsidRPr="00050C8B">
        <w:rPr>
          <w:rFonts w:ascii="Times New Roman" w:eastAsiaTheme="minorEastAsia" w:hAnsi="Times New Roman" w:cs="Times New Roman"/>
        </w:rPr>
        <w:t xml:space="preserve"> </w:t>
      </w:r>
      <w:r w:rsidRPr="00A231E1">
        <w:rPr>
          <w:rStyle w:val="None"/>
          <w:rFonts w:ascii="Times New Roman" w:hAnsi="Times New Roman" w:cs="Times New Roman"/>
          <w:color w:val="000000" w:themeColor="text1"/>
          <w:lang w:val="en-US"/>
        </w:rPr>
        <w:t>Schütze</w:t>
      </w:r>
      <w:r w:rsidRPr="00050C8B">
        <w:rPr>
          <w:rFonts w:ascii="Times New Roman" w:hAnsi="Times New Roman" w:cs="Times New Roman"/>
          <w:color w:val="000000" w:themeColor="text1"/>
        </w:rPr>
        <w:t xml:space="preserve"> </w:t>
      </w:r>
      <w:r w:rsidRPr="00050C8B">
        <w:rPr>
          <w:rFonts w:ascii="Times New Roman" w:eastAsiaTheme="minorEastAsia" w:hAnsi="Times New Roman" w:cs="Times New Roman"/>
          <w:i/>
          <w:iCs/>
        </w:rPr>
        <w:t>supra</w:t>
      </w:r>
      <w:r w:rsidRPr="00050C8B">
        <w:rPr>
          <w:rFonts w:ascii="Times New Roman" w:eastAsiaTheme="minorEastAsia" w:hAnsi="Times New Roman" w:cs="Times New Roman"/>
        </w:rPr>
        <w:t xml:space="preserve"> note</w:t>
      </w:r>
      <w:r w:rsidRPr="00050C8B">
        <w:rPr>
          <w:rFonts w:ascii="Times New Roman" w:eastAsiaTheme="minorEastAsia" w:hAnsi="Times New Roman" w:cs="Times New Roman"/>
          <w:i/>
          <w:iCs/>
        </w:rPr>
        <w:t xml:space="preserve"> </w:t>
      </w:r>
      <w:r w:rsidRPr="00050C8B">
        <w:rPr>
          <w:rFonts w:ascii="Times New Roman" w:hAnsi="Times New Roman" w:cs="Times New Roman"/>
          <w:color w:val="000000" w:themeColor="text1"/>
        </w:rPr>
        <w:t>1</w:t>
      </w:r>
      <w:r w:rsidR="00301050">
        <w:rPr>
          <w:rFonts w:ascii="Times New Roman" w:hAnsi="Times New Roman" w:cs="Times New Roman"/>
          <w:color w:val="000000" w:themeColor="text1"/>
        </w:rPr>
        <w:t>9</w:t>
      </w:r>
      <w:r>
        <w:rPr>
          <w:rFonts w:ascii="Times New Roman" w:hAnsi="Times New Roman" w:cs="Times New Roman"/>
        </w:rPr>
        <w:t xml:space="preserve"> </w:t>
      </w:r>
      <w:r w:rsidRPr="00FA10F8">
        <w:rPr>
          <w:rFonts w:ascii="Times New Roman" w:hAnsi="Times New Roman" w:cs="Times New Roman"/>
        </w:rPr>
        <w:t>at</w:t>
      </w:r>
      <w:r>
        <w:rPr>
          <w:rStyle w:val="None"/>
          <w:rFonts w:ascii="Times New Roman" w:hAnsi="Times New Roman" w:cs="Times New Roman"/>
          <w:color w:val="000000" w:themeColor="text1"/>
          <w:lang w:val="en-US"/>
        </w:rPr>
        <w:t xml:space="preserve"> 196</w:t>
      </w:r>
      <w:r w:rsidRPr="00050C8B">
        <w:rPr>
          <w:rStyle w:val="None"/>
          <w:rFonts w:ascii="Times New Roman" w:hAnsi="Times New Roman" w:cs="Times New Roman"/>
          <w:color w:val="000000" w:themeColor="text1"/>
          <w:lang w:val="en-US"/>
        </w:rPr>
        <w:t>.</w:t>
      </w:r>
    </w:p>
  </w:footnote>
  <w:footnote w:id="50">
    <w:p w14:paraId="2F4AB89B" w14:textId="55C55BEB" w:rsidR="00D618F7" w:rsidRPr="00050C8B" w:rsidRDefault="00D618F7"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The term Grexit refers to </w:t>
      </w:r>
      <w:r w:rsidRPr="00050C8B">
        <w:rPr>
          <w:rFonts w:ascii="Times New Roman" w:eastAsia="Times New Roman" w:hAnsi="Times New Roman" w:cs="Times New Roman"/>
          <w:color w:val="000000"/>
          <w:lang w:eastAsia="en-GB"/>
        </w:rPr>
        <w:t>the possible (dis)orderly withdrawal of Greece from the Eurozone during the years of economic crisis.</w:t>
      </w:r>
    </w:p>
  </w:footnote>
  <w:footnote w:id="51">
    <w:p w14:paraId="79A6E3D6" w14:textId="6B60A9B0" w:rsidR="00272AE0" w:rsidRPr="00272AE0" w:rsidRDefault="00272AE0">
      <w:pPr>
        <w:pStyle w:val="FootnoteText"/>
        <w:rPr>
          <w:rFonts w:ascii="Times New Roman" w:hAnsi="Times New Roman" w:cs="Times New Roman"/>
        </w:rPr>
      </w:pPr>
      <w:r w:rsidRPr="00272AE0">
        <w:rPr>
          <w:rStyle w:val="FootnoteReference"/>
          <w:rFonts w:ascii="Times New Roman" w:hAnsi="Times New Roman" w:cs="Times New Roman"/>
        </w:rPr>
        <w:footnoteRef/>
      </w:r>
      <w:r w:rsidRPr="00272AE0">
        <w:rPr>
          <w:rFonts w:ascii="Times New Roman" w:hAnsi="Times New Roman" w:cs="Times New Roman"/>
        </w:rPr>
        <w:t xml:space="preserve"> </w:t>
      </w:r>
      <w:proofErr w:type="spellStart"/>
      <w:r w:rsidRPr="00050C8B">
        <w:rPr>
          <w:rStyle w:val="None"/>
          <w:rFonts w:ascii="Times New Roman" w:hAnsi="Times New Roman" w:cs="Times New Roman"/>
          <w:i/>
          <w:iCs/>
          <w:color w:val="000000" w:themeColor="text1"/>
          <w:lang w:val="pt-BR"/>
        </w:rPr>
        <w:t>See</w:t>
      </w:r>
      <w:proofErr w:type="spellEnd"/>
      <w:r w:rsidRPr="00050C8B">
        <w:rPr>
          <w:rStyle w:val="None"/>
          <w:rFonts w:ascii="Times New Roman" w:hAnsi="Times New Roman" w:cs="Times New Roman"/>
          <w:i/>
          <w:iCs/>
          <w:color w:val="000000" w:themeColor="text1"/>
          <w:lang w:val="pt-BR"/>
        </w:rPr>
        <w:t xml:space="preserve"> supra</w:t>
      </w:r>
      <w:r w:rsidRPr="00050C8B">
        <w:rPr>
          <w:rStyle w:val="None"/>
          <w:rFonts w:ascii="Times New Roman" w:hAnsi="Times New Roman" w:cs="Times New Roman"/>
          <w:color w:val="000000" w:themeColor="text1"/>
          <w:lang w:val="pt-BR"/>
        </w:rPr>
        <w:t xml:space="preserve"> note </w:t>
      </w:r>
      <w:r>
        <w:rPr>
          <w:rStyle w:val="None"/>
          <w:rFonts w:ascii="Times New Roman" w:hAnsi="Times New Roman" w:cs="Times New Roman"/>
          <w:color w:val="000000" w:themeColor="text1"/>
          <w:lang w:val="pt-BR"/>
        </w:rPr>
        <w:t>4</w:t>
      </w:r>
      <w:r w:rsidR="00301050">
        <w:rPr>
          <w:rStyle w:val="None"/>
          <w:rFonts w:ascii="Times New Roman" w:hAnsi="Times New Roman" w:cs="Times New Roman"/>
          <w:color w:val="000000" w:themeColor="text1"/>
          <w:lang w:val="pt-BR"/>
        </w:rPr>
        <w:t>8</w:t>
      </w:r>
      <w:r w:rsidRPr="00050C8B">
        <w:rPr>
          <w:rStyle w:val="None"/>
          <w:rFonts w:ascii="Times New Roman" w:hAnsi="Times New Roman" w:cs="Times New Roman"/>
          <w:color w:val="000000" w:themeColor="text1"/>
          <w:lang w:val="pt-BR"/>
        </w:rPr>
        <w:t>.</w:t>
      </w:r>
    </w:p>
  </w:footnote>
  <w:footnote w:id="52">
    <w:p w14:paraId="51A9FCD5" w14:textId="798967D4"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smallCaps/>
        </w:rPr>
        <w:t>Between Flexibility and Disintegration. The Trajectory of Differentiation in EU Law,</w:t>
      </w:r>
      <w:r w:rsidRPr="00050C8B">
        <w:rPr>
          <w:rFonts w:ascii="Times New Roman" w:hAnsi="Times New Roman" w:cs="Times New Roman"/>
        </w:rPr>
        <w:t xml:space="preserve"> (</w:t>
      </w:r>
      <w:r w:rsidR="00640160" w:rsidRPr="00050C8B">
        <w:rPr>
          <w:rFonts w:ascii="Times New Roman" w:hAnsi="Times New Roman" w:cs="Times New Roman"/>
        </w:rPr>
        <w:t>Bruno de Witte, Andrea Ott, Ellen Vos, eds., 2017</w:t>
      </w:r>
      <w:r w:rsidRPr="00050C8B">
        <w:rPr>
          <w:rFonts w:ascii="Times New Roman" w:hAnsi="Times New Roman" w:cs="Times New Roman"/>
        </w:rPr>
        <w:t>)</w:t>
      </w:r>
    </w:p>
  </w:footnote>
  <w:footnote w:id="53">
    <w:p w14:paraId="015560CF" w14:textId="2C719471" w:rsidR="00F43B80" w:rsidRPr="00050C8B" w:rsidRDefault="00F43B80" w:rsidP="00050C8B">
      <w:pPr>
        <w:pStyle w:val="FootnoteText"/>
        <w:jc w:val="both"/>
        <w:rPr>
          <w:rFonts w:ascii="Times New Roman" w:hAnsi="Times New Roman" w:cs="Times New Roman"/>
        </w:rPr>
      </w:pPr>
      <w:r w:rsidRPr="00050C8B">
        <w:rPr>
          <w:rFonts w:ascii="Times New Roman" w:eastAsia="Times New Roman" w:hAnsi="Times New Roman" w:cs="Times New Roman"/>
          <w:vertAlign w:val="superscript"/>
        </w:rPr>
        <w:footnoteRef/>
      </w:r>
      <w:r w:rsidRPr="00050C8B">
        <w:rPr>
          <w:rFonts w:ascii="Times New Roman" w:hAnsi="Times New Roman" w:cs="Times New Roman"/>
          <w:lang w:val="en-US"/>
        </w:rPr>
        <w:t xml:space="preserve"> </w:t>
      </w:r>
      <w:r w:rsidRPr="00050C8B">
        <w:rPr>
          <w:rFonts w:ascii="Times New Roman" w:hAnsi="Times New Roman" w:cs="Times New Roman"/>
          <w:smallCaps/>
          <w:lang w:val="en-US"/>
        </w:rPr>
        <w:t>H</w:t>
      </w:r>
      <w:r w:rsidR="00C01F8D" w:rsidRPr="00050C8B">
        <w:rPr>
          <w:rFonts w:ascii="Times New Roman" w:hAnsi="Times New Roman" w:cs="Times New Roman"/>
          <w:smallCaps/>
          <w:lang w:val="en-US"/>
        </w:rPr>
        <w:t>ans</w:t>
      </w:r>
      <w:r w:rsidRPr="00050C8B">
        <w:rPr>
          <w:rFonts w:ascii="Times New Roman" w:hAnsi="Times New Roman" w:cs="Times New Roman"/>
          <w:smallCaps/>
          <w:lang w:val="en-US"/>
        </w:rPr>
        <w:t xml:space="preserve"> Kelsen, General Theory of Law and State</w:t>
      </w:r>
      <w:r w:rsidR="00C01F8D" w:rsidRPr="00050C8B">
        <w:rPr>
          <w:rFonts w:ascii="Times New Roman" w:hAnsi="Times New Roman" w:cs="Times New Roman"/>
          <w:lang w:val="en-US"/>
        </w:rPr>
        <w:t xml:space="preserve"> 115-122</w:t>
      </w:r>
      <w:r w:rsidRPr="00050C8B">
        <w:rPr>
          <w:rFonts w:ascii="Times New Roman" w:hAnsi="Times New Roman" w:cs="Times New Roman"/>
          <w:lang w:val="en-US"/>
        </w:rPr>
        <w:t xml:space="preserve"> </w:t>
      </w:r>
      <w:r w:rsidR="00C01F8D" w:rsidRPr="00050C8B">
        <w:rPr>
          <w:rFonts w:ascii="Times New Roman" w:hAnsi="Times New Roman" w:cs="Times New Roman"/>
          <w:lang w:val="en-US"/>
        </w:rPr>
        <w:t>(</w:t>
      </w:r>
      <w:r w:rsidRPr="00050C8B">
        <w:rPr>
          <w:rFonts w:ascii="Times New Roman" w:hAnsi="Times New Roman" w:cs="Times New Roman"/>
          <w:lang w:val="en-US"/>
        </w:rPr>
        <w:t>1945</w:t>
      </w:r>
      <w:r w:rsidR="00C01F8D" w:rsidRPr="00050C8B">
        <w:rPr>
          <w:rFonts w:ascii="Times New Roman" w:hAnsi="Times New Roman" w:cs="Times New Roman"/>
          <w:lang w:val="en-US"/>
        </w:rPr>
        <w:t>)</w:t>
      </w:r>
      <w:r w:rsidRPr="00050C8B">
        <w:rPr>
          <w:rFonts w:ascii="Times New Roman" w:hAnsi="Times New Roman" w:cs="Times New Roman"/>
          <w:lang w:val="en-US"/>
        </w:rPr>
        <w:t xml:space="preserve">; </w:t>
      </w:r>
      <w:r w:rsidRPr="00050C8B">
        <w:rPr>
          <w:rFonts w:ascii="Times New Roman" w:hAnsi="Times New Roman" w:cs="Times New Roman"/>
          <w:smallCaps/>
          <w:lang w:val="en-US"/>
        </w:rPr>
        <w:t>H</w:t>
      </w:r>
      <w:r w:rsidR="00C01F8D" w:rsidRPr="00050C8B">
        <w:rPr>
          <w:rFonts w:ascii="Times New Roman" w:hAnsi="Times New Roman" w:cs="Times New Roman"/>
          <w:smallCaps/>
          <w:lang w:val="en-US"/>
        </w:rPr>
        <w:t>ans</w:t>
      </w:r>
      <w:r w:rsidRPr="00050C8B">
        <w:rPr>
          <w:rFonts w:ascii="Times New Roman" w:hAnsi="Times New Roman" w:cs="Times New Roman"/>
          <w:smallCaps/>
          <w:lang w:val="en-US"/>
        </w:rPr>
        <w:t xml:space="preserve"> Kelsen, The Pure Theory of Law</w:t>
      </w:r>
      <w:r w:rsidRPr="00050C8B">
        <w:rPr>
          <w:rFonts w:ascii="Times New Roman" w:hAnsi="Times New Roman" w:cs="Times New Roman"/>
          <w:lang w:val="en-US"/>
        </w:rPr>
        <w:t>,</w:t>
      </w:r>
      <w:r w:rsidR="00C01F8D" w:rsidRPr="00050C8B">
        <w:rPr>
          <w:rFonts w:ascii="Times New Roman" w:hAnsi="Times New Roman" w:cs="Times New Roman"/>
          <w:lang w:val="en-US"/>
        </w:rPr>
        <w:t xml:space="preserve"> 208-214 (</w:t>
      </w:r>
      <w:r w:rsidRPr="00050C8B">
        <w:rPr>
          <w:rFonts w:ascii="Times New Roman" w:hAnsi="Times New Roman" w:cs="Times New Roman"/>
        </w:rPr>
        <w:t>1970</w:t>
      </w:r>
      <w:r w:rsidR="00C01F8D" w:rsidRPr="00050C8B">
        <w:rPr>
          <w:rFonts w:ascii="Times New Roman" w:hAnsi="Times New Roman" w:cs="Times New Roman"/>
        </w:rPr>
        <w:t>)</w:t>
      </w:r>
      <w:r w:rsidRPr="00050C8B">
        <w:rPr>
          <w:rFonts w:ascii="Times New Roman" w:hAnsi="Times New Roman" w:cs="Times New Roman"/>
        </w:rPr>
        <w:t xml:space="preserve">. </w:t>
      </w:r>
    </w:p>
  </w:footnote>
  <w:footnote w:id="54">
    <w:p w14:paraId="436F881E" w14:textId="6E239B8C"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J</w:t>
      </w:r>
      <w:r w:rsidR="00CC3B58" w:rsidRPr="00050C8B">
        <w:rPr>
          <w:rFonts w:ascii="Times New Roman" w:hAnsi="Times New Roman" w:cs="Times New Roman"/>
        </w:rPr>
        <w:t xml:space="preserve">oseph </w:t>
      </w:r>
      <w:r w:rsidRPr="00050C8B">
        <w:rPr>
          <w:rFonts w:ascii="Times New Roman" w:hAnsi="Times New Roman" w:cs="Times New Roman"/>
        </w:rPr>
        <w:t>H</w:t>
      </w:r>
      <w:r w:rsidR="00CC3B58" w:rsidRPr="00050C8B">
        <w:rPr>
          <w:rFonts w:ascii="Times New Roman" w:hAnsi="Times New Roman" w:cs="Times New Roman"/>
        </w:rPr>
        <w:t>.</w:t>
      </w:r>
      <w:r w:rsidRPr="00050C8B">
        <w:rPr>
          <w:rFonts w:ascii="Times New Roman" w:hAnsi="Times New Roman" w:cs="Times New Roman"/>
        </w:rPr>
        <w:t>H</w:t>
      </w:r>
      <w:r w:rsidR="00CC3B58" w:rsidRPr="00050C8B">
        <w:rPr>
          <w:rFonts w:ascii="Times New Roman" w:hAnsi="Times New Roman" w:cs="Times New Roman"/>
        </w:rPr>
        <w:t>.</w:t>
      </w:r>
      <w:r w:rsidRPr="00050C8B">
        <w:rPr>
          <w:rFonts w:ascii="Times New Roman" w:hAnsi="Times New Roman" w:cs="Times New Roman"/>
        </w:rPr>
        <w:t xml:space="preserve"> Weiler, </w:t>
      </w:r>
      <w:r w:rsidRPr="00050C8B">
        <w:rPr>
          <w:rFonts w:ascii="Times New Roman" w:hAnsi="Times New Roman" w:cs="Times New Roman"/>
          <w:i/>
          <w:iCs/>
        </w:rPr>
        <w:t>The Transformation of Europe</w:t>
      </w:r>
      <w:r w:rsidR="00CC3B58" w:rsidRPr="00050C8B">
        <w:rPr>
          <w:rFonts w:ascii="Times New Roman" w:hAnsi="Times New Roman" w:cs="Times New Roman"/>
        </w:rPr>
        <w:t>,</w:t>
      </w:r>
      <w:r w:rsidRPr="00050C8B">
        <w:rPr>
          <w:rFonts w:ascii="Times New Roman" w:hAnsi="Times New Roman" w:cs="Times New Roman"/>
        </w:rPr>
        <w:t xml:space="preserve"> 100 </w:t>
      </w:r>
      <w:r w:rsidRPr="00050C8B">
        <w:rPr>
          <w:rFonts w:ascii="Times New Roman" w:hAnsi="Times New Roman" w:cs="Times New Roman"/>
          <w:smallCaps/>
          <w:color w:val="000000"/>
        </w:rPr>
        <w:t>Yale Law Journal</w:t>
      </w:r>
      <w:r w:rsidRPr="00050C8B">
        <w:rPr>
          <w:rFonts w:ascii="Times New Roman" w:hAnsi="Times New Roman" w:cs="Times New Roman"/>
          <w:i/>
          <w:iCs/>
          <w:color w:val="000000"/>
        </w:rPr>
        <w:t xml:space="preserve"> </w:t>
      </w:r>
      <w:r w:rsidRPr="00050C8B">
        <w:rPr>
          <w:rFonts w:ascii="Times New Roman" w:hAnsi="Times New Roman" w:cs="Times New Roman"/>
          <w:color w:val="000000"/>
        </w:rPr>
        <w:t>2403</w:t>
      </w:r>
      <w:r w:rsidR="00CC3B58" w:rsidRPr="00050C8B">
        <w:rPr>
          <w:rFonts w:ascii="Times New Roman" w:hAnsi="Times New Roman" w:cs="Times New Roman"/>
          <w:color w:val="000000"/>
        </w:rPr>
        <w:t xml:space="preserve"> </w:t>
      </w:r>
      <w:r w:rsidR="00CC3B58" w:rsidRPr="00050C8B">
        <w:rPr>
          <w:rFonts w:ascii="Times New Roman" w:hAnsi="Times New Roman" w:cs="Times New Roman"/>
        </w:rPr>
        <w:t>(1991)</w:t>
      </w:r>
      <w:r w:rsidRPr="00050C8B">
        <w:rPr>
          <w:rFonts w:ascii="Times New Roman" w:hAnsi="Times New Roman" w:cs="Times New Roman"/>
          <w:color w:val="000000"/>
        </w:rPr>
        <w:t>.</w:t>
      </w:r>
    </w:p>
  </w:footnote>
  <w:footnote w:id="55">
    <w:p w14:paraId="28C5B31A" w14:textId="1F24B39C" w:rsidR="00F43B80" w:rsidRPr="00050C8B" w:rsidRDefault="00F43B80" w:rsidP="00050C8B">
      <w:pPr>
        <w:pBdr>
          <w:top w:val="nil"/>
          <w:left w:val="nil"/>
          <w:bottom w:val="nil"/>
          <w:right w:val="nil"/>
          <w:between w:val="nil"/>
          <w:bar w:val="nil"/>
        </w:pBdr>
        <w:jc w:val="both"/>
        <w:rPr>
          <w:rFonts w:ascii="Times New Roman" w:hAnsi="Times New Roman" w:cs="Times New Roman"/>
          <w:color w:val="000000"/>
          <w:sz w:val="20"/>
          <w:szCs w:val="20"/>
          <w:lang w:val="en-US"/>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00CC3B58" w:rsidRPr="00050C8B">
        <w:rPr>
          <w:rFonts w:ascii="Times New Roman" w:eastAsiaTheme="minorEastAsia" w:hAnsi="Times New Roman" w:cs="Times New Roman"/>
          <w:i/>
          <w:iCs/>
          <w:color w:val="000000"/>
          <w:sz w:val="20"/>
          <w:szCs w:val="20"/>
        </w:rPr>
        <w:t xml:space="preserve">van Gend &amp; Loos v. Netherlands Inland Revenue Administration, </w:t>
      </w:r>
      <w:r w:rsidR="00CC3B58" w:rsidRPr="00050C8B">
        <w:rPr>
          <w:rFonts w:ascii="Times New Roman" w:eastAsiaTheme="minorEastAsia" w:hAnsi="Times New Roman" w:cs="Times New Roman"/>
          <w:color w:val="000000"/>
          <w:sz w:val="20"/>
          <w:szCs w:val="20"/>
        </w:rPr>
        <w:t>Case 26/62,</w:t>
      </w:r>
      <w:r w:rsidR="00CC3B58" w:rsidRPr="00050C8B">
        <w:rPr>
          <w:rFonts w:ascii="Times New Roman" w:eastAsiaTheme="minorEastAsia" w:hAnsi="Times New Roman" w:cs="Times New Roman"/>
          <w:i/>
          <w:iCs/>
          <w:color w:val="000000"/>
          <w:sz w:val="20"/>
          <w:szCs w:val="20"/>
        </w:rPr>
        <w:t xml:space="preserve"> </w:t>
      </w:r>
      <w:r w:rsidR="00CC3B58" w:rsidRPr="00050C8B">
        <w:rPr>
          <w:rFonts w:ascii="Times New Roman" w:eastAsiaTheme="minorEastAsia" w:hAnsi="Times New Roman" w:cs="Times New Roman"/>
          <w:color w:val="000000"/>
          <w:sz w:val="20"/>
          <w:szCs w:val="20"/>
        </w:rPr>
        <w:t>ECLI:EU:C:1963:1</w:t>
      </w:r>
      <w:r w:rsidRPr="00050C8B">
        <w:rPr>
          <w:rFonts w:ascii="Times New Roman" w:hAnsi="Times New Roman" w:cs="Times New Roman"/>
          <w:color w:val="333333"/>
          <w:sz w:val="20"/>
          <w:szCs w:val="20"/>
          <w:shd w:val="clear" w:color="auto" w:fill="FFFFFF"/>
          <w:lang w:val="en-US"/>
        </w:rPr>
        <w:t>.</w:t>
      </w:r>
    </w:p>
  </w:footnote>
  <w:footnote w:id="56">
    <w:p w14:paraId="4374C755" w14:textId="66B73B90" w:rsidR="00F43B80" w:rsidRPr="00050C8B" w:rsidRDefault="00F43B80" w:rsidP="00050C8B">
      <w:pPr>
        <w:jc w:val="both"/>
        <w:rPr>
          <w:rFonts w:ascii="Times New Roman" w:hAnsi="Times New Roman" w:cs="Times New Roman"/>
          <w:color w:val="000000" w:themeColor="text1"/>
          <w:sz w:val="20"/>
          <w:szCs w:val="20"/>
          <w:lang w:val="de-DE"/>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lang w:val="de-DE"/>
        </w:rPr>
        <w:t xml:space="preserve"> </w:t>
      </w:r>
      <w:r w:rsidR="00CC3B58" w:rsidRPr="00050C8B">
        <w:rPr>
          <w:rFonts w:ascii="Times New Roman" w:hAnsi="Times New Roman" w:cs="Times New Roman"/>
          <w:i/>
          <w:color w:val="000000" w:themeColor="text1"/>
          <w:sz w:val="20"/>
          <w:szCs w:val="20"/>
          <w:lang w:val="de-DE"/>
        </w:rPr>
        <w:t>Costa v. ENEL</w:t>
      </w:r>
      <w:r w:rsidR="00CC3B58" w:rsidRPr="00050C8B">
        <w:rPr>
          <w:rFonts w:ascii="Times New Roman" w:hAnsi="Times New Roman" w:cs="Times New Roman"/>
          <w:color w:val="000000" w:themeColor="text1"/>
          <w:sz w:val="20"/>
          <w:szCs w:val="20"/>
          <w:lang w:val="de-DE"/>
        </w:rPr>
        <w:t>, Case 6/64, ECLI:</w:t>
      </w:r>
      <w:r w:rsidR="00CC3B58" w:rsidRPr="00050C8B">
        <w:rPr>
          <w:rFonts w:ascii="Times New Roman" w:hAnsi="Times New Roman" w:cs="Times New Roman"/>
          <w:color w:val="000000" w:themeColor="text1"/>
          <w:sz w:val="20"/>
          <w:szCs w:val="20"/>
          <w:shd w:val="clear" w:color="auto" w:fill="FFFFFF"/>
          <w:lang w:val="de-DE"/>
        </w:rPr>
        <w:t>EU:C:1964:66</w:t>
      </w:r>
      <w:r w:rsidRPr="00050C8B">
        <w:rPr>
          <w:rFonts w:ascii="Times New Roman" w:hAnsi="Times New Roman" w:cs="Times New Roman"/>
          <w:color w:val="333333"/>
          <w:sz w:val="20"/>
          <w:szCs w:val="20"/>
          <w:shd w:val="clear" w:color="auto" w:fill="FFFFFF"/>
          <w:lang w:val="de-DE"/>
        </w:rPr>
        <w:t>.</w:t>
      </w:r>
    </w:p>
  </w:footnote>
  <w:footnote w:id="57">
    <w:p w14:paraId="720FEE61" w14:textId="32452DEE" w:rsidR="00F43B80" w:rsidRPr="00050C8B" w:rsidRDefault="00F43B80" w:rsidP="00050C8B">
      <w:pPr>
        <w:jc w:val="both"/>
        <w:rPr>
          <w:rFonts w:ascii="Times New Roman" w:hAnsi="Times New Roman" w:cs="Times New Roman"/>
          <w:color w:val="000000" w:themeColor="text1"/>
          <w:sz w:val="20"/>
          <w:szCs w:val="20"/>
          <w:lang w:val="de-DE"/>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lang w:val="de-DE"/>
        </w:rPr>
        <w:t xml:space="preserve"> </w:t>
      </w:r>
      <w:r w:rsidR="00CC3B58" w:rsidRPr="00050C8B">
        <w:rPr>
          <w:rFonts w:ascii="Times New Roman" w:hAnsi="Times New Roman" w:cs="Times New Roman"/>
          <w:i/>
          <w:color w:val="000000" w:themeColor="text1"/>
          <w:sz w:val="20"/>
          <w:szCs w:val="20"/>
          <w:lang w:val="de-DE"/>
        </w:rPr>
        <w:t xml:space="preserve">Internationale Handelsgesellschaft </w:t>
      </w:r>
      <w:r w:rsidR="00CC3B58" w:rsidRPr="00050C8B">
        <w:rPr>
          <w:rFonts w:ascii="Times New Roman" w:hAnsi="Times New Roman" w:cs="Times New Roman"/>
          <w:bCs/>
          <w:i/>
          <w:color w:val="000000" w:themeColor="text1"/>
          <w:sz w:val="20"/>
          <w:szCs w:val="20"/>
          <w:lang w:val="de-DE"/>
        </w:rPr>
        <w:t>mbH v. Einfuhr- und Vorratsstelle für Getreide und Futtermittel</w:t>
      </w:r>
      <w:r w:rsidR="00CC3B58" w:rsidRPr="00050C8B">
        <w:rPr>
          <w:rFonts w:ascii="Times New Roman" w:hAnsi="Times New Roman" w:cs="Times New Roman"/>
          <w:bCs/>
          <w:color w:val="000000" w:themeColor="text1"/>
          <w:sz w:val="20"/>
          <w:szCs w:val="20"/>
          <w:lang w:val="de-DE"/>
        </w:rPr>
        <w:t xml:space="preserve">, </w:t>
      </w:r>
      <w:r w:rsidR="00CC3B58" w:rsidRPr="00050C8B">
        <w:rPr>
          <w:rFonts w:ascii="Times New Roman" w:hAnsi="Times New Roman" w:cs="Times New Roman"/>
          <w:color w:val="000000" w:themeColor="text1"/>
          <w:sz w:val="20"/>
          <w:szCs w:val="20"/>
          <w:lang w:val="de-DE"/>
        </w:rPr>
        <w:t xml:space="preserve">Case </w:t>
      </w:r>
      <w:r w:rsidR="00CC3B58" w:rsidRPr="00050C8B">
        <w:rPr>
          <w:rFonts w:ascii="Times New Roman" w:hAnsi="Times New Roman" w:cs="Times New Roman"/>
          <w:bCs/>
          <w:color w:val="000000" w:themeColor="text1"/>
          <w:sz w:val="20"/>
          <w:szCs w:val="20"/>
          <w:lang w:val="de-DE"/>
        </w:rPr>
        <w:t>11/70,</w:t>
      </w:r>
      <w:r w:rsidR="00CC3B58" w:rsidRPr="00050C8B">
        <w:rPr>
          <w:rFonts w:ascii="Times New Roman" w:hAnsi="Times New Roman" w:cs="Times New Roman"/>
          <w:i/>
          <w:color w:val="000000" w:themeColor="text1"/>
          <w:sz w:val="20"/>
          <w:szCs w:val="20"/>
          <w:lang w:val="de-DE"/>
        </w:rPr>
        <w:t xml:space="preserve"> </w:t>
      </w:r>
      <w:r w:rsidR="00CC3B58" w:rsidRPr="00050C8B">
        <w:rPr>
          <w:rFonts w:ascii="Times New Roman" w:hAnsi="Times New Roman" w:cs="Times New Roman"/>
          <w:color w:val="000000" w:themeColor="text1"/>
          <w:sz w:val="20"/>
          <w:szCs w:val="20"/>
          <w:lang w:val="de-DE"/>
        </w:rPr>
        <w:t>ECLI:</w:t>
      </w:r>
      <w:r w:rsidR="00CC3B58" w:rsidRPr="00050C8B">
        <w:rPr>
          <w:rFonts w:ascii="Times New Roman" w:hAnsi="Times New Roman" w:cs="Times New Roman"/>
          <w:color w:val="000000" w:themeColor="text1"/>
          <w:sz w:val="20"/>
          <w:szCs w:val="20"/>
          <w:shd w:val="clear" w:color="auto" w:fill="FFFFFF"/>
          <w:lang w:val="de-DE"/>
        </w:rPr>
        <w:t>EU:C:1970:114</w:t>
      </w:r>
      <w:r w:rsidR="00CC3B58" w:rsidRPr="00050C8B">
        <w:rPr>
          <w:rFonts w:ascii="Times New Roman" w:hAnsi="Times New Roman" w:cs="Times New Roman"/>
          <w:i/>
          <w:color w:val="000000" w:themeColor="text1"/>
          <w:sz w:val="20"/>
          <w:szCs w:val="20"/>
          <w:lang w:val="de-DE"/>
        </w:rPr>
        <w:t>.</w:t>
      </w:r>
    </w:p>
  </w:footnote>
  <w:footnote w:id="58">
    <w:p w14:paraId="6838EBA8" w14:textId="7A412CAB" w:rsidR="00F43B80" w:rsidRPr="00050C8B" w:rsidRDefault="00F43B80" w:rsidP="00050C8B">
      <w:pPr>
        <w:pStyle w:val="FootnoteText"/>
        <w:jc w:val="both"/>
        <w:rPr>
          <w:rFonts w:ascii="Times New Roman" w:hAnsi="Times New Roman" w:cs="Times New Roman"/>
          <w:lang w:val="it-IT"/>
        </w:rPr>
      </w:pPr>
      <w:r w:rsidRPr="00050C8B">
        <w:rPr>
          <w:rStyle w:val="FootnoteReference"/>
          <w:rFonts w:ascii="Times New Roman" w:hAnsi="Times New Roman" w:cs="Times New Roman"/>
        </w:rPr>
        <w:footnoteRef/>
      </w:r>
      <w:r w:rsidRPr="00050C8B">
        <w:rPr>
          <w:rFonts w:ascii="Times New Roman" w:hAnsi="Times New Roman" w:cs="Times New Roman"/>
          <w:lang w:val="it-IT"/>
        </w:rPr>
        <w:t xml:space="preserve"> </w:t>
      </w:r>
      <w:r w:rsidR="00CC3B58" w:rsidRPr="00050C8B">
        <w:rPr>
          <w:rFonts w:ascii="Times New Roman" w:hAnsi="Times New Roman" w:cs="Times New Roman"/>
          <w:lang w:val="it-IT"/>
        </w:rPr>
        <w:t xml:space="preserve">Italian Constitutional Court, </w:t>
      </w:r>
      <w:r w:rsidRPr="00050C8B">
        <w:rPr>
          <w:rFonts w:ascii="Times New Roman" w:hAnsi="Times New Roman" w:cs="Times New Roman"/>
          <w:i/>
          <w:iCs/>
          <w:lang w:val="it-IT"/>
        </w:rPr>
        <w:t>Frontini v Minister</w:t>
      </w:r>
      <w:r w:rsidR="00CC3B58" w:rsidRPr="00050C8B">
        <w:rPr>
          <w:rFonts w:ascii="Times New Roman" w:hAnsi="Times New Roman" w:cs="Times New Roman"/>
          <w:i/>
          <w:iCs/>
          <w:lang w:val="it-IT"/>
        </w:rPr>
        <w:t>o</w:t>
      </w:r>
      <w:r w:rsidRPr="00050C8B">
        <w:rPr>
          <w:rFonts w:ascii="Times New Roman" w:hAnsi="Times New Roman" w:cs="Times New Roman"/>
          <w:i/>
          <w:iCs/>
          <w:lang w:val="it-IT"/>
        </w:rPr>
        <w:t xml:space="preserve"> delle Finanze</w:t>
      </w:r>
      <w:r w:rsidRPr="00050C8B">
        <w:rPr>
          <w:rFonts w:ascii="Times New Roman" w:hAnsi="Times New Roman" w:cs="Times New Roman"/>
          <w:lang w:val="it-IT"/>
        </w:rPr>
        <w:t>, 183/73 [1974] 2 CMLR 372 ().</w:t>
      </w:r>
    </w:p>
  </w:footnote>
  <w:footnote w:id="59">
    <w:p w14:paraId="6AB585F0" w14:textId="77777777" w:rsidR="00F43B80" w:rsidRPr="00050C8B" w:rsidRDefault="00F43B80" w:rsidP="00050C8B">
      <w:pPr>
        <w:jc w:val="both"/>
        <w:rPr>
          <w:rFonts w:ascii="Times New Roman" w:hAnsi="Times New Roman" w:cs="Times New Roman"/>
          <w:sz w:val="20"/>
          <w:szCs w:val="20"/>
          <w:lang w:val="de-DE"/>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lang w:val="de-DE"/>
        </w:rPr>
        <w:t xml:space="preserve"> </w:t>
      </w:r>
      <w:r w:rsidRPr="00050C8B">
        <w:rPr>
          <w:rFonts w:ascii="Times New Roman" w:hAnsi="Times New Roman" w:cs="Times New Roman"/>
          <w:i/>
          <w:iCs/>
          <w:sz w:val="20"/>
          <w:szCs w:val="20"/>
          <w:lang w:val="de-DE"/>
        </w:rPr>
        <w:t>Solange I-Beschluß</w:t>
      </w:r>
      <w:r w:rsidRPr="00050C8B">
        <w:rPr>
          <w:rFonts w:ascii="Times New Roman" w:hAnsi="Times New Roman" w:cs="Times New Roman"/>
          <w:sz w:val="20"/>
          <w:szCs w:val="20"/>
          <w:lang w:val="de-DE"/>
        </w:rPr>
        <w:t xml:space="preserve">, BVerfGE 37, 271; 2 BvL 52/71; </w:t>
      </w:r>
      <w:r w:rsidRPr="00050C8B">
        <w:rPr>
          <w:rFonts w:ascii="Times New Roman" w:hAnsi="Times New Roman" w:cs="Times New Roman"/>
          <w:i/>
          <w:iCs/>
          <w:sz w:val="20"/>
          <w:szCs w:val="20"/>
          <w:lang w:val="de-DE"/>
        </w:rPr>
        <w:t>Solange II, Re Wuensche Handelsgesellschaft</w:t>
      </w:r>
      <w:r w:rsidRPr="00050C8B">
        <w:rPr>
          <w:rFonts w:ascii="Times New Roman" w:hAnsi="Times New Roman" w:cs="Times New Roman"/>
          <w:sz w:val="20"/>
          <w:szCs w:val="20"/>
          <w:lang w:val="de-DE"/>
        </w:rPr>
        <w:t>, BVerfG, 22 October 1986, [1987] 3 CMLR 225265.</w:t>
      </w:r>
    </w:p>
  </w:footnote>
  <w:footnote w:id="60">
    <w:p w14:paraId="50E03655" w14:textId="77777777" w:rsidR="00F43B80" w:rsidRPr="00050C8B" w:rsidRDefault="00F43B80" w:rsidP="00050C8B">
      <w:pPr>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Pr="00050C8B">
        <w:rPr>
          <w:rFonts w:ascii="Times New Roman" w:hAnsi="Times New Roman" w:cs="Times New Roman"/>
          <w:i/>
          <w:iCs/>
          <w:sz w:val="20"/>
          <w:szCs w:val="20"/>
        </w:rPr>
        <w:t>Re Maastricht Treaty</w:t>
      </w:r>
      <w:r w:rsidRPr="00050C8B">
        <w:rPr>
          <w:rFonts w:ascii="Times New Roman" w:hAnsi="Times New Roman" w:cs="Times New Roman"/>
          <w:sz w:val="20"/>
          <w:szCs w:val="20"/>
        </w:rPr>
        <w:t>, 12 October 1993, VerfGE 89, 155.</w:t>
      </w:r>
    </w:p>
  </w:footnote>
  <w:footnote w:id="61">
    <w:p w14:paraId="4491352B" w14:textId="77777777" w:rsidR="00F43B80" w:rsidRPr="00050C8B" w:rsidRDefault="00F43B80" w:rsidP="00050C8B">
      <w:pPr>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Pr="00050C8B">
        <w:rPr>
          <w:rFonts w:ascii="Times New Roman" w:hAnsi="Times New Roman" w:cs="Times New Roman"/>
          <w:i/>
          <w:iCs/>
          <w:sz w:val="20"/>
          <w:szCs w:val="20"/>
        </w:rPr>
        <w:t>Treaty of Lisbon II</w:t>
      </w:r>
      <w:r w:rsidRPr="00050C8B">
        <w:rPr>
          <w:rFonts w:ascii="Times New Roman" w:hAnsi="Times New Roman" w:cs="Times New Roman"/>
          <w:sz w:val="20"/>
          <w:szCs w:val="20"/>
        </w:rPr>
        <w:t xml:space="preserve">, 3 November 2009, Czech Constitutional Court, File no Pl. ÚS 29/09; </w:t>
      </w:r>
      <w:r w:rsidRPr="00050C8B">
        <w:rPr>
          <w:rFonts w:ascii="Times New Roman" w:hAnsi="Times New Roman" w:cs="Times New Roman"/>
          <w:i/>
          <w:iCs/>
          <w:sz w:val="20"/>
          <w:szCs w:val="20"/>
        </w:rPr>
        <w:t>Re Lisbon Treaty</w:t>
      </w:r>
      <w:r w:rsidRPr="00050C8B">
        <w:rPr>
          <w:rFonts w:ascii="Times New Roman" w:hAnsi="Times New Roman" w:cs="Times New Roman"/>
          <w:sz w:val="20"/>
          <w:szCs w:val="20"/>
        </w:rPr>
        <w:t xml:space="preserve">, BVerfG 30 June 2009, 2 BvE 2/08; </w:t>
      </w:r>
      <w:r w:rsidRPr="00050C8B">
        <w:rPr>
          <w:rFonts w:ascii="Times New Roman" w:hAnsi="Times New Roman" w:cs="Times New Roman"/>
          <w:i/>
          <w:iCs/>
          <w:sz w:val="20"/>
          <w:szCs w:val="20"/>
        </w:rPr>
        <w:t>Re Lisbon Treaty</w:t>
      </w:r>
      <w:r w:rsidRPr="00050C8B">
        <w:rPr>
          <w:rFonts w:ascii="Times New Roman" w:hAnsi="Times New Roman" w:cs="Times New Roman"/>
          <w:sz w:val="20"/>
          <w:szCs w:val="20"/>
        </w:rPr>
        <w:t>, 24 November 2010, Polish Constitutional Tribunal, 2010 K 32/09.</w:t>
      </w:r>
    </w:p>
  </w:footnote>
  <w:footnote w:id="62">
    <w:p w14:paraId="11B187BE" w14:textId="7E9D7759"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D</w:t>
      </w:r>
      <w:r w:rsidR="00CC3B58" w:rsidRPr="00050C8B">
        <w:rPr>
          <w:rFonts w:ascii="Times New Roman" w:hAnsi="Times New Roman" w:cs="Times New Roman"/>
        </w:rPr>
        <w:t>aniel</w:t>
      </w:r>
      <w:r w:rsidRPr="00050C8B">
        <w:rPr>
          <w:rFonts w:ascii="Times New Roman" w:hAnsi="Times New Roman" w:cs="Times New Roman"/>
        </w:rPr>
        <w:t xml:space="preserve"> Halberstam and C</w:t>
      </w:r>
      <w:r w:rsidR="00CC3B58" w:rsidRPr="00050C8B">
        <w:rPr>
          <w:rFonts w:ascii="Times New Roman" w:hAnsi="Times New Roman" w:cs="Times New Roman"/>
        </w:rPr>
        <w:t>hristoph</w:t>
      </w:r>
      <w:r w:rsidRPr="00050C8B">
        <w:rPr>
          <w:rFonts w:ascii="Times New Roman" w:hAnsi="Times New Roman" w:cs="Times New Roman"/>
        </w:rPr>
        <w:t xml:space="preserve"> Möllers, </w:t>
      </w:r>
      <w:r w:rsidRPr="00050C8B">
        <w:rPr>
          <w:rFonts w:ascii="Times New Roman" w:hAnsi="Times New Roman" w:cs="Times New Roman"/>
          <w:i/>
          <w:iCs/>
        </w:rPr>
        <w:t>The German Constitutional Court Says “Ja Zu Deutchland</w:t>
      </w:r>
      <w:r w:rsidR="00CC3B58" w:rsidRPr="00050C8B">
        <w:rPr>
          <w:rFonts w:ascii="Times New Roman" w:hAnsi="Times New Roman" w:cs="Times New Roman"/>
        </w:rPr>
        <w:t xml:space="preserve">”, </w:t>
      </w:r>
      <w:r w:rsidRPr="00050C8B">
        <w:rPr>
          <w:rFonts w:ascii="Times New Roman" w:hAnsi="Times New Roman" w:cs="Times New Roman"/>
        </w:rPr>
        <w:t xml:space="preserve">10 </w:t>
      </w:r>
      <w:r w:rsidRPr="00050C8B">
        <w:rPr>
          <w:rFonts w:ascii="Times New Roman" w:hAnsi="Times New Roman" w:cs="Times New Roman"/>
          <w:smallCaps/>
        </w:rPr>
        <w:t>German Law Journal</w:t>
      </w:r>
      <w:r w:rsidRPr="00050C8B">
        <w:rPr>
          <w:rFonts w:ascii="Times New Roman" w:hAnsi="Times New Roman" w:cs="Times New Roman"/>
        </w:rPr>
        <w:t xml:space="preserve"> 1241, 1247</w:t>
      </w:r>
      <w:r w:rsidR="00CC3B58" w:rsidRPr="00050C8B">
        <w:rPr>
          <w:rFonts w:ascii="Times New Roman" w:hAnsi="Times New Roman" w:cs="Times New Roman"/>
        </w:rPr>
        <w:t xml:space="preserve"> (2009)</w:t>
      </w:r>
      <w:r w:rsidRPr="00050C8B">
        <w:rPr>
          <w:rFonts w:ascii="Times New Roman" w:hAnsi="Times New Roman" w:cs="Times New Roman"/>
        </w:rPr>
        <w:t>.</w:t>
      </w:r>
    </w:p>
  </w:footnote>
  <w:footnote w:id="63">
    <w:p w14:paraId="62B144AF" w14:textId="79D98D28"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lang w:val="en-US"/>
        </w:rPr>
        <w:t>Art</w:t>
      </w:r>
      <w:r w:rsidR="00CC3B58" w:rsidRPr="00050C8B">
        <w:rPr>
          <w:rFonts w:ascii="Times New Roman" w:hAnsi="Times New Roman" w:cs="Times New Roman"/>
          <w:lang w:val="en-US"/>
        </w:rPr>
        <w:t xml:space="preserve">. </w:t>
      </w:r>
      <w:r w:rsidRPr="00050C8B">
        <w:rPr>
          <w:rFonts w:ascii="Times New Roman" w:hAnsi="Times New Roman" w:cs="Times New Roman"/>
          <w:lang w:val="en-US"/>
        </w:rPr>
        <w:t>4</w:t>
      </w:r>
      <w:r w:rsidR="00CC3B58" w:rsidRPr="00050C8B">
        <w:rPr>
          <w:rFonts w:ascii="Times New Roman" w:hAnsi="Times New Roman" w:cs="Times New Roman"/>
          <w:lang w:val="en-US"/>
        </w:rPr>
        <w:t>(2)</w:t>
      </w:r>
      <w:r w:rsidRPr="00050C8B">
        <w:rPr>
          <w:rFonts w:ascii="Times New Roman" w:hAnsi="Times New Roman" w:cs="Times New Roman"/>
          <w:lang w:val="en-US"/>
        </w:rPr>
        <w:t xml:space="preserve"> TEU.</w:t>
      </w:r>
    </w:p>
  </w:footnote>
  <w:footnote w:id="64">
    <w:p w14:paraId="45A4E469" w14:textId="3EF7039F"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Style w:val="None"/>
          <w:rFonts w:ascii="Times New Roman" w:hAnsi="Times New Roman" w:cs="Times New Roman"/>
          <w:color w:val="000000" w:themeColor="text1"/>
          <w:lang w:val="en-US"/>
        </w:rPr>
        <w:t>S</w:t>
      </w:r>
      <w:r w:rsidR="00CC3B58" w:rsidRPr="00050C8B">
        <w:rPr>
          <w:rStyle w:val="None"/>
          <w:rFonts w:ascii="Times New Roman" w:hAnsi="Times New Roman" w:cs="Times New Roman"/>
          <w:color w:val="000000" w:themeColor="text1"/>
          <w:lang w:val="en-US"/>
        </w:rPr>
        <w:t xml:space="preserve">teve </w:t>
      </w:r>
      <w:r w:rsidRPr="00050C8B">
        <w:rPr>
          <w:rStyle w:val="None"/>
          <w:rFonts w:ascii="Times New Roman" w:hAnsi="Times New Roman" w:cs="Times New Roman"/>
          <w:color w:val="000000" w:themeColor="text1"/>
          <w:lang w:val="en-US"/>
        </w:rPr>
        <w:t>J</w:t>
      </w:r>
      <w:r w:rsidR="00CC3B58" w:rsidRPr="00050C8B">
        <w:rPr>
          <w:rStyle w:val="None"/>
          <w:rFonts w:ascii="Times New Roman" w:hAnsi="Times New Roman" w:cs="Times New Roman"/>
          <w:color w:val="000000" w:themeColor="text1"/>
          <w:lang w:val="en-US"/>
        </w:rPr>
        <w:t>.</w:t>
      </w:r>
      <w:r w:rsidRPr="00050C8B">
        <w:rPr>
          <w:rStyle w:val="None"/>
          <w:rFonts w:ascii="Times New Roman" w:hAnsi="Times New Roman" w:cs="Times New Roman"/>
          <w:color w:val="000000" w:themeColor="text1"/>
          <w:lang w:val="en-US"/>
        </w:rPr>
        <w:t xml:space="preserve"> Boom, </w:t>
      </w:r>
      <w:r w:rsidRPr="00050C8B">
        <w:rPr>
          <w:rStyle w:val="None"/>
          <w:rFonts w:ascii="Times New Roman" w:hAnsi="Times New Roman" w:cs="Times New Roman"/>
          <w:i/>
          <w:iCs/>
          <w:color w:val="000000" w:themeColor="text1"/>
          <w:lang w:val="en-US"/>
        </w:rPr>
        <w:t>The European Union after the Maastricht Decision: Will Germany be the Virginia of Europe</w:t>
      </w:r>
      <w:r w:rsidRPr="00050C8B">
        <w:rPr>
          <w:rStyle w:val="None"/>
          <w:rFonts w:ascii="Times New Roman" w:hAnsi="Times New Roman" w:cs="Times New Roman"/>
          <w:color w:val="000000" w:themeColor="text1"/>
          <w:lang w:val="en-US"/>
        </w:rPr>
        <w:t xml:space="preserve">, </w:t>
      </w:r>
      <w:r w:rsidR="00CC3B58" w:rsidRPr="00050C8B">
        <w:rPr>
          <w:rStyle w:val="None"/>
          <w:rFonts w:ascii="Times New Roman" w:hAnsi="Times New Roman" w:cs="Times New Roman"/>
          <w:color w:val="000000" w:themeColor="text1"/>
          <w:lang w:val="en-US"/>
        </w:rPr>
        <w:t xml:space="preserve">43 </w:t>
      </w:r>
      <w:r w:rsidRPr="00050C8B">
        <w:rPr>
          <w:rStyle w:val="None"/>
          <w:rFonts w:ascii="Times New Roman" w:hAnsi="Times New Roman" w:cs="Times New Roman"/>
          <w:smallCaps/>
          <w:color w:val="000000" w:themeColor="text1"/>
          <w:lang w:val="en-US"/>
        </w:rPr>
        <w:t>American Journal of Comparative Law</w:t>
      </w:r>
      <w:r w:rsidR="00CC3B58" w:rsidRPr="00050C8B">
        <w:rPr>
          <w:rStyle w:val="None"/>
          <w:rFonts w:ascii="Times New Roman" w:hAnsi="Times New Roman" w:cs="Times New Roman"/>
          <w:color w:val="000000" w:themeColor="text1"/>
          <w:lang w:val="en-US"/>
        </w:rPr>
        <w:t xml:space="preserve"> 177 (</w:t>
      </w:r>
      <w:r w:rsidRPr="00050C8B">
        <w:rPr>
          <w:rStyle w:val="None"/>
          <w:rFonts w:ascii="Times New Roman" w:hAnsi="Times New Roman" w:cs="Times New Roman"/>
          <w:color w:val="000000" w:themeColor="text1"/>
          <w:lang w:val="en-US"/>
        </w:rPr>
        <w:t>1995</w:t>
      </w:r>
      <w:r w:rsidR="00CC3B58" w:rsidRPr="00050C8B">
        <w:rPr>
          <w:rStyle w:val="None"/>
          <w:rFonts w:ascii="Times New Roman" w:hAnsi="Times New Roman" w:cs="Times New Roman"/>
          <w:color w:val="000000" w:themeColor="text1"/>
          <w:lang w:val="en-US"/>
        </w:rPr>
        <w:t>).</w:t>
      </w:r>
    </w:p>
  </w:footnote>
  <w:footnote w:id="65">
    <w:p w14:paraId="61DB6D21" w14:textId="12163597"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BF6AD2" w:rsidRPr="00050C8B">
        <w:rPr>
          <w:rFonts w:ascii="Times New Roman" w:hAnsi="Times New Roman" w:cs="Times New Roman"/>
          <w:i/>
          <w:iCs/>
          <w:lang w:val="en-US"/>
        </w:rPr>
        <w:t>See</w:t>
      </w:r>
      <w:r w:rsidRPr="00050C8B">
        <w:rPr>
          <w:rFonts w:ascii="Times New Roman" w:hAnsi="Times New Roman" w:cs="Times New Roman"/>
          <w:lang w:val="en-US"/>
        </w:rPr>
        <w:t xml:space="preserve"> Fabbrini and Kelemen, </w:t>
      </w:r>
      <w:r w:rsidR="00BF6AD2" w:rsidRPr="00050C8B">
        <w:rPr>
          <w:rFonts w:ascii="Times New Roman" w:hAnsi="Times New Roman" w:cs="Times New Roman"/>
          <w:i/>
          <w:iCs/>
          <w:lang w:val="en-US"/>
        </w:rPr>
        <w:t xml:space="preserve">supra </w:t>
      </w:r>
      <w:r w:rsidR="00BF6AD2" w:rsidRPr="00050C8B">
        <w:rPr>
          <w:rFonts w:ascii="Times New Roman" w:hAnsi="Times New Roman" w:cs="Times New Roman"/>
          <w:lang w:val="en-US"/>
        </w:rPr>
        <w:t>note 2</w:t>
      </w:r>
      <w:r w:rsidR="00301050">
        <w:rPr>
          <w:rFonts w:ascii="Times New Roman" w:hAnsi="Times New Roman" w:cs="Times New Roman"/>
          <w:lang w:val="en-US"/>
        </w:rPr>
        <w:t>3</w:t>
      </w:r>
      <w:r w:rsidR="00BF6AD2" w:rsidRPr="00050C8B">
        <w:rPr>
          <w:rFonts w:ascii="Times New Roman" w:hAnsi="Times New Roman" w:cs="Times New Roman"/>
          <w:lang w:val="en-US"/>
        </w:rPr>
        <w:t>.</w:t>
      </w:r>
      <w:r w:rsidRPr="00050C8B">
        <w:rPr>
          <w:rFonts w:ascii="Times New Roman" w:hAnsi="Times New Roman" w:cs="Times New Roman"/>
          <w:lang w:val="en-US"/>
        </w:rPr>
        <w:t xml:space="preserve"> </w:t>
      </w:r>
    </w:p>
  </w:footnote>
  <w:footnote w:id="66">
    <w:p w14:paraId="39F674CA" w14:textId="7B31408B"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None"/>
          <w:rFonts w:ascii="Times New Roman" w:hAnsi="Times New Roman" w:cs="Times New Roman"/>
          <w:color w:val="000000" w:themeColor="text1"/>
          <w:vertAlign w:val="superscript"/>
        </w:rPr>
        <w:footnoteRef/>
      </w:r>
      <w:r w:rsidRPr="00050C8B">
        <w:rPr>
          <w:rStyle w:val="None"/>
          <w:rFonts w:ascii="Times New Roman" w:hAnsi="Times New Roman" w:cs="Times New Roman"/>
          <w:color w:val="000000" w:themeColor="text1"/>
          <w:lang w:val="en-US"/>
        </w:rPr>
        <w:t xml:space="preserve"> </w:t>
      </w:r>
      <w:r w:rsidR="00BF6AD2" w:rsidRPr="00050C8B">
        <w:rPr>
          <w:rStyle w:val="None"/>
          <w:rFonts w:ascii="Times New Roman" w:hAnsi="Times New Roman" w:cs="Times New Roman"/>
          <w:i/>
          <w:iCs/>
          <w:color w:val="000000" w:themeColor="text1"/>
          <w:lang w:val="en-US"/>
        </w:rPr>
        <w:t>See supra</w:t>
      </w:r>
      <w:r w:rsidR="00BF6AD2" w:rsidRPr="00050C8B">
        <w:rPr>
          <w:rStyle w:val="None"/>
          <w:rFonts w:ascii="Times New Roman" w:hAnsi="Times New Roman" w:cs="Times New Roman"/>
          <w:color w:val="000000" w:themeColor="text1"/>
          <w:lang w:val="en-US"/>
        </w:rPr>
        <w:t xml:space="preserve"> note </w:t>
      </w:r>
      <w:r w:rsidR="00301050">
        <w:rPr>
          <w:rStyle w:val="None"/>
          <w:rFonts w:ascii="Times New Roman" w:hAnsi="Times New Roman" w:cs="Times New Roman"/>
          <w:color w:val="000000" w:themeColor="text1"/>
          <w:lang w:val="en-US"/>
        </w:rPr>
        <w:t>24</w:t>
      </w:r>
      <w:r w:rsidR="00BF6AD2" w:rsidRPr="00050C8B">
        <w:rPr>
          <w:rStyle w:val="None"/>
          <w:rFonts w:ascii="Times New Roman" w:hAnsi="Times New Roman" w:cs="Times New Roman"/>
          <w:color w:val="000000" w:themeColor="text1"/>
          <w:lang w:val="en-US"/>
        </w:rPr>
        <w:t>.</w:t>
      </w:r>
      <w:r w:rsidRPr="00050C8B">
        <w:rPr>
          <w:rStyle w:val="None"/>
          <w:rFonts w:ascii="Times New Roman" w:hAnsi="Times New Roman" w:cs="Times New Roman"/>
          <w:color w:val="000000" w:themeColor="text1"/>
          <w:lang w:val="en-US"/>
        </w:rPr>
        <w:t xml:space="preserve"> </w:t>
      </w:r>
    </w:p>
  </w:footnote>
  <w:footnote w:id="67">
    <w:p w14:paraId="3EEB2F24" w14:textId="0DB454B5"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FootnoteReference"/>
          <w:rFonts w:ascii="Times New Roman" w:hAnsi="Times New Roman" w:cs="Times New Roman"/>
          <w:color w:val="000000" w:themeColor="text1"/>
          <w:lang w:val="en-US"/>
        </w:rPr>
        <w:footnoteRef/>
      </w:r>
      <w:r w:rsidRPr="00050C8B">
        <w:rPr>
          <w:rFonts w:ascii="Times New Roman" w:hAnsi="Times New Roman" w:cs="Times New Roman"/>
          <w:color w:val="000000" w:themeColor="text1"/>
          <w:lang w:val="en-US"/>
        </w:rPr>
        <w:t xml:space="preserve"> </w:t>
      </w:r>
      <w:r w:rsidRPr="00050C8B">
        <w:rPr>
          <w:rStyle w:val="None"/>
          <w:rFonts w:ascii="Times New Roman" w:hAnsi="Times New Roman" w:cs="Times New Roman"/>
          <w:i/>
          <w:iCs/>
          <w:color w:val="000000" w:themeColor="text1"/>
          <w:lang w:val="en-US"/>
        </w:rPr>
        <w:t>Weiss and others</w:t>
      </w:r>
      <w:r w:rsidR="008F28C9" w:rsidRPr="00050C8B">
        <w:rPr>
          <w:rStyle w:val="None"/>
          <w:rFonts w:ascii="Times New Roman" w:hAnsi="Times New Roman" w:cs="Times New Roman"/>
          <w:color w:val="000000" w:themeColor="text1"/>
          <w:lang w:val="en-US"/>
        </w:rPr>
        <w:t>, Case C-493/17,</w:t>
      </w:r>
      <w:r w:rsidRPr="00050C8B">
        <w:rPr>
          <w:rStyle w:val="None"/>
          <w:rFonts w:ascii="Times New Roman" w:hAnsi="Times New Roman" w:cs="Times New Roman"/>
          <w:color w:val="000000" w:themeColor="text1"/>
          <w:lang w:val="en-US"/>
        </w:rPr>
        <w:t xml:space="preserve"> ECLI:EU:C:2018:1000.</w:t>
      </w:r>
    </w:p>
  </w:footnote>
  <w:footnote w:id="68">
    <w:p w14:paraId="76519F49" w14:textId="09A20216" w:rsidR="00F43B80" w:rsidRPr="00050C8B" w:rsidRDefault="00F43B80" w:rsidP="00050C8B">
      <w:pPr>
        <w:pStyle w:val="FootnoteText"/>
        <w:jc w:val="both"/>
        <w:rPr>
          <w:rFonts w:ascii="Times New Roman" w:hAnsi="Times New Roman" w:cs="Times New Roman"/>
          <w:color w:val="000000" w:themeColor="text1"/>
          <w:lang w:val="pt-BR"/>
        </w:rPr>
      </w:pPr>
      <w:r w:rsidRPr="00050C8B">
        <w:rPr>
          <w:rStyle w:val="None"/>
          <w:rFonts w:ascii="Times New Roman" w:hAnsi="Times New Roman" w:cs="Times New Roman"/>
          <w:color w:val="000000" w:themeColor="text1"/>
          <w:vertAlign w:val="superscript"/>
        </w:rPr>
        <w:footnoteRef/>
      </w:r>
      <w:r w:rsidRPr="00050C8B">
        <w:rPr>
          <w:rStyle w:val="None"/>
          <w:rFonts w:ascii="Times New Roman" w:hAnsi="Times New Roman" w:cs="Times New Roman"/>
          <w:color w:val="000000" w:themeColor="text1"/>
          <w:lang w:val="pt-BR"/>
        </w:rPr>
        <w:t xml:space="preserve"> </w:t>
      </w:r>
      <w:r w:rsidR="003E48FE" w:rsidRPr="00050C8B">
        <w:rPr>
          <w:rStyle w:val="None"/>
          <w:rFonts w:ascii="Times New Roman" w:hAnsi="Times New Roman" w:cs="Times New Roman"/>
          <w:i/>
          <w:iCs/>
          <w:color w:val="000000" w:themeColor="text1"/>
          <w:lang w:val="pt-BR"/>
        </w:rPr>
        <w:t>Id.</w:t>
      </w:r>
    </w:p>
  </w:footnote>
  <w:footnote w:id="69">
    <w:p w14:paraId="3458AA95" w14:textId="7B9829B1" w:rsidR="00F43B80" w:rsidRPr="00050C8B" w:rsidRDefault="00F43B80" w:rsidP="00050C8B">
      <w:pPr>
        <w:pStyle w:val="FootnoteText"/>
        <w:jc w:val="both"/>
        <w:rPr>
          <w:rFonts w:ascii="Times New Roman" w:hAnsi="Times New Roman" w:cs="Times New Roman"/>
          <w:color w:val="000000" w:themeColor="text1"/>
          <w:lang w:val="fr-FR"/>
        </w:rPr>
      </w:pPr>
      <w:r w:rsidRPr="00050C8B">
        <w:rPr>
          <w:rStyle w:val="None"/>
          <w:rFonts w:ascii="Times New Roman" w:hAnsi="Times New Roman" w:cs="Times New Roman"/>
          <w:color w:val="000000" w:themeColor="text1"/>
          <w:vertAlign w:val="superscript"/>
        </w:rPr>
        <w:footnoteRef/>
      </w:r>
      <w:r w:rsidRPr="00050C8B">
        <w:rPr>
          <w:rStyle w:val="None"/>
          <w:rFonts w:ascii="Times New Roman" w:hAnsi="Times New Roman" w:cs="Times New Roman"/>
          <w:color w:val="000000" w:themeColor="text1"/>
          <w:lang w:val="fr-FR"/>
        </w:rPr>
        <w:t xml:space="preserve"> 2 BvR 859/15, par. 127, </w:t>
      </w:r>
      <w:hyperlink r:id="rId14" w:history="1">
        <w:r w:rsidRPr="00050C8B">
          <w:rPr>
            <w:rStyle w:val="Hyperlink10"/>
            <w:rFonts w:eastAsia="Calibri"/>
            <w:color w:val="000000" w:themeColor="text1"/>
          </w:rPr>
          <w:t>https://www.bundesverfassungsgericht.de/SharedDocs/Entscheidungen/EN/2020/05/rs20200505_2bvr085915en.html;jsessionid=F892FE5330900A9A29FDCBEF992814FE.2_cid392</w:t>
        </w:r>
      </w:hyperlink>
      <w:r w:rsidRPr="00050C8B">
        <w:rPr>
          <w:rStyle w:val="None"/>
          <w:rFonts w:ascii="Times New Roman" w:hAnsi="Times New Roman" w:cs="Times New Roman"/>
          <w:color w:val="000000" w:themeColor="text1"/>
          <w:lang w:val="fr-FR"/>
        </w:rPr>
        <w:t>.</w:t>
      </w:r>
    </w:p>
  </w:footnote>
  <w:footnote w:id="70">
    <w:p w14:paraId="4894E1BB" w14:textId="3454A6C1"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None"/>
          <w:rFonts w:ascii="Times New Roman" w:hAnsi="Times New Roman" w:cs="Times New Roman"/>
          <w:color w:val="000000" w:themeColor="text1"/>
          <w:vertAlign w:val="superscript"/>
        </w:rPr>
        <w:footnoteRef/>
      </w:r>
      <w:r w:rsidRPr="00050C8B">
        <w:rPr>
          <w:rStyle w:val="None"/>
          <w:rFonts w:ascii="Times New Roman" w:hAnsi="Times New Roman" w:cs="Times New Roman"/>
          <w:color w:val="000000" w:themeColor="text1"/>
          <w:lang w:val="en-US"/>
        </w:rPr>
        <w:t xml:space="preserve"> </w:t>
      </w:r>
      <w:r w:rsidR="003E48FE" w:rsidRPr="00050C8B">
        <w:rPr>
          <w:rStyle w:val="None"/>
          <w:rFonts w:ascii="Times New Roman" w:hAnsi="Times New Roman" w:cs="Times New Roman"/>
          <w:color w:val="000000" w:themeColor="text1"/>
          <w:lang w:val="en-US"/>
        </w:rPr>
        <w:t>“</w:t>
      </w:r>
      <w:r w:rsidRPr="00050C8B">
        <w:rPr>
          <w:rStyle w:val="None"/>
          <w:rFonts w:ascii="Times New Roman" w:hAnsi="Times New Roman" w:cs="Times New Roman"/>
          <w:color w:val="000000" w:themeColor="text1"/>
          <w:lang w:val="en-US"/>
        </w:rPr>
        <w:t>Following a transitional period of no more than three months allowing for the necessary coordination with the ESCB, the Bundesbank may thus no longer participate in the implementation and execution of Decision (EU) 2015/774, the amending Decisions (EU) 2015/2101, (EU) 2015/2464, (EU) 2016/702 and (EU) 2017/100, and the Decision of 12 September 2019, neither by carrying out any further purchases of bonds nor by contributing to another increase of the monthly purchase volume, unless the ECB Governing Council adopts a new decision that demonstrates in a comprehensible and substantiated manner that the monetary policy objectives pursued by the ECB are not disproportionate to the economic and fiscal policy effects resulting from the programme. On the same condition, the Bundesbank must ensure that the bonds already purchased under the PSPP and held in its portfolio are sold based on a – possibly long-term – strategy coordinated with the ESCB</w:t>
      </w:r>
      <w:r w:rsidR="003E48FE" w:rsidRPr="00050C8B">
        <w:rPr>
          <w:rStyle w:val="None"/>
          <w:rFonts w:ascii="Times New Roman" w:hAnsi="Times New Roman" w:cs="Times New Roman"/>
          <w:color w:val="000000" w:themeColor="text1"/>
          <w:lang w:val="en-US"/>
        </w:rPr>
        <w:t>”</w:t>
      </w:r>
      <w:r w:rsidRPr="00050C8B">
        <w:rPr>
          <w:rStyle w:val="None"/>
          <w:rFonts w:ascii="Times New Roman" w:hAnsi="Times New Roman" w:cs="Times New Roman"/>
          <w:color w:val="000000" w:themeColor="text1"/>
          <w:lang w:val="en-US"/>
        </w:rPr>
        <w:t xml:space="preserve">, German Constitutional Court, 5 May 2020, 2 BvR 859/15 - - 2 BvR 1651/15 - - 2 BvR 2006/15 - - 2 BvR 980/16. </w:t>
      </w:r>
    </w:p>
  </w:footnote>
  <w:footnote w:id="71">
    <w:p w14:paraId="12A4A757" w14:textId="71819732"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None"/>
          <w:rFonts w:ascii="Times New Roman" w:hAnsi="Times New Roman" w:cs="Times New Roman"/>
          <w:color w:val="000000" w:themeColor="text1"/>
          <w:vertAlign w:val="superscript"/>
        </w:rPr>
        <w:footnoteRef/>
      </w:r>
      <w:r w:rsidRPr="00050C8B">
        <w:rPr>
          <w:rStyle w:val="None"/>
          <w:rFonts w:ascii="Times New Roman" w:hAnsi="Times New Roman" w:cs="Times New Roman"/>
          <w:color w:val="000000" w:themeColor="text1"/>
          <w:lang w:val="en-US"/>
        </w:rPr>
        <w:t xml:space="preserve"> </w:t>
      </w:r>
      <w:r w:rsidR="003E48FE" w:rsidRPr="00050C8B">
        <w:rPr>
          <w:rStyle w:val="None"/>
          <w:rFonts w:ascii="Times New Roman" w:hAnsi="Times New Roman" w:cs="Times New Roman"/>
          <w:color w:val="000000" w:themeColor="text1"/>
          <w:lang w:val="en-US"/>
        </w:rPr>
        <w:t>“I</w:t>
      </w:r>
      <w:r w:rsidRPr="00050C8B">
        <w:rPr>
          <w:rStyle w:val="None"/>
          <w:rFonts w:ascii="Times New Roman" w:hAnsi="Times New Roman" w:cs="Times New Roman"/>
          <w:color w:val="000000" w:themeColor="text1"/>
          <w:lang w:val="en-US"/>
        </w:rPr>
        <w:t xml:space="preserve"> don’t think the ECB can and will directly comply with the German Court’s judgment. To do so would open the door to multiple national legal challenges, placing it under the jurisdiction of all national high courts, with disastrous consequences for the ECB and its role under the Treaties. But, without directly addressing the German Constitutional Court demand, the ECB may adopt a new decision with a more </w:t>
      </w:r>
      <w:proofErr w:type="gramStart"/>
      <w:r w:rsidRPr="00050C8B">
        <w:rPr>
          <w:rStyle w:val="None"/>
          <w:rFonts w:ascii="Times New Roman" w:hAnsi="Times New Roman" w:cs="Times New Roman"/>
          <w:color w:val="000000" w:themeColor="text1"/>
          <w:lang w:val="en-US"/>
        </w:rPr>
        <w:t>in depth</w:t>
      </w:r>
      <w:proofErr w:type="gramEnd"/>
      <w:r w:rsidRPr="00050C8B">
        <w:rPr>
          <w:rStyle w:val="None"/>
          <w:rFonts w:ascii="Times New Roman" w:hAnsi="Times New Roman" w:cs="Times New Roman"/>
          <w:color w:val="000000" w:themeColor="text1"/>
          <w:lang w:val="en-US"/>
        </w:rPr>
        <w:t xml:space="preserve"> justification of the program. This justification will likely mostly pay lip service to the arguments on proportionality raised by the Constitutional Court. But that may be sufficient to provide the justification needed by German authorities, that are the actual addressees of the judgment, to say that the requirement the Court has imposed has been fulfilled by the ECB and the problem is therefore solve. Naturally, those that brought this case will argue otherwise but that will have to be done through a new case: time will be gained (and the composition of the Court will also partly change)</w:t>
      </w:r>
      <w:r w:rsidR="00692860" w:rsidRPr="00050C8B">
        <w:rPr>
          <w:rStyle w:val="None"/>
          <w:rFonts w:ascii="Times New Roman" w:hAnsi="Times New Roman" w:cs="Times New Roman"/>
          <w:color w:val="000000" w:themeColor="text1"/>
          <w:lang w:val="en-US"/>
        </w:rPr>
        <w:t xml:space="preserve">” </w:t>
      </w:r>
      <w:r w:rsidR="00692860" w:rsidRPr="00050C8B">
        <w:rPr>
          <w:rStyle w:val="None"/>
          <w:rFonts w:ascii="Times New Roman" w:hAnsi="Times New Roman" w:cs="Times New Roman"/>
          <w:i/>
          <w:iCs/>
          <w:color w:val="000000" w:themeColor="text1"/>
          <w:lang w:val="en-US"/>
        </w:rPr>
        <w:t>See</w:t>
      </w:r>
      <w:r w:rsidRPr="00050C8B">
        <w:rPr>
          <w:rStyle w:val="None"/>
          <w:rFonts w:ascii="Times New Roman" w:hAnsi="Times New Roman" w:cs="Times New Roman"/>
          <w:color w:val="000000" w:themeColor="text1"/>
          <w:lang w:val="en-US"/>
        </w:rPr>
        <w:t xml:space="preserve"> Poiares Maduro, </w:t>
      </w:r>
      <w:r w:rsidR="00692860" w:rsidRPr="00050C8B">
        <w:rPr>
          <w:rStyle w:val="None"/>
          <w:rFonts w:ascii="Times New Roman" w:hAnsi="Times New Roman" w:cs="Times New Roman"/>
          <w:i/>
          <w:iCs/>
          <w:color w:val="000000" w:themeColor="text1"/>
          <w:lang w:val="en-US"/>
        </w:rPr>
        <w:t>supra</w:t>
      </w:r>
      <w:r w:rsidR="00692860" w:rsidRPr="00050C8B">
        <w:rPr>
          <w:rStyle w:val="None"/>
          <w:rFonts w:ascii="Times New Roman" w:hAnsi="Times New Roman" w:cs="Times New Roman"/>
          <w:color w:val="000000" w:themeColor="text1"/>
          <w:lang w:val="en-US"/>
        </w:rPr>
        <w:t xml:space="preserve"> note </w:t>
      </w:r>
      <w:r w:rsidR="00301050">
        <w:rPr>
          <w:rStyle w:val="None"/>
          <w:rFonts w:ascii="Times New Roman" w:hAnsi="Times New Roman" w:cs="Times New Roman"/>
          <w:color w:val="000000" w:themeColor="text1"/>
          <w:lang w:val="en-US"/>
        </w:rPr>
        <w:t>24</w:t>
      </w:r>
      <w:r w:rsidR="00692860" w:rsidRPr="00050C8B">
        <w:rPr>
          <w:rStyle w:val="None"/>
          <w:rFonts w:ascii="Times New Roman" w:hAnsi="Times New Roman" w:cs="Times New Roman"/>
          <w:color w:val="000000" w:themeColor="text1"/>
          <w:lang w:val="en-US"/>
        </w:rPr>
        <w:t>.</w:t>
      </w:r>
    </w:p>
  </w:footnote>
  <w:footnote w:id="72">
    <w:p w14:paraId="6C305F88" w14:textId="26604D48"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M</w:t>
      </w:r>
      <w:r w:rsidR="00A409A9" w:rsidRPr="00050C8B">
        <w:rPr>
          <w:rFonts w:ascii="Times New Roman" w:hAnsi="Times New Roman" w:cs="Times New Roman"/>
          <w:lang w:val="en-US"/>
        </w:rPr>
        <w:t>attias</w:t>
      </w:r>
      <w:r w:rsidRPr="00050C8B">
        <w:rPr>
          <w:rFonts w:ascii="Times New Roman" w:hAnsi="Times New Roman" w:cs="Times New Roman"/>
          <w:lang w:val="en-US"/>
        </w:rPr>
        <w:t xml:space="preserve"> Wendel, </w:t>
      </w:r>
      <w:r w:rsidRPr="00050C8B">
        <w:rPr>
          <w:rFonts w:ascii="Times New Roman" w:hAnsi="Times New Roman" w:cs="Times New Roman"/>
          <w:i/>
          <w:iCs/>
          <w:lang w:val="en-US"/>
        </w:rPr>
        <w:t>Constructive Misunderstandings – How the PSPP Conflict was Eventually Settled and How it Reflects Constitutional Pluralism, in</w:t>
      </w:r>
      <w:r w:rsidRPr="00050C8B">
        <w:rPr>
          <w:rFonts w:ascii="Times New Roman" w:hAnsi="Times New Roman" w:cs="Times New Roman"/>
          <w:lang w:val="en-US"/>
        </w:rPr>
        <w:t xml:space="preserve"> </w:t>
      </w:r>
      <w:r w:rsidRPr="00050C8B">
        <w:rPr>
          <w:rFonts w:ascii="Times New Roman" w:hAnsi="Times New Roman" w:cs="Times New Roman"/>
          <w:smallCaps/>
          <w:lang w:val="en-US"/>
        </w:rPr>
        <w:t>The Future of EU Constitutionalism</w:t>
      </w:r>
      <w:r w:rsidR="00972689" w:rsidRPr="00050C8B">
        <w:rPr>
          <w:rFonts w:ascii="Times New Roman" w:hAnsi="Times New Roman" w:cs="Times New Roman"/>
          <w:smallCaps/>
          <w:lang w:val="en-US"/>
        </w:rPr>
        <w:t xml:space="preserve"> 53</w:t>
      </w:r>
      <w:r w:rsidRPr="00050C8B">
        <w:rPr>
          <w:rFonts w:ascii="Times New Roman" w:hAnsi="Times New Roman" w:cs="Times New Roman"/>
          <w:lang w:val="en-US"/>
        </w:rPr>
        <w:t xml:space="preserve"> (</w:t>
      </w:r>
      <w:r w:rsidR="00972689" w:rsidRPr="00050C8B">
        <w:rPr>
          <w:rFonts w:ascii="Times New Roman" w:hAnsi="Times New Roman" w:cs="Times New Roman"/>
          <w:lang w:val="en-US"/>
        </w:rPr>
        <w:t>M Avbelj ed.</w:t>
      </w:r>
      <w:r w:rsidRPr="00050C8B">
        <w:rPr>
          <w:rFonts w:ascii="Times New Roman" w:hAnsi="Times New Roman" w:cs="Times New Roman"/>
          <w:lang w:val="en-US"/>
        </w:rPr>
        <w:t>, 2023).</w:t>
      </w:r>
    </w:p>
  </w:footnote>
  <w:footnote w:id="73">
    <w:p w14:paraId="51B4775E" w14:textId="1C30008F" w:rsidR="00F43B80" w:rsidRPr="00050C8B" w:rsidRDefault="00F43B80" w:rsidP="00050C8B">
      <w:pPr>
        <w:pStyle w:val="Heading2"/>
        <w:spacing w:before="0" w:line="240" w:lineRule="auto"/>
        <w:jc w:val="both"/>
        <w:rPr>
          <w:rFonts w:ascii="Times New Roman" w:hAnsi="Times New Roman" w:cs="Times New Roman"/>
          <w:color w:val="333333"/>
          <w:sz w:val="20"/>
          <w:szCs w:val="20"/>
        </w:rPr>
      </w:pPr>
      <w:r w:rsidRPr="00050C8B">
        <w:rPr>
          <w:rStyle w:val="None"/>
          <w:rFonts w:ascii="Times New Roman" w:hAnsi="Times New Roman" w:cs="Times New Roman"/>
          <w:color w:val="000000" w:themeColor="text1"/>
          <w:sz w:val="20"/>
          <w:szCs w:val="20"/>
          <w:vertAlign w:val="superscript"/>
        </w:rPr>
        <w:footnoteRef/>
      </w:r>
      <w:r w:rsidRPr="00050C8B">
        <w:rPr>
          <w:rStyle w:val="None"/>
          <w:rFonts w:ascii="Times New Roman" w:hAnsi="Times New Roman" w:cs="Times New Roman"/>
          <w:color w:val="000000" w:themeColor="text1"/>
          <w:sz w:val="20"/>
          <w:szCs w:val="20"/>
          <w:lang w:val="en-US"/>
        </w:rPr>
        <w:t xml:space="preserve"> </w:t>
      </w:r>
      <w:r w:rsidR="000E674C" w:rsidRPr="00050C8B">
        <w:rPr>
          <w:rStyle w:val="None"/>
          <w:rFonts w:ascii="Times New Roman" w:hAnsi="Times New Roman" w:cs="Times New Roman"/>
          <w:color w:val="000000" w:themeColor="text1"/>
          <w:sz w:val="20"/>
          <w:szCs w:val="20"/>
          <w:lang w:val="en-US"/>
        </w:rPr>
        <w:t xml:space="preserve">Christina </w:t>
      </w:r>
      <w:r w:rsidRPr="00050C8B">
        <w:rPr>
          <w:rStyle w:val="None"/>
          <w:rFonts w:ascii="Times New Roman" w:hAnsi="Times New Roman" w:cs="Times New Roman"/>
          <w:color w:val="000000" w:themeColor="text1"/>
          <w:sz w:val="20"/>
          <w:szCs w:val="20"/>
          <w:lang w:val="en-US"/>
        </w:rPr>
        <w:t xml:space="preserve">Fasone, </w:t>
      </w:r>
      <w:r w:rsidR="000E674C" w:rsidRPr="00050C8B">
        <w:rPr>
          <w:rFonts w:ascii="Times New Roman" w:hAnsi="Times New Roman" w:cs="Times New Roman"/>
          <w:i/>
          <w:iCs/>
          <w:color w:val="333333"/>
          <w:sz w:val="20"/>
          <w:szCs w:val="20"/>
        </w:rPr>
        <w:t xml:space="preserve">Constitutional courts facing the Euro </w:t>
      </w:r>
      <w:proofErr w:type="gramStart"/>
      <w:r w:rsidR="000E674C" w:rsidRPr="00050C8B">
        <w:rPr>
          <w:rFonts w:ascii="Times New Roman" w:hAnsi="Times New Roman" w:cs="Times New Roman"/>
          <w:i/>
          <w:iCs/>
          <w:color w:val="333333"/>
          <w:sz w:val="20"/>
          <w:szCs w:val="20"/>
        </w:rPr>
        <w:t>crisis :</w:t>
      </w:r>
      <w:proofErr w:type="gramEnd"/>
      <w:r w:rsidR="000E674C" w:rsidRPr="00050C8B">
        <w:rPr>
          <w:rFonts w:ascii="Times New Roman" w:hAnsi="Times New Roman" w:cs="Times New Roman"/>
          <w:i/>
          <w:iCs/>
          <w:color w:val="333333"/>
          <w:sz w:val="20"/>
          <w:szCs w:val="20"/>
        </w:rPr>
        <w:t xml:space="preserve"> Italy, Portugal and Spain in a comparative perspective</w:t>
      </w:r>
      <w:r w:rsidR="000E674C" w:rsidRPr="00050C8B">
        <w:rPr>
          <w:rFonts w:ascii="Times New Roman" w:hAnsi="Times New Roman" w:cs="Times New Roman"/>
          <w:color w:val="333333"/>
          <w:sz w:val="20"/>
          <w:szCs w:val="20"/>
        </w:rPr>
        <w:t xml:space="preserve">, </w:t>
      </w:r>
      <w:r w:rsidR="000E674C" w:rsidRPr="00050C8B">
        <w:rPr>
          <w:rFonts w:ascii="Times New Roman" w:hAnsi="Times New Roman" w:cs="Times New Roman"/>
          <w:color w:val="333333"/>
          <w:sz w:val="20"/>
          <w:szCs w:val="20"/>
          <w:shd w:val="clear" w:color="auto" w:fill="FFFFFF"/>
        </w:rPr>
        <w:t>Working Paper,</w:t>
      </w:r>
      <w:r w:rsidR="000E674C" w:rsidRPr="00050C8B">
        <w:rPr>
          <w:rStyle w:val="apple-converted-space"/>
          <w:rFonts w:ascii="Times New Roman" w:hAnsi="Times New Roman" w:cs="Times New Roman"/>
          <w:color w:val="333333"/>
          <w:sz w:val="20"/>
          <w:szCs w:val="20"/>
          <w:shd w:val="clear" w:color="auto" w:fill="FFFFFF"/>
        </w:rPr>
        <w:t> </w:t>
      </w:r>
      <w:r w:rsidR="000E674C" w:rsidRPr="00050C8B">
        <w:rPr>
          <w:rFonts w:ascii="Times New Roman" w:hAnsi="Times New Roman" w:cs="Times New Roman"/>
          <w:color w:val="333333"/>
          <w:sz w:val="20"/>
          <w:szCs w:val="20"/>
        </w:rPr>
        <w:t>EUI MWP</w:t>
      </w:r>
      <w:r w:rsidR="000E674C" w:rsidRPr="00050C8B">
        <w:rPr>
          <w:rFonts w:ascii="Times New Roman" w:hAnsi="Times New Roman" w:cs="Times New Roman"/>
          <w:color w:val="333333"/>
          <w:sz w:val="20"/>
          <w:szCs w:val="20"/>
          <w:shd w:val="clear" w:color="auto" w:fill="FFFFFF"/>
        </w:rPr>
        <w:t>,</w:t>
      </w:r>
      <w:r w:rsidR="000E674C" w:rsidRPr="00050C8B">
        <w:rPr>
          <w:rStyle w:val="apple-converted-space"/>
          <w:rFonts w:ascii="Times New Roman" w:hAnsi="Times New Roman" w:cs="Times New Roman"/>
          <w:color w:val="333333"/>
          <w:sz w:val="20"/>
          <w:szCs w:val="20"/>
          <w:shd w:val="clear" w:color="auto" w:fill="FFFFFF"/>
        </w:rPr>
        <w:t> </w:t>
      </w:r>
      <w:r w:rsidR="000E674C" w:rsidRPr="00050C8B">
        <w:rPr>
          <w:rFonts w:ascii="Times New Roman" w:hAnsi="Times New Roman" w:cs="Times New Roman"/>
          <w:color w:val="333333"/>
          <w:sz w:val="20"/>
          <w:szCs w:val="20"/>
        </w:rPr>
        <w:t>2014/25.</w:t>
      </w:r>
    </w:p>
  </w:footnote>
  <w:footnote w:id="74">
    <w:p w14:paraId="135424EC" w14:textId="7E604FA1"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00A409A9" w:rsidRPr="00050C8B">
        <w:rPr>
          <w:rFonts w:ascii="Times New Roman" w:eastAsia="Arial Unicode MS" w:hAnsi="Times New Roman" w:cs="Times New Roman"/>
          <w:color w:val="000000" w:themeColor="text1"/>
          <w:u w:color="000000"/>
          <w:bdr w:val="nil"/>
          <w:lang w:eastAsia="it-IT"/>
        </w:rPr>
        <w:t xml:space="preserve"> </w:t>
      </w:r>
      <w:r w:rsidRPr="00050C8B">
        <w:rPr>
          <w:rFonts w:ascii="Times New Roman" w:eastAsia="Arial Unicode MS" w:hAnsi="Times New Roman" w:cs="Times New Roman"/>
          <w:color w:val="000000" w:themeColor="text1"/>
          <w:u w:color="000000"/>
          <w:bdr w:val="nil"/>
          <w:lang w:eastAsia="it-IT"/>
        </w:rPr>
        <w:t>In general, it is recalled that the Court of Justice has consistently held that a judgment in which the Court gives a preliminary ruling is binding on the national court for the purposes of the decision to be given in the main proceedings. In order to ensure that EU law is applied uniformly, the Court of Justice alone – which was created for that purpose by the Member States – has jurisdiction to rule that an act of an EU institution is contrary to EU law. Divergences between courts of the Member States as to the validity of such acts would indeed be liable to place in jeopardy the unity of the EU legal order and to detract from legal certainty. Like other authorities of the Member States, national courts are required to ensure that EU law takes full effect. That is the only way of ensuring the equality of Member States in the Union they created. The institution will refrain from communicating further on the matter.”</w:t>
      </w:r>
      <w:r w:rsidRPr="00050C8B">
        <w:rPr>
          <w:rFonts w:ascii="Times New Roman" w:hAnsi="Times New Roman" w:cs="Times New Roman"/>
        </w:rPr>
        <w:t xml:space="preserve"> Press release following the judgment of the German Constitutional Court of 5 May</w:t>
      </w:r>
      <w:r w:rsidR="002549B5" w:rsidRPr="00050C8B">
        <w:rPr>
          <w:rFonts w:ascii="Times New Roman" w:hAnsi="Times New Roman" w:cs="Times New Roman"/>
        </w:rPr>
        <w:t xml:space="preserve"> </w:t>
      </w:r>
      <w:r w:rsidRPr="00050C8B">
        <w:rPr>
          <w:rFonts w:ascii="Times New Roman" w:hAnsi="Times New Roman" w:cs="Times New Roman"/>
        </w:rPr>
        <w:t xml:space="preserve">2020, </w:t>
      </w:r>
      <w:hyperlink r:id="rId15" w:history="1">
        <w:r w:rsidRPr="00050C8B">
          <w:rPr>
            <w:rStyle w:val="Hyperlink"/>
            <w:rFonts w:ascii="Times New Roman" w:hAnsi="Times New Roman" w:cs="Times New Roman"/>
          </w:rPr>
          <w:t>https://curia.europa.eu/jcms/upload/docs/application/pdf/2020-05/cp200058en.pdf</w:t>
        </w:r>
      </w:hyperlink>
      <w:r w:rsidRPr="00050C8B">
        <w:rPr>
          <w:rFonts w:ascii="Times New Roman" w:hAnsi="Times New Roman" w:cs="Times New Roman"/>
        </w:rPr>
        <w:t xml:space="preserve"> </w:t>
      </w:r>
    </w:p>
  </w:footnote>
  <w:footnote w:id="75">
    <w:p w14:paraId="1E19280F" w14:textId="77777777" w:rsidR="00F43B80" w:rsidRPr="00050C8B" w:rsidRDefault="00F43B80" w:rsidP="00050C8B">
      <w:pPr>
        <w:pStyle w:val="FootnoteText"/>
        <w:jc w:val="both"/>
        <w:rPr>
          <w:rStyle w:val="None"/>
          <w:rFonts w:ascii="Times New Roman" w:hAnsi="Times New Roman" w:cs="Times New Roman"/>
          <w:color w:val="000000" w:themeColor="text1"/>
          <w:lang w:val="en-US"/>
        </w:rPr>
      </w:pPr>
      <w:r w:rsidRPr="00050C8B">
        <w:rPr>
          <w:rStyle w:val="None"/>
          <w:rFonts w:ascii="Times New Roman" w:hAnsi="Times New Roman" w:cs="Times New Roman"/>
          <w:color w:val="000000" w:themeColor="text1"/>
          <w:vertAlign w:val="superscript"/>
        </w:rPr>
        <w:footnoteRef/>
      </w:r>
      <w:r w:rsidRPr="00050C8B">
        <w:rPr>
          <w:rStyle w:val="None"/>
          <w:rFonts w:ascii="Times New Roman" w:hAnsi="Times New Roman" w:cs="Times New Roman"/>
          <w:color w:val="000000" w:themeColor="text1"/>
          <w:lang w:val="en-US"/>
        </w:rPr>
        <w:t xml:space="preserve"> Article 258 TFEU: ‘If the Commission considers that a Member State has failed to fulfil an obligation under the Treaties, it shall deliver a reasoned opinion on the matter after giving the State concerned the opportunity to submit its observations.</w:t>
      </w:r>
    </w:p>
    <w:p w14:paraId="46229560" w14:textId="78922CBD"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None"/>
          <w:rFonts w:ascii="Times New Roman" w:hAnsi="Times New Roman" w:cs="Times New Roman"/>
          <w:color w:val="000000" w:themeColor="text1"/>
          <w:lang w:val="en-US"/>
        </w:rPr>
        <w:t xml:space="preserve">If the State concerned does not comply with the opinion within the period laid down by the Commission, the latter may bring the matter before the Court of Justice of the European Union’. </w:t>
      </w:r>
    </w:p>
  </w:footnote>
  <w:footnote w:id="76">
    <w:p w14:paraId="37C95A1E" w14:textId="77777777"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June infringements package: key decisions, 9 June 2021, </w:t>
      </w:r>
      <w:hyperlink r:id="rId16" w:history="1">
        <w:r w:rsidRPr="00050C8B">
          <w:rPr>
            <w:rStyle w:val="Hyperlink"/>
            <w:rFonts w:ascii="Times New Roman" w:hAnsi="Times New Roman" w:cs="Times New Roman"/>
            <w:color w:val="000000" w:themeColor="text1"/>
          </w:rPr>
          <w:t>https://ec.europa.eu/commission/presscorner/detail/en/inf_21_2743</w:t>
        </w:r>
      </w:hyperlink>
      <w:r w:rsidRPr="00050C8B">
        <w:rPr>
          <w:rFonts w:ascii="Times New Roman" w:hAnsi="Times New Roman" w:cs="Times New Roman"/>
          <w:color w:val="000000" w:themeColor="text1"/>
        </w:rPr>
        <w:t xml:space="preserve"> </w:t>
      </w:r>
    </w:p>
  </w:footnote>
  <w:footnote w:id="77">
    <w:p w14:paraId="42930D5C" w14:textId="77777777"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German Constitutional Court, 2 BvR 1651/15, 2 BvR 2006/15.</w:t>
      </w:r>
    </w:p>
  </w:footnote>
  <w:footnote w:id="78">
    <w:p w14:paraId="589DE69A" w14:textId="77777777" w:rsidR="00CF535A" w:rsidRPr="00050C8B" w:rsidRDefault="00CF535A" w:rsidP="00CF535A">
      <w:pPr>
        <w:pStyle w:val="FootnoteText"/>
        <w:pBdr>
          <w:bottom w:val="nil"/>
        </w:pBdr>
        <w:jc w:val="both"/>
        <w:rPr>
          <w:rFonts w:ascii="Times New Roman" w:hAnsi="Times New Roman" w:cs="Times New Roman"/>
          <w:lang w:val="en-US"/>
        </w:rPr>
      </w:pPr>
      <w:r w:rsidRPr="00050C8B">
        <w:rPr>
          <w:rFonts w:ascii="Times New Roman" w:hAnsi="Times New Roman" w:cs="Times New Roman"/>
          <w:vertAlign w:val="superscript"/>
          <w:lang w:val="en-US"/>
        </w:rPr>
        <w:footnoteRef/>
      </w:r>
      <w:r w:rsidRPr="00050C8B">
        <w:rPr>
          <w:rFonts w:ascii="Times New Roman" w:hAnsi="Times New Roman" w:cs="Times New Roman"/>
          <w:lang w:val="en-US"/>
        </w:rPr>
        <w:t xml:space="preserve"> </w:t>
      </w:r>
      <w:proofErr w:type="spellStart"/>
      <w:r w:rsidRPr="00050C8B">
        <w:rPr>
          <w:rFonts w:ascii="Times New Roman" w:hAnsi="Times New Roman" w:cs="Times New Roman"/>
          <w:lang w:val="en-US"/>
        </w:rPr>
        <w:t>Antonios</w:t>
      </w:r>
      <w:proofErr w:type="spellEnd"/>
      <w:r w:rsidRPr="00050C8B">
        <w:rPr>
          <w:rFonts w:ascii="Times New Roman" w:hAnsi="Times New Roman" w:cs="Times New Roman"/>
          <w:lang w:val="en-US"/>
        </w:rPr>
        <w:t xml:space="preserve"> </w:t>
      </w:r>
      <w:proofErr w:type="spellStart"/>
      <w:r w:rsidRPr="00050C8B">
        <w:rPr>
          <w:rFonts w:ascii="Times New Roman" w:hAnsi="Times New Roman" w:cs="Times New Roman"/>
          <w:lang w:val="en-US"/>
        </w:rPr>
        <w:t>Tzanakopoulos</w:t>
      </w:r>
      <w:proofErr w:type="spellEnd"/>
      <w:r w:rsidRPr="00050C8B">
        <w:rPr>
          <w:rFonts w:ascii="Times New Roman" w:hAnsi="Times New Roman" w:cs="Times New Roman"/>
          <w:lang w:val="en-US"/>
        </w:rPr>
        <w:t xml:space="preserve">, </w:t>
      </w:r>
      <w:r w:rsidRPr="00050C8B">
        <w:rPr>
          <w:rFonts w:ascii="Times New Roman" w:hAnsi="Times New Roman" w:cs="Times New Roman"/>
          <w:i/>
          <w:iCs/>
          <w:lang w:val="en-US"/>
        </w:rPr>
        <w:t>Judicial Dialogue as a Means of Interpretation</w:t>
      </w:r>
      <w:r w:rsidRPr="00050C8B">
        <w:rPr>
          <w:rFonts w:ascii="Times New Roman" w:hAnsi="Times New Roman" w:cs="Times New Roman"/>
          <w:lang w:val="en-US"/>
        </w:rPr>
        <w:t xml:space="preserve">, </w:t>
      </w:r>
      <w:r w:rsidRPr="00050C8B">
        <w:rPr>
          <w:rFonts w:ascii="Times New Roman" w:hAnsi="Times New Roman" w:cs="Times New Roman"/>
          <w:smallCaps/>
          <w:lang w:val="en-US"/>
        </w:rPr>
        <w:t>Oxford Legal Studies Research Paper No 71/2014, (2014)</w:t>
      </w:r>
      <w:r w:rsidRPr="00050C8B">
        <w:rPr>
          <w:rFonts w:ascii="Times New Roman" w:hAnsi="Times New Roman" w:cs="Times New Roman"/>
          <w:lang w:val="en-US"/>
        </w:rPr>
        <w:t xml:space="preserve">, </w:t>
      </w:r>
      <w:hyperlink r:id="rId17" w:history="1">
        <w:r w:rsidRPr="00050C8B">
          <w:rPr>
            <w:rStyle w:val="Hyperlink"/>
            <w:rFonts w:ascii="Times New Roman" w:hAnsi="Times New Roman" w:cs="Times New Roman"/>
            <w:lang w:val="en-US"/>
          </w:rPr>
          <w:t>https://papers.ssrn.com/sol3/papers.cfm?abstract_id=2497519</w:t>
        </w:r>
      </w:hyperlink>
      <w:r w:rsidRPr="00050C8B">
        <w:rPr>
          <w:rStyle w:val="Hyperlink"/>
          <w:rFonts w:ascii="Times New Roman" w:hAnsi="Times New Roman" w:cs="Times New Roman"/>
          <w:lang w:val="en-US"/>
        </w:rPr>
        <w:t>.</w:t>
      </w:r>
      <w:r w:rsidRPr="00050C8B">
        <w:rPr>
          <w:rFonts w:ascii="Times New Roman" w:hAnsi="Times New Roman" w:cs="Times New Roman"/>
          <w:lang w:val="en-US"/>
        </w:rPr>
        <w:t xml:space="preserve">   </w:t>
      </w:r>
    </w:p>
  </w:footnote>
  <w:footnote w:id="79">
    <w:p w14:paraId="17365427" w14:textId="78747107" w:rsidR="00F43B80" w:rsidRPr="00050C8B" w:rsidRDefault="00F43B80" w:rsidP="00050C8B">
      <w:pPr>
        <w:pStyle w:val="FootnoteText1"/>
        <w:jc w:val="both"/>
        <w:rPr>
          <w:rFonts w:ascii="Times New Roman" w:eastAsia="Times New Roman" w:hAnsi="Times New Roman"/>
          <w:color w:val="auto"/>
          <w:lang w:val="en-GB" w:eastAsia="en-GB" w:bidi="x-none"/>
        </w:rPr>
      </w:pPr>
      <w:r w:rsidRPr="00050C8B">
        <w:rPr>
          <w:rFonts w:ascii="Times New Roman" w:hAnsi="Times New Roman"/>
          <w:vertAlign w:val="superscript"/>
        </w:rPr>
        <w:footnoteRef/>
      </w:r>
      <w:r w:rsidRPr="00050C8B">
        <w:rPr>
          <w:rFonts w:ascii="Times New Roman" w:hAnsi="Times New Roman"/>
        </w:rPr>
        <w:t xml:space="preserve"> On the first bail-out mechanism for Greece, see generally A</w:t>
      </w:r>
      <w:r w:rsidR="00BA0D23" w:rsidRPr="00050C8B">
        <w:rPr>
          <w:rFonts w:ascii="Times New Roman" w:hAnsi="Times New Roman"/>
        </w:rPr>
        <w:t>ntonis</w:t>
      </w:r>
      <w:r w:rsidRPr="00050C8B">
        <w:rPr>
          <w:rFonts w:ascii="Times New Roman" w:hAnsi="Times New Roman"/>
        </w:rPr>
        <w:t xml:space="preserve"> Antoniadis, </w:t>
      </w:r>
      <w:r w:rsidRPr="00050C8B">
        <w:rPr>
          <w:rFonts w:ascii="Times New Roman" w:hAnsi="Times New Roman"/>
          <w:i/>
          <w:iCs/>
        </w:rPr>
        <w:t>Debt Crisis and Global Emergency: The European Economic Constitution and other Greek Fables</w:t>
      </w:r>
      <w:r w:rsidR="00BA0D23" w:rsidRPr="00050C8B">
        <w:rPr>
          <w:rFonts w:ascii="Times New Roman" w:hAnsi="Times New Roman"/>
          <w:i/>
          <w:iCs/>
        </w:rPr>
        <w:t>,</w:t>
      </w:r>
      <w:r w:rsidRPr="00050C8B">
        <w:rPr>
          <w:rFonts w:ascii="Times New Roman" w:hAnsi="Times New Roman"/>
          <w:i/>
          <w:iCs/>
        </w:rPr>
        <w:t xml:space="preserve"> in</w:t>
      </w:r>
      <w:r w:rsidR="00BA0D23" w:rsidRPr="00050C8B">
        <w:rPr>
          <w:rFonts w:ascii="Times New Roman" w:hAnsi="Times New Roman"/>
          <w:i/>
          <w:iCs/>
        </w:rPr>
        <w:t xml:space="preserve"> </w:t>
      </w:r>
      <w:r w:rsidR="00BA0D23" w:rsidRPr="00050C8B">
        <w:rPr>
          <w:rFonts w:ascii="Times New Roman" w:hAnsi="Times New Roman"/>
          <w:smallCaps/>
        </w:rPr>
        <w:t>The European Union and Global Emergencies</w:t>
      </w:r>
      <w:r w:rsidRPr="00050C8B">
        <w:rPr>
          <w:rFonts w:ascii="Times New Roman" w:hAnsi="Times New Roman"/>
        </w:rPr>
        <w:t xml:space="preserve"> </w:t>
      </w:r>
      <w:r w:rsidR="00BA0D23" w:rsidRPr="00050C8B">
        <w:rPr>
          <w:rFonts w:ascii="Times New Roman" w:hAnsi="Times New Roman"/>
        </w:rPr>
        <w:t>167, 172 (</w:t>
      </w:r>
      <w:r w:rsidRPr="00050C8B">
        <w:rPr>
          <w:rFonts w:ascii="Times New Roman" w:hAnsi="Times New Roman"/>
        </w:rPr>
        <w:t>A</w:t>
      </w:r>
      <w:r w:rsidR="00BA0D23" w:rsidRPr="00050C8B">
        <w:rPr>
          <w:rFonts w:ascii="Times New Roman" w:hAnsi="Times New Roman"/>
        </w:rPr>
        <w:t>ntonis</w:t>
      </w:r>
      <w:r w:rsidRPr="00050C8B">
        <w:rPr>
          <w:rFonts w:ascii="Times New Roman" w:hAnsi="Times New Roman"/>
        </w:rPr>
        <w:t xml:space="preserve"> Antoniadis, R</w:t>
      </w:r>
      <w:r w:rsidR="00BA0D23" w:rsidRPr="00050C8B">
        <w:rPr>
          <w:rFonts w:ascii="Times New Roman" w:hAnsi="Times New Roman"/>
        </w:rPr>
        <w:t>obert</w:t>
      </w:r>
      <w:r w:rsidRPr="00050C8B">
        <w:rPr>
          <w:rFonts w:ascii="Times New Roman" w:hAnsi="Times New Roman"/>
        </w:rPr>
        <w:t xml:space="preserve"> Schütze and E</w:t>
      </w:r>
      <w:r w:rsidR="00BA0D23" w:rsidRPr="00050C8B">
        <w:rPr>
          <w:rFonts w:ascii="Times New Roman" w:hAnsi="Times New Roman"/>
        </w:rPr>
        <w:t>leanor</w:t>
      </w:r>
      <w:r w:rsidRPr="00050C8B">
        <w:rPr>
          <w:rFonts w:ascii="Times New Roman" w:hAnsi="Times New Roman"/>
        </w:rPr>
        <w:t xml:space="preserve"> Spaventa eds., 2011).</w:t>
      </w:r>
    </w:p>
  </w:footnote>
  <w:footnote w:id="80">
    <w:p w14:paraId="1A47162A" w14:textId="26E5D60B" w:rsidR="00F43B80" w:rsidRPr="00050C8B" w:rsidRDefault="00F43B80" w:rsidP="00050C8B">
      <w:pPr>
        <w:pStyle w:val="Heading1"/>
        <w:spacing w:before="0" w:beforeAutospacing="0" w:after="0" w:afterAutospacing="0"/>
        <w:jc w:val="both"/>
        <w:rPr>
          <w:b w:val="0"/>
          <w:bCs w:val="0"/>
          <w:color w:val="000000" w:themeColor="text1"/>
          <w:sz w:val="20"/>
          <w:szCs w:val="20"/>
        </w:rPr>
      </w:pPr>
      <w:r w:rsidRPr="00050C8B">
        <w:rPr>
          <w:rStyle w:val="FootnoteReference"/>
          <w:b w:val="0"/>
          <w:bCs w:val="0"/>
          <w:color w:val="000000" w:themeColor="text1"/>
          <w:sz w:val="20"/>
          <w:szCs w:val="20"/>
        </w:rPr>
        <w:footnoteRef/>
      </w:r>
      <w:r w:rsidRPr="00050C8B">
        <w:rPr>
          <w:b w:val="0"/>
          <w:bCs w:val="0"/>
          <w:color w:val="000000" w:themeColor="text1"/>
          <w:sz w:val="20"/>
          <w:szCs w:val="20"/>
        </w:rPr>
        <w:t xml:space="preserve"> G</w:t>
      </w:r>
      <w:r w:rsidR="00910179" w:rsidRPr="00050C8B">
        <w:rPr>
          <w:b w:val="0"/>
          <w:bCs w:val="0"/>
          <w:color w:val="000000" w:themeColor="text1"/>
          <w:sz w:val="20"/>
          <w:szCs w:val="20"/>
        </w:rPr>
        <w:t>eorge</w:t>
      </w:r>
      <w:r w:rsidRPr="00050C8B">
        <w:rPr>
          <w:b w:val="0"/>
          <w:bCs w:val="0"/>
          <w:color w:val="000000" w:themeColor="text1"/>
          <w:sz w:val="20"/>
          <w:szCs w:val="20"/>
        </w:rPr>
        <w:t xml:space="preserve"> Papakonstantinou, </w:t>
      </w:r>
      <w:r w:rsidRPr="00050C8B">
        <w:rPr>
          <w:b w:val="0"/>
          <w:bCs w:val="0"/>
          <w:i/>
          <w:iCs/>
          <w:color w:val="000000" w:themeColor="text1"/>
          <w:sz w:val="20"/>
          <w:szCs w:val="20"/>
        </w:rPr>
        <w:t>The Grexit that never happened offers some lessons for the UK</w:t>
      </w:r>
      <w:r w:rsidRPr="00050C8B">
        <w:rPr>
          <w:b w:val="0"/>
          <w:bCs w:val="0"/>
          <w:sz w:val="20"/>
          <w:szCs w:val="20"/>
        </w:rPr>
        <w:t xml:space="preserve">, </w:t>
      </w:r>
      <w:r w:rsidRPr="00050C8B">
        <w:rPr>
          <w:b w:val="0"/>
          <w:bCs w:val="0"/>
          <w:smallCaps/>
          <w:sz w:val="20"/>
          <w:szCs w:val="20"/>
        </w:rPr>
        <w:t>LSE Blog</w:t>
      </w:r>
      <w:r w:rsidRPr="00050C8B">
        <w:rPr>
          <w:b w:val="0"/>
          <w:bCs w:val="0"/>
          <w:i/>
          <w:iCs/>
          <w:sz w:val="20"/>
          <w:szCs w:val="20"/>
        </w:rPr>
        <w:t>,</w:t>
      </w:r>
      <w:r w:rsidRPr="00050C8B">
        <w:rPr>
          <w:b w:val="0"/>
          <w:bCs w:val="0"/>
          <w:sz w:val="20"/>
          <w:szCs w:val="20"/>
        </w:rPr>
        <w:t xml:space="preserve"> </w:t>
      </w:r>
      <w:r w:rsidR="00910179" w:rsidRPr="00050C8B">
        <w:rPr>
          <w:b w:val="0"/>
          <w:bCs w:val="0"/>
          <w:sz w:val="20"/>
          <w:szCs w:val="20"/>
        </w:rPr>
        <w:t>(</w:t>
      </w:r>
      <w:r w:rsidRPr="00050C8B">
        <w:rPr>
          <w:b w:val="0"/>
          <w:bCs w:val="0"/>
          <w:sz w:val="20"/>
          <w:szCs w:val="20"/>
        </w:rPr>
        <w:t>7 March 2019</w:t>
      </w:r>
      <w:proofErr w:type="gramStart"/>
      <w:r w:rsidR="00910179" w:rsidRPr="00050C8B">
        <w:rPr>
          <w:b w:val="0"/>
          <w:bCs w:val="0"/>
          <w:sz w:val="20"/>
          <w:szCs w:val="20"/>
        </w:rPr>
        <w:t>)</w:t>
      </w:r>
      <w:r w:rsidRPr="00050C8B">
        <w:rPr>
          <w:b w:val="0"/>
          <w:bCs w:val="0"/>
          <w:sz w:val="20"/>
          <w:szCs w:val="20"/>
        </w:rPr>
        <w:t xml:space="preserve">, </w:t>
      </w:r>
      <w:r w:rsidRPr="00050C8B">
        <w:rPr>
          <w:sz w:val="20"/>
          <w:szCs w:val="20"/>
        </w:rPr>
        <w:t xml:space="preserve"> </w:t>
      </w:r>
      <w:r w:rsidRPr="00050C8B">
        <w:rPr>
          <w:b w:val="0"/>
          <w:bCs w:val="0"/>
          <w:sz w:val="20"/>
          <w:szCs w:val="20"/>
        </w:rPr>
        <w:t>https://blogs.lse.ac.uk/brexit/2019/03/07/the-grexit-that-never-happened-offers-some-lessons-for-the-uk/</w:t>
      </w:r>
      <w:proofErr w:type="gramEnd"/>
      <w:r w:rsidRPr="00050C8B">
        <w:rPr>
          <w:b w:val="0"/>
          <w:bCs w:val="0"/>
          <w:sz w:val="20"/>
          <w:szCs w:val="20"/>
        </w:rPr>
        <w:t>.</w:t>
      </w:r>
    </w:p>
  </w:footnote>
  <w:footnote w:id="81">
    <w:p w14:paraId="342A135D" w14:textId="1DF1A89B" w:rsidR="00F43B80" w:rsidRPr="00050C8B" w:rsidRDefault="00F43B80" w:rsidP="00050C8B">
      <w:pPr>
        <w:pStyle w:val="Heading3"/>
        <w:spacing w:before="0"/>
        <w:jc w:val="both"/>
        <w:rPr>
          <w:rFonts w:ascii="Times New Roman" w:hAnsi="Times New Roman" w:cs="Times New Roman"/>
          <w:color w:val="000000" w:themeColor="text1"/>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Pr="00050C8B">
        <w:rPr>
          <w:rFonts w:ascii="Times New Roman" w:hAnsi="Times New Roman" w:cs="Times New Roman"/>
          <w:color w:val="000000" w:themeColor="text1"/>
          <w:sz w:val="20"/>
          <w:szCs w:val="20"/>
        </w:rPr>
        <w:t>I</w:t>
      </w:r>
      <w:r w:rsidR="002B7A16" w:rsidRPr="00050C8B">
        <w:rPr>
          <w:rFonts w:ascii="Times New Roman" w:hAnsi="Times New Roman" w:cs="Times New Roman"/>
          <w:color w:val="000000" w:themeColor="text1"/>
          <w:sz w:val="20"/>
          <w:szCs w:val="20"/>
        </w:rPr>
        <w:t>oannis</w:t>
      </w:r>
      <w:r w:rsidRPr="00050C8B">
        <w:rPr>
          <w:rFonts w:ascii="Times New Roman" w:hAnsi="Times New Roman" w:cs="Times New Roman"/>
          <w:color w:val="000000" w:themeColor="text1"/>
          <w:sz w:val="20"/>
          <w:szCs w:val="20"/>
        </w:rPr>
        <w:t xml:space="preserve"> Glivanos, </w:t>
      </w:r>
      <w:r w:rsidRPr="00050C8B">
        <w:rPr>
          <w:rFonts w:ascii="Times New Roman" w:hAnsi="Times New Roman" w:cs="Times New Roman"/>
          <w:i/>
          <w:iCs/>
          <w:color w:val="000000" w:themeColor="text1"/>
          <w:sz w:val="20"/>
          <w:szCs w:val="20"/>
        </w:rPr>
        <w:t xml:space="preserve">Can Greece be forced out of the euro? The role of the ECB in restricting funding avenues to Greece - will Target2 be </w:t>
      </w:r>
      <w:proofErr w:type="gramStart"/>
      <w:r w:rsidRPr="00050C8B">
        <w:rPr>
          <w:rFonts w:ascii="Times New Roman" w:hAnsi="Times New Roman" w:cs="Times New Roman"/>
          <w:i/>
          <w:iCs/>
          <w:color w:val="000000" w:themeColor="text1"/>
          <w:sz w:val="20"/>
          <w:szCs w:val="20"/>
        </w:rPr>
        <w:t>next?</w:t>
      </w:r>
      <w:r w:rsidRPr="00050C8B">
        <w:rPr>
          <w:rFonts w:ascii="Times New Roman" w:hAnsi="Times New Roman" w:cs="Times New Roman"/>
          <w:color w:val="000000" w:themeColor="text1"/>
          <w:sz w:val="20"/>
          <w:szCs w:val="20"/>
        </w:rPr>
        <w:t>,</w:t>
      </w:r>
      <w:proofErr w:type="gramEnd"/>
      <w:r w:rsidRPr="00050C8B">
        <w:rPr>
          <w:rFonts w:ascii="Times New Roman" w:hAnsi="Times New Roman" w:cs="Times New Roman"/>
          <w:color w:val="000000" w:themeColor="text1"/>
          <w:sz w:val="20"/>
          <w:szCs w:val="20"/>
        </w:rPr>
        <w:t xml:space="preserve"> </w:t>
      </w:r>
      <w:r w:rsidRPr="00050C8B">
        <w:rPr>
          <w:rFonts w:ascii="Times New Roman" w:hAnsi="Times New Roman" w:cs="Times New Roman"/>
          <w:smallCaps/>
          <w:color w:val="000000" w:themeColor="text1"/>
          <w:sz w:val="20"/>
          <w:szCs w:val="20"/>
        </w:rPr>
        <w:t>EU Law Analysis,</w:t>
      </w:r>
      <w:r w:rsidRPr="00050C8B">
        <w:rPr>
          <w:rFonts w:ascii="Times New Roman" w:hAnsi="Times New Roman" w:cs="Times New Roman"/>
          <w:color w:val="000000" w:themeColor="text1"/>
          <w:sz w:val="20"/>
          <w:szCs w:val="20"/>
        </w:rPr>
        <w:t xml:space="preserve"> </w:t>
      </w:r>
      <w:r w:rsidR="002B7A16" w:rsidRPr="00050C8B">
        <w:rPr>
          <w:rFonts w:ascii="Times New Roman" w:hAnsi="Times New Roman" w:cs="Times New Roman"/>
          <w:color w:val="000000" w:themeColor="text1"/>
          <w:sz w:val="20"/>
          <w:szCs w:val="20"/>
        </w:rPr>
        <w:t>(</w:t>
      </w:r>
      <w:r w:rsidRPr="00050C8B">
        <w:rPr>
          <w:rFonts w:ascii="Times New Roman" w:hAnsi="Times New Roman" w:cs="Times New Roman"/>
          <w:color w:val="000000" w:themeColor="text1"/>
          <w:sz w:val="20"/>
          <w:szCs w:val="20"/>
        </w:rPr>
        <w:t>18 June 2015</w:t>
      </w:r>
      <w:r w:rsidR="002B7A16" w:rsidRPr="00050C8B">
        <w:rPr>
          <w:rFonts w:ascii="Times New Roman" w:hAnsi="Times New Roman" w:cs="Times New Roman"/>
          <w:color w:val="000000" w:themeColor="text1"/>
          <w:sz w:val="20"/>
          <w:szCs w:val="20"/>
        </w:rPr>
        <w:t>),</w:t>
      </w:r>
      <w:r w:rsidRPr="00050C8B">
        <w:rPr>
          <w:rFonts w:ascii="Times New Roman" w:hAnsi="Times New Roman" w:cs="Times New Roman"/>
          <w:color w:val="000000" w:themeColor="text1"/>
          <w:sz w:val="20"/>
          <w:szCs w:val="20"/>
        </w:rPr>
        <w:t xml:space="preserve"> http://eulawanalysis.blogspot.com/2015/06/can-greece-be-forced-out-of-euro-role.html.</w:t>
      </w:r>
    </w:p>
  </w:footnote>
  <w:footnote w:id="82">
    <w:p w14:paraId="4D35A2E9" w14:textId="6540FBAE" w:rsidR="00F43B80" w:rsidRPr="00050C8B" w:rsidRDefault="00F43B80" w:rsidP="00050C8B">
      <w:pPr>
        <w:pStyle w:val="c02alineaalta"/>
        <w:spacing w:before="0" w:beforeAutospacing="0" w:after="0" w:afterAutospacing="0"/>
        <w:jc w:val="both"/>
        <w:rPr>
          <w:color w:val="000000" w:themeColor="text1"/>
          <w:sz w:val="20"/>
          <w:szCs w:val="20"/>
        </w:rPr>
      </w:pPr>
      <w:r w:rsidRPr="00050C8B">
        <w:rPr>
          <w:rStyle w:val="FootnoteReference"/>
          <w:color w:val="000000" w:themeColor="text1"/>
          <w:sz w:val="20"/>
          <w:szCs w:val="20"/>
        </w:rPr>
        <w:footnoteRef/>
      </w:r>
      <w:r w:rsidRPr="00050C8B">
        <w:rPr>
          <w:color w:val="000000" w:themeColor="text1"/>
          <w:sz w:val="20"/>
          <w:szCs w:val="20"/>
        </w:rPr>
        <w:t xml:space="preserve"> </w:t>
      </w:r>
      <w:r w:rsidRPr="00050C8B">
        <w:rPr>
          <w:i/>
          <w:iCs/>
          <w:color w:val="000000" w:themeColor="text1"/>
          <w:sz w:val="20"/>
          <w:szCs w:val="20"/>
        </w:rPr>
        <w:t>Pringle v Government of Ireland and Others</w:t>
      </w:r>
      <w:r w:rsidRPr="00050C8B">
        <w:rPr>
          <w:color w:val="000000" w:themeColor="text1"/>
          <w:sz w:val="20"/>
          <w:szCs w:val="20"/>
        </w:rPr>
        <w:t xml:space="preserve">, </w:t>
      </w:r>
      <w:r w:rsidR="00910179" w:rsidRPr="00050C8B">
        <w:rPr>
          <w:color w:val="000000" w:themeColor="text1"/>
          <w:sz w:val="20"/>
          <w:szCs w:val="20"/>
        </w:rPr>
        <w:t xml:space="preserve">Case C-370/12, </w:t>
      </w:r>
      <w:r w:rsidRPr="00050C8B">
        <w:rPr>
          <w:color w:val="000000" w:themeColor="text1"/>
          <w:sz w:val="20"/>
          <w:szCs w:val="20"/>
        </w:rPr>
        <w:t>ECLI:EU:C:2012:756.</w:t>
      </w:r>
    </w:p>
  </w:footnote>
  <w:footnote w:id="83">
    <w:p w14:paraId="1DB7B377" w14:textId="321C8392" w:rsidR="00F43B80" w:rsidRPr="00050C8B" w:rsidRDefault="00F43B80" w:rsidP="00050C8B">
      <w:pPr>
        <w:pStyle w:val="Heading3"/>
        <w:spacing w:before="0"/>
        <w:jc w:val="both"/>
        <w:rPr>
          <w:rFonts w:ascii="Times New Roman" w:hAnsi="Times New Roman" w:cs="Times New Roman"/>
          <w:color w:val="333333"/>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Pr="00050C8B">
        <w:rPr>
          <w:rFonts w:ascii="Times New Roman" w:hAnsi="Times New Roman" w:cs="Times New Roman"/>
          <w:color w:val="000000" w:themeColor="text1"/>
          <w:sz w:val="20"/>
          <w:szCs w:val="20"/>
        </w:rPr>
        <w:t>S</w:t>
      </w:r>
      <w:r w:rsidR="002B7A16" w:rsidRPr="00050C8B">
        <w:rPr>
          <w:rFonts w:ascii="Times New Roman" w:hAnsi="Times New Roman" w:cs="Times New Roman"/>
          <w:color w:val="000000" w:themeColor="text1"/>
          <w:sz w:val="20"/>
          <w:szCs w:val="20"/>
        </w:rPr>
        <w:t>teve</w:t>
      </w:r>
      <w:r w:rsidRPr="00050C8B">
        <w:rPr>
          <w:rFonts w:ascii="Times New Roman" w:hAnsi="Times New Roman" w:cs="Times New Roman"/>
          <w:color w:val="000000" w:themeColor="text1"/>
          <w:sz w:val="20"/>
          <w:szCs w:val="20"/>
        </w:rPr>
        <w:t xml:space="preserve"> Peers</w:t>
      </w:r>
      <w:r w:rsidRPr="00050C8B">
        <w:rPr>
          <w:rFonts w:ascii="Times New Roman" w:hAnsi="Times New Roman" w:cs="Times New Roman"/>
          <w:sz w:val="20"/>
          <w:szCs w:val="20"/>
        </w:rPr>
        <w:t xml:space="preserve">, </w:t>
      </w:r>
      <w:proofErr w:type="gramStart"/>
      <w:r w:rsidRPr="00050C8B">
        <w:rPr>
          <w:rFonts w:ascii="Times New Roman" w:hAnsi="Times New Roman" w:cs="Times New Roman"/>
          <w:i/>
          <w:iCs/>
          <w:color w:val="333333"/>
          <w:sz w:val="20"/>
          <w:szCs w:val="20"/>
        </w:rPr>
        <w:t>The</w:t>
      </w:r>
      <w:proofErr w:type="gramEnd"/>
      <w:r w:rsidRPr="00050C8B">
        <w:rPr>
          <w:rFonts w:ascii="Times New Roman" w:hAnsi="Times New Roman" w:cs="Times New Roman"/>
          <w:i/>
          <w:iCs/>
          <w:color w:val="333333"/>
          <w:sz w:val="20"/>
          <w:szCs w:val="20"/>
        </w:rPr>
        <w:t xml:space="preserve"> law of Grexit: What does EU law say about leaving economic and monetary union?</w:t>
      </w:r>
      <w:r w:rsidRPr="00050C8B">
        <w:rPr>
          <w:rFonts w:ascii="Times New Roman" w:hAnsi="Times New Roman" w:cs="Times New Roman"/>
          <w:sz w:val="20"/>
          <w:szCs w:val="20"/>
        </w:rPr>
        <w:t xml:space="preserve">’ </w:t>
      </w:r>
      <w:r w:rsidR="002B7A16" w:rsidRPr="00050C8B">
        <w:rPr>
          <w:rFonts w:ascii="Times New Roman" w:hAnsi="Times New Roman" w:cs="Times New Roman"/>
          <w:smallCaps/>
          <w:color w:val="000000" w:themeColor="text1"/>
          <w:sz w:val="20"/>
          <w:szCs w:val="20"/>
        </w:rPr>
        <w:t>EU Law Analysis,</w:t>
      </w:r>
      <w:r w:rsidR="002B7A16" w:rsidRPr="00050C8B">
        <w:rPr>
          <w:rFonts w:ascii="Times New Roman" w:hAnsi="Times New Roman" w:cs="Times New Roman"/>
          <w:color w:val="000000" w:themeColor="text1"/>
          <w:sz w:val="20"/>
          <w:szCs w:val="20"/>
        </w:rPr>
        <w:t xml:space="preserve"> (28 June 2015),</w:t>
      </w:r>
      <w:r w:rsidRPr="00050C8B">
        <w:rPr>
          <w:rFonts w:ascii="Times New Roman" w:hAnsi="Times New Roman" w:cs="Times New Roman"/>
          <w:sz w:val="20"/>
          <w:szCs w:val="20"/>
        </w:rPr>
        <w:t xml:space="preserve"> </w:t>
      </w:r>
      <w:r w:rsidRPr="00050C8B">
        <w:rPr>
          <w:rFonts w:ascii="Times New Roman" w:hAnsi="Times New Roman" w:cs="Times New Roman"/>
          <w:color w:val="000000" w:themeColor="text1"/>
          <w:sz w:val="20"/>
          <w:szCs w:val="20"/>
        </w:rPr>
        <w:t>http://eulawanalysis.blogspot.com/2015/06/the-law-of-grexit-what-does-eu-law-say.html.</w:t>
      </w:r>
    </w:p>
  </w:footnote>
  <w:footnote w:id="84">
    <w:p w14:paraId="2B6CA882" w14:textId="7EB4E70D" w:rsidR="00F43B80" w:rsidRPr="00050C8B" w:rsidRDefault="00F43B80" w:rsidP="00050C8B">
      <w:pPr>
        <w:pStyle w:val="NormalWeb"/>
        <w:spacing w:before="0" w:beforeAutospacing="0" w:after="0" w:afterAutospacing="0"/>
        <w:jc w:val="both"/>
        <w:rPr>
          <w:color w:val="000000" w:themeColor="text1"/>
          <w:sz w:val="20"/>
          <w:szCs w:val="20"/>
        </w:rPr>
      </w:pPr>
      <w:r w:rsidRPr="00050C8B">
        <w:rPr>
          <w:rStyle w:val="FootnoteReference"/>
          <w:sz w:val="20"/>
          <w:szCs w:val="20"/>
        </w:rPr>
        <w:footnoteRef/>
      </w:r>
      <w:r w:rsidRPr="00050C8B">
        <w:rPr>
          <w:sz w:val="20"/>
          <w:szCs w:val="20"/>
        </w:rPr>
        <w:t xml:space="preserve"> The idea of irrevocability of the Eurozone has also been adopted and promoted by the Commission. </w:t>
      </w:r>
      <w:r w:rsidR="002B7A16" w:rsidRPr="00050C8B">
        <w:rPr>
          <w:sz w:val="20"/>
          <w:szCs w:val="20"/>
        </w:rPr>
        <w:t>“</w:t>
      </w:r>
      <w:r w:rsidRPr="00050C8B">
        <w:rPr>
          <w:sz w:val="20"/>
          <w:szCs w:val="20"/>
        </w:rPr>
        <w:t xml:space="preserve">The irrevocability of membership in the euro area is an integral part of the Treaty framework and the Commission, as a guardian of the EU Treaties, intends to fully respect it.’ See response by Olli Rehn, European Commissioner for Economic and Monetary Affairs and the Euro, on behalf of the European Commission, to question submitted by Claudio Morganti, Member of the European Parliament, 22 June 2012, </w:t>
      </w:r>
      <w:r w:rsidRPr="00050C8B">
        <w:rPr>
          <w:color w:val="000000" w:themeColor="text1"/>
          <w:sz w:val="20"/>
          <w:szCs w:val="20"/>
        </w:rPr>
        <w:t xml:space="preserve">http://www.europarl.europa.eu/sides/getAllAnswers. do?reference=E-2012-004398&amp;language=EN. </w:t>
      </w:r>
    </w:p>
  </w:footnote>
  <w:footnote w:id="85">
    <w:p w14:paraId="0289599F" w14:textId="27B9265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L</w:t>
      </w:r>
      <w:r w:rsidR="002B7A16" w:rsidRPr="00050C8B">
        <w:rPr>
          <w:rFonts w:ascii="Times New Roman" w:hAnsi="Times New Roman" w:cs="Times New Roman"/>
        </w:rPr>
        <w:t>ina</w:t>
      </w:r>
      <w:r w:rsidRPr="00050C8B">
        <w:rPr>
          <w:rFonts w:ascii="Times New Roman" w:hAnsi="Times New Roman" w:cs="Times New Roman"/>
        </w:rPr>
        <w:t xml:space="preserve"> Papadopoulou, </w:t>
      </w:r>
      <w:r w:rsidRPr="00050C8B">
        <w:rPr>
          <w:rFonts w:ascii="Times New Roman" w:hAnsi="Times New Roman" w:cs="Times New Roman"/>
          <w:i/>
          <w:iCs/>
        </w:rPr>
        <w:t>Greece: Further EMU Steps Require a Democratic Eurozone Architecture in</w:t>
      </w:r>
      <w:r w:rsidR="002B7A16" w:rsidRPr="00050C8B">
        <w:rPr>
          <w:rFonts w:ascii="Times New Roman" w:hAnsi="Times New Roman" w:cs="Times New Roman"/>
          <w:smallCaps/>
          <w:color w:val="000000"/>
        </w:rPr>
        <w:t xml:space="preserve"> EMU Integration and Member States’ Constitutions</w:t>
      </w:r>
      <w:r w:rsidR="002B7A16" w:rsidRPr="00050C8B">
        <w:rPr>
          <w:rFonts w:ascii="Times New Roman" w:hAnsi="Times New Roman" w:cs="Times New Roman"/>
          <w:i/>
          <w:iCs/>
        </w:rPr>
        <w:t xml:space="preserve"> </w:t>
      </w:r>
      <w:r w:rsidR="002B7A16" w:rsidRPr="00050C8B">
        <w:rPr>
          <w:rFonts w:ascii="Times New Roman" w:hAnsi="Times New Roman" w:cs="Times New Roman"/>
          <w:color w:val="000000"/>
        </w:rPr>
        <w:t>225, 232 (Stefan</w:t>
      </w:r>
      <w:r w:rsidRPr="00050C8B">
        <w:rPr>
          <w:rFonts w:ascii="Times New Roman" w:hAnsi="Times New Roman" w:cs="Times New Roman"/>
          <w:color w:val="000000"/>
        </w:rPr>
        <w:t xml:space="preserve"> Griller and E</w:t>
      </w:r>
      <w:r w:rsidR="002B7A16" w:rsidRPr="00050C8B">
        <w:rPr>
          <w:rFonts w:ascii="Times New Roman" w:hAnsi="Times New Roman" w:cs="Times New Roman"/>
          <w:color w:val="000000"/>
        </w:rPr>
        <w:t>lisabeth</w:t>
      </w:r>
      <w:r w:rsidRPr="00050C8B">
        <w:rPr>
          <w:rFonts w:ascii="Times New Roman" w:hAnsi="Times New Roman" w:cs="Times New Roman"/>
          <w:color w:val="000000"/>
        </w:rPr>
        <w:t xml:space="preserve"> Lentsch eds</w:t>
      </w:r>
      <w:r w:rsidR="002B7A16" w:rsidRPr="00050C8B">
        <w:rPr>
          <w:rFonts w:ascii="Times New Roman" w:hAnsi="Times New Roman" w:cs="Times New Roman"/>
          <w:color w:val="000000"/>
        </w:rPr>
        <w:t>.</w:t>
      </w:r>
      <w:r w:rsidRPr="00050C8B">
        <w:rPr>
          <w:rFonts w:ascii="Times New Roman" w:hAnsi="Times New Roman" w:cs="Times New Roman"/>
          <w:color w:val="000000"/>
        </w:rPr>
        <w:t>, 2021).</w:t>
      </w:r>
    </w:p>
  </w:footnote>
  <w:footnote w:id="86">
    <w:p w14:paraId="6A3FECCB" w14:textId="2B892573"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004A6A08" w:rsidRPr="00050C8B">
        <w:rPr>
          <w:rFonts w:ascii="Times New Roman" w:hAnsi="Times New Roman" w:cs="Times New Roman"/>
        </w:rPr>
        <w:t xml:space="preserve"> </w:t>
      </w:r>
      <w:r w:rsidRPr="00050C8B">
        <w:rPr>
          <w:rFonts w:ascii="Times New Roman" w:hAnsi="Times New Roman" w:cs="Times New Roman"/>
        </w:rPr>
        <w:t>C</w:t>
      </w:r>
      <w:r w:rsidR="004A6A08" w:rsidRPr="00050C8B">
        <w:rPr>
          <w:rFonts w:ascii="Times New Roman" w:hAnsi="Times New Roman" w:cs="Times New Roman"/>
        </w:rPr>
        <w:t>hristophe</w:t>
      </w:r>
      <w:r w:rsidRPr="00050C8B">
        <w:rPr>
          <w:rFonts w:ascii="Times New Roman" w:hAnsi="Times New Roman" w:cs="Times New Roman"/>
        </w:rPr>
        <w:t xml:space="preserve"> Hillion, </w:t>
      </w:r>
      <w:r w:rsidRPr="00050C8B">
        <w:rPr>
          <w:rFonts w:ascii="Times New Roman" w:hAnsi="Times New Roman" w:cs="Times New Roman"/>
          <w:i/>
          <w:iCs/>
        </w:rPr>
        <w:t>Poland and Hungary are withdrawing from the EU</w:t>
      </w:r>
      <w:r w:rsidRPr="00050C8B">
        <w:rPr>
          <w:rFonts w:ascii="Times New Roman" w:hAnsi="Times New Roman" w:cs="Times New Roman"/>
        </w:rPr>
        <w:t xml:space="preserve">, </w:t>
      </w:r>
      <w:r w:rsidR="004A6A08" w:rsidRPr="00050C8B">
        <w:rPr>
          <w:rFonts w:ascii="Times New Roman" w:hAnsi="Times New Roman" w:cs="Times New Roman"/>
          <w:iCs/>
          <w:smallCaps/>
          <w:color w:val="000000" w:themeColor="text1"/>
        </w:rPr>
        <w:t>Verfassungsblog</w:t>
      </w:r>
      <w:r w:rsidR="004A6A08" w:rsidRPr="00050C8B">
        <w:rPr>
          <w:rFonts w:ascii="Times New Roman" w:hAnsi="Times New Roman" w:cs="Times New Roman"/>
          <w:color w:val="000000" w:themeColor="text1"/>
        </w:rPr>
        <w:t>, (6 October 2017)</w:t>
      </w:r>
      <w:r w:rsidRPr="00050C8B">
        <w:rPr>
          <w:rFonts w:ascii="Times New Roman" w:hAnsi="Times New Roman" w:cs="Times New Roman"/>
        </w:rPr>
        <w:t xml:space="preserve">, </w:t>
      </w:r>
      <w:hyperlink r:id="rId18" w:history="1">
        <w:r w:rsidRPr="00050C8B">
          <w:rPr>
            <w:rStyle w:val="Hyperlink"/>
            <w:rFonts w:ascii="Times New Roman" w:hAnsi="Times New Roman" w:cs="Times New Roman"/>
          </w:rPr>
          <w:t>https://verfassungsblog.de/poland-and-hungary-are-withdrawing-from-the-eu/</w:t>
        </w:r>
      </w:hyperlink>
      <w:r w:rsidR="004A6A08" w:rsidRPr="00050C8B">
        <w:rPr>
          <w:rStyle w:val="Hyperlink"/>
          <w:rFonts w:ascii="Times New Roman" w:hAnsi="Times New Roman" w:cs="Times New Roman"/>
        </w:rPr>
        <w:t>.</w:t>
      </w:r>
      <w:r w:rsidRPr="00050C8B">
        <w:rPr>
          <w:rFonts w:ascii="Times New Roman" w:hAnsi="Times New Roman" w:cs="Times New Roman"/>
        </w:rPr>
        <w:t xml:space="preserve"> </w:t>
      </w:r>
    </w:p>
  </w:footnote>
  <w:footnote w:id="87">
    <w:p w14:paraId="5EC937C7" w14:textId="0C986351" w:rsidR="00F43B80" w:rsidRPr="00050C8B" w:rsidRDefault="00F43B80" w:rsidP="00050C8B">
      <w:pPr>
        <w:pStyle w:val="FootnoteText"/>
        <w:jc w:val="both"/>
        <w:rPr>
          <w:rFonts w:ascii="Times New Roman" w:eastAsiaTheme="minorEastAsia"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w:t>
      </w:r>
      <w:r w:rsidR="00F606D6" w:rsidRPr="00050C8B">
        <w:rPr>
          <w:rFonts w:ascii="Times New Roman" w:hAnsi="Times New Roman" w:cs="Times New Roman"/>
          <w:i/>
          <w:iCs/>
          <w:color w:val="000000" w:themeColor="text1"/>
        </w:rPr>
        <w:t xml:space="preserve">Wightman and Others v. Secretary of State for Exiting the European Union, </w:t>
      </w:r>
      <w:r w:rsidR="00F606D6" w:rsidRPr="00050C8B">
        <w:rPr>
          <w:rFonts w:ascii="Times New Roman" w:hAnsi="Times New Roman" w:cs="Times New Roman"/>
          <w:color w:val="000000" w:themeColor="text1"/>
        </w:rPr>
        <w:t>Case C</w:t>
      </w:r>
      <w:r w:rsidR="00F606D6" w:rsidRPr="00050C8B">
        <w:rPr>
          <w:rFonts w:ascii="Times New Roman" w:hAnsi="Times New Roman" w:cs="Times New Roman"/>
          <w:color w:val="000000" w:themeColor="text1"/>
        </w:rPr>
        <w:noBreakHyphen/>
        <w:t xml:space="preserve">621/18, ECLI:EU:C:2018:999, paras 50, 56, 57, 59 and 72. For an analysis, see Armin Cuyvers, </w:t>
      </w:r>
      <w:r w:rsidR="00F606D6" w:rsidRPr="00050C8B">
        <w:rPr>
          <w:rFonts w:ascii="Times New Roman" w:eastAsiaTheme="minorEastAsia" w:hAnsi="Times New Roman" w:cs="Times New Roman"/>
          <w:i/>
          <w:iCs/>
          <w:color w:val="000000" w:themeColor="text1"/>
        </w:rPr>
        <w:t>Wightman, Brexit, and The Sovereign Right to Remain</w:t>
      </w:r>
      <w:r w:rsidR="00F606D6" w:rsidRPr="00050C8B">
        <w:rPr>
          <w:rFonts w:ascii="Times New Roman" w:hAnsi="Times New Roman" w:cs="Times New Roman"/>
          <w:color w:val="000000" w:themeColor="text1"/>
        </w:rPr>
        <w:t xml:space="preserve">, 56 </w:t>
      </w:r>
      <w:r w:rsidR="00F606D6" w:rsidRPr="00050C8B">
        <w:rPr>
          <w:rFonts w:ascii="Times New Roman" w:hAnsi="Times New Roman" w:cs="Times New Roman"/>
          <w:smallCaps/>
          <w:color w:val="000000" w:themeColor="text1"/>
        </w:rPr>
        <w:t>Common Market Law Review</w:t>
      </w:r>
      <w:r w:rsidR="00F606D6" w:rsidRPr="00050C8B">
        <w:rPr>
          <w:rFonts w:ascii="Times New Roman" w:hAnsi="Times New Roman" w:cs="Times New Roman"/>
          <w:color w:val="000000" w:themeColor="text1"/>
        </w:rPr>
        <w:t xml:space="preserve"> 1303 (2019)</w:t>
      </w:r>
      <w:r w:rsidR="00F606D6" w:rsidRPr="00050C8B">
        <w:rPr>
          <w:rFonts w:ascii="Times New Roman" w:eastAsiaTheme="minorEastAsia" w:hAnsi="Times New Roman" w:cs="Times New Roman"/>
        </w:rPr>
        <w:t>.</w:t>
      </w:r>
    </w:p>
  </w:footnote>
  <w:footnote w:id="88">
    <w:p w14:paraId="316C2541" w14:textId="149CFC7A" w:rsidR="00F43B80" w:rsidRPr="00050C8B" w:rsidRDefault="00F43B80" w:rsidP="00050C8B">
      <w:pPr>
        <w:pStyle w:val="FootnoteText"/>
        <w:jc w:val="both"/>
        <w:rPr>
          <w:rFonts w:ascii="Times New Roman" w:hAnsi="Times New Roman" w:cs="Times New Roman"/>
          <w:smallCaps/>
          <w:color w:val="000000" w:themeColor="text1"/>
          <w:lang w:val="en-US"/>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lang w:val="en-US"/>
        </w:rPr>
        <w:t xml:space="preserve"> </w:t>
      </w:r>
      <w:r w:rsidRPr="00050C8B">
        <w:rPr>
          <w:rFonts w:ascii="Times New Roman" w:hAnsi="Times New Roman" w:cs="Times New Roman"/>
          <w:smallCaps/>
          <w:color w:val="000000" w:themeColor="text1"/>
          <w:lang w:val="en-US"/>
        </w:rPr>
        <w:t>W</w:t>
      </w:r>
      <w:r w:rsidR="00F606D6" w:rsidRPr="00050C8B">
        <w:rPr>
          <w:rFonts w:ascii="Times New Roman" w:hAnsi="Times New Roman" w:cs="Times New Roman"/>
          <w:smallCaps/>
          <w:color w:val="000000" w:themeColor="text1"/>
          <w:lang w:val="en-US"/>
        </w:rPr>
        <w:t>ociech</w:t>
      </w:r>
      <w:r w:rsidRPr="00050C8B">
        <w:rPr>
          <w:rFonts w:ascii="Times New Roman" w:hAnsi="Times New Roman" w:cs="Times New Roman"/>
          <w:smallCaps/>
          <w:color w:val="000000" w:themeColor="text1"/>
          <w:lang w:val="en-US"/>
        </w:rPr>
        <w:t xml:space="preserve"> Sadurski, Poland's Constitutional Breakdown </w:t>
      </w:r>
      <w:r w:rsidR="00F606D6" w:rsidRPr="00050C8B">
        <w:rPr>
          <w:rFonts w:ascii="Times New Roman" w:hAnsi="Times New Roman" w:cs="Times New Roman"/>
          <w:color w:val="000000" w:themeColor="text1"/>
          <w:lang w:val="en-US"/>
        </w:rPr>
        <w:t>(</w:t>
      </w:r>
      <w:r w:rsidRPr="00050C8B">
        <w:rPr>
          <w:rFonts w:ascii="Times New Roman" w:hAnsi="Times New Roman" w:cs="Times New Roman"/>
          <w:color w:val="000000" w:themeColor="text1"/>
          <w:lang w:val="en-US"/>
        </w:rPr>
        <w:t>2019</w:t>
      </w:r>
      <w:r w:rsidR="00F606D6" w:rsidRPr="00050C8B">
        <w:rPr>
          <w:rFonts w:ascii="Times New Roman" w:hAnsi="Times New Roman" w:cs="Times New Roman"/>
          <w:color w:val="000000" w:themeColor="text1"/>
          <w:lang w:val="en-US"/>
        </w:rPr>
        <w:t>)</w:t>
      </w:r>
      <w:r w:rsidRPr="00050C8B">
        <w:rPr>
          <w:rFonts w:ascii="Times New Roman" w:hAnsi="Times New Roman" w:cs="Times New Roman"/>
          <w:color w:val="000000" w:themeColor="text1"/>
          <w:lang w:val="en-US"/>
        </w:rPr>
        <w:t xml:space="preserve">; </w:t>
      </w:r>
      <w:r w:rsidRPr="00050C8B">
        <w:rPr>
          <w:rFonts w:ascii="Times New Roman" w:hAnsi="Times New Roman" w:cs="Times New Roman"/>
          <w:smallCaps/>
          <w:color w:val="000000" w:themeColor="text1"/>
          <w:lang w:val="en-US"/>
        </w:rPr>
        <w:t xml:space="preserve">Rule of Law, Common Values, and Illiberal Constitutionalism: Poland and Hungary within the European Union </w:t>
      </w:r>
      <w:r w:rsidR="00F606D6" w:rsidRPr="00050C8B">
        <w:rPr>
          <w:rStyle w:val="apple-converted-space"/>
          <w:rFonts w:ascii="Times New Roman" w:hAnsi="Times New Roman" w:cs="Times New Roman"/>
          <w:color w:val="000000" w:themeColor="text1"/>
          <w:shd w:val="clear" w:color="auto" w:fill="FFFFFF"/>
          <w:lang w:val="en-US"/>
        </w:rPr>
        <w:t>(</w:t>
      </w:r>
      <w:hyperlink w:tooltip="Search for more titles by Tímea Drinóczi" w:history="1">
        <w:r w:rsidR="00F606D6" w:rsidRPr="00050C8B">
          <w:rPr>
            <w:rStyle w:val="Hyperlink"/>
            <w:rFonts w:ascii="Times New Roman" w:hAnsi="Times New Roman" w:cs="Times New Roman"/>
            <w:color w:val="000000" w:themeColor="text1"/>
            <w:u w:val="none"/>
          </w:rPr>
          <w:t>Tímea Drinóczi</w:t>
        </w:r>
      </w:hyperlink>
      <w:r w:rsidR="00F606D6" w:rsidRPr="00050C8B">
        <w:rPr>
          <w:rFonts w:ascii="Times New Roman" w:hAnsi="Times New Roman" w:cs="Times New Roman"/>
          <w:color w:val="000000" w:themeColor="text1"/>
          <w:shd w:val="clear" w:color="auto" w:fill="FFFFFF"/>
        </w:rPr>
        <w:t xml:space="preserve"> and</w:t>
      </w:r>
      <w:r w:rsidR="00F606D6" w:rsidRPr="00050C8B">
        <w:rPr>
          <w:rStyle w:val="apple-converted-space"/>
          <w:rFonts w:ascii="Times New Roman" w:hAnsi="Times New Roman" w:cs="Times New Roman"/>
          <w:color w:val="000000" w:themeColor="text1"/>
          <w:shd w:val="clear" w:color="auto" w:fill="FFFFFF"/>
        </w:rPr>
        <w:t> </w:t>
      </w:r>
      <w:hyperlink w:tooltip="Search for more titles by Agnieszka Bień-Kacała" w:history="1">
        <w:r w:rsidR="00F606D6" w:rsidRPr="00050C8B">
          <w:rPr>
            <w:rStyle w:val="Hyperlink"/>
            <w:rFonts w:ascii="Times New Roman" w:hAnsi="Times New Roman" w:cs="Times New Roman"/>
            <w:color w:val="000000" w:themeColor="text1"/>
            <w:u w:val="none"/>
          </w:rPr>
          <w:t>Agnieszka Bień-Kacała</w:t>
        </w:r>
      </w:hyperlink>
      <w:r w:rsidR="00F606D6" w:rsidRPr="00050C8B">
        <w:rPr>
          <w:rFonts w:ascii="Times New Roman" w:hAnsi="Times New Roman" w:cs="Times New Roman"/>
          <w:color w:val="000000" w:themeColor="text1"/>
        </w:rPr>
        <w:t xml:space="preserve"> eds., </w:t>
      </w:r>
      <w:r w:rsidRPr="00050C8B">
        <w:rPr>
          <w:rFonts w:ascii="Times New Roman" w:hAnsi="Times New Roman" w:cs="Times New Roman"/>
          <w:smallCaps/>
          <w:color w:val="000000" w:themeColor="text1"/>
          <w:lang w:val="en-US"/>
        </w:rPr>
        <w:t>2020</w:t>
      </w:r>
      <w:r w:rsidR="00F606D6" w:rsidRPr="00050C8B">
        <w:rPr>
          <w:rFonts w:ascii="Times New Roman" w:hAnsi="Times New Roman" w:cs="Times New Roman"/>
          <w:smallCaps/>
          <w:color w:val="000000" w:themeColor="text1"/>
          <w:lang w:val="en-US"/>
        </w:rPr>
        <w:t>)</w:t>
      </w:r>
      <w:r w:rsidRPr="00050C8B">
        <w:rPr>
          <w:rFonts w:ascii="Times New Roman" w:hAnsi="Times New Roman" w:cs="Times New Roman"/>
          <w:smallCaps/>
          <w:color w:val="000000" w:themeColor="text1"/>
          <w:lang w:val="en-US"/>
        </w:rPr>
        <w:t>.</w:t>
      </w:r>
    </w:p>
  </w:footnote>
  <w:footnote w:id="89">
    <w:p w14:paraId="1CDE029C" w14:textId="240F1653" w:rsidR="00F43B80" w:rsidRPr="00050C8B" w:rsidRDefault="00F43B80" w:rsidP="00050C8B">
      <w:pPr>
        <w:jc w:val="both"/>
        <w:textAlignment w:val="baseline"/>
        <w:rPr>
          <w:rFonts w:ascii="Times New Roman" w:eastAsia="Times New Roman" w:hAnsi="Times New Roman" w:cs="Times New Roman"/>
          <w:color w:val="2A2A2A"/>
          <w:sz w:val="20"/>
          <w:szCs w:val="20"/>
          <w:lang w:eastAsia="en-GB"/>
        </w:rPr>
      </w:pPr>
      <w:r w:rsidRPr="00050C8B">
        <w:rPr>
          <w:rStyle w:val="FootnoteReference"/>
          <w:rFonts w:ascii="Times New Roman" w:hAnsi="Times New Roman" w:cs="Times New Roman"/>
          <w:color w:val="000000"/>
          <w:sz w:val="20"/>
          <w:szCs w:val="20"/>
        </w:rPr>
        <w:footnoteRef/>
      </w:r>
      <w:r w:rsidRPr="00050C8B">
        <w:rPr>
          <w:rFonts w:ascii="Times New Roman" w:hAnsi="Times New Roman" w:cs="Times New Roman"/>
          <w:color w:val="000000"/>
          <w:sz w:val="20"/>
          <w:szCs w:val="20"/>
          <w:lang w:val="en-US"/>
        </w:rPr>
        <w:t xml:space="preserve"> K</w:t>
      </w:r>
      <w:r w:rsidR="00F606D6" w:rsidRPr="00050C8B">
        <w:rPr>
          <w:rFonts w:ascii="Times New Roman" w:hAnsi="Times New Roman" w:cs="Times New Roman"/>
          <w:color w:val="000000"/>
          <w:sz w:val="20"/>
          <w:szCs w:val="20"/>
          <w:lang w:val="en-US"/>
        </w:rPr>
        <w:t xml:space="preserve">im </w:t>
      </w:r>
      <w:r w:rsidRPr="00050C8B">
        <w:rPr>
          <w:rFonts w:ascii="Times New Roman" w:hAnsi="Times New Roman" w:cs="Times New Roman"/>
          <w:color w:val="000000"/>
          <w:sz w:val="20"/>
          <w:szCs w:val="20"/>
          <w:lang w:val="en-US"/>
        </w:rPr>
        <w:t>L</w:t>
      </w:r>
      <w:r w:rsidR="00F606D6" w:rsidRPr="00050C8B">
        <w:rPr>
          <w:rFonts w:ascii="Times New Roman" w:hAnsi="Times New Roman" w:cs="Times New Roman"/>
          <w:color w:val="000000"/>
          <w:sz w:val="20"/>
          <w:szCs w:val="20"/>
          <w:lang w:val="en-US"/>
        </w:rPr>
        <w:t>ane</w:t>
      </w:r>
      <w:r w:rsidRPr="00050C8B">
        <w:rPr>
          <w:rFonts w:ascii="Times New Roman" w:hAnsi="Times New Roman" w:cs="Times New Roman"/>
          <w:color w:val="000000"/>
          <w:sz w:val="20"/>
          <w:szCs w:val="20"/>
          <w:lang w:val="en-US"/>
        </w:rPr>
        <w:t xml:space="preserve"> Scheppele, D</w:t>
      </w:r>
      <w:r w:rsidR="00F606D6" w:rsidRPr="00050C8B">
        <w:rPr>
          <w:rFonts w:ascii="Times New Roman" w:hAnsi="Times New Roman" w:cs="Times New Roman"/>
          <w:color w:val="000000"/>
          <w:sz w:val="20"/>
          <w:szCs w:val="20"/>
          <w:lang w:val="en-US"/>
        </w:rPr>
        <w:t>imitry</w:t>
      </w:r>
      <w:r w:rsidRPr="00050C8B">
        <w:rPr>
          <w:rFonts w:ascii="Times New Roman" w:hAnsi="Times New Roman" w:cs="Times New Roman"/>
          <w:color w:val="000000"/>
          <w:sz w:val="20"/>
          <w:szCs w:val="20"/>
          <w:lang w:val="en-US"/>
        </w:rPr>
        <w:t xml:space="preserve"> Kochenov and B</w:t>
      </w:r>
      <w:r w:rsidR="00F606D6" w:rsidRPr="00050C8B">
        <w:rPr>
          <w:rFonts w:ascii="Times New Roman" w:hAnsi="Times New Roman" w:cs="Times New Roman"/>
          <w:color w:val="000000"/>
          <w:sz w:val="20"/>
          <w:szCs w:val="20"/>
          <w:lang w:val="en-US"/>
        </w:rPr>
        <w:t>arbara</w:t>
      </w:r>
      <w:r w:rsidRPr="00050C8B">
        <w:rPr>
          <w:rFonts w:ascii="Times New Roman" w:hAnsi="Times New Roman" w:cs="Times New Roman"/>
          <w:color w:val="000000"/>
          <w:sz w:val="20"/>
          <w:szCs w:val="20"/>
          <w:lang w:val="en-US"/>
        </w:rPr>
        <w:t xml:space="preserve"> Grabowska-Moroz, </w:t>
      </w:r>
      <w:r w:rsidRPr="00050C8B">
        <w:rPr>
          <w:rFonts w:ascii="Times New Roman" w:hAnsi="Times New Roman" w:cs="Times New Roman"/>
          <w:i/>
          <w:iCs/>
          <w:color w:val="000000"/>
          <w:sz w:val="20"/>
          <w:szCs w:val="20"/>
          <w:lang w:val="en-US"/>
        </w:rPr>
        <w:t>EU Values Are Law, after All: Enforcing EU Values through Systemic Infringement Actions by the European Commission and the Member States of the European Union</w:t>
      </w:r>
      <w:r w:rsidRPr="00050C8B">
        <w:rPr>
          <w:rFonts w:ascii="Times New Roman" w:hAnsi="Times New Roman" w:cs="Times New Roman"/>
          <w:color w:val="000000"/>
          <w:sz w:val="20"/>
          <w:szCs w:val="20"/>
          <w:lang w:val="en-US"/>
        </w:rPr>
        <w:t xml:space="preserve">, </w:t>
      </w:r>
      <w:r w:rsidR="00F606D6" w:rsidRPr="00050C8B">
        <w:rPr>
          <w:rFonts w:ascii="Times New Roman" w:hAnsi="Times New Roman" w:cs="Times New Roman"/>
          <w:color w:val="000000"/>
          <w:sz w:val="20"/>
          <w:szCs w:val="20"/>
          <w:lang w:val="en-US"/>
        </w:rPr>
        <w:t xml:space="preserve">39 </w:t>
      </w:r>
      <w:r w:rsidRPr="00050C8B">
        <w:rPr>
          <w:rFonts w:ascii="Times New Roman" w:hAnsi="Times New Roman" w:cs="Times New Roman"/>
          <w:smallCaps/>
          <w:color w:val="000000"/>
          <w:sz w:val="20"/>
          <w:szCs w:val="20"/>
          <w:lang w:val="en-US"/>
        </w:rPr>
        <w:t>Yearbook of European Law</w:t>
      </w:r>
      <w:r w:rsidR="00F606D6" w:rsidRPr="00050C8B">
        <w:rPr>
          <w:rFonts w:ascii="Times New Roman" w:hAnsi="Times New Roman" w:cs="Times New Roman"/>
          <w:color w:val="000000"/>
          <w:sz w:val="20"/>
          <w:szCs w:val="20"/>
          <w:lang w:val="en-US"/>
        </w:rPr>
        <w:t xml:space="preserve"> 3</w:t>
      </w:r>
      <w:r w:rsidRPr="00050C8B">
        <w:rPr>
          <w:rFonts w:ascii="Times New Roman" w:hAnsi="Times New Roman" w:cs="Times New Roman"/>
          <w:color w:val="000000"/>
          <w:sz w:val="20"/>
          <w:szCs w:val="20"/>
          <w:lang w:val="en-US"/>
        </w:rPr>
        <w:t xml:space="preserve"> </w:t>
      </w:r>
      <w:r w:rsidR="00F606D6" w:rsidRPr="00050C8B">
        <w:rPr>
          <w:rFonts w:ascii="Times New Roman" w:hAnsi="Times New Roman" w:cs="Times New Roman"/>
          <w:color w:val="000000"/>
          <w:sz w:val="20"/>
          <w:szCs w:val="20"/>
          <w:lang w:val="en-US"/>
        </w:rPr>
        <w:t>(</w:t>
      </w:r>
      <w:r w:rsidRPr="00050C8B">
        <w:rPr>
          <w:rFonts w:ascii="Times New Roman" w:hAnsi="Times New Roman" w:cs="Times New Roman"/>
          <w:color w:val="000000"/>
          <w:sz w:val="20"/>
          <w:szCs w:val="20"/>
          <w:lang w:val="en-US"/>
        </w:rPr>
        <w:t>2020</w:t>
      </w:r>
      <w:r w:rsidR="00F606D6" w:rsidRPr="00050C8B">
        <w:rPr>
          <w:rFonts w:ascii="Times New Roman" w:hAnsi="Times New Roman" w:cs="Times New Roman"/>
          <w:color w:val="000000"/>
          <w:sz w:val="20"/>
          <w:szCs w:val="20"/>
          <w:lang w:val="en-US"/>
        </w:rPr>
        <w:t>)</w:t>
      </w:r>
      <w:r w:rsidRPr="00050C8B">
        <w:rPr>
          <w:rFonts w:ascii="Times New Roman" w:hAnsi="Times New Roman" w:cs="Times New Roman"/>
          <w:color w:val="000000"/>
          <w:sz w:val="20"/>
          <w:szCs w:val="20"/>
          <w:lang w:val="en-US"/>
        </w:rPr>
        <w:t xml:space="preserve">; A Jakab and D Kochenov (eds.), </w:t>
      </w:r>
      <w:r w:rsidRPr="00050C8B">
        <w:rPr>
          <w:rFonts w:ascii="Times New Roman" w:hAnsi="Times New Roman" w:cs="Times New Roman"/>
          <w:smallCaps/>
          <w:color w:val="000000"/>
          <w:sz w:val="20"/>
          <w:szCs w:val="20"/>
          <w:lang w:val="en-US"/>
        </w:rPr>
        <w:t>The Enforcement of EU Law and Values. Ensuring Member States' Compliance</w:t>
      </w:r>
      <w:r w:rsidRPr="00050C8B">
        <w:rPr>
          <w:rFonts w:ascii="Times New Roman" w:hAnsi="Times New Roman" w:cs="Times New Roman"/>
          <w:color w:val="000000"/>
          <w:sz w:val="20"/>
          <w:szCs w:val="20"/>
          <w:lang w:val="en-US"/>
        </w:rPr>
        <w:t xml:space="preserve"> </w:t>
      </w:r>
      <w:r w:rsidR="00F606D6" w:rsidRPr="00050C8B">
        <w:rPr>
          <w:rFonts w:ascii="Times New Roman" w:hAnsi="Times New Roman" w:cs="Times New Roman"/>
          <w:color w:val="000000"/>
          <w:sz w:val="20"/>
          <w:szCs w:val="20"/>
          <w:lang w:val="en-US"/>
        </w:rPr>
        <w:t>(</w:t>
      </w:r>
      <w:r w:rsidR="00F606D6" w:rsidRPr="00050C8B">
        <w:rPr>
          <w:rFonts w:ascii="Times New Roman" w:eastAsia="Times New Roman" w:hAnsi="Times New Roman" w:cs="Times New Roman"/>
          <w:color w:val="2A2A2A"/>
          <w:sz w:val="20"/>
          <w:szCs w:val="20"/>
          <w:lang w:eastAsia="en-GB"/>
        </w:rPr>
        <w:t>András Jakab and Dimitry Kochenov</w:t>
      </w:r>
      <w:r w:rsidRPr="00050C8B">
        <w:rPr>
          <w:rFonts w:ascii="Times New Roman" w:hAnsi="Times New Roman" w:cs="Times New Roman"/>
          <w:color w:val="000000"/>
          <w:sz w:val="20"/>
          <w:szCs w:val="20"/>
          <w:lang w:val="en-US"/>
        </w:rPr>
        <w:t xml:space="preserve"> </w:t>
      </w:r>
      <w:r w:rsidR="00F606D6" w:rsidRPr="00050C8B">
        <w:rPr>
          <w:rFonts w:ascii="Times New Roman" w:hAnsi="Times New Roman" w:cs="Times New Roman"/>
          <w:color w:val="000000"/>
          <w:sz w:val="20"/>
          <w:szCs w:val="20"/>
          <w:lang w:val="en-US"/>
        </w:rPr>
        <w:t xml:space="preserve">eds., </w:t>
      </w:r>
      <w:r w:rsidRPr="00050C8B">
        <w:rPr>
          <w:rFonts w:ascii="Times New Roman" w:hAnsi="Times New Roman" w:cs="Times New Roman"/>
          <w:color w:val="000000"/>
          <w:sz w:val="20"/>
          <w:szCs w:val="20"/>
          <w:lang w:val="en-US"/>
        </w:rPr>
        <w:t>2017</w:t>
      </w:r>
      <w:r w:rsidR="00F606D6" w:rsidRPr="00050C8B">
        <w:rPr>
          <w:rFonts w:ascii="Times New Roman" w:hAnsi="Times New Roman" w:cs="Times New Roman"/>
          <w:color w:val="000000"/>
          <w:sz w:val="20"/>
          <w:szCs w:val="20"/>
          <w:lang w:val="en-US"/>
        </w:rPr>
        <w:t>)</w:t>
      </w:r>
      <w:r w:rsidRPr="00050C8B">
        <w:rPr>
          <w:rFonts w:ascii="Times New Roman" w:hAnsi="Times New Roman" w:cs="Times New Roman"/>
          <w:color w:val="000000"/>
          <w:sz w:val="20"/>
          <w:szCs w:val="20"/>
          <w:lang w:val="en-US"/>
        </w:rPr>
        <w:t xml:space="preserve">. </w:t>
      </w:r>
    </w:p>
  </w:footnote>
  <w:footnote w:id="90">
    <w:p w14:paraId="4EF8D2CA" w14:textId="1C424DDA" w:rsidR="00E109E9" w:rsidRPr="00050C8B" w:rsidRDefault="00E109E9" w:rsidP="00050C8B">
      <w:pPr>
        <w:pStyle w:val="FootnoteText"/>
        <w:jc w:val="both"/>
        <w:rPr>
          <w:rFonts w:ascii="Times New Roman" w:hAnsi="Times New Roman" w:cs="Times New Roman"/>
          <w:i/>
          <w:iCs/>
          <w:color w:val="000000"/>
          <w:lang w:val="en-US"/>
        </w:rPr>
      </w:pPr>
      <w:r w:rsidRPr="00050C8B">
        <w:rPr>
          <w:rFonts w:ascii="Times New Roman" w:hAnsi="Times New Roman" w:cs="Times New Roman"/>
          <w:color w:val="000000"/>
          <w:vertAlign w:val="superscript"/>
          <w:lang w:val="en-US"/>
        </w:rPr>
        <w:footnoteRef/>
      </w:r>
      <w:r w:rsidRPr="00050C8B">
        <w:rPr>
          <w:rFonts w:ascii="Times New Roman" w:hAnsi="Times New Roman" w:cs="Times New Roman"/>
          <w:color w:val="000000"/>
          <w:lang w:val="fr-FR"/>
        </w:rPr>
        <w:t xml:space="preserve"> Among others, </w:t>
      </w:r>
      <w:r w:rsidRPr="00050C8B">
        <w:rPr>
          <w:rFonts w:ascii="Times New Roman" w:hAnsi="Times New Roman" w:cs="Times New Roman"/>
          <w:i/>
          <w:iCs/>
          <w:color w:val="000000"/>
          <w:lang w:val="fr-FR"/>
        </w:rPr>
        <w:t>see</w:t>
      </w:r>
      <w:r w:rsidRPr="00050C8B">
        <w:rPr>
          <w:rFonts w:ascii="Times New Roman" w:hAnsi="Times New Roman" w:cs="Times New Roman"/>
          <w:color w:val="000000"/>
          <w:lang w:val="fr-FR"/>
        </w:rPr>
        <w:t xml:space="preserve"> </w:t>
      </w:r>
      <w:r w:rsidRPr="00050C8B">
        <w:rPr>
          <w:rFonts w:ascii="Times New Roman" w:hAnsi="Times New Roman" w:cs="Times New Roman"/>
          <w:i/>
          <w:iCs/>
          <w:color w:val="000000"/>
          <w:lang w:val="fr-FR"/>
        </w:rPr>
        <w:t>Commission v. Hungary (Transparence associative)</w:t>
      </w:r>
      <w:r w:rsidRPr="00050C8B">
        <w:rPr>
          <w:rFonts w:ascii="Times New Roman" w:hAnsi="Times New Roman" w:cs="Times New Roman"/>
          <w:color w:val="000000"/>
          <w:lang w:val="fr-FR"/>
        </w:rPr>
        <w:t xml:space="preserve">, </w:t>
      </w:r>
      <w:r w:rsidR="005B7683" w:rsidRPr="00050C8B">
        <w:rPr>
          <w:rFonts w:ascii="Times New Roman" w:hAnsi="Times New Roman" w:cs="Times New Roman"/>
          <w:color w:val="000000"/>
          <w:lang w:val="fr-FR"/>
        </w:rPr>
        <w:t xml:space="preserve">Case C-78/18, </w:t>
      </w:r>
      <w:proofErr w:type="gramStart"/>
      <w:r w:rsidRPr="00050C8B">
        <w:rPr>
          <w:rFonts w:ascii="Times New Roman" w:hAnsi="Times New Roman" w:cs="Times New Roman"/>
          <w:color w:val="000000"/>
          <w:lang w:val="fr-FR"/>
        </w:rPr>
        <w:t>ECLI:</w:t>
      </w:r>
      <w:proofErr w:type="gramEnd"/>
      <w:r w:rsidRPr="00050C8B">
        <w:rPr>
          <w:rFonts w:ascii="Times New Roman" w:hAnsi="Times New Roman" w:cs="Times New Roman"/>
          <w:color w:val="000000"/>
          <w:lang w:val="fr-FR"/>
        </w:rPr>
        <w:t xml:space="preserve">EU:C:2020:476; </w:t>
      </w:r>
      <w:r w:rsidRPr="00050C8B">
        <w:rPr>
          <w:rFonts w:ascii="Times New Roman" w:hAnsi="Times New Roman" w:cs="Times New Roman"/>
          <w:i/>
          <w:iCs/>
          <w:color w:val="000000"/>
          <w:lang w:val="fr-FR"/>
        </w:rPr>
        <w:t>Commission v. Poland (Mécanisme temporaire de relocalisation de demandeurs de protection internationale),</w:t>
      </w:r>
      <w:r w:rsidR="005B7683" w:rsidRPr="00050C8B">
        <w:rPr>
          <w:rFonts w:ascii="Times New Roman" w:hAnsi="Times New Roman" w:cs="Times New Roman"/>
          <w:color w:val="000000"/>
          <w:lang w:val="fr-FR"/>
        </w:rPr>
        <w:t xml:space="preserve"> Case</w:t>
      </w:r>
      <w:r w:rsidRPr="00050C8B">
        <w:rPr>
          <w:rFonts w:ascii="Times New Roman" w:hAnsi="Times New Roman" w:cs="Times New Roman"/>
          <w:i/>
          <w:iCs/>
          <w:color w:val="000000"/>
          <w:lang w:val="fr-FR"/>
        </w:rPr>
        <w:t xml:space="preserve"> </w:t>
      </w:r>
      <w:r w:rsidR="005B7683" w:rsidRPr="00050C8B">
        <w:rPr>
          <w:rFonts w:ascii="Times New Roman" w:hAnsi="Times New Roman" w:cs="Times New Roman"/>
          <w:color w:val="000000"/>
          <w:lang w:val="fr-FR"/>
        </w:rPr>
        <w:t xml:space="preserve">C-715/17 </w:t>
      </w:r>
      <w:r w:rsidRPr="00050C8B">
        <w:rPr>
          <w:rFonts w:ascii="Times New Roman" w:hAnsi="Times New Roman" w:cs="Times New Roman"/>
          <w:color w:val="000000"/>
          <w:lang w:val="fr-FR"/>
        </w:rPr>
        <w:t xml:space="preserve">ECLI:EU:C:2020:257. </w:t>
      </w:r>
      <w:r w:rsidRPr="00050C8B">
        <w:rPr>
          <w:rFonts w:ascii="Times New Roman" w:hAnsi="Times New Roman" w:cs="Times New Roman"/>
          <w:color w:val="000000"/>
          <w:lang w:val="en-US"/>
        </w:rPr>
        <w:t>For an overview see: R Mańko,</w:t>
      </w:r>
      <w:r w:rsidRPr="00050C8B">
        <w:rPr>
          <w:rFonts w:ascii="Times New Roman" w:hAnsi="Times New Roman" w:cs="Times New Roman"/>
          <w:i/>
          <w:iCs/>
          <w:color w:val="000000"/>
          <w:lang w:val="en-US"/>
        </w:rPr>
        <w:t xml:space="preserve"> Protecting the rule of law in the EU Existing mechanisms and possible improvements</w:t>
      </w:r>
      <w:r w:rsidRPr="00050C8B">
        <w:rPr>
          <w:rFonts w:ascii="Times New Roman" w:hAnsi="Times New Roman" w:cs="Times New Roman"/>
          <w:color w:val="000000"/>
          <w:lang w:val="en-US"/>
        </w:rPr>
        <w:t xml:space="preserve">, European Parliamentary Research Service, 2019, </w:t>
      </w:r>
      <w:hyperlink r:id="rId19" w:history="1">
        <w:r w:rsidRPr="00050C8B">
          <w:rPr>
            <w:rStyle w:val="Hyperlink0"/>
            <w:rFonts w:ascii="Times New Roman" w:eastAsia="Calibri" w:hAnsi="Times New Roman" w:cs="Times New Roman"/>
            <w:color w:val="000000"/>
          </w:rPr>
          <w:t>https://www.europarl.europa.eu/RegData/etudes/BRIE/2019/642280/EPRS_BRI(2019)642280_EN.pdf</w:t>
        </w:r>
      </w:hyperlink>
    </w:p>
  </w:footnote>
  <w:footnote w:id="91">
    <w:p w14:paraId="657E907A" w14:textId="330E7D19" w:rsidR="00F43B80" w:rsidRPr="00050C8B" w:rsidRDefault="00F43B80" w:rsidP="00050C8B">
      <w:pPr>
        <w:pStyle w:val="FootnoteText"/>
        <w:jc w:val="both"/>
        <w:rPr>
          <w:rFonts w:ascii="Times New Roman" w:hAnsi="Times New Roman" w:cs="Times New Roman"/>
          <w:color w:val="000000"/>
          <w:lang w:val="en-US"/>
        </w:rPr>
      </w:pPr>
      <w:r w:rsidRPr="00050C8B">
        <w:rPr>
          <w:rFonts w:ascii="Times New Roman" w:hAnsi="Times New Roman" w:cs="Times New Roman"/>
          <w:color w:val="000000"/>
          <w:vertAlign w:val="superscript"/>
          <w:lang w:val="en-US"/>
        </w:rPr>
        <w:footnoteRef/>
      </w:r>
      <w:r w:rsidRPr="00050C8B">
        <w:rPr>
          <w:rFonts w:ascii="Times New Roman" w:hAnsi="Times New Roman" w:cs="Times New Roman"/>
          <w:color w:val="000000"/>
          <w:lang w:val="en-US"/>
        </w:rPr>
        <w:t xml:space="preserve"> For instance, </w:t>
      </w:r>
      <w:r w:rsidRPr="00050C8B">
        <w:rPr>
          <w:rFonts w:ascii="Times New Roman" w:hAnsi="Times New Roman" w:cs="Times New Roman"/>
          <w:i/>
          <w:iCs/>
          <w:color w:val="000000"/>
          <w:lang w:val="en-US"/>
        </w:rPr>
        <w:t>Minister for Justice and Equality v. LM</w:t>
      </w:r>
      <w:r w:rsidRPr="00050C8B">
        <w:rPr>
          <w:rFonts w:ascii="Times New Roman" w:hAnsi="Times New Roman" w:cs="Times New Roman"/>
          <w:color w:val="000000"/>
          <w:lang w:val="en-US"/>
        </w:rPr>
        <w:t>,</w:t>
      </w:r>
      <w:r w:rsidR="005B7683" w:rsidRPr="00050C8B">
        <w:rPr>
          <w:rFonts w:ascii="Times New Roman" w:hAnsi="Times New Roman" w:cs="Times New Roman"/>
          <w:color w:val="000000"/>
          <w:lang w:val="en-US"/>
        </w:rPr>
        <w:t xml:space="preserve"> Case C</w:t>
      </w:r>
      <w:r w:rsidR="005B7683" w:rsidRPr="00050C8B">
        <w:rPr>
          <w:rFonts w:ascii="Times New Roman" w:eastAsia="Arial Unicode MS" w:hAnsi="Times New Roman" w:cs="Times New Roman"/>
          <w:color w:val="000000"/>
          <w:lang w:val="en-US"/>
        </w:rPr>
        <w:t>‑</w:t>
      </w:r>
      <w:r w:rsidR="005B7683" w:rsidRPr="00050C8B">
        <w:rPr>
          <w:rFonts w:ascii="Times New Roman" w:hAnsi="Times New Roman" w:cs="Times New Roman"/>
          <w:color w:val="000000"/>
          <w:lang w:val="en-US"/>
        </w:rPr>
        <w:t>216/18 PPU</w:t>
      </w:r>
      <w:r w:rsidRPr="00050C8B">
        <w:rPr>
          <w:rFonts w:ascii="Times New Roman" w:hAnsi="Times New Roman" w:cs="Times New Roman"/>
          <w:color w:val="000000"/>
          <w:lang w:val="en-US"/>
        </w:rPr>
        <w:t xml:space="preserve"> ECLI:EU:C:2018:586.</w:t>
      </w:r>
    </w:p>
  </w:footnote>
  <w:footnote w:id="92">
    <w:p w14:paraId="2A7E429F" w14:textId="6937B701" w:rsidR="00F43B80" w:rsidRPr="00050C8B" w:rsidRDefault="00F43B80" w:rsidP="00050C8B">
      <w:pPr>
        <w:pStyle w:val="FootnoteText"/>
        <w:jc w:val="both"/>
        <w:rPr>
          <w:rFonts w:ascii="Times New Roman" w:hAnsi="Times New Roman" w:cs="Times New Roman"/>
          <w:color w:val="000000"/>
          <w:lang w:val="en-US"/>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lang w:val="en-US"/>
        </w:rPr>
        <w:t xml:space="preserve"> </w:t>
      </w:r>
      <w:r w:rsidRPr="00050C8B">
        <w:rPr>
          <w:rFonts w:ascii="Times New Roman" w:hAnsi="Times New Roman" w:cs="Times New Roman"/>
          <w:i/>
          <w:iCs/>
          <w:color w:val="000000"/>
          <w:lang w:val="en-US"/>
        </w:rPr>
        <w:t>Commission v. Poland (Independence of the Supreme Court)</w:t>
      </w:r>
      <w:r w:rsidRPr="00050C8B">
        <w:rPr>
          <w:rFonts w:ascii="Times New Roman" w:hAnsi="Times New Roman" w:cs="Times New Roman"/>
          <w:color w:val="000000"/>
          <w:lang w:val="en-US"/>
        </w:rPr>
        <w:t xml:space="preserve">, </w:t>
      </w:r>
      <w:r w:rsidR="001E362C" w:rsidRPr="00050C8B">
        <w:rPr>
          <w:rFonts w:ascii="Times New Roman" w:hAnsi="Times New Roman" w:cs="Times New Roman"/>
          <w:color w:val="000000"/>
          <w:lang w:val="en-US"/>
        </w:rPr>
        <w:t>Case C-619/18</w:t>
      </w:r>
      <w:r w:rsidR="001E362C" w:rsidRPr="00050C8B">
        <w:rPr>
          <w:rFonts w:ascii="Times New Roman" w:hAnsi="Times New Roman" w:cs="Times New Roman"/>
          <w:i/>
          <w:iCs/>
          <w:color w:val="000000"/>
          <w:lang w:val="en-US"/>
        </w:rPr>
        <w:t xml:space="preserve">, </w:t>
      </w:r>
      <w:r w:rsidRPr="00050C8B">
        <w:rPr>
          <w:rFonts w:ascii="Times New Roman" w:hAnsi="Times New Roman" w:cs="Times New Roman"/>
          <w:color w:val="000000"/>
          <w:lang w:val="en-US"/>
        </w:rPr>
        <w:t>ECLI:EU:C:2019:531, para 72. On this reading see X</w:t>
      </w:r>
      <w:r w:rsidR="001E362C" w:rsidRPr="00050C8B">
        <w:rPr>
          <w:rFonts w:ascii="Times New Roman" w:hAnsi="Times New Roman" w:cs="Times New Roman"/>
          <w:color w:val="000000"/>
          <w:lang w:val="en-US"/>
        </w:rPr>
        <w:t>avier</w:t>
      </w:r>
      <w:r w:rsidRPr="00050C8B">
        <w:rPr>
          <w:rFonts w:ascii="Times New Roman" w:hAnsi="Times New Roman" w:cs="Times New Roman"/>
          <w:color w:val="000000"/>
          <w:lang w:val="en-US"/>
        </w:rPr>
        <w:t xml:space="preserve"> Groussot and G</w:t>
      </w:r>
      <w:r w:rsidR="001E362C" w:rsidRPr="00050C8B">
        <w:rPr>
          <w:rFonts w:ascii="Times New Roman" w:hAnsi="Times New Roman" w:cs="Times New Roman"/>
          <w:color w:val="000000"/>
          <w:lang w:val="en-US"/>
        </w:rPr>
        <w:t>iuseppe</w:t>
      </w:r>
      <w:r w:rsidRPr="00050C8B">
        <w:rPr>
          <w:rFonts w:ascii="Times New Roman" w:hAnsi="Times New Roman" w:cs="Times New Roman"/>
          <w:color w:val="000000"/>
          <w:lang w:val="en-US"/>
        </w:rPr>
        <w:t xml:space="preserve"> Martinico, </w:t>
      </w:r>
      <w:r w:rsidRPr="00050C8B">
        <w:rPr>
          <w:rFonts w:ascii="Times New Roman" w:hAnsi="Times New Roman" w:cs="Times New Roman"/>
          <w:i/>
          <w:iCs/>
          <w:color w:val="000000"/>
          <w:lang w:val="en-US"/>
        </w:rPr>
        <w:t>Mutual trust, the rule of law and the Charter: A new age of judicial activism</w:t>
      </w:r>
      <w:r w:rsidRPr="00050C8B">
        <w:rPr>
          <w:rFonts w:ascii="Times New Roman" w:hAnsi="Times New Roman" w:cs="Times New Roman"/>
          <w:color w:val="000000"/>
          <w:lang w:val="en-US"/>
        </w:rPr>
        <w:t>,</w:t>
      </w:r>
      <w:r w:rsidR="001E362C" w:rsidRPr="00050C8B">
        <w:rPr>
          <w:rFonts w:ascii="Times New Roman" w:hAnsi="Times New Roman" w:cs="Times New Roman"/>
          <w:color w:val="000000"/>
          <w:lang w:val="en-US"/>
        </w:rPr>
        <w:t xml:space="preserve"> </w:t>
      </w:r>
      <w:r w:rsidR="001E362C" w:rsidRPr="00050C8B">
        <w:rPr>
          <w:rFonts w:ascii="Times New Roman" w:hAnsi="Times New Roman" w:cs="Times New Roman"/>
          <w:smallCaps/>
          <w:color w:val="000000"/>
          <w:lang w:val="en-US"/>
        </w:rPr>
        <w:t xml:space="preserve">EU Law Live (24 </w:t>
      </w:r>
      <w:r w:rsidR="001E362C" w:rsidRPr="00050C8B">
        <w:rPr>
          <w:rFonts w:ascii="Times New Roman" w:hAnsi="Times New Roman" w:cs="Times New Roman"/>
          <w:color w:val="000000"/>
          <w:lang w:val="en-US"/>
        </w:rPr>
        <w:t xml:space="preserve">January </w:t>
      </w:r>
      <w:r w:rsidRPr="00050C8B">
        <w:rPr>
          <w:rFonts w:ascii="Times New Roman" w:hAnsi="Times New Roman" w:cs="Times New Roman"/>
          <w:color w:val="000000"/>
          <w:lang w:val="en-US"/>
        </w:rPr>
        <w:t>2020</w:t>
      </w:r>
      <w:r w:rsidR="001E362C" w:rsidRPr="00050C8B">
        <w:rPr>
          <w:rFonts w:ascii="Times New Roman" w:hAnsi="Times New Roman" w:cs="Times New Roman"/>
          <w:color w:val="000000"/>
          <w:lang w:val="en-US"/>
        </w:rPr>
        <w:t>)</w:t>
      </w:r>
      <w:r w:rsidRPr="00050C8B">
        <w:rPr>
          <w:rFonts w:ascii="Times New Roman" w:hAnsi="Times New Roman" w:cs="Times New Roman"/>
          <w:color w:val="000000"/>
          <w:lang w:val="en-US"/>
        </w:rPr>
        <w:t xml:space="preserve">, </w:t>
      </w:r>
      <w:hyperlink r:id="rId20" w:history="1">
        <w:r w:rsidRPr="00050C8B">
          <w:rPr>
            <w:rStyle w:val="Hyperlink"/>
            <w:rFonts w:ascii="Times New Roman" w:hAnsi="Times New Roman" w:cs="Times New Roman"/>
            <w:color w:val="000000"/>
            <w:lang w:val="en-US"/>
          </w:rPr>
          <w:t>https://eulawlive.com/long-read-mutual-trust-the-rule-of-law-and-the-charter-a-new-age-for-judicial-activism-by-xavier-grousot-and-giuseppe-martinico/</w:t>
        </w:r>
      </w:hyperlink>
      <w:r w:rsidRPr="00050C8B">
        <w:rPr>
          <w:rFonts w:ascii="Times New Roman" w:hAnsi="Times New Roman" w:cs="Times New Roman"/>
          <w:color w:val="000000"/>
          <w:lang w:val="en-US"/>
        </w:rPr>
        <w:t>. More recently L</w:t>
      </w:r>
      <w:r w:rsidR="001E362C" w:rsidRPr="00050C8B">
        <w:rPr>
          <w:rFonts w:ascii="Times New Roman" w:hAnsi="Times New Roman" w:cs="Times New Roman"/>
          <w:color w:val="000000"/>
          <w:lang w:val="en-US"/>
        </w:rPr>
        <w:t>eandro</w:t>
      </w:r>
      <w:r w:rsidRPr="00050C8B">
        <w:rPr>
          <w:rFonts w:ascii="Times New Roman" w:hAnsi="Times New Roman" w:cs="Times New Roman"/>
          <w:color w:val="000000"/>
          <w:lang w:val="en-US"/>
        </w:rPr>
        <w:t xml:space="preserve"> Mancano, </w:t>
      </w:r>
      <w:proofErr w:type="gramStart"/>
      <w:r w:rsidRPr="00050C8B">
        <w:rPr>
          <w:rFonts w:ascii="Times New Roman" w:hAnsi="Times New Roman" w:cs="Times New Roman"/>
          <w:i/>
          <w:iCs/>
          <w:color w:val="000000"/>
          <w:lang w:val="en-US"/>
        </w:rPr>
        <w:t>You'll</w:t>
      </w:r>
      <w:proofErr w:type="gramEnd"/>
      <w:r w:rsidRPr="00050C8B">
        <w:rPr>
          <w:rFonts w:ascii="Times New Roman" w:hAnsi="Times New Roman" w:cs="Times New Roman"/>
          <w:i/>
          <w:iCs/>
          <w:color w:val="000000"/>
          <w:lang w:val="en-US"/>
        </w:rPr>
        <w:t xml:space="preserve"> never work alone: A systemic assessment of the European Arrest Warrant and judicial independence</w:t>
      </w:r>
      <w:r w:rsidRPr="00050C8B">
        <w:rPr>
          <w:rFonts w:ascii="Times New Roman" w:hAnsi="Times New Roman" w:cs="Times New Roman"/>
          <w:color w:val="000000"/>
          <w:lang w:val="en-US"/>
        </w:rPr>
        <w:t xml:space="preserve">, </w:t>
      </w:r>
      <w:r w:rsidR="001E362C" w:rsidRPr="00050C8B">
        <w:rPr>
          <w:rFonts w:ascii="Times New Roman" w:hAnsi="Times New Roman" w:cs="Times New Roman"/>
          <w:color w:val="000000"/>
          <w:lang w:val="en-US"/>
        </w:rPr>
        <w:t xml:space="preserve">58 </w:t>
      </w:r>
      <w:r w:rsidRPr="00050C8B">
        <w:rPr>
          <w:rFonts w:ascii="Times New Roman" w:hAnsi="Times New Roman" w:cs="Times New Roman"/>
          <w:smallCaps/>
          <w:color w:val="000000"/>
          <w:lang w:val="en-US"/>
        </w:rPr>
        <w:t>Common Market Law Review</w:t>
      </w:r>
      <w:r w:rsidR="001E362C" w:rsidRPr="00050C8B">
        <w:rPr>
          <w:rFonts w:ascii="Times New Roman" w:hAnsi="Times New Roman" w:cs="Times New Roman"/>
          <w:color w:val="000000"/>
          <w:lang w:val="en-US"/>
        </w:rPr>
        <w:t xml:space="preserve"> 683 (</w:t>
      </w:r>
      <w:r w:rsidRPr="00050C8B">
        <w:rPr>
          <w:rFonts w:ascii="Times New Roman" w:hAnsi="Times New Roman" w:cs="Times New Roman"/>
          <w:color w:val="000000"/>
          <w:lang w:val="en-US"/>
        </w:rPr>
        <w:t>2021</w:t>
      </w:r>
      <w:r w:rsidR="001E362C" w:rsidRPr="00050C8B">
        <w:rPr>
          <w:rFonts w:ascii="Times New Roman" w:hAnsi="Times New Roman" w:cs="Times New Roman"/>
          <w:color w:val="000000"/>
          <w:lang w:val="en-US"/>
        </w:rPr>
        <w:t>).</w:t>
      </w:r>
    </w:p>
  </w:footnote>
  <w:footnote w:id="93">
    <w:p w14:paraId="48CE95B1" w14:textId="339118A2" w:rsidR="00F43B80" w:rsidRPr="00050C8B" w:rsidRDefault="00F43B80" w:rsidP="00050C8B">
      <w:pPr>
        <w:pStyle w:val="FootnoteText"/>
        <w:jc w:val="both"/>
        <w:rPr>
          <w:rFonts w:ascii="Times New Roman" w:hAnsi="Times New Roman" w:cs="Times New Roman"/>
          <w:color w:val="000000"/>
          <w:lang w:val="en-US"/>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lang w:val="pt-BR"/>
        </w:rPr>
        <w:t xml:space="preserve"> </w:t>
      </w:r>
      <w:r w:rsidRPr="00050C8B">
        <w:rPr>
          <w:rFonts w:ascii="Times New Roman" w:hAnsi="Times New Roman" w:cs="Times New Roman"/>
          <w:i/>
          <w:iCs/>
          <w:color w:val="000000"/>
          <w:lang w:val="pt-BR"/>
        </w:rPr>
        <w:t>Associação Sindical dos Juízes Portugueses</w:t>
      </w:r>
      <w:r w:rsidRPr="00050C8B">
        <w:rPr>
          <w:rFonts w:ascii="Times New Roman" w:hAnsi="Times New Roman" w:cs="Times New Roman"/>
          <w:color w:val="000000"/>
          <w:lang w:val="pt-BR"/>
        </w:rPr>
        <w:t>,</w:t>
      </w:r>
      <w:r w:rsidR="001E362C" w:rsidRPr="00050C8B">
        <w:rPr>
          <w:rFonts w:ascii="Times New Roman" w:hAnsi="Times New Roman" w:cs="Times New Roman"/>
          <w:color w:val="000000"/>
          <w:lang w:val="pt-BR"/>
        </w:rPr>
        <w:t xml:space="preserve"> Case C-64/16,</w:t>
      </w:r>
      <w:r w:rsidRPr="00050C8B">
        <w:rPr>
          <w:rFonts w:ascii="Times New Roman" w:hAnsi="Times New Roman" w:cs="Times New Roman"/>
          <w:color w:val="000000"/>
          <w:lang w:val="pt-BR"/>
        </w:rPr>
        <w:t xml:space="preserve"> EU:C:2018:117, paras. </w:t>
      </w:r>
      <w:r w:rsidRPr="00050C8B">
        <w:rPr>
          <w:rFonts w:ascii="Times New Roman" w:hAnsi="Times New Roman" w:cs="Times New Roman"/>
          <w:color w:val="000000"/>
          <w:lang w:val="en-US"/>
        </w:rPr>
        <w:t>31–</w:t>
      </w:r>
      <w:proofErr w:type="gramStart"/>
      <w:r w:rsidRPr="00050C8B">
        <w:rPr>
          <w:rFonts w:ascii="Times New Roman" w:hAnsi="Times New Roman" w:cs="Times New Roman"/>
          <w:color w:val="000000"/>
          <w:lang w:val="en-US"/>
        </w:rPr>
        <w:t>41..</w:t>
      </w:r>
      <w:proofErr w:type="gramEnd"/>
      <w:r w:rsidRPr="00050C8B">
        <w:rPr>
          <w:rFonts w:ascii="Times New Roman" w:hAnsi="Times New Roman" w:cs="Times New Roman"/>
          <w:color w:val="000000"/>
          <w:lang w:val="en-US"/>
        </w:rPr>
        <w:t xml:space="preserve"> </w:t>
      </w:r>
    </w:p>
  </w:footnote>
  <w:footnote w:id="94">
    <w:p w14:paraId="5F5B7346" w14:textId="07AF547A"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i/>
          <w:iCs/>
          <w:lang w:val="en-US"/>
        </w:rPr>
        <w:t>See</w:t>
      </w:r>
      <w:r w:rsidRPr="00050C8B">
        <w:rPr>
          <w:rFonts w:ascii="Times New Roman" w:hAnsi="Times New Roman" w:cs="Times New Roman"/>
          <w:lang w:val="en-US"/>
        </w:rPr>
        <w:t xml:space="preserve"> M</w:t>
      </w:r>
      <w:r w:rsidR="001E362C" w:rsidRPr="00050C8B">
        <w:rPr>
          <w:rFonts w:ascii="Times New Roman" w:hAnsi="Times New Roman" w:cs="Times New Roman"/>
          <w:lang w:val="en-US"/>
        </w:rPr>
        <w:t>atteo</w:t>
      </w:r>
      <w:r w:rsidRPr="00050C8B">
        <w:rPr>
          <w:rFonts w:ascii="Times New Roman" w:hAnsi="Times New Roman" w:cs="Times New Roman"/>
          <w:lang w:val="en-US"/>
        </w:rPr>
        <w:t xml:space="preserve"> Bonelli, </w:t>
      </w:r>
      <w:r w:rsidRPr="00050C8B">
        <w:rPr>
          <w:rFonts w:ascii="Times New Roman" w:hAnsi="Times New Roman" w:cs="Times New Roman"/>
          <w:i/>
          <w:iCs/>
          <w:lang w:val="en-US"/>
        </w:rPr>
        <w:t>The primacy of judicial independence in the CJEU’s case law</w:t>
      </w:r>
      <w:r w:rsidRPr="00050C8B">
        <w:rPr>
          <w:rFonts w:ascii="Times New Roman" w:hAnsi="Times New Roman" w:cs="Times New Roman"/>
          <w:lang w:val="en-US"/>
        </w:rPr>
        <w:t xml:space="preserve">, </w:t>
      </w:r>
      <w:r w:rsidR="001E362C" w:rsidRPr="00050C8B">
        <w:rPr>
          <w:rFonts w:ascii="Times New Roman" w:hAnsi="Times New Roman" w:cs="Times New Roman"/>
          <w:lang w:val="en-US"/>
        </w:rPr>
        <w:t>(</w:t>
      </w:r>
      <w:r w:rsidRPr="00050C8B">
        <w:rPr>
          <w:rFonts w:ascii="Times New Roman" w:hAnsi="Times New Roman" w:cs="Times New Roman"/>
          <w:lang w:val="en-US"/>
        </w:rPr>
        <w:t>20 June 2023</w:t>
      </w:r>
      <w:r w:rsidR="001E362C" w:rsidRPr="00050C8B">
        <w:rPr>
          <w:rFonts w:ascii="Times New Roman" w:hAnsi="Times New Roman" w:cs="Times New Roman"/>
          <w:lang w:val="en-US"/>
        </w:rPr>
        <w:t>)</w:t>
      </w:r>
      <w:r w:rsidRPr="00050C8B">
        <w:rPr>
          <w:rFonts w:ascii="Times New Roman" w:hAnsi="Times New Roman" w:cs="Times New Roman"/>
          <w:lang w:val="en-US"/>
        </w:rPr>
        <w:t xml:space="preserve">, </w:t>
      </w:r>
      <w:hyperlink r:id="rId21" w:history="1">
        <w:r w:rsidRPr="00050C8B">
          <w:rPr>
            <w:rStyle w:val="Hyperlink"/>
            <w:rFonts w:ascii="Times New Roman" w:hAnsi="Times New Roman" w:cs="Times New Roman"/>
            <w:lang w:val="en-US"/>
          </w:rPr>
          <w:t>https://www.youtube.com/watch?v=5s7_gY1SdbU&amp;t=5s</w:t>
        </w:r>
      </w:hyperlink>
      <w:r w:rsidRPr="00050C8B">
        <w:rPr>
          <w:rFonts w:ascii="Times New Roman" w:hAnsi="Times New Roman" w:cs="Times New Roman"/>
          <w:lang w:val="en-US"/>
        </w:rPr>
        <w:t xml:space="preserve"> </w:t>
      </w:r>
    </w:p>
  </w:footnote>
  <w:footnote w:id="95">
    <w:p w14:paraId="3331EEFE" w14:textId="6FD1A473" w:rsidR="00F43B80" w:rsidRPr="00050C8B" w:rsidRDefault="00F43B80" w:rsidP="00050C8B">
      <w:pPr>
        <w:pStyle w:val="FootnoteText"/>
        <w:jc w:val="both"/>
        <w:rPr>
          <w:rFonts w:ascii="Times New Roman" w:hAnsi="Times New Roman" w:cs="Times New Roman"/>
          <w:color w:val="000000"/>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1E362C" w:rsidRPr="00050C8B">
        <w:rPr>
          <w:rFonts w:ascii="Times New Roman" w:hAnsi="Times New Roman" w:cs="Times New Roman"/>
          <w:i/>
          <w:iCs/>
          <w:color w:val="000000"/>
          <w:lang w:val="en-US"/>
        </w:rPr>
        <w:t xml:space="preserve">See supra </w:t>
      </w:r>
      <w:r w:rsidR="001E362C" w:rsidRPr="00050C8B">
        <w:rPr>
          <w:rFonts w:ascii="Times New Roman" w:hAnsi="Times New Roman" w:cs="Times New Roman"/>
          <w:color w:val="000000"/>
          <w:lang w:val="en-US"/>
        </w:rPr>
        <w:t>note 7</w:t>
      </w:r>
      <w:r w:rsidR="00301050">
        <w:rPr>
          <w:rFonts w:ascii="Times New Roman" w:hAnsi="Times New Roman" w:cs="Times New Roman"/>
          <w:color w:val="000000"/>
          <w:lang w:val="en-US"/>
        </w:rPr>
        <w:t>7</w:t>
      </w:r>
      <w:r w:rsidRPr="00050C8B">
        <w:rPr>
          <w:rFonts w:ascii="Times New Roman" w:hAnsi="Times New Roman" w:cs="Times New Roman"/>
          <w:color w:val="000000"/>
          <w:lang w:val="en-US"/>
        </w:rPr>
        <w:t xml:space="preserve">. </w:t>
      </w:r>
    </w:p>
  </w:footnote>
  <w:footnote w:id="96">
    <w:p w14:paraId="0FB37F8E" w14:textId="049A8C99"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i/>
          <w:iCs/>
        </w:rPr>
        <w:t>Euro Box Promotion and Others</w:t>
      </w:r>
      <w:r w:rsidRPr="00050C8B">
        <w:rPr>
          <w:rFonts w:ascii="Times New Roman" w:hAnsi="Times New Roman" w:cs="Times New Roman"/>
        </w:rPr>
        <w:t>,</w:t>
      </w:r>
      <w:r w:rsidR="001E362C" w:rsidRPr="00050C8B">
        <w:rPr>
          <w:rFonts w:ascii="Times New Roman" w:hAnsi="Times New Roman" w:cs="Times New Roman"/>
        </w:rPr>
        <w:t xml:space="preserve"> Case C-357/19,</w:t>
      </w:r>
      <w:r w:rsidRPr="00050C8B">
        <w:rPr>
          <w:rFonts w:ascii="Times New Roman" w:hAnsi="Times New Roman" w:cs="Times New Roman"/>
        </w:rPr>
        <w:t xml:space="preserve"> ECLI:EU:C:2021:1034. </w:t>
      </w:r>
      <w:r w:rsidRPr="00050C8B">
        <w:rPr>
          <w:rFonts w:ascii="Times New Roman" w:hAnsi="Times New Roman" w:cs="Times New Roman"/>
          <w:i/>
          <w:iCs/>
          <w:lang w:val="en-US"/>
        </w:rPr>
        <w:t>RS</w:t>
      </w:r>
      <w:r w:rsidRPr="00050C8B">
        <w:rPr>
          <w:rFonts w:ascii="Times New Roman" w:hAnsi="Times New Roman" w:cs="Times New Roman"/>
          <w:lang w:val="en-US"/>
        </w:rPr>
        <w:t>,</w:t>
      </w:r>
      <w:r w:rsidR="001E362C" w:rsidRPr="00050C8B">
        <w:rPr>
          <w:rFonts w:ascii="Times New Roman" w:hAnsi="Times New Roman" w:cs="Times New Roman"/>
          <w:lang w:val="en-US"/>
        </w:rPr>
        <w:t xml:space="preserve"> Case C‑430/21,</w:t>
      </w:r>
      <w:r w:rsidRPr="00050C8B">
        <w:rPr>
          <w:rFonts w:ascii="Times New Roman" w:hAnsi="Times New Roman" w:cs="Times New Roman"/>
          <w:lang w:val="en-US"/>
        </w:rPr>
        <w:t xml:space="preserve"> ECLI:EU:C:2022:99.</w:t>
      </w:r>
    </w:p>
  </w:footnote>
  <w:footnote w:id="97">
    <w:p w14:paraId="5CEB8E74" w14:textId="363ABE30"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w:t>
      </w:r>
      <w:r w:rsidRPr="00050C8B">
        <w:rPr>
          <w:rFonts w:ascii="Times New Roman" w:hAnsi="Times New Roman" w:cs="Times New Roman"/>
          <w:i/>
          <w:iCs/>
          <w:lang w:val="en-US"/>
        </w:rPr>
        <w:t>Commission v Poland IV</w:t>
      </w:r>
      <w:r w:rsidRPr="00050C8B">
        <w:rPr>
          <w:rFonts w:ascii="Times New Roman" w:hAnsi="Times New Roman" w:cs="Times New Roman"/>
          <w:lang w:val="en-US"/>
        </w:rPr>
        <w:t xml:space="preserve">, </w:t>
      </w:r>
      <w:r w:rsidR="001E362C" w:rsidRPr="00050C8B">
        <w:rPr>
          <w:rFonts w:ascii="Times New Roman" w:hAnsi="Times New Roman" w:cs="Times New Roman"/>
          <w:lang w:val="en-US"/>
        </w:rPr>
        <w:t xml:space="preserve">Case C-204/21, </w:t>
      </w:r>
      <w:r w:rsidRPr="00050C8B">
        <w:rPr>
          <w:rFonts w:ascii="Times New Roman" w:hAnsi="Times New Roman" w:cs="Times New Roman"/>
          <w:lang w:val="en-US"/>
        </w:rPr>
        <w:t>ECLI:EU:C:2023:442.</w:t>
      </w:r>
    </w:p>
  </w:footnote>
  <w:footnote w:id="98">
    <w:p w14:paraId="2BFBFAEC" w14:textId="117F86EB" w:rsidR="00F43B80" w:rsidRPr="00050C8B" w:rsidRDefault="00F43B80" w:rsidP="00050C8B">
      <w:pPr>
        <w:pStyle w:val="FootnoteText"/>
        <w:jc w:val="both"/>
        <w:rPr>
          <w:rFonts w:ascii="Times New Roman" w:hAnsi="Times New Roman" w:cs="Times New Roman"/>
          <w:color w:val="000000"/>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rPr>
        <w:t xml:space="preserve"> </w:t>
      </w:r>
      <w:r w:rsidR="001E362C" w:rsidRPr="00050C8B">
        <w:rPr>
          <w:rFonts w:ascii="Times New Roman" w:hAnsi="Times New Roman" w:cs="Times New Roman"/>
          <w:color w:val="333333"/>
        </w:rPr>
        <w:t>Regulation (EU, Euratom) 2020/2092 of the European Parliament and of the Council of 16 December 2020 on a general regime of conditionality for the protection of the Union budget [2020] OJ L 433/1.</w:t>
      </w:r>
    </w:p>
  </w:footnote>
  <w:footnote w:id="99">
    <w:p w14:paraId="7CD5F125" w14:textId="483ECC45" w:rsidR="00F43B80" w:rsidRPr="00050C8B" w:rsidRDefault="00F43B80" w:rsidP="00050C8B">
      <w:pPr>
        <w:pStyle w:val="FootnoteText"/>
        <w:jc w:val="both"/>
        <w:rPr>
          <w:rFonts w:ascii="Times New Roman" w:hAnsi="Times New Roman" w:cs="Times New Roman"/>
          <w:color w:val="000000"/>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rPr>
        <w:t xml:space="preserve"> </w:t>
      </w:r>
      <w:r w:rsidRPr="00050C8B">
        <w:rPr>
          <w:rFonts w:ascii="Times New Roman" w:hAnsi="Times New Roman" w:cs="Times New Roman"/>
          <w:i/>
          <w:iCs/>
          <w:color w:val="000000"/>
        </w:rPr>
        <w:t>Hungary v. European Parliament and Council of the European Union</w:t>
      </w:r>
      <w:r w:rsidRPr="00050C8B">
        <w:rPr>
          <w:rFonts w:ascii="Times New Roman" w:hAnsi="Times New Roman" w:cs="Times New Roman"/>
          <w:color w:val="000000"/>
        </w:rPr>
        <w:t>,</w:t>
      </w:r>
      <w:r w:rsidR="001E362C" w:rsidRPr="00050C8B">
        <w:rPr>
          <w:rFonts w:ascii="Times New Roman" w:hAnsi="Times New Roman" w:cs="Times New Roman"/>
          <w:color w:val="000000"/>
        </w:rPr>
        <w:t xml:space="preserve"> Case C-156/</w:t>
      </w:r>
      <w:proofErr w:type="gramStart"/>
      <w:r w:rsidR="001E362C" w:rsidRPr="00050C8B">
        <w:rPr>
          <w:rFonts w:ascii="Times New Roman" w:hAnsi="Times New Roman" w:cs="Times New Roman"/>
          <w:color w:val="000000"/>
        </w:rPr>
        <w:t xml:space="preserve">21, </w:t>
      </w:r>
      <w:r w:rsidRPr="00050C8B">
        <w:rPr>
          <w:rFonts w:ascii="Times New Roman" w:hAnsi="Times New Roman" w:cs="Times New Roman"/>
          <w:color w:val="000000"/>
        </w:rPr>
        <w:t xml:space="preserve"> </w:t>
      </w:r>
      <w:r w:rsidRPr="00050C8B">
        <w:rPr>
          <w:rFonts w:ascii="Times New Roman" w:hAnsi="Times New Roman" w:cs="Times New Roman"/>
        </w:rPr>
        <w:t>ECLI</w:t>
      </w:r>
      <w:proofErr w:type="gramEnd"/>
      <w:r w:rsidRPr="00050C8B">
        <w:rPr>
          <w:rFonts w:ascii="Times New Roman" w:hAnsi="Times New Roman" w:cs="Times New Roman"/>
        </w:rPr>
        <w:t>:EU:C:2022:97</w:t>
      </w:r>
    </w:p>
  </w:footnote>
  <w:footnote w:id="100">
    <w:p w14:paraId="3691083C" w14:textId="27B32A0B" w:rsidR="00F43B80" w:rsidRPr="00050C8B" w:rsidRDefault="00F43B80" w:rsidP="00050C8B">
      <w:pPr>
        <w:pStyle w:val="FootnoteText"/>
        <w:jc w:val="both"/>
        <w:rPr>
          <w:rFonts w:ascii="Times New Roman" w:hAnsi="Times New Roman" w:cs="Times New Roman"/>
          <w:color w:val="000000"/>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rPr>
        <w:t xml:space="preserve"> </w:t>
      </w:r>
      <w:r w:rsidRPr="00050C8B">
        <w:rPr>
          <w:rFonts w:ascii="Times New Roman" w:hAnsi="Times New Roman" w:cs="Times New Roman"/>
          <w:i/>
          <w:iCs/>
          <w:color w:val="000000"/>
        </w:rPr>
        <w:t>Republic of Poland v. European Parliament and Council of the European Union</w:t>
      </w:r>
      <w:r w:rsidRPr="00050C8B">
        <w:rPr>
          <w:rFonts w:ascii="Times New Roman" w:hAnsi="Times New Roman" w:cs="Times New Roman"/>
          <w:color w:val="000000"/>
        </w:rPr>
        <w:t>,</w:t>
      </w:r>
      <w:r w:rsidR="001E362C" w:rsidRPr="00050C8B">
        <w:rPr>
          <w:rFonts w:ascii="Times New Roman" w:hAnsi="Times New Roman" w:cs="Times New Roman"/>
          <w:color w:val="000000"/>
        </w:rPr>
        <w:t xml:space="preserve"> Case C-157/21,</w:t>
      </w:r>
      <w:r w:rsidRPr="00050C8B">
        <w:rPr>
          <w:rFonts w:ascii="Times New Roman" w:hAnsi="Times New Roman" w:cs="Times New Roman"/>
          <w:color w:val="000000"/>
        </w:rPr>
        <w:t xml:space="preserve"> </w:t>
      </w:r>
      <w:r w:rsidRPr="00050C8B">
        <w:rPr>
          <w:rFonts w:ascii="Times New Roman" w:hAnsi="Times New Roman" w:cs="Times New Roman"/>
        </w:rPr>
        <w:t>ECLI:EU:C:2022:98</w:t>
      </w:r>
    </w:p>
  </w:footnote>
  <w:footnote w:id="101">
    <w:p w14:paraId="12D1215F" w14:textId="77777777" w:rsidR="00F43B80" w:rsidRPr="00050C8B" w:rsidRDefault="00F43B80" w:rsidP="00050C8B">
      <w:pPr>
        <w:pStyle w:val="FootnoteText"/>
        <w:jc w:val="both"/>
        <w:rPr>
          <w:rFonts w:ascii="Times New Roman" w:hAnsi="Times New Roman" w:cs="Times New Roman"/>
          <w:color w:val="000000"/>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rPr>
        <w:t xml:space="preserve"> European Council meeting (10 and 11 December 2020) – Conclusions, </w:t>
      </w:r>
      <w:hyperlink r:id="rId22" w:history="1">
        <w:r w:rsidRPr="00050C8B">
          <w:rPr>
            <w:rStyle w:val="Hyperlink"/>
            <w:rFonts w:ascii="Times New Roman" w:hAnsi="Times New Roman" w:cs="Times New Roman"/>
            <w:color w:val="000000"/>
          </w:rPr>
          <w:t>https://www.consilium.europa.eu/media/47296/1011-12-20-euco-conclusions-en.pdf</w:t>
        </w:r>
      </w:hyperlink>
      <w:r w:rsidRPr="00050C8B">
        <w:rPr>
          <w:rFonts w:ascii="Times New Roman" w:hAnsi="Times New Roman" w:cs="Times New Roman"/>
          <w:color w:val="000000"/>
        </w:rPr>
        <w:t xml:space="preserve"> </w:t>
      </w:r>
    </w:p>
  </w:footnote>
  <w:footnote w:id="102">
    <w:p w14:paraId="7BFA0290" w14:textId="613B87EE" w:rsidR="00F43B80" w:rsidRPr="00050C8B" w:rsidRDefault="00F43B80" w:rsidP="00050C8B">
      <w:pPr>
        <w:pStyle w:val="FootnoteText"/>
        <w:jc w:val="both"/>
        <w:rPr>
          <w:rFonts w:ascii="Times New Roman" w:hAnsi="Times New Roman" w:cs="Times New Roman"/>
          <w:color w:val="000000"/>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rPr>
        <w:t xml:space="preserve"> European Council meeting (10 and 11 December 2020) – Conclusions</w:t>
      </w:r>
      <w:r w:rsidR="00CA2D75" w:rsidRPr="00050C8B">
        <w:rPr>
          <w:rFonts w:ascii="Times New Roman" w:hAnsi="Times New Roman" w:cs="Times New Roman"/>
          <w:color w:val="000000"/>
        </w:rPr>
        <w:t xml:space="preserve"> EUCO 22/20 (Brussels, 11 December 2020)</w:t>
      </w:r>
      <w:r w:rsidRPr="00050C8B">
        <w:rPr>
          <w:rFonts w:ascii="Times New Roman" w:hAnsi="Times New Roman" w:cs="Times New Roman"/>
          <w:color w:val="000000"/>
        </w:rPr>
        <w:t>. There are also other ambiguous passages in the Regulation. For a detailed analysis see: N</w:t>
      </w:r>
      <w:r w:rsidR="00CA2D75" w:rsidRPr="00050C8B">
        <w:rPr>
          <w:rFonts w:ascii="Times New Roman" w:hAnsi="Times New Roman" w:cs="Times New Roman"/>
          <w:color w:val="000000"/>
        </w:rPr>
        <w:t>iels</w:t>
      </w:r>
      <w:r w:rsidRPr="00050C8B">
        <w:rPr>
          <w:rFonts w:ascii="Times New Roman" w:hAnsi="Times New Roman" w:cs="Times New Roman"/>
          <w:color w:val="000000"/>
        </w:rPr>
        <w:t xml:space="preserve"> Kirst‚ </w:t>
      </w:r>
      <w:r w:rsidRPr="00050C8B">
        <w:rPr>
          <w:rFonts w:ascii="Times New Roman" w:hAnsi="Times New Roman" w:cs="Times New Roman"/>
          <w:i/>
          <w:iCs/>
          <w:color w:val="000000"/>
        </w:rPr>
        <w:t xml:space="preserve">Rule of Law Conditionality: The Long-awaited Step Towards a Solution of the Rule of Law Crisis in the European </w:t>
      </w:r>
      <w:proofErr w:type="gramStart"/>
      <w:r w:rsidRPr="00050C8B">
        <w:rPr>
          <w:rFonts w:ascii="Times New Roman" w:hAnsi="Times New Roman" w:cs="Times New Roman"/>
          <w:i/>
          <w:iCs/>
          <w:color w:val="000000"/>
        </w:rPr>
        <w:t>Union?</w:t>
      </w:r>
      <w:r w:rsidRPr="00050C8B">
        <w:rPr>
          <w:rFonts w:ascii="Times New Roman" w:hAnsi="Times New Roman" w:cs="Times New Roman"/>
          <w:color w:val="000000"/>
        </w:rPr>
        <w:t>,</w:t>
      </w:r>
      <w:proofErr w:type="gramEnd"/>
      <w:r w:rsidRPr="00050C8B">
        <w:rPr>
          <w:rFonts w:ascii="Times New Roman" w:hAnsi="Times New Roman" w:cs="Times New Roman"/>
          <w:color w:val="000000"/>
        </w:rPr>
        <w:t xml:space="preserve"> </w:t>
      </w:r>
      <w:r w:rsidR="00CA2D75" w:rsidRPr="00050C8B">
        <w:rPr>
          <w:rFonts w:ascii="Times New Roman" w:hAnsi="Times New Roman" w:cs="Times New Roman"/>
          <w:color w:val="000000"/>
        </w:rPr>
        <w:t xml:space="preserve">6 </w:t>
      </w:r>
      <w:r w:rsidRPr="00050C8B">
        <w:rPr>
          <w:rFonts w:ascii="Times New Roman" w:hAnsi="Times New Roman" w:cs="Times New Roman"/>
          <w:smallCaps/>
          <w:color w:val="000000"/>
        </w:rPr>
        <w:t>European Papers</w:t>
      </w:r>
      <w:r w:rsidRPr="00050C8B">
        <w:rPr>
          <w:rFonts w:ascii="Times New Roman" w:hAnsi="Times New Roman" w:cs="Times New Roman"/>
          <w:color w:val="000000"/>
        </w:rPr>
        <w:t xml:space="preserve">, </w:t>
      </w:r>
      <w:r w:rsidR="00CA2D75" w:rsidRPr="00050C8B">
        <w:rPr>
          <w:rFonts w:ascii="Times New Roman" w:hAnsi="Times New Roman" w:cs="Times New Roman"/>
          <w:color w:val="000000"/>
        </w:rPr>
        <w:t>101 (</w:t>
      </w:r>
      <w:r w:rsidRPr="00050C8B">
        <w:rPr>
          <w:rFonts w:ascii="Times New Roman" w:hAnsi="Times New Roman" w:cs="Times New Roman"/>
          <w:color w:val="000000"/>
        </w:rPr>
        <w:t>2021</w:t>
      </w:r>
      <w:r w:rsidR="00CA2D75" w:rsidRPr="00050C8B">
        <w:rPr>
          <w:rFonts w:ascii="Times New Roman" w:hAnsi="Times New Roman" w:cs="Times New Roman"/>
          <w:color w:val="000000"/>
        </w:rPr>
        <w:t>)</w:t>
      </w:r>
      <w:r w:rsidRPr="00050C8B">
        <w:rPr>
          <w:rFonts w:ascii="Times New Roman" w:hAnsi="Times New Roman" w:cs="Times New Roman"/>
          <w:color w:val="000000"/>
        </w:rPr>
        <w:t>.</w:t>
      </w:r>
    </w:p>
  </w:footnote>
  <w:footnote w:id="103">
    <w:p w14:paraId="41415256" w14:textId="0A812F2E" w:rsidR="00F43B80" w:rsidRPr="00050C8B" w:rsidRDefault="00F43B80" w:rsidP="00050C8B">
      <w:pPr>
        <w:pStyle w:val="FootnoteText"/>
        <w:jc w:val="both"/>
        <w:rPr>
          <w:rFonts w:ascii="Times New Roman" w:hAnsi="Times New Roman" w:cs="Times New Roman"/>
          <w:color w:val="000000"/>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rPr>
        <w:t xml:space="preserve"> European Parliament resolution of 25 March 2021 on the application of Regulation (EU, Euratom) 2020/2092, the rule-of-law conditionality mechanism, </w:t>
      </w:r>
      <w:r w:rsidR="00CA2D75" w:rsidRPr="00050C8B">
        <w:rPr>
          <w:rFonts w:ascii="Times New Roman" w:hAnsi="Times New Roman" w:cs="Times New Roman"/>
          <w:color w:val="000000" w:themeColor="text1"/>
          <w:shd w:val="clear" w:color="auto" w:fill="FFFFFF"/>
        </w:rPr>
        <w:t>(</w:t>
      </w:r>
      <w:hyperlink r:id="rId23" w:history="1">
        <w:r w:rsidR="00CA2D75" w:rsidRPr="00050C8B">
          <w:rPr>
            <w:rStyle w:val="Hyperlink"/>
            <w:rFonts w:ascii="Times New Roman" w:hAnsi="Times New Roman" w:cs="Times New Roman"/>
            <w:color w:val="000000" w:themeColor="text1"/>
            <w:u w:val="none"/>
          </w:rPr>
          <w:t>2021/2582(RSP)</w:t>
        </w:r>
      </w:hyperlink>
      <w:r w:rsidR="00CA2D75" w:rsidRPr="00050C8B">
        <w:rPr>
          <w:rFonts w:ascii="Times New Roman" w:hAnsi="Times New Roman" w:cs="Times New Roman"/>
          <w:color w:val="000000" w:themeColor="text1"/>
          <w:shd w:val="clear" w:color="auto" w:fill="FFFFFF"/>
        </w:rPr>
        <w:t>).</w:t>
      </w:r>
    </w:p>
  </w:footnote>
  <w:footnote w:id="104">
    <w:p w14:paraId="0200892F" w14:textId="18FBBF32" w:rsidR="00F43B80" w:rsidRPr="00050C8B" w:rsidRDefault="00F43B80" w:rsidP="00050C8B">
      <w:pPr>
        <w:pStyle w:val="FootnoteText"/>
        <w:jc w:val="both"/>
        <w:rPr>
          <w:rFonts w:ascii="Times New Roman" w:hAnsi="Times New Roman" w:cs="Times New Roman"/>
          <w:color w:val="000000"/>
        </w:rPr>
      </w:pPr>
      <w:r w:rsidRPr="00050C8B">
        <w:rPr>
          <w:rStyle w:val="FootnoteReference"/>
          <w:rFonts w:ascii="Times New Roman" w:hAnsi="Times New Roman" w:cs="Times New Roman"/>
          <w:color w:val="000000"/>
        </w:rPr>
        <w:footnoteRef/>
      </w:r>
      <w:r w:rsidRPr="00050C8B">
        <w:rPr>
          <w:rFonts w:ascii="Times New Roman" w:hAnsi="Times New Roman" w:cs="Times New Roman"/>
          <w:color w:val="000000"/>
        </w:rPr>
        <w:t xml:space="preserve"> European Parliament resolution on the rule of law situation in the European Union and the application of the Conditionality Regulation 2020/2092</w:t>
      </w:r>
      <w:r w:rsidR="00CA2D75" w:rsidRPr="00050C8B">
        <w:rPr>
          <w:rFonts w:ascii="Times New Roman" w:hAnsi="Times New Roman" w:cs="Times New Roman"/>
          <w:color w:val="000000" w:themeColor="text1"/>
        </w:rPr>
        <w:t xml:space="preserve"> </w:t>
      </w:r>
      <w:r w:rsidR="00CA2D75" w:rsidRPr="00050C8B">
        <w:rPr>
          <w:rFonts w:ascii="Times New Roman" w:hAnsi="Times New Roman" w:cs="Times New Roman"/>
          <w:color w:val="000000" w:themeColor="text1"/>
          <w:shd w:val="clear" w:color="auto" w:fill="FFFFFF"/>
        </w:rPr>
        <w:t>(</w:t>
      </w:r>
      <w:hyperlink r:id="rId24" w:history="1">
        <w:r w:rsidR="00CA2D75" w:rsidRPr="00050C8B">
          <w:rPr>
            <w:rStyle w:val="Hyperlink"/>
            <w:rFonts w:ascii="Times New Roman" w:hAnsi="Times New Roman" w:cs="Times New Roman"/>
            <w:color w:val="000000" w:themeColor="text1"/>
            <w:u w:val="none"/>
          </w:rPr>
          <w:t>2021/2711(RSP)</w:t>
        </w:r>
      </w:hyperlink>
      <w:r w:rsidR="00CA2D75" w:rsidRPr="00050C8B">
        <w:rPr>
          <w:rFonts w:ascii="Times New Roman" w:hAnsi="Times New Roman" w:cs="Times New Roman"/>
          <w:color w:val="000000" w:themeColor="text1"/>
          <w:shd w:val="clear" w:color="auto" w:fill="FFFFFF"/>
        </w:rPr>
        <w:t>).</w:t>
      </w:r>
    </w:p>
  </w:footnote>
  <w:footnote w:id="105">
    <w:p w14:paraId="699B7EAD" w14:textId="3FF67100"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i/>
        </w:rPr>
        <w:t>The Greens (Les Verts) v. The Parliament</w:t>
      </w:r>
      <w:r w:rsidR="00CA2D75" w:rsidRPr="00050C8B">
        <w:rPr>
          <w:rFonts w:ascii="Times New Roman" w:hAnsi="Times New Roman" w:cs="Times New Roman"/>
          <w:iCs/>
        </w:rPr>
        <w:t xml:space="preserve">, </w:t>
      </w:r>
      <w:r w:rsidR="00CA2D75" w:rsidRPr="00050C8B">
        <w:rPr>
          <w:rFonts w:ascii="Times New Roman" w:hAnsi="Times New Roman" w:cs="Times New Roman"/>
        </w:rPr>
        <w:t>Case C-294/83,</w:t>
      </w:r>
      <w:r w:rsidRPr="00050C8B">
        <w:rPr>
          <w:rFonts w:ascii="Times New Roman" w:hAnsi="Times New Roman" w:cs="Times New Roman"/>
          <w:i/>
        </w:rPr>
        <w:t xml:space="preserve"> </w:t>
      </w:r>
      <w:r w:rsidRPr="00050C8B">
        <w:rPr>
          <w:rFonts w:ascii="Times New Roman" w:hAnsi="Times New Roman" w:cs="Times New Roman"/>
          <w:color w:val="333333"/>
          <w:shd w:val="clear" w:color="auto" w:fill="FFFFFF"/>
        </w:rPr>
        <w:t>ECLI:EU:C:1986:166</w:t>
      </w:r>
      <w:r w:rsidRPr="00050C8B">
        <w:rPr>
          <w:rFonts w:ascii="Times New Roman" w:hAnsi="Times New Roman" w:cs="Times New Roman"/>
        </w:rPr>
        <w:t>.</w:t>
      </w:r>
    </w:p>
  </w:footnote>
  <w:footnote w:id="106">
    <w:p w14:paraId="0D57B24E" w14:textId="33B6E992" w:rsidR="00F43B80" w:rsidRPr="00050C8B" w:rsidRDefault="00F43B80" w:rsidP="00050C8B">
      <w:pPr>
        <w:pStyle w:val="FootnoteText"/>
        <w:jc w:val="both"/>
        <w:rPr>
          <w:rFonts w:ascii="Times New Roman" w:hAnsi="Times New Roman" w:cs="Times New Roman"/>
          <w:lang w:val="pt-BR"/>
        </w:rPr>
      </w:pPr>
      <w:r w:rsidRPr="00050C8B">
        <w:rPr>
          <w:rStyle w:val="FootnoteReference"/>
          <w:rFonts w:ascii="Times New Roman" w:hAnsi="Times New Roman" w:cs="Times New Roman"/>
        </w:rPr>
        <w:footnoteRef/>
      </w:r>
      <w:r w:rsidRPr="00050C8B">
        <w:rPr>
          <w:rFonts w:ascii="Times New Roman" w:hAnsi="Times New Roman" w:cs="Times New Roman"/>
          <w:lang w:val="pt-BR"/>
        </w:rPr>
        <w:t xml:space="preserve"> </w:t>
      </w:r>
      <w:r w:rsidRPr="00050C8B">
        <w:rPr>
          <w:rFonts w:ascii="Times New Roman" w:hAnsi="Times New Roman" w:cs="Times New Roman"/>
          <w:i/>
          <w:iCs/>
          <w:lang w:val="pt-BR"/>
        </w:rPr>
        <w:t xml:space="preserve">Mattheus </w:t>
      </w:r>
      <w:r w:rsidRPr="00050C8B">
        <w:rPr>
          <w:rFonts w:ascii="Times New Roman" w:hAnsi="Times New Roman" w:cs="Times New Roman"/>
          <w:lang w:val="pt-BR"/>
        </w:rPr>
        <w:t xml:space="preserve">v. </w:t>
      </w:r>
      <w:r w:rsidRPr="00050C8B">
        <w:rPr>
          <w:rFonts w:ascii="Times New Roman" w:hAnsi="Times New Roman" w:cs="Times New Roman"/>
          <w:i/>
          <w:iCs/>
          <w:lang w:val="pt-BR"/>
        </w:rPr>
        <w:t>Doego</w:t>
      </w:r>
      <w:r w:rsidR="00CA2D75" w:rsidRPr="00050C8B">
        <w:rPr>
          <w:rFonts w:ascii="Times New Roman" w:hAnsi="Times New Roman" w:cs="Times New Roman"/>
          <w:lang w:val="pt-BR"/>
        </w:rPr>
        <w:t>, Case C-93/78,</w:t>
      </w:r>
      <w:r w:rsidRPr="00050C8B">
        <w:rPr>
          <w:rFonts w:ascii="Times New Roman" w:hAnsi="Times New Roman" w:cs="Times New Roman"/>
          <w:i/>
          <w:iCs/>
          <w:lang w:val="pt-BR"/>
        </w:rPr>
        <w:t xml:space="preserve"> </w:t>
      </w:r>
      <w:r w:rsidRPr="00050C8B">
        <w:rPr>
          <w:rFonts w:ascii="Times New Roman" w:hAnsi="Times New Roman" w:cs="Times New Roman"/>
          <w:color w:val="000000" w:themeColor="text1"/>
          <w:lang w:val="pt-BR"/>
        </w:rPr>
        <w:t>ECLI:EU:C:1978:206</w:t>
      </w:r>
      <w:r w:rsidRPr="00050C8B">
        <w:rPr>
          <w:rFonts w:ascii="Times New Roman" w:hAnsi="Times New Roman" w:cs="Times New Roman"/>
          <w:lang w:val="pt-BR"/>
        </w:rPr>
        <w:t>.</w:t>
      </w:r>
    </w:p>
  </w:footnote>
  <w:footnote w:id="107">
    <w:p w14:paraId="786023B0" w14:textId="77777777" w:rsidR="00F43B80" w:rsidRPr="00050C8B" w:rsidRDefault="00F43B80" w:rsidP="00050C8B">
      <w:pPr>
        <w:autoSpaceDE w:val="0"/>
        <w:autoSpaceDN w:val="0"/>
        <w:adjustRightInd w:val="0"/>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Protocol (No 15) on Certain Provisions Relating to the United Kingdom of Great Britain and Northern Ireland [2008] OJ C 115/284. </w:t>
      </w:r>
    </w:p>
  </w:footnote>
  <w:footnote w:id="108">
    <w:p w14:paraId="1B461079" w14:textId="7777777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Protocol (No 16) on Certain Provisions Relating to Denmark [2008] OJ C 115/287; Protocol (No 17) on Denmark [2008] OJ C 115/288.</w:t>
      </w:r>
    </w:p>
  </w:footnote>
  <w:footnote w:id="109">
    <w:p w14:paraId="69F2BD68" w14:textId="7777777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European Council in Edinburgh 11-12 December 1992, Conclusions of the Presidency, SN 456/1/92 REV 1. The other three exceptions concerned Common Security and Defence Policy, Justice and Home Affairs and European citizenship.</w:t>
      </w:r>
    </w:p>
  </w:footnote>
  <w:footnote w:id="110">
    <w:p w14:paraId="20593B9D" w14:textId="61CC4D8C"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391B93" w:rsidRPr="00050C8B">
        <w:rPr>
          <w:rFonts w:ascii="Times New Roman" w:hAnsi="Times New Roman" w:cs="Times New Roman"/>
          <w:i/>
          <w:iCs/>
        </w:rPr>
        <w:t xml:space="preserve">See supra </w:t>
      </w:r>
      <w:r w:rsidR="00391B93" w:rsidRPr="00050C8B">
        <w:rPr>
          <w:rFonts w:ascii="Times New Roman" w:hAnsi="Times New Roman" w:cs="Times New Roman"/>
        </w:rPr>
        <w:t>note 1</w:t>
      </w:r>
      <w:r w:rsidR="00301050">
        <w:rPr>
          <w:rFonts w:ascii="Times New Roman" w:hAnsi="Times New Roman" w:cs="Times New Roman"/>
        </w:rPr>
        <w:t>06</w:t>
      </w:r>
      <w:r w:rsidR="00391B93" w:rsidRPr="00050C8B">
        <w:rPr>
          <w:rFonts w:ascii="Times New Roman" w:hAnsi="Times New Roman" w:cs="Times New Roman"/>
        </w:rPr>
        <w:t>.</w:t>
      </w:r>
    </w:p>
  </w:footnote>
  <w:footnote w:id="111">
    <w:p w14:paraId="284FCB69" w14:textId="77777777" w:rsidR="00F43B80" w:rsidRPr="00050C8B" w:rsidRDefault="00F43B80" w:rsidP="00050C8B">
      <w:pPr>
        <w:autoSpaceDE w:val="0"/>
        <w:autoSpaceDN w:val="0"/>
        <w:adjustRightInd w:val="0"/>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Protocol (No 32) on the Acquisition of Property in Denmark [2008] OJ C 115/318.</w:t>
      </w:r>
    </w:p>
  </w:footnote>
  <w:footnote w:id="112">
    <w:p w14:paraId="353DFE99" w14:textId="66222240"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w:t>
      </w:r>
      <w:r w:rsidRPr="00050C8B">
        <w:rPr>
          <w:rFonts w:ascii="Times New Roman" w:hAnsi="Times New Roman" w:cs="Times New Roman"/>
          <w:i/>
          <w:color w:val="000000" w:themeColor="text1"/>
        </w:rPr>
        <w:t>Cowan v. Trésor public</w:t>
      </w:r>
      <w:r w:rsidR="00391B93" w:rsidRPr="00050C8B">
        <w:rPr>
          <w:rFonts w:ascii="Times New Roman" w:hAnsi="Times New Roman" w:cs="Times New Roman"/>
          <w:iCs/>
          <w:color w:val="000000" w:themeColor="text1"/>
        </w:rPr>
        <w:t>,</w:t>
      </w:r>
      <w:r w:rsidRPr="00050C8B">
        <w:rPr>
          <w:rFonts w:ascii="Times New Roman" w:hAnsi="Times New Roman" w:cs="Times New Roman"/>
          <w:color w:val="000000" w:themeColor="text1"/>
        </w:rPr>
        <w:t xml:space="preserve"> </w:t>
      </w:r>
      <w:r w:rsidR="00391B93" w:rsidRPr="00050C8B">
        <w:rPr>
          <w:rFonts w:ascii="Times New Roman" w:hAnsi="Times New Roman" w:cs="Times New Roman"/>
          <w:color w:val="000000" w:themeColor="text1"/>
        </w:rPr>
        <w:t xml:space="preserve">Case C-186/87, </w:t>
      </w:r>
      <w:r w:rsidR="00391B93" w:rsidRPr="00050C8B">
        <w:rPr>
          <w:rFonts w:ascii="Times New Roman" w:hAnsi="Times New Roman" w:cs="Times New Roman"/>
          <w:color w:val="333333"/>
          <w:shd w:val="clear" w:color="auto" w:fill="FFFFFF"/>
        </w:rPr>
        <w:t>ECLI:EU:C:1989:47.</w:t>
      </w:r>
    </w:p>
  </w:footnote>
  <w:footnote w:id="113">
    <w:p w14:paraId="265CF213" w14:textId="1F2E619C"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w:t>
      </w:r>
      <w:r w:rsidRPr="00050C8B">
        <w:rPr>
          <w:rFonts w:ascii="Times New Roman" w:hAnsi="Times New Roman" w:cs="Times New Roman"/>
          <w:i/>
          <w:color w:val="000000" w:themeColor="text1"/>
        </w:rPr>
        <w:t>Commission v. Greece</w:t>
      </w:r>
      <w:r w:rsidR="00391B93" w:rsidRPr="00050C8B">
        <w:rPr>
          <w:rFonts w:ascii="Times New Roman" w:hAnsi="Times New Roman" w:cs="Times New Roman"/>
          <w:i/>
          <w:color w:val="000000" w:themeColor="text1"/>
        </w:rPr>
        <w:t xml:space="preserve">, </w:t>
      </w:r>
      <w:r w:rsidR="00391B93" w:rsidRPr="00050C8B">
        <w:rPr>
          <w:rFonts w:ascii="Times New Roman" w:hAnsi="Times New Roman" w:cs="Times New Roman"/>
          <w:iCs/>
          <w:color w:val="000000" w:themeColor="text1"/>
        </w:rPr>
        <w:t xml:space="preserve">Case </w:t>
      </w:r>
      <w:r w:rsidR="00391B93" w:rsidRPr="00050C8B">
        <w:rPr>
          <w:rFonts w:ascii="Times New Roman" w:hAnsi="Times New Roman" w:cs="Times New Roman"/>
          <w:color w:val="000000" w:themeColor="text1"/>
        </w:rPr>
        <w:t xml:space="preserve">C-305/87, </w:t>
      </w:r>
      <w:r w:rsidR="00391B93" w:rsidRPr="00050C8B">
        <w:rPr>
          <w:rFonts w:ascii="Times New Roman" w:hAnsi="Times New Roman" w:cs="Times New Roman"/>
          <w:color w:val="333333"/>
          <w:shd w:val="clear" w:color="auto" w:fill="FFFFFF"/>
        </w:rPr>
        <w:t>ECLI:EU:C:1989:218</w:t>
      </w:r>
      <w:r w:rsidRPr="00050C8B">
        <w:rPr>
          <w:rFonts w:ascii="Times New Roman" w:hAnsi="Times New Roman" w:cs="Times New Roman"/>
          <w:color w:val="000000" w:themeColor="text1"/>
        </w:rPr>
        <w:t>.</w:t>
      </w:r>
    </w:p>
  </w:footnote>
  <w:footnote w:id="114">
    <w:p w14:paraId="56BF891C" w14:textId="383E366D"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lang w:val="en-US"/>
        </w:rPr>
        <w:t xml:space="preserve"> </w:t>
      </w:r>
      <w:r w:rsidR="00391B93" w:rsidRPr="00050C8B">
        <w:rPr>
          <w:rFonts w:ascii="Times New Roman" w:hAnsi="Times New Roman" w:cs="Times New Roman"/>
          <w:i/>
          <w:iCs/>
          <w:color w:val="000000" w:themeColor="text1"/>
        </w:rPr>
        <w:t>Id</w:t>
      </w:r>
      <w:r w:rsidRPr="00050C8B">
        <w:rPr>
          <w:rFonts w:ascii="Times New Roman" w:hAnsi="Times New Roman" w:cs="Times New Roman"/>
          <w:color w:val="000000" w:themeColor="text1"/>
          <w:lang w:val="en-US"/>
        </w:rPr>
        <w:t>.</w:t>
      </w:r>
    </w:p>
  </w:footnote>
  <w:footnote w:id="115">
    <w:p w14:paraId="72DFA62F" w14:textId="44006EF5" w:rsidR="00F43B80" w:rsidRPr="00050C8B" w:rsidRDefault="00F43B80" w:rsidP="00050C8B">
      <w:pPr>
        <w:jc w:val="both"/>
        <w:rPr>
          <w:rFonts w:ascii="Times New Roman" w:hAnsi="Times New Roman" w:cs="Times New Roman"/>
          <w:i/>
          <w:color w:val="000000" w:themeColor="text1"/>
          <w:sz w:val="20"/>
          <w:szCs w:val="20"/>
        </w:rPr>
      </w:pPr>
      <w:r w:rsidRPr="00050C8B">
        <w:rPr>
          <w:rStyle w:val="FootnoteReference"/>
          <w:rFonts w:ascii="Times New Roman" w:hAnsi="Times New Roman" w:cs="Times New Roman"/>
          <w:color w:val="000000" w:themeColor="text1"/>
          <w:sz w:val="20"/>
          <w:szCs w:val="20"/>
        </w:rPr>
        <w:footnoteRef/>
      </w:r>
      <w:r w:rsidR="00391B93" w:rsidRPr="00050C8B">
        <w:rPr>
          <w:rFonts w:ascii="Times New Roman" w:hAnsi="Times New Roman" w:cs="Times New Roman"/>
          <w:i/>
          <w:color w:val="000000" w:themeColor="text1"/>
          <w:sz w:val="20"/>
          <w:szCs w:val="20"/>
        </w:rPr>
        <w:t xml:space="preserve">Society for the Protection of Unborn Children Ireland (SPUC) v. Grogan and </w:t>
      </w:r>
      <w:proofErr w:type="gramStart"/>
      <w:r w:rsidR="00391B93" w:rsidRPr="00050C8B">
        <w:rPr>
          <w:rFonts w:ascii="Times New Roman" w:hAnsi="Times New Roman" w:cs="Times New Roman"/>
          <w:i/>
          <w:color w:val="000000" w:themeColor="text1"/>
          <w:sz w:val="20"/>
          <w:szCs w:val="20"/>
        </w:rPr>
        <w:t>others</w:t>
      </w:r>
      <w:r w:rsidR="00391B93" w:rsidRPr="00050C8B">
        <w:rPr>
          <w:rFonts w:ascii="Times New Roman" w:hAnsi="Times New Roman" w:cs="Times New Roman"/>
          <w:color w:val="000000" w:themeColor="text1"/>
          <w:sz w:val="20"/>
          <w:szCs w:val="20"/>
        </w:rPr>
        <w:t xml:space="preserve"> ,</w:t>
      </w:r>
      <w:proofErr w:type="gramEnd"/>
      <w:r w:rsidR="00391B93" w:rsidRPr="00050C8B">
        <w:rPr>
          <w:rFonts w:ascii="Times New Roman" w:hAnsi="Times New Roman" w:cs="Times New Roman"/>
          <w:color w:val="000000" w:themeColor="text1"/>
          <w:sz w:val="20"/>
          <w:szCs w:val="20"/>
        </w:rPr>
        <w:t xml:space="preserve"> Case C-159/90, </w:t>
      </w:r>
      <w:r w:rsidR="00391B93" w:rsidRPr="00050C8B">
        <w:rPr>
          <w:rFonts w:ascii="Times New Roman" w:hAnsi="Times New Roman" w:cs="Times New Roman"/>
          <w:color w:val="333333"/>
          <w:sz w:val="20"/>
          <w:szCs w:val="20"/>
          <w:shd w:val="clear" w:color="auto" w:fill="FFFFFF"/>
        </w:rPr>
        <w:t xml:space="preserve">ECLI:EU:C:1991:378. </w:t>
      </w:r>
      <w:r w:rsidRPr="00050C8B">
        <w:rPr>
          <w:rFonts w:ascii="Times New Roman" w:hAnsi="Times New Roman" w:cs="Times New Roman"/>
          <w:color w:val="000000" w:themeColor="text1"/>
          <w:sz w:val="20"/>
          <w:szCs w:val="20"/>
        </w:rPr>
        <w:t xml:space="preserve">The case before the national judge was brought by the Society for the Protection of Unborn Children Ireland Ltd (SPUC) against Stephen Grogan and other people who had distributed information concerning abortion services in other EC States. Amongst other things, the Irish High Court asked the ECJ whether a </w:t>
      </w:r>
      <w:r w:rsidR="00391B93" w:rsidRPr="00050C8B">
        <w:rPr>
          <w:rFonts w:ascii="Times New Roman" w:hAnsi="Times New Roman" w:cs="Times New Roman"/>
          <w:color w:val="000000" w:themeColor="text1"/>
          <w:sz w:val="20"/>
          <w:szCs w:val="20"/>
        </w:rPr>
        <w:t>“</w:t>
      </w:r>
      <w:r w:rsidRPr="00050C8B">
        <w:rPr>
          <w:rFonts w:ascii="Times New Roman" w:hAnsi="Times New Roman" w:cs="Times New Roman"/>
          <w:color w:val="000000" w:themeColor="text1"/>
          <w:sz w:val="20"/>
          <w:szCs w:val="20"/>
        </w:rPr>
        <w:t>Member State can prohibit the distribution of specific information about the identity, location and means of communication with a specified clinic or clinics in another Member State where abortions are performed</w:t>
      </w:r>
      <w:r w:rsidR="00391B93" w:rsidRPr="00050C8B">
        <w:rPr>
          <w:rFonts w:ascii="Times New Roman" w:hAnsi="Times New Roman" w:cs="Times New Roman"/>
          <w:color w:val="000000" w:themeColor="text1"/>
          <w:sz w:val="20"/>
          <w:szCs w:val="20"/>
        </w:rPr>
        <w:t>”</w:t>
      </w:r>
      <w:r w:rsidRPr="00050C8B">
        <w:rPr>
          <w:rFonts w:ascii="Times New Roman" w:hAnsi="Times New Roman" w:cs="Times New Roman"/>
          <w:color w:val="000000" w:themeColor="text1"/>
          <w:sz w:val="20"/>
          <w:szCs w:val="20"/>
        </w:rPr>
        <w:t xml:space="preserve"> After having defined the medical termination of pregnancy as</w:t>
      </w:r>
      <w:r w:rsidRPr="00050C8B">
        <w:rPr>
          <w:rFonts w:ascii="Times New Roman" w:hAnsi="Times New Roman" w:cs="Times New Roman"/>
          <w:i/>
          <w:color w:val="000000" w:themeColor="text1"/>
          <w:sz w:val="20"/>
          <w:szCs w:val="20"/>
        </w:rPr>
        <w:t xml:space="preserve"> </w:t>
      </w:r>
      <w:r w:rsidRPr="00050C8B">
        <w:rPr>
          <w:rFonts w:ascii="Times New Roman" w:hAnsi="Times New Roman" w:cs="Times New Roman"/>
          <w:color w:val="000000" w:themeColor="text1"/>
          <w:sz w:val="20"/>
          <w:szCs w:val="20"/>
        </w:rPr>
        <w:t>a service, the ECJ said:</w:t>
      </w:r>
      <w:r w:rsidRPr="00050C8B">
        <w:rPr>
          <w:rFonts w:ascii="Times New Roman" w:hAnsi="Times New Roman" w:cs="Times New Roman"/>
          <w:i/>
          <w:color w:val="000000" w:themeColor="text1"/>
          <w:sz w:val="20"/>
          <w:szCs w:val="20"/>
        </w:rPr>
        <w:t xml:space="preserve"> </w:t>
      </w:r>
      <w:r w:rsidR="00391B93" w:rsidRPr="00050C8B">
        <w:rPr>
          <w:rFonts w:ascii="Times New Roman" w:hAnsi="Times New Roman" w:cs="Times New Roman"/>
          <w:color w:val="000000" w:themeColor="text1"/>
          <w:sz w:val="20"/>
          <w:szCs w:val="20"/>
        </w:rPr>
        <w:t>“</w:t>
      </w:r>
      <w:r w:rsidRPr="00050C8B">
        <w:rPr>
          <w:rFonts w:ascii="Times New Roman" w:hAnsi="Times New Roman" w:cs="Times New Roman"/>
          <w:color w:val="000000" w:themeColor="text1"/>
          <w:sz w:val="20"/>
          <w:szCs w:val="20"/>
        </w:rPr>
        <w:t>The provision of information on an economic activity is not to be regarded as a provision of services within the meaning of Article 60 of the Treaty where the information is not distributed on behalf of an economic operator but constitutes merely a manifestation of freedom of expression.</w:t>
      </w:r>
      <w:r w:rsidR="00391B93" w:rsidRPr="00050C8B">
        <w:rPr>
          <w:rFonts w:ascii="Times New Roman" w:hAnsi="Times New Roman" w:cs="Times New Roman"/>
          <w:color w:val="000000" w:themeColor="text1"/>
          <w:sz w:val="20"/>
          <w:szCs w:val="20"/>
        </w:rPr>
        <w:t>”</w:t>
      </w:r>
      <w:r w:rsidR="00B66382" w:rsidRPr="00050C8B">
        <w:rPr>
          <w:rFonts w:ascii="Times New Roman" w:hAnsi="Times New Roman" w:cs="Times New Roman"/>
          <w:color w:val="000000" w:themeColor="text1"/>
          <w:sz w:val="20"/>
          <w:szCs w:val="20"/>
        </w:rPr>
        <w:t xml:space="preserve"> </w:t>
      </w:r>
      <w:r w:rsidRPr="00050C8B">
        <w:rPr>
          <w:rFonts w:ascii="Times New Roman" w:hAnsi="Times New Roman" w:cs="Times New Roman"/>
          <w:color w:val="000000" w:themeColor="text1"/>
          <w:sz w:val="20"/>
          <w:szCs w:val="20"/>
        </w:rPr>
        <w:t xml:space="preserve">As a result, it is not contrary to Community law for a Member State in which medical termination of pregnancy is forbidden to prohibit </w:t>
      </w:r>
      <w:proofErr w:type="gramStart"/>
      <w:r w:rsidRPr="00050C8B">
        <w:rPr>
          <w:rFonts w:ascii="Times New Roman" w:hAnsi="Times New Roman" w:cs="Times New Roman"/>
          <w:color w:val="000000" w:themeColor="text1"/>
          <w:sz w:val="20"/>
          <w:szCs w:val="20"/>
        </w:rPr>
        <w:t>students</w:t>
      </w:r>
      <w:proofErr w:type="gramEnd"/>
      <w:r w:rsidRPr="00050C8B">
        <w:rPr>
          <w:rFonts w:ascii="Times New Roman" w:hAnsi="Times New Roman" w:cs="Times New Roman"/>
          <w:color w:val="000000" w:themeColor="text1"/>
          <w:sz w:val="20"/>
          <w:szCs w:val="20"/>
        </w:rPr>
        <w:t xml:space="preserve"> associations from distributing information about the identity and location of clinics in another Member State where voluntary termination of pregnancy is lawfully carried out and the means of communicating with those clinics, where the clinics in question have no involvement in the distribution of the said information.</w:t>
      </w:r>
      <w:r w:rsidR="00391B93" w:rsidRPr="00050C8B">
        <w:rPr>
          <w:rFonts w:ascii="Times New Roman" w:hAnsi="Times New Roman" w:cs="Times New Roman"/>
          <w:color w:val="000000" w:themeColor="text1"/>
          <w:sz w:val="20"/>
          <w:szCs w:val="20"/>
        </w:rPr>
        <w:t>”</w:t>
      </w:r>
      <w:r w:rsidRPr="00050C8B">
        <w:rPr>
          <w:rFonts w:ascii="Times New Roman" w:hAnsi="Times New Roman" w:cs="Times New Roman"/>
          <w:color w:val="000000" w:themeColor="text1"/>
          <w:sz w:val="20"/>
          <w:szCs w:val="20"/>
        </w:rPr>
        <w:t xml:space="preserve"> In this way the ECJ attempted to avoid a clash with the national constitution of Ireland. Later, in a similar case,</w:t>
      </w:r>
      <w:r w:rsidR="00B66382" w:rsidRPr="00050C8B">
        <w:rPr>
          <w:rFonts w:ascii="Times New Roman" w:hAnsi="Times New Roman" w:cs="Times New Roman"/>
          <w:color w:val="000000" w:themeColor="text1"/>
          <w:sz w:val="20"/>
          <w:szCs w:val="20"/>
        </w:rPr>
        <w:t xml:space="preserve"> </w:t>
      </w:r>
      <w:r w:rsidR="00B66382" w:rsidRPr="00050C8B">
        <w:rPr>
          <w:rFonts w:ascii="Times New Roman" w:hAnsi="Times New Roman" w:cs="Times New Roman"/>
          <w:i/>
          <w:color w:val="000000" w:themeColor="text1"/>
          <w:sz w:val="20"/>
          <w:szCs w:val="20"/>
        </w:rPr>
        <w:t>The Attorney General (Plaintiff) v. X. and Others</w:t>
      </w:r>
      <w:r w:rsidR="00B66382" w:rsidRPr="00050C8B">
        <w:rPr>
          <w:rFonts w:ascii="Times New Roman" w:hAnsi="Times New Roman" w:cs="Times New Roman"/>
          <w:color w:val="000000" w:themeColor="text1"/>
          <w:sz w:val="20"/>
          <w:szCs w:val="20"/>
        </w:rPr>
        <w:t xml:space="preserve"> [1992] 1 IR 1,</w:t>
      </w:r>
      <w:r w:rsidRPr="00050C8B">
        <w:rPr>
          <w:rFonts w:ascii="Times New Roman" w:hAnsi="Times New Roman" w:cs="Times New Roman"/>
          <w:color w:val="000000" w:themeColor="text1"/>
          <w:sz w:val="20"/>
          <w:szCs w:val="20"/>
        </w:rPr>
        <w:t xml:space="preserve"> in order to avoid conflict with the ECJ, the Irish Supreme Court preferred not to take EC law into consideration, arguing that: ‘Apart from the practical time scale difficulties of obtaining a ruling by way of preliminary ruling from the Court of Justice of the European Community, pursuant to Article 177 of the Treaty, in time for the due resolution of the problems arising in this case, it is consistent with the jurisprudence of the Court that there being a ground on which the case can be decided without reference to European law, but under Irish law only, that method should be employed’,. In a previous decision (</w:t>
      </w:r>
      <w:r w:rsidRPr="00050C8B">
        <w:rPr>
          <w:rFonts w:ascii="Times New Roman" w:hAnsi="Times New Roman" w:cs="Times New Roman"/>
          <w:i/>
          <w:color w:val="000000" w:themeColor="text1"/>
          <w:sz w:val="20"/>
          <w:szCs w:val="20"/>
        </w:rPr>
        <w:t>S.P.U.C. v. Grogan</w:t>
      </w:r>
      <w:r w:rsidRPr="00050C8B">
        <w:rPr>
          <w:rFonts w:ascii="Times New Roman" w:hAnsi="Times New Roman" w:cs="Times New Roman"/>
          <w:color w:val="000000" w:themeColor="text1"/>
          <w:sz w:val="20"/>
          <w:szCs w:val="20"/>
        </w:rPr>
        <w:t xml:space="preserve"> [1989] IR 753) the Irish Supreme Court had menaced: ‘If and when a decision of the Court of Justice of the European Communities rules that some aspect of European Community law affects the activities of the defendants impugned in this case, the consequence of that decision on these constitutionally guaranteed rights and their protection by the courts will then fall to be considered by these courts’. Clearly, this passage represented a sort of warning sent to the ECJ. </w:t>
      </w:r>
    </w:p>
  </w:footnote>
  <w:footnote w:id="116">
    <w:p w14:paraId="335FEE34" w14:textId="02B8141E"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lang w:val="en-US"/>
        </w:rPr>
        <w:t xml:space="preserve"> D</w:t>
      </w:r>
      <w:r w:rsidR="00B66382" w:rsidRPr="00050C8B">
        <w:rPr>
          <w:rFonts w:ascii="Times New Roman" w:hAnsi="Times New Roman" w:cs="Times New Roman"/>
          <w:color w:val="000000" w:themeColor="text1"/>
          <w:lang w:val="en-US"/>
        </w:rPr>
        <w:t>eirdre</w:t>
      </w:r>
      <w:r w:rsidRPr="00050C8B">
        <w:rPr>
          <w:rFonts w:ascii="Times New Roman" w:hAnsi="Times New Roman" w:cs="Times New Roman"/>
          <w:color w:val="000000" w:themeColor="text1"/>
          <w:lang w:val="en-US"/>
        </w:rPr>
        <w:t xml:space="preserve"> Curtin, </w:t>
      </w:r>
      <w:r w:rsidRPr="00050C8B">
        <w:rPr>
          <w:rFonts w:ascii="Times New Roman" w:hAnsi="Times New Roman" w:cs="Times New Roman"/>
          <w:i/>
          <w:iCs/>
          <w:color w:val="000000" w:themeColor="text1"/>
          <w:lang w:val="en-US"/>
        </w:rPr>
        <w:t>The Constitutional Structure</w:t>
      </w:r>
      <w:r w:rsidR="00B66382" w:rsidRPr="00050C8B">
        <w:rPr>
          <w:rFonts w:ascii="Times New Roman" w:hAnsi="Times New Roman" w:cs="Times New Roman"/>
          <w:color w:val="000000" w:themeColor="text1"/>
          <w:lang w:val="en-US"/>
        </w:rPr>
        <w:t xml:space="preserve"> </w:t>
      </w:r>
      <w:r w:rsidR="00B66382" w:rsidRPr="00050C8B">
        <w:rPr>
          <w:rFonts w:ascii="Times New Roman" w:hAnsi="Times New Roman" w:cs="Times New Roman"/>
          <w:i/>
          <w:iCs/>
          <w:color w:val="000000" w:themeColor="text1"/>
          <w:shd w:val="clear" w:color="auto" w:fill="FFFFFF"/>
        </w:rPr>
        <w:t>of the Union: A Europe of Bits and Pieces</w:t>
      </w:r>
      <w:r w:rsidRPr="00050C8B">
        <w:rPr>
          <w:rFonts w:ascii="Times New Roman" w:hAnsi="Times New Roman" w:cs="Times New Roman"/>
          <w:i/>
          <w:iCs/>
          <w:color w:val="000000" w:themeColor="text1"/>
          <w:lang w:val="en-US"/>
        </w:rPr>
        <w:t>,</w:t>
      </w:r>
      <w:r w:rsidRPr="00050C8B">
        <w:rPr>
          <w:rFonts w:ascii="Times New Roman" w:hAnsi="Times New Roman" w:cs="Times New Roman"/>
          <w:color w:val="000000" w:themeColor="text1"/>
          <w:lang w:val="en-US"/>
        </w:rPr>
        <w:t xml:space="preserve"> </w:t>
      </w:r>
      <w:r w:rsidR="00B66382" w:rsidRPr="00050C8B">
        <w:rPr>
          <w:rFonts w:ascii="Times New Roman" w:hAnsi="Times New Roman" w:cs="Times New Roman"/>
          <w:smallCaps/>
          <w:color w:val="000000" w:themeColor="text1"/>
          <w:lang w:val="en-US"/>
        </w:rPr>
        <w:t xml:space="preserve">30 Common Market Law Review 17, 49 </w:t>
      </w:r>
      <w:r w:rsidR="00B66382" w:rsidRPr="00050C8B">
        <w:rPr>
          <w:rFonts w:ascii="Times New Roman" w:hAnsi="Times New Roman" w:cs="Times New Roman"/>
          <w:color w:val="000000" w:themeColor="text1"/>
          <w:lang w:val="en-US"/>
        </w:rPr>
        <w:t>(1993)</w:t>
      </w:r>
      <w:r w:rsidRPr="00050C8B">
        <w:rPr>
          <w:rFonts w:ascii="Times New Roman" w:hAnsi="Times New Roman" w:cs="Times New Roman"/>
          <w:color w:val="000000" w:themeColor="text1"/>
          <w:lang w:val="en-US"/>
        </w:rPr>
        <w:t>.</w:t>
      </w:r>
    </w:p>
  </w:footnote>
  <w:footnote w:id="117">
    <w:p w14:paraId="02421B09" w14:textId="1DF772B3"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lang w:val="en-US"/>
        </w:rPr>
        <w:t xml:space="preserve"> In </w:t>
      </w:r>
      <w:r w:rsidR="00B66382" w:rsidRPr="00050C8B">
        <w:rPr>
          <w:rFonts w:ascii="Times New Roman" w:hAnsi="Times New Roman" w:cs="Times New Roman"/>
          <w:i/>
          <w:color w:val="000000" w:themeColor="text1"/>
          <w:lang w:val="en-US"/>
        </w:rPr>
        <w:t xml:space="preserve">Douglas Harvey Barber v. Guardian Royal Exchange Assurance Group, </w:t>
      </w:r>
      <w:r w:rsidR="00B66382" w:rsidRPr="00050C8B">
        <w:rPr>
          <w:rFonts w:ascii="Times New Roman" w:hAnsi="Times New Roman" w:cs="Times New Roman"/>
          <w:color w:val="000000" w:themeColor="text1"/>
          <w:lang w:val="en-US"/>
        </w:rPr>
        <w:t xml:space="preserve">Case C-262/88, </w:t>
      </w:r>
      <w:r w:rsidR="00B66382" w:rsidRPr="00050C8B">
        <w:rPr>
          <w:rFonts w:ascii="Times New Roman" w:hAnsi="Times New Roman" w:cs="Times New Roman"/>
          <w:color w:val="333333"/>
          <w:shd w:val="clear" w:color="auto" w:fill="FFFFFF"/>
        </w:rPr>
        <w:t>ECLI:EU:C:1990:209,</w:t>
      </w:r>
      <w:r w:rsidRPr="00050C8B">
        <w:rPr>
          <w:rFonts w:ascii="Times New Roman" w:hAnsi="Times New Roman" w:cs="Times New Roman"/>
          <w:color w:val="000000" w:themeColor="text1"/>
          <w:lang w:val="en-US"/>
        </w:rPr>
        <w:t xml:space="preserve"> the ECJ said that </w:t>
      </w:r>
      <w:r w:rsidR="00B66382" w:rsidRPr="00050C8B">
        <w:rPr>
          <w:rFonts w:ascii="Times New Roman" w:hAnsi="Times New Roman" w:cs="Times New Roman"/>
          <w:color w:val="000000" w:themeColor="text1"/>
          <w:lang w:val="en-US"/>
        </w:rPr>
        <w:t>“</w:t>
      </w:r>
      <w:r w:rsidRPr="00050C8B">
        <w:rPr>
          <w:rFonts w:ascii="Times New Roman" w:hAnsi="Times New Roman" w:cs="Times New Roman"/>
          <w:color w:val="000000" w:themeColor="text1"/>
          <w:lang w:val="en-US"/>
        </w:rPr>
        <w:t>it is contrary to Article 119 of the Treaty for a man made compulsorily redundant to be entitled to claim only a deferred pension payable at the normal retirement age when a woman in the same position is entitled to an immediate retirement pension as a result of the application of an age condition that varies according to sex in the same way as is provided for by the national statutory pension scheme. The application of the principle of equal pay must be ensured in respect of each element of remuneration and not only on the basis of a comprehensive assessment of the consideration paid to workers.</w:t>
      </w:r>
      <w:r w:rsidR="00B66382" w:rsidRPr="00050C8B">
        <w:rPr>
          <w:rFonts w:ascii="Times New Roman" w:hAnsi="Times New Roman" w:cs="Times New Roman"/>
          <w:color w:val="000000" w:themeColor="text1"/>
          <w:lang w:val="en-US"/>
        </w:rPr>
        <w:t>”</w:t>
      </w:r>
    </w:p>
  </w:footnote>
  <w:footnote w:id="118">
    <w:p w14:paraId="3D13C917" w14:textId="0EE8A9A8" w:rsidR="00F43B80" w:rsidRPr="00050C8B" w:rsidRDefault="00F43B80" w:rsidP="00050C8B">
      <w:pPr>
        <w:pStyle w:val="FootnoteText"/>
        <w:jc w:val="both"/>
        <w:rPr>
          <w:rFonts w:ascii="Times New Roman" w:hAnsi="Times New Roman" w:cs="Times New Roman"/>
          <w:color w:val="000000" w:themeColor="text1"/>
          <w:lang w:val="en-US"/>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lang w:val="en-US"/>
        </w:rPr>
        <w:t xml:space="preserve"> The ECJ</w:t>
      </w:r>
      <w:r w:rsidR="00B66382" w:rsidRPr="00050C8B">
        <w:rPr>
          <w:rFonts w:ascii="Times New Roman" w:hAnsi="Times New Roman" w:cs="Times New Roman"/>
          <w:color w:val="000000" w:themeColor="text1"/>
          <w:lang w:val="en-US"/>
        </w:rPr>
        <w:t xml:space="preserve"> in para 49 of </w:t>
      </w:r>
      <w:r w:rsidR="00B66382" w:rsidRPr="00050C8B">
        <w:rPr>
          <w:rFonts w:ascii="Times New Roman" w:hAnsi="Times New Roman" w:cs="Times New Roman"/>
          <w:i/>
          <w:iCs/>
          <w:color w:val="000000" w:themeColor="text1"/>
          <w:lang w:val="en-US"/>
        </w:rPr>
        <w:t>Barber</w:t>
      </w:r>
      <w:r w:rsidRPr="00050C8B">
        <w:rPr>
          <w:rFonts w:ascii="Times New Roman" w:hAnsi="Times New Roman" w:cs="Times New Roman"/>
          <w:color w:val="000000" w:themeColor="text1"/>
          <w:lang w:val="en-US"/>
        </w:rPr>
        <w:t xml:space="preserve"> said that: </w:t>
      </w:r>
      <w:r w:rsidR="00B66382" w:rsidRPr="00050C8B">
        <w:rPr>
          <w:rFonts w:ascii="Times New Roman" w:hAnsi="Times New Roman" w:cs="Times New Roman"/>
          <w:color w:val="000000" w:themeColor="text1"/>
          <w:lang w:val="en-US"/>
        </w:rPr>
        <w:t>“</w:t>
      </w:r>
      <w:r w:rsidRPr="00050C8B">
        <w:rPr>
          <w:rFonts w:ascii="Times New Roman" w:hAnsi="Times New Roman" w:cs="Times New Roman"/>
          <w:color w:val="000000" w:themeColor="text1"/>
          <w:lang w:val="en-US"/>
        </w:rPr>
        <w:t>The direct effect of Article 119 of the Treaty may not be relied upon in order to claim entitlement to a pension, with effect from a date prior to that of this judgment, except in the case of workers or those claiming under them who have before that date initiated legal proceedings or raised an equivalent claim under the applicable national law</w:t>
      </w:r>
      <w:r w:rsidR="00B66382" w:rsidRPr="00050C8B">
        <w:rPr>
          <w:rFonts w:ascii="Times New Roman" w:hAnsi="Times New Roman" w:cs="Times New Roman"/>
          <w:color w:val="000000" w:themeColor="text1"/>
          <w:lang w:val="en-US"/>
        </w:rPr>
        <w:t>”</w:t>
      </w:r>
      <w:r w:rsidRPr="00050C8B">
        <w:rPr>
          <w:rFonts w:ascii="Times New Roman" w:hAnsi="Times New Roman" w:cs="Times New Roman"/>
          <w:color w:val="000000" w:themeColor="text1"/>
          <w:lang w:val="en-US"/>
        </w:rPr>
        <w:t xml:space="preserve">, For the different readings of this passage in the literature on employment law, </w:t>
      </w:r>
      <w:r w:rsidRPr="00050C8B">
        <w:rPr>
          <w:rFonts w:ascii="Times New Roman" w:hAnsi="Times New Roman" w:cs="Times New Roman"/>
          <w:i/>
          <w:iCs/>
          <w:color w:val="000000" w:themeColor="text1"/>
          <w:lang w:val="en-US"/>
        </w:rPr>
        <w:t xml:space="preserve">see </w:t>
      </w:r>
      <w:r w:rsidRPr="00050C8B">
        <w:rPr>
          <w:rFonts w:ascii="Times New Roman" w:hAnsi="Times New Roman" w:cs="Times New Roman"/>
          <w:color w:val="000000" w:themeColor="text1"/>
          <w:lang w:val="en-US"/>
        </w:rPr>
        <w:t xml:space="preserve">Curtin, </w:t>
      </w:r>
      <w:r w:rsidR="00B66382" w:rsidRPr="00050C8B">
        <w:rPr>
          <w:rFonts w:ascii="Times New Roman" w:hAnsi="Times New Roman" w:cs="Times New Roman"/>
          <w:i/>
          <w:iCs/>
          <w:color w:val="000000" w:themeColor="text1"/>
          <w:lang w:val="en-US"/>
        </w:rPr>
        <w:t xml:space="preserve">supra </w:t>
      </w:r>
      <w:r w:rsidR="00B66382" w:rsidRPr="00050C8B">
        <w:rPr>
          <w:rFonts w:ascii="Times New Roman" w:hAnsi="Times New Roman" w:cs="Times New Roman"/>
          <w:color w:val="000000" w:themeColor="text1"/>
          <w:lang w:val="en-US"/>
        </w:rPr>
        <w:t>note 11</w:t>
      </w:r>
      <w:r w:rsidR="00301050">
        <w:rPr>
          <w:rFonts w:ascii="Times New Roman" w:hAnsi="Times New Roman" w:cs="Times New Roman"/>
          <w:color w:val="000000" w:themeColor="text1"/>
          <w:lang w:val="en-US"/>
        </w:rPr>
        <w:t>5</w:t>
      </w:r>
      <w:r w:rsidR="00B66382" w:rsidRPr="00050C8B">
        <w:rPr>
          <w:rFonts w:ascii="Times New Roman" w:hAnsi="Times New Roman" w:cs="Times New Roman"/>
          <w:color w:val="000000" w:themeColor="text1"/>
          <w:lang w:val="en-US"/>
        </w:rPr>
        <w:t xml:space="preserve">, </w:t>
      </w:r>
      <w:r w:rsidRPr="00050C8B">
        <w:rPr>
          <w:rFonts w:ascii="Times New Roman" w:hAnsi="Times New Roman" w:cs="Times New Roman"/>
          <w:color w:val="000000" w:themeColor="text1"/>
          <w:lang w:val="en-US"/>
        </w:rPr>
        <w:t>51.</w:t>
      </w:r>
    </w:p>
  </w:footnote>
  <w:footnote w:id="119">
    <w:p w14:paraId="1A50C10A" w14:textId="77777777" w:rsidR="00F43B80" w:rsidRPr="00050C8B" w:rsidRDefault="00F43B80" w:rsidP="00050C8B">
      <w:pPr>
        <w:pStyle w:val="NormalWeb"/>
        <w:spacing w:before="0" w:beforeAutospacing="0" w:after="0" w:afterAutospacing="0"/>
        <w:jc w:val="both"/>
        <w:rPr>
          <w:color w:val="000000" w:themeColor="text1"/>
          <w:sz w:val="20"/>
          <w:szCs w:val="20"/>
        </w:rPr>
      </w:pPr>
      <w:r w:rsidRPr="00050C8B">
        <w:rPr>
          <w:rStyle w:val="FootnoteReference"/>
          <w:color w:val="000000" w:themeColor="text1"/>
          <w:sz w:val="20"/>
          <w:szCs w:val="20"/>
        </w:rPr>
        <w:footnoteRef/>
      </w:r>
      <w:r w:rsidRPr="00050C8B">
        <w:rPr>
          <w:color w:val="000000" w:themeColor="text1"/>
          <w:sz w:val="20"/>
          <w:szCs w:val="20"/>
        </w:rPr>
        <w:t xml:space="preserve"> Article 2 of the Protocol on the application of certain aspects of Article 7a of the Treaty establishing the European Community to the United Kingdom and to Ireland, attached to the Treaty of Amsterdam. [1997] OJ C 340/143.</w:t>
      </w:r>
    </w:p>
  </w:footnote>
  <w:footnote w:id="120">
    <w:p w14:paraId="270A6FA8" w14:textId="77777777" w:rsidR="00F43B80" w:rsidRPr="00050C8B" w:rsidRDefault="00F43B80" w:rsidP="00050C8B">
      <w:pPr>
        <w:autoSpaceDE w:val="0"/>
        <w:autoSpaceDN w:val="0"/>
        <w:adjustRightInd w:val="0"/>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Protocol (No 19) on the Schengen Acquis integrated into the Framework of the European Union [2008] OJ C 115/290; See also Protocol (No 21) on the Position of the United Kingdom and Ireland in respect of the Area of Freedom, Security and Justice [2008] OJ C 115/295.</w:t>
      </w:r>
    </w:p>
  </w:footnote>
  <w:footnote w:id="121">
    <w:p w14:paraId="3DFD27E8" w14:textId="77777777" w:rsidR="00F43B80" w:rsidRPr="00050C8B" w:rsidRDefault="00F43B80" w:rsidP="00050C8B">
      <w:pPr>
        <w:autoSpaceDE w:val="0"/>
        <w:autoSpaceDN w:val="0"/>
        <w:adjustRightInd w:val="0"/>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Protocol (No 30) on the Application of the Charter of Fundamental Rights of the European Union to Poland and to the United Kingdom [2008] OJ C 115/313. Article 1(2) of the </w:t>
      </w:r>
      <w:r w:rsidRPr="00050C8B">
        <w:rPr>
          <w:rFonts w:ascii="Times New Roman" w:hAnsi="Times New Roman" w:cs="Times New Roman"/>
          <w:sz w:val="20"/>
          <w:szCs w:val="20"/>
          <w:lang w:val="en-US"/>
        </w:rPr>
        <w:t xml:space="preserve">Protocol on the application of the Charter of Fundamental Rights of the European Union to Poland and to the United Kingdom provides that ‘nothing in Title IV of the Charter creates justiciable rights applicable to Poland or the United Kingdom except in so far as Poland or the United Kingdom has provided for such rights in its national law’. </w:t>
      </w:r>
    </w:p>
  </w:footnote>
  <w:footnote w:id="122">
    <w:p w14:paraId="33F0B68A" w14:textId="674EF743"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w:t>
      </w:r>
      <w:r w:rsidRPr="00050C8B">
        <w:rPr>
          <w:rStyle w:val="Emphasis"/>
          <w:rFonts w:ascii="Times New Roman" w:hAnsi="Times New Roman" w:cs="Times New Roman"/>
          <w:color w:val="000000" w:themeColor="text1"/>
          <w:bdr w:val="none" w:sz="0" w:space="0" w:color="auto" w:frame="1"/>
        </w:rPr>
        <w:t>NS v Secretary of State for the Home Department</w:t>
      </w:r>
      <w:r w:rsidR="00B66382" w:rsidRPr="00050C8B">
        <w:rPr>
          <w:rStyle w:val="Emphasis"/>
          <w:rFonts w:ascii="Times New Roman" w:hAnsi="Times New Roman" w:cs="Times New Roman"/>
          <w:color w:val="000000" w:themeColor="text1"/>
          <w:bdr w:val="none" w:sz="0" w:space="0" w:color="auto" w:frame="1"/>
        </w:rPr>
        <w:t xml:space="preserve">, </w:t>
      </w:r>
      <w:r w:rsidR="00B66382" w:rsidRPr="00050C8B">
        <w:rPr>
          <w:rFonts w:ascii="Times New Roman" w:hAnsi="Times New Roman" w:cs="Times New Roman"/>
          <w:color w:val="000000" w:themeColor="text1"/>
        </w:rPr>
        <w:t>J</w:t>
      </w:r>
      <w:r w:rsidR="00B66382" w:rsidRPr="00050C8B">
        <w:rPr>
          <w:rFonts w:ascii="Times New Roman" w:hAnsi="Times New Roman" w:cs="Times New Roman"/>
          <w:color w:val="000000" w:themeColor="text1"/>
          <w:shd w:val="clear" w:color="auto" w:fill="FFFFFF"/>
        </w:rPr>
        <w:t>oined Cases C-411 and 493/10,</w:t>
      </w:r>
      <w:r w:rsidRPr="00050C8B">
        <w:rPr>
          <w:rStyle w:val="Emphasis"/>
          <w:rFonts w:ascii="Times New Roman" w:hAnsi="Times New Roman" w:cs="Times New Roman"/>
          <w:color w:val="000000" w:themeColor="text1"/>
          <w:bdr w:val="none" w:sz="0" w:space="0" w:color="auto" w:frame="1"/>
        </w:rPr>
        <w:t xml:space="preserve"> </w:t>
      </w:r>
      <w:r w:rsidRPr="00050C8B">
        <w:rPr>
          <w:rFonts w:ascii="Times New Roman" w:hAnsi="Times New Roman" w:cs="Times New Roman"/>
          <w:color w:val="000000" w:themeColor="text1"/>
        </w:rPr>
        <w:t>ECLI:EU:C:2011:865, para 119.</w:t>
      </w:r>
    </w:p>
  </w:footnote>
  <w:footnote w:id="123">
    <w:p w14:paraId="34979C02" w14:textId="769BD21C"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R</w:t>
      </w:r>
      <w:r w:rsidR="00B66382" w:rsidRPr="00050C8B">
        <w:rPr>
          <w:rFonts w:ascii="Times New Roman" w:hAnsi="Times New Roman" w:cs="Times New Roman"/>
        </w:rPr>
        <w:t>obert</w:t>
      </w:r>
      <w:r w:rsidRPr="00050C8B">
        <w:rPr>
          <w:rFonts w:ascii="Times New Roman" w:hAnsi="Times New Roman" w:cs="Times New Roman"/>
        </w:rPr>
        <w:t xml:space="preserve"> Schütze, </w:t>
      </w:r>
      <w:r w:rsidRPr="00050C8B">
        <w:rPr>
          <w:rFonts w:ascii="Times New Roman" w:hAnsi="Times New Roman" w:cs="Times New Roman"/>
          <w:smallCaps/>
        </w:rPr>
        <w:t>European Constitutional Law</w:t>
      </w:r>
      <w:r w:rsidRPr="00050C8B">
        <w:rPr>
          <w:rFonts w:ascii="Times New Roman" w:hAnsi="Times New Roman" w:cs="Times New Roman"/>
          <w:i/>
          <w:iCs/>
          <w:smallCaps/>
        </w:rPr>
        <w:t xml:space="preserve"> </w:t>
      </w:r>
      <w:r w:rsidRPr="00050C8B">
        <w:rPr>
          <w:rFonts w:ascii="Times New Roman" w:hAnsi="Times New Roman" w:cs="Times New Roman"/>
          <w:smallCaps/>
        </w:rPr>
        <w:t>(3</w:t>
      </w:r>
      <w:r w:rsidRPr="00050C8B">
        <w:rPr>
          <w:rFonts w:ascii="Times New Roman" w:hAnsi="Times New Roman" w:cs="Times New Roman"/>
          <w:smallCaps/>
          <w:vertAlign w:val="superscript"/>
        </w:rPr>
        <w:t>rd</w:t>
      </w:r>
      <w:r w:rsidRPr="00050C8B">
        <w:rPr>
          <w:rFonts w:ascii="Times New Roman" w:hAnsi="Times New Roman" w:cs="Times New Roman"/>
          <w:smallCaps/>
        </w:rPr>
        <w:t xml:space="preserve"> edition)</w:t>
      </w:r>
      <w:r w:rsidR="00B66382" w:rsidRPr="00050C8B">
        <w:rPr>
          <w:rFonts w:ascii="Times New Roman" w:hAnsi="Times New Roman" w:cs="Times New Roman"/>
          <w:smallCaps/>
        </w:rPr>
        <w:t xml:space="preserve"> </w:t>
      </w:r>
      <w:r w:rsidR="00B66382" w:rsidRPr="00050C8B">
        <w:rPr>
          <w:rFonts w:ascii="Times New Roman" w:hAnsi="Times New Roman" w:cs="Times New Roman"/>
        </w:rPr>
        <w:t>486</w:t>
      </w:r>
      <w:r w:rsidRPr="00050C8B">
        <w:rPr>
          <w:rFonts w:ascii="Times New Roman" w:hAnsi="Times New Roman" w:cs="Times New Roman"/>
        </w:rPr>
        <w:t xml:space="preserve"> (</w:t>
      </w:r>
      <w:r w:rsidR="00B66382" w:rsidRPr="00050C8B">
        <w:rPr>
          <w:rFonts w:ascii="Times New Roman" w:hAnsi="Times New Roman" w:cs="Times New Roman"/>
        </w:rPr>
        <w:t>2021</w:t>
      </w:r>
      <w:r w:rsidRPr="00050C8B">
        <w:rPr>
          <w:rFonts w:ascii="Times New Roman" w:hAnsi="Times New Roman" w:cs="Times New Roman"/>
        </w:rPr>
        <w:t>).</w:t>
      </w:r>
    </w:p>
  </w:footnote>
  <w:footnote w:id="124">
    <w:p w14:paraId="3748C454" w14:textId="001BFDB6" w:rsidR="00F43B80" w:rsidRPr="00050C8B" w:rsidRDefault="00F43B80" w:rsidP="00050C8B">
      <w:pPr>
        <w:autoSpaceDE w:val="0"/>
        <w:autoSpaceDN w:val="0"/>
        <w:adjustRightInd w:val="0"/>
        <w:jc w:val="both"/>
        <w:rPr>
          <w:rFonts w:ascii="Times New Roman" w:hAnsi="Times New Roman" w:cs="Times New Roman"/>
          <w:bCs/>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For a comprehensive analysis of the application of Union law to Overseas Countries and Territories (OCTs) and to Outermost Regions see generally </w:t>
      </w:r>
      <w:r w:rsidR="005A426B" w:rsidRPr="00050C8B">
        <w:rPr>
          <w:rFonts w:ascii="Times New Roman" w:hAnsi="Times New Roman" w:cs="Times New Roman"/>
          <w:smallCaps/>
          <w:color w:val="000000" w:themeColor="text1"/>
          <w:sz w:val="20"/>
          <w:szCs w:val="20"/>
        </w:rPr>
        <w:t>EU Law of the Overseas: Outermost Regions, Associated Overseas Countries and Territories, Territories Sui Generis</w:t>
      </w:r>
      <w:r w:rsidR="005A426B" w:rsidRPr="00050C8B">
        <w:rPr>
          <w:rFonts w:ascii="Times New Roman" w:hAnsi="Times New Roman" w:cs="Times New Roman"/>
          <w:smallCaps/>
          <w:color w:val="000000" w:themeColor="text1"/>
          <w:sz w:val="20"/>
          <w:szCs w:val="20"/>
          <w:shd w:val="clear" w:color="auto" w:fill="FFFFFF"/>
        </w:rPr>
        <w:t>,</w:t>
      </w:r>
      <w:r w:rsidR="005A426B" w:rsidRPr="00050C8B">
        <w:rPr>
          <w:rStyle w:val="apple-converted-space"/>
          <w:rFonts w:ascii="Times New Roman" w:hAnsi="Times New Roman" w:cs="Times New Roman"/>
          <w:smallCaps/>
          <w:color w:val="000000" w:themeColor="text1"/>
          <w:sz w:val="20"/>
          <w:szCs w:val="20"/>
          <w:shd w:val="clear" w:color="auto" w:fill="FFFFFF"/>
        </w:rPr>
        <w:t> </w:t>
      </w:r>
      <w:r w:rsidR="005A426B" w:rsidRPr="00050C8B">
        <w:rPr>
          <w:rFonts w:ascii="Times New Roman" w:hAnsi="Times New Roman" w:cs="Times New Roman"/>
          <w:bCs/>
          <w:smallCaps/>
          <w:color w:val="000000" w:themeColor="text1"/>
          <w:sz w:val="20"/>
          <w:szCs w:val="20"/>
        </w:rPr>
        <w:t xml:space="preserve"> </w:t>
      </w:r>
      <w:r w:rsidRPr="00050C8B">
        <w:rPr>
          <w:rFonts w:ascii="Times New Roman" w:hAnsi="Times New Roman" w:cs="Times New Roman"/>
          <w:bCs/>
          <w:sz w:val="20"/>
          <w:szCs w:val="20"/>
        </w:rPr>
        <w:t>(</w:t>
      </w:r>
      <w:r w:rsidR="005A426B" w:rsidRPr="00050C8B">
        <w:rPr>
          <w:rFonts w:ascii="Times New Roman" w:hAnsi="Times New Roman" w:cs="Times New Roman"/>
          <w:bCs/>
          <w:sz w:val="20"/>
          <w:szCs w:val="20"/>
        </w:rPr>
        <w:t>Dimitry Kochenov ed., 2011</w:t>
      </w:r>
      <w:r w:rsidRPr="00050C8B">
        <w:rPr>
          <w:rFonts w:ascii="Times New Roman" w:hAnsi="Times New Roman" w:cs="Times New Roman"/>
          <w:bCs/>
          <w:sz w:val="20"/>
          <w:szCs w:val="20"/>
        </w:rPr>
        <w:t xml:space="preserve">); </w:t>
      </w:r>
      <w:r w:rsidRPr="00050C8B">
        <w:rPr>
          <w:rFonts w:ascii="Times New Roman" w:hAnsi="Times New Roman" w:cs="Times New Roman"/>
          <w:sz w:val="20"/>
          <w:szCs w:val="20"/>
        </w:rPr>
        <w:t>D</w:t>
      </w:r>
      <w:r w:rsidR="005A426B" w:rsidRPr="00050C8B">
        <w:rPr>
          <w:rFonts w:ascii="Times New Roman" w:hAnsi="Times New Roman" w:cs="Times New Roman"/>
          <w:sz w:val="20"/>
          <w:szCs w:val="20"/>
        </w:rPr>
        <w:t>imitry</w:t>
      </w:r>
      <w:r w:rsidRPr="00050C8B">
        <w:rPr>
          <w:rFonts w:ascii="Times New Roman" w:hAnsi="Times New Roman" w:cs="Times New Roman"/>
          <w:sz w:val="20"/>
          <w:szCs w:val="20"/>
        </w:rPr>
        <w:t xml:space="preserve"> Kochenov, </w:t>
      </w:r>
      <w:r w:rsidRPr="00050C8B">
        <w:rPr>
          <w:rFonts w:ascii="Times New Roman" w:hAnsi="Times New Roman" w:cs="Times New Roman"/>
          <w:i/>
          <w:iCs/>
          <w:sz w:val="20"/>
          <w:szCs w:val="20"/>
        </w:rPr>
        <w:t>Substantive and Procedural Issues in the Application of European Law in the Overseas Possessions of European Union Member States</w:t>
      </w:r>
      <w:r w:rsidR="005A426B" w:rsidRPr="00050C8B">
        <w:rPr>
          <w:rFonts w:ascii="Times New Roman" w:hAnsi="Times New Roman" w:cs="Times New Roman"/>
          <w:sz w:val="20"/>
          <w:szCs w:val="20"/>
        </w:rPr>
        <w:t>,</w:t>
      </w:r>
      <w:r w:rsidRPr="00050C8B">
        <w:rPr>
          <w:rFonts w:ascii="Times New Roman" w:hAnsi="Times New Roman" w:cs="Times New Roman"/>
          <w:sz w:val="20"/>
          <w:szCs w:val="20"/>
        </w:rPr>
        <w:t xml:space="preserve"> 17 </w:t>
      </w:r>
      <w:r w:rsidRPr="00050C8B">
        <w:rPr>
          <w:rFonts w:ascii="Times New Roman" w:hAnsi="Times New Roman" w:cs="Times New Roman"/>
          <w:smallCaps/>
          <w:sz w:val="20"/>
          <w:szCs w:val="20"/>
        </w:rPr>
        <w:t>Michigan State of International Law</w:t>
      </w:r>
      <w:r w:rsidRPr="00050C8B">
        <w:rPr>
          <w:rFonts w:ascii="Times New Roman" w:hAnsi="Times New Roman" w:cs="Times New Roman"/>
          <w:i/>
          <w:iCs/>
          <w:sz w:val="20"/>
          <w:szCs w:val="20"/>
        </w:rPr>
        <w:t xml:space="preserve"> </w:t>
      </w:r>
      <w:r w:rsidRPr="00050C8B">
        <w:rPr>
          <w:rFonts w:ascii="Times New Roman" w:hAnsi="Times New Roman" w:cs="Times New Roman"/>
          <w:sz w:val="20"/>
          <w:szCs w:val="20"/>
        </w:rPr>
        <w:t>195</w:t>
      </w:r>
      <w:r w:rsidR="005A426B" w:rsidRPr="00050C8B">
        <w:rPr>
          <w:rFonts w:ascii="Times New Roman" w:hAnsi="Times New Roman" w:cs="Times New Roman"/>
          <w:sz w:val="20"/>
          <w:szCs w:val="20"/>
        </w:rPr>
        <w:t xml:space="preserve"> (2008)</w:t>
      </w:r>
      <w:r w:rsidRPr="00050C8B">
        <w:rPr>
          <w:rFonts w:ascii="Times New Roman" w:hAnsi="Times New Roman" w:cs="Times New Roman"/>
          <w:sz w:val="20"/>
          <w:szCs w:val="20"/>
        </w:rPr>
        <w:t>; D</w:t>
      </w:r>
      <w:r w:rsidR="00D8108E" w:rsidRPr="00050C8B">
        <w:rPr>
          <w:rFonts w:ascii="Times New Roman" w:hAnsi="Times New Roman" w:cs="Times New Roman"/>
          <w:sz w:val="20"/>
          <w:szCs w:val="20"/>
        </w:rPr>
        <w:t>imitry</w:t>
      </w:r>
      <w:r w:rsidRPr="00050C8B">
        <w:rPr>
          <w:rFonts w:ascii="Times New Roman" w:hAnsi="Times New Roman" w:cs="Times New Roman"/>
          <w:sz w:val="20"/>
          <w:szCs w:val="20"/>
        </w:rPr>
        <w:t xml:space="preserve"> Kochenov</w:t>
      </w:r>
      <w:r w:rsidR="00D8108E" w:rsidRPr="00050C8B">
        <w:rPr>
          <w:rFonts w:ascii="Times New Roman" w:hAnsi="Times New Roman" w:cs="Times New Roman"/>
          <w:sz w:val="20"/>
          <w:szCs w:val="20"/>
        </w:rPr>
        <w:t>,</w:t>
      </w:r>
      <w:r w:rsidRPr="00050C8B">
        <w:rPr>
          <w:rFonts w:ascii="Times New Roman" w:hAnsi="Times New Roman" w:cs="Times New Roman"/>
          <w:sz w:val="20"/>
          <w:szCs w:val="20"/>
        </w:rPr>
        <w:t xml:space="preserve"> </w:t>
      </w:r>
      <w:r w:rsidRPr="00050C8B">
        <w:rPr>
          <w:rFonts w:ascii="Times New Roman" w:hAnsi="Times New Roman" w:cs="Times New Roman"/>
          <w:i/>
          <w:iCs/>
          <w:sz w:val="20"/>
          <w:szCs w:val="20"/>
        </w:rPr>
        <w:t>The Impact of European Citizenship on the Association of the Overseas Countries and Territories within the European Community</w:t>
      </w:r>
      <w:r w:rsidRPr="00050C8B">
        <w:rPr>
          <w:rFonts w:ascii="Times New Roman" w:hAnsi="Times New Roman" w:cs="Times New Roman"/>
          <w:sz w:val="20"/>
          <w:szCs w:val="20"/>
        </w:rPr>
        <w:t xml:space="preserve">  36 </w:t>
      </w:r>
      <w:r w:rsidRPr="00050C8B">
        <w:rPr>
          <w:rFonts w:ascii="Times New Roman" w:hAnsi="Times New Roman" w:cs="Times New Roman"/>
          <w:iCs/>
          <w:smallCaps/>
          <w:sz w:val="20"/>
          <w:szCs w:val="20"/>
        </w:rPr>
        <w:t>Legal Issues of Economic Integration</w:t>
      </w:r>
      <w:r w:rsidRPr="00050C8B">
        <w:rPr>
          <w:rFonts w:ascii="Times New Roman" w:hAnsi="Times New Roman" w:cs="Times New Roman"/>
          <w:sz w:val="20"/>
          <w:szCs w:val="20"/>
        </w:rPr>
        <w:t xml:space="preserve"> 239</w:t>
      </w:r>
      <w:r w:rsidR="00D8108E" w:rsidRPr="00050C8B">
        <w:rPr>
          <w:rFonts w:ascii="Times New Roman" w:hAnsi="Times New Roman" w:cs="Times New Roman"/>
          <w:sz w:val="20"/>
          <w:szCs w:val="20"/>
        </w:rPr>
        <w:t xml:space="preserve"> (2009)</w:t>
      </w:r>
      <w:r w:rsidRPr="00050C8B">
        <w:rPr>
          <w:rFonts w:ascii="Times New Roman" w:hAnsi="Times New Roman" w:cs="Times New Roman"/>
          <w:sz w:val="20"/>
          <w:szCs w:val="20"/>
        </w:rPr>
        <w:t xml:space="preserve">; </w:t>
      </w:r>
      <w:r w:rsidRPr="00050C8B">
        <w:rPr>
          <w:rFonts w:ascii="Times New Roman" w:hAnsi="Times New Roman" w:cs="Times New Roman"/>
          <w:smallCaps/>
          <w:sz w:val="20"/>
          <w:szCs w:val="20"/>
        </w:rPr>
        <w:t>F</w:t>
      </w:r>
      <w:r w:rsidR="00D8108E" w:rsidRPr="00050C8B">
        <w:rPr>
          <w:rFonts w:ascii="Times New Roman" w:hAnsi="Times New Roman" w:cs="Times New Roman"/>
          <w:smallCaps/>
          <w:sz w:val="20"/>
          <w:szCs w:val="20"/>
        </w:rPr>
        <w:t>iona</w:t>
      </w:r>
      <w:r w:rsidRPr="00050C8B">
        <w:rPr>
          <w:rFonts w:ascii="Times New Roman" w:hAnsi="Times New Roman" w:cs="Times New Roman"/>
          <w:smallCaps/>
          <w:sz w:val="20"/>
          <w:szCs w:val="20"/>
        </w:rPr>
        <w:t xml:space="preserve"> Murray, </w:t>
      </w:r>
      <w:r w:rsidRPr="00050C8B">
        <w:rPr>
          <w:rFonts w:ascii="Times New Roman" w:hAnsi="Times New Roman" w:cs="Times New Roman"/>
          <w:iCs/>
          <w:smallCaps/>
          <w:sz w:val="20"/>
          <w:szCs w:val="20"/>
        </w:rPr>
        <w:t>EU &amp; Member State Territories, The Special Relationship under Community Law</w:t>
      </w:r>
      <w:r w:rsidRPr="00050C8B">
        <w:rPr>
          <w:rFonts w:ascii="Times New Roman" w:hAnsi="Times New Roman" w:cs="Times New Roman"/>
          <w:i/>
          <w:sz w:val="20"/>
          <w:szCs w:val="20"/>
        </w:rPr>
        <w:t xml:space="preserve"> </w:t>
      </w:r>
      <w:r w:rsidRPr="00050C8B">
        <w:rPr>
          <w:rFonts w:ascii="Times New Roman" w:hAnsi="Times New Roman" w:cs="Times New Roman"/>
          <w:sz w:val="20"/>
          <w:szCs w:val="20"/>
        </w:rPr>
        <w:t>(2004); J</w:t>
      </w:r>
      <w:r w:rsidR="00D8108E" w:rsidRPr="00050C8B">
        <w:rPr>
          <w:rFonts w:ascii="Times New Roman" w:hAnsi="Times New Roman" w:cs="Times New Roman"/>
          <w:sz w:val="20"/>
          <w:szCs w:val="20"/>
        </w:rPr>
        <w:t>acques</w:t>
      </w:r>
      <w:r w:rsidRPr="00050C8B">
        <w:rPr>
          <w:rFonts w:ascii="Times New Roman" w:hAnsi="Times New Roman" w:cs="Times New Roman"/>
          <w:sz w:val="20"/>
          <w:szCs w:val="20"/>
        </w:rPr>
        <w:t xml:space="preserve"> Ziller, </w:t>
      </w:r>
      <w:r w:rsidRPr="00050C8B">
        <w:rPr>
          <w:rFonts w:ascii="Times New Roman" w:hAnsi="Times New Roman" w:cs="Times New Roman"/>
          <w:i/>
          <w:iCs/>
          <w:sz w:val="20"/>
          <w:szCs w:val="20"/>
        </w:rPr>
        <w:t>The European Union and the Territorial Scope of European Territories</w:t>
      </w:r>
      <w:r w:rsidR="00D8108E" w:rsidRPr="00050C8B">
        <w:rPr>
          <w:rFonts w:ascii="Times New Roman" w:hAnsi="Times New Roman" w:cs="Times New Roman"/>
          <w:sz w:val="20"/>
          <w:szCs w:val="20"/>
        </w:rPr>
        <w:t>,</w:t>
      </w:r>
      <w:r w:rsidRPr="00050C8B">
        <w:rPr>
          <w:rFonts w:ascii="Times New Roman" w:hAnsi="Times New Roman" w:cs="Times New Roman"/>
          <w:sz w:val="20"/>
          <w:szCs w:val="20"/>
        </w:rPr>
        <w:t xml:space="preserve"> 38 </w:t>
      </w:r>
      <w:r w:rsidRPr="00050C8B">
        <w:rPr>
          <w:rFonts w:ascii="Times New Roman" w:hAnsi="Times New Roman" w:cs="Times New Roman"/>
          <w:smallCaps/>
          <w:sz w:val="20"/>
          <w:szCs w:val="20"/>
        </w:rPr>
        <w:t>Victoria University Wellington Law Review</w:t>
      </w:r>
      <w:r w:rsidRPr="00050C8B">
        <w:rPr>
          <w:rFonts w:ascii="Times New Roman" w:hAnsi="Times New Roman" w:cs="Times New Roman"/>
          <w:sz w:val="20"/>
          <w:szCs w:val="20"/>
        </w:rPr>
        <w:t xml:space="preserve"> 51</w:t>
      </w:r>
      <w:r w:rsidR="00F072BF" w:rsidRPr="00050C8B">
        <w:rPr>
          <w:rFonts w:ascii="Times New Roman" w:hAnsi="Times New Roman" w:cs="Times New Roman"/>
          <w:sz w:val="20"/>
          <w:szCs w:val="20"/>
        </w:rPr>
        <w:t xml:space="preserve"> (2007)</w:t>
      </w:r>
      <w:r w:rsidRPr="00050C8B">
        <w:rPr>
          <w:rFonts w:ascii="Times New Roman" w:hAnsi="Times New Roman" w:cs="Times New Roman"/>
          <w:sz w:val="20"/>
          <w:szCs w:val="20"/>
        </w:rPr>
        <w:t>.</w:t>
      </w:r>
    </w:p>
  </w:footnote>
  <w:footnote w:id="125">
    <w:p w14:paraId="1B5E3EF0" w14:textId="3FEFDC85"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A</w:t>
      </w:r>
      <w:r w:rsidR="00286559" w:rsidRPr="00050C8B">
        <w:rPr>
          <w:rFonts w:ascii="Times New Roman" w:hAnsi="Times New Roman" w:cs="Times New Roman"/>
          <w:color w:val="000000" w:themeColor="text1"/>
        </w:rPr>
        <w:t>ndrea</w:t>
      </w:r>
      <w:r w:rsidRPr="00050C8B">
        <w:rPr>
          <w:rFonts w:ascii="Times New Roman" w:hAnsi="Times New Roman" w:cs="Times New Roman"/>
          <w:color w:val="000000" w:themeColor="text1"/>
        </w:rPr>
        <w:t xml:space="preserve"> Ott, </w:t>
      </w:r>
      <w:r w:rsidRPr="00050C8B">
        <w:rPr>
          <w:rFonts w:ascii="Times New Roman" w:hAnsi="Times New Roman" w:cs="Times New Roman"/>
          <w:i/>
          <w:iCs/>
          <w:color w:val="000000" w:themeColor="text1"/>
        </w:rPr>
        <w:t xml:space="preserve">The “Principle” of Differentiation in an Enlarged European Union: Unity in </w:t>
      </w:r>
      <w:proofErr w:type="gramStart"/>
      <w:r w:rsidRPr="00050C8B">
        <w:rPr>
          <w:rFonts w:ascii="Times New Roman" w:hAnsi="Times New Roman" w:cs="Times New Roman"/>
          <w:i/>
          <w:iCs/>
          <w:color w:val="000000" w:themeColor="text1"/>
        </w:rPr>
        <w:t>Diversity?</w:t>
      </w:r>
      <w:r w:rsidR="00286559" w:rsidRPr="00050C8B">
        <w:rPr>
          <w:rFonts w:ascii="Times New Roman" w:hAnsi="Times New Roman" w:cs="Times New Roman"/>
          <w:i/>
          <w:iCs/>
          <w:color w:val="000000" w:themeColor="text1"/>
        </w:rPr>
        <w:t>,</w:t>
      </w:r>
      <w:proofErr w:type="gramEnd"/>
      <w:r w:rsidRPr="00050C8B">
        <w:rPr>
          <w:rFonts w:ascii="Times New Roman" w:hAnsi="Times New Roman" w:cs="Times New Roman"/>
          <w:i/>
          <w:iCs/>
          <w:color w:val="000000" w:themeColor="text1"/>
        </w:rPr>
        <w:t xml:space="preserve"> in</w:t>
      </w:r>
      <w:r w:rsidRPr="00050C8B">
        <w:rPr>
          <w:rFonts w:ascii="Times New Roman" w:hAnsi="Times New Roman" w:cs="Times New Roman"/>
          <w:color w:val="000000" w:themeColor="text1"/>
        </w:rPr>
        <w:t xml:space="preserve"> </w:t>
      </w:r>
      <w:r w:rsidRPr="00050C8B">
        <w:rPr>
          <w:rFonts w:ascii="Times New Roman" w:hAnsi="Times New Roman" w:cs="Times New Roman"/>
          <w:iCs/>
          <w:smallCaps/>
          <w:color w:val="000000" w:themeColor="text1"/>
        </w:rPr>
        <w:t>The Constitution for Europe and an Enlarging Union: Unity in Diversity?</w:t>
      </w:r>
      <w:r w:rsidRPr="00050C8B">
        <w:rPr>
          <w:rFonts w:ascii="Times New Roman" w:hAnsi="Times New Roman" w:cs="Times New Roman"/>
          <w:color w:val="000000" w:themeColor="text1"/>
        </w:rPr>
        <w:t xml:space="preserve"> </w:t>
      </w:r>
      <w:r w:rsidR="00286559" w:rsidRPr="00050C8B">
        <w:rPr>
          <w:rFonts w:ascii="Times New Roman" w:hAnsi="Times New Roman" w:cs="Times New Roman"/>
          <w:color w:val="000000" w:themeColor="text1"/>
        </w:rPr>
        <w:t xml:space="preserve">104, 122 </w:t>
      </w:r>
      <w:r w:rsidRPr="00050C8B">
        <w:rPr>
          <w:rFonts w:ascii="Times New Roman" w:hAnsi="Times New Roman" w:cs="Times New Roman"/>
          <w:color w:val="000000" w:themeColor="text1"/>
        </w:rPr>
        <w:t>(</w:t>
      </w:r>
      <w:r w:rsidR="00286559" w:rsidRPr="00050C8B">
        <w:rPr>
          <w:rFonts w:ascii="Times New Roman" w:hAnsi="Times New Roman" w:cs="Times New Roman"/>
          <w:color w:val="000000" w:themeColor="text1"/>
        </w:rPr>
        <w:t xml:space="preserve">Kirstyn Inglis and Andrea Ott eds., </w:t>
      </w:r>
      <w:r w:rsidRPr="00050C8B">
        <w:rPr>
          <w:rFonts w:ascii="Times New Roman" w:hAnsi="Times New Roman" w:cs="Times New Roman"/>
          <w:color w:val="000000" w:themeColor="text1"/>
        </w:rPr>
        <w:t>2005); See also C</w:t>
      </w:r>
      <w:r w:rsidR="00286559" w:rsidRPr="00050C8B">
        <w:rPr>
          <w:rFonts w:ascii="Times New Roman" w:hAnsi="Times New Roman" w:cs="Times New Roman"/>
          <w:color w:val="000000" w:themeColor="text1"/>
        </w:rPr>
        <w:t>hristophe</w:t>
      </w:r>
      <w:r w:rsidRPr="00050C8B">
        <w:rPr>
          <w:rFonts w:ascii="Times New Roman" w:hAnsi="Times New Roman" w:cs="Times New Roman"/>
          <w:color w:val="000000" w:themeColor="text1"/>
        </w:rPr>
        <w:t xml:space="preserve"> Hillion, </w:t>
      </w:r>
      <w:r w:rsidRPr="00050C8B">
        <w:rPr>
          <w:rFonts w:ascii="Times New Roman" w:hAnsi="Times New Roman" w:cs="Times New Roman"/>
          <w:i/>
          <w:iCs/>
        </w:rPr>
        <w:t xml:space="preserve">Negotiating Turkey’s Membership to the European Union: Can the Member States Do As They </w:t>
      </w:r>
      <w:proofErr w:type="gramStart"/>
      <w:r w:rsidRPr="00050C8B">
        <w:rPr>
          <w:rFonts w:ascii="Times New Roman" w:hAnsi="Times New Roman" w:cs="Times New Roman"/>
          <w:i/>
          <w:iCs/>
        </w:rPr>
        <w:t>Please?</w:t>
      </w:r>
      <w:r w:rsidR="00286559" w:rsidRPr="00050C8B">
        <w:rPr>
          <w:rFonts w:ascii="Times New Roman" w:hAnsi="Times New Roman" w:cs="Times New Roman"/>
        </w:rPr>
        <w:t>,</w:t>
      </w:r>
      <w:proofErr w:type="gramEnd"/>
      <w:r w:rsidRPr="00050C8B">
        <w:rPr>
          <w:rFonts w:ascii="Times New Roman" w:hAnsi="Times New Roman" w:cs="Times New Roman"/>
        </w:rPr>
        <w:t xml:space="preserve"> 3 </w:t>
      </w:r>
      <w:r w:rsidRPr="00050C8B">
        <w:rPr>
          <w:rFonts w:ascii="Times New Roman" w:hAnsi="Times New Roman" w:cs="Times New Roman"/>
          <w:smallCaps/>
        </w:rPr>
        <w:t>European Constitutional Law Review</w:t>
      </w:r>
      <w:r w:rsidR="00286559" w:rsidRPr="00050C8B">
        <w:rPr>
          <w:rFonts w:ascii="Times New Roman" w:hAnsi="Times New Roman" w:cs="Times New Roman"/>
          <w:smallCaps/>
        </w:rPr>
        <w:t xml:space="preserve"> </w:t>
      </w:r>
      <w:r w:rsidR="00286559" w:rsidRPr="00050C8B">
        <w:rPr>
          <w:rFonts w:ascii="Times New Roman" w:hAnsi="Times New Roman" w:cs="Times New Roman"/>
        </w:rPr>
        <w:t>269</w:t>
      </w:r>
      <w:r w:rsidRPr="00050C8B">
        <w:rPr>
          <w:rFonts w:ascii="Times New Roman" w:hAnsi="Times New Roman" w:cs="Times New Roman"/>
        </w:rPr>
        <w:t xml:space="preserve"> </w:t>
      </w:r>
      <w:r w:rsidR="00286559" w:rsidRPr="00050C8B">
        <w:rPr>
          <w:rFonts w:ascii="Times New Roman" w:hAnsi="Times New Roman" w:cs="Times New Roman"/>
        </w:rPr>
        <w:t>(2007)</w:t>
      </w:r>
      <w:r w:rsidRPr="00050C8B">
        <w:rPr>
          <w:rFonts w:ascii="Times New Roman" w:hAnsi="Times New Roman" w:cs="Times New Roman"/>
          <w:color w:val="000000" w:themeColor="text1"/>
        </w:rPr>
        <w:t>.</w:t>
      </w:r>
    </w:p>
  </w:footnote>
  <w:footnote w:id="126">
    <w:p w14:paraId="09A13B4F" w14:textId="77777777"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Art 79(3) of the German Basic Law provides that the principles contained in Arts 1–20 may never be modified. In France, the republican principle may not be modified according to Art 89(5) of the Constitution.</w:t>
      </w:r>
    </w:p>
  </w:footnote>
  <w:footnote w:id="127">
    <w:p w14:paraId="096CE912" w14:textId="1FB12AAA" w:rsidR="00F43B80" w:rsidRPr="00050C8B" w:rsidRDefault="00F43B80" w:rsidP="00050C8B">
      <w:pPr>
        <w:jc w:val="both"/>
        <w:rPr>
          <w:rFonts w:ascii="Times New Roman" w:hAnsi="Times New Roman" w:cs="Times New Roman"/>
          <w:color w:val="000000" w:themeColor="text1"/>
          <w:sz w:val="20"/>
          <w:szCs w:val="20"/>
        </w:rPr>
      </w:pPr>
      <w:r w:rsidRPr="00050C8B">
        <w:rPr>
          <w:rStyle w:val="FootnoteReference"/>
          <w:rFonts w:ascii="Times New Roman" w:hAnsi="Times New Roman" w:cs="Times New Roman"/>
          <w:color w:val="000000" w:themeColor="text1"/>
          <w:sz w:val="20"/>
          <w:szCs w:val="20"/>
        </w:rPr>
        <w:footnoteRef/>
      </w:r>
      <w:r w:rsidRPr="00050C8B">
        <w:rPr>
          <w:rFonts w:ascii="Times New Roman" w:hAnsi="Times New Roman" w:cs="Times New Roman"/>
          <w:color w:val="000000" w:themeColor="text1"/>
          <w:sz w:val="20"/>
          <w:szCs w:val="20"/>
        </w:rPr>
        <w:t xml:space="preserve"> </w:t>
      </w:r>
      <w:r w:rsidR="00286559" w:rsidRPr="00050C8B">
        <w:rPr>
          <w:rFonts w:ascii="Times New Roman" w:hAnsi="Times New Roman" w:cs="Times New Roman"/>
          <w:i/>
          <w:color w:val="000000" w:themeColor="text1"/>
          <w:sz w:val="20"/>
          <w:szCs w:val="20"/>
        </w:rPr>
        <w:t>R</w:t>
      </w:r>
      <w:r w:rsidRPr="00050C8B">
        <w:rPr>
          <w:rFonts w:ascii="Times New Roman" w:hAnsi="Times New Roman" w:cs="Times New Roman"/>
          <w:i/>
          <w:color w:val="000000" w:themeColor="text1"/>
          <w:sz w:val="20"/>
          <w:szCs w:val="20"/>
        </w:rPr>
        <w:t xml:space="preserve">e </w:t>
      </w:r>
      <w:r w:rsidRPr="00050C8B">
        <w:rPr>
          <w:rFonts w:ascii="Times New Roman" w:eastAsia="Cambria" w:hAnsi="Times New Roman" w:cs="Times New Roman"/>
          <w:i/>
          <w:color w:val="000000" w:themeColor="text1"/>
          <w:sz w:val="20"/>
          <w:szCs w:val="20"/>
        </w:rPr>
        <w:t>Draft agreement between the Community, on the one hand, and the countries of the European Free Trade Association, on the other, relating to the creation of the European Economic Area</w:t>
      </w:r>
      <w:r w:rsidR="00286559" w:rsidRPr="00050C8B">
        <w:rPr>
          <w:rFonts w:ascii="Times New Roman" w:hAnsi="Times New Roman" w:cs="Times New Roman"/>
          <w:i/>
          <w:color w:val="000000" w:themeColor="text1"/>
          <w:sz w:val="20"/>
          <w:szCs w:val="20"/>
        </w:rPr>
        <w:t xml:space="preserve">, </w:t>
      </w:r>
      <w:r w:rsidR="00286559" w:rsidRPr="00050C8B">
        <w:rPr>
          <w:rFonts w:ascii="Times New Roman" w:hAnsi="Times New Roman" w:cs="Times New Roman"/>
          <w:color w:val="000000" w:themeColor="text1"/>
          <w:sz w:val="20"/>
          <w:szCs w:val="20"/>
        </w:rPr>
        <w:t>Opinion 1/</w:t>
      </w:r>
      <w:proofErr w:type="gramStart"/>
      <w:r w:rsidR="00286559" w:rsidRPr="00050C8B">
        <w:rPr>
          <w:rFonts w:ascii="Times New Roman" w:hAnsi="Times New Roman" w:cs="Times New Roman"/>
          <w:color w:val="000000" w:themeColor="text1"/>
          <w:sz w:val="20"/>
          <w:szCs w:val="20"/>
        </w:rPr>
        <w:t xml:space="preserve">91, </w:t>
      </w:r>
      <w:r w:rsidRPr="00050C8B">
        <w:rPr>
          <w:rFonts w:ascii="Times New Roman" w:hAnsi="Times New Roman" w:cs="Times New Roman"/>
          <w:i/>
          <w:color w:val="000000" w:themeColor="text1"/>
          <w:sz w:val="20"/>
          <w:szCs w:val="20"/>
        </w:rPr>
        <w:t xml:space="preserve"> </w:t>
      </w:r>
      <w:r w:rsidRPr="00050C8B">
        <w:rPr>
          <w:rFonts w:ascii="Times New Roman" w:hAnsi="Times New Roman" w:cs="Times New Roman"/>
          <w:color w:val="000000" w:themeColor="text1"/>
          <w:sz w:val="20"/>
          <w:szCs w:val="20"/>
          <w:shd w:val="clear" w:color="auto" w:fill="FFFFFF"/>
        </w:rPr>
        <w:t>ECLI</w:t>
      </w:r>
      <w:proofErr w:type="gramEnd"/>
      <w:r w:rsidRPr="00050C8B">
        <w:rPr>
          <w:rFonts w:ascii="Times New Roman" w:hAnsi="Times New Roman" w:cs="Times New Roman"/>
          <w:color w:val="000000" w:themeColor="text1"/>
          <w:sz w:val="20"/>
          <w:szCs w:val="20"/>
          <w:shd w:val="clear" w:color="auto" w:fill="FFFFFF"/>
        </w:rPr>
        <w:t>:EU:C:1991:490</w:t>
      </w:r>
      <w:r w:rsidRPr="00050C8B">
        <w:rPr>
          <w:rFonts w:ascii="Times New Roman" w:hAnsi="Times New Roman" w:cs="Times New Roman"/>
          <w:color w:val="000000" w:themeColor="text1"/>
          <w:sz w:val="20"/>
          <w:szCs w:val="20"/>
        </w:rPr>
        <w:t>.</w:t>
      </w:r>
    </w:p>
  </w:footnote>
  <w:footnote w:id="128">
    <w:p w14:paraId="323600D3" w14:textId="77777777"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Ex Article 220 TEC replaced in substance by Article 19 TEU.</w:t>
      </w:r>
    </w:p>
  </w:footnote>
  <w:footnote w:id="129">
    <w:p w14:paraId="5CCA7BB6" w14:textId="29888766"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w:t>
      </w:r>
      <w:r w:rsidR="00286559" w:rsidRPr="00050C8B">
        <w:rPr>
          <w:rFonts w:ascii="Times New Roman" w:hAnsi="Times New Roman" w:cs="Times New Roman"/>
          <w:i/>
          <w:iCs/>
          <w:color w:val="000000" w:themeColor="text1"/>
        </w:rPr>
        <w:t xml:space="preserve">See supra </w:t>
      </w:r>
      <w:r w:rsidR="00286559" w:rsidRPr="00050C8B">
        <w:rPr>
          <w:rFonts w:ascii="Times New Roman" w:hAnsi="Times New Roman" w:cs="Times New Roman"/>
          <w:color w:val="000000" w:themeColor="text1"/>
        </w:rPr>
        <w:t>note,</w:t>
      </w:r>
      <w:r w:rsidRPr="00050C8B">
        <w:rPr>
          <w:rFonts w:ascii="Times New Roman" w:hAnsi="Times New Roman" w:cs="Times New Roman"/>
          <w:color w:val="000000" w:themeColor="text1"/>
          <w:shd w:val="clear" w:color="auto" w:fill="FFFFFF"/>
        </w:rPr>
        <w:t xml:space="preserve"> </w:t>
      </w:r>
      <w:r w:rsidRPr="00050C8B">
        <w:rPr>
          <w:rFonts w:ascii="Times New Roman" w:hAnsi="Times New Roman" w:cs="Times New Roman"/>
          <w:color w:val="000000" w:themeColor="text1"/>
        </w:rPr>
        <w:t xml:space="preserve">para </w:t>
      </w:r>
      <w:r w:rsidR="00286559" w:rsidRPr="00050C8B">
        <w:rPr>
          <w:rFonts w:ascii="Times New Roman" w:hAnsi="Times New Roman" w:cs="Times New Roman"/>
          <w:color w:val="000000" w:themeColor="text1"/>
        </w:rPr>
        <w:t>1</w:t>
      </w:r>
      <w:r w:rsidRPr="00050C8B">
        <w:rPr>
          <w:rFonts w:ascii="Times New Roman" w:hAnsi="Times New Roman" w:cs="Times New Roman"/>
          <w:color w:val="000000" w:themeColor="text1"/>
        </w:rPr>
        <w:t>2</w:t>
      </w:r>
      <w:r w:rsidR="00301050">
        <w:rPr>
          <w:rFonts w:ascii="Times New Roman" w:hAnsi="Times New Roman" w:cs="Times New Roman"/>
          <w:color w:val="000000" w:themeColor="text1"/>
        </w:rPr>
        <w:t>1</w:t>
      </w:r>
      <w:r w:rsidRPr="00050C8B">
        <w:rPr>
          <w:rFonts w:ascii="Times New Roman" w:hAnsi="Times New Roman" w:cs="Times New Roman"/>
          <w:color w:val="000000" w:themeColor="text1"/>
        </w:rPr>
        <w:t>.</w:t>
      </w:r>
    </w:p>
  </w:footnote>
  <w:footnote w:id="130">
    <w:p w14:paraId="5EF8E5E2" w14:textId="5BDBAA77" w:rsidR="00F43B80" w:rsidRPr="00050C8B" w:rsidRDefault="00F43B80" w:rsidP="00050C8B">
      <w:pPr>
        <w:jc w:val="both"/>
        <w:rPr>
          <w:rFonts w:ascii="Times New Roman" w:hAnsi="Times New Roman" w:cs="Times New Roman"/>
          <w:sz w:val="20"/>
          <w:szCs w:val="20"/>
        </w:rPr>
      </w:pPr>
      <w:r w:rsidRPr="00050C8B">
        <w:rPr>
          <w:rStyle w:val="FootnoteReference"/>
          <w:rFonts w:ascii="Times New Roman" w:hAnsi="Times New Roman" w:cs="Times New Roman"/>
          <w:color w:val="000000" w:themeColor="text1"/>
          <w:sz w:val="20"/>
          <w:szCs w:val="20"/>
        </w:rPr>
        <w:footnoteRef/>
      </w:r>
      <w:r w:rsidRPr="00050C8B">
        <w:rPr>
          <w:rFonts w:ascii="Times New Roman" w:hAnsi="Times New Roman" w:cs="Times New Roman"/>
          <w:color w:val="000000" w:themeColor="text1"/>
          <w:sz w:val="20"/>
          <w:szCs w:val="20"/>
        </w:rPr>
        <w:t xml:space="preserve"> </w:t>
      </w:r>
      <w:r w:rsidR="00286559" w:rsidRPr="00050C8B">
        <w:rPr>
          <w:rFonts w:ascii="Times New Roman" w:hAnsi="Times New Roman" w:cs="Times New Roman"/>
          <w:color w:val="000000" w:themeColor="text1"/>
          <w:sz w:val="20"/>
          <w:szCs w:val="20"/>
        </w:rPr>
        <w:t xml:space="preserve">On the rule of law, see </w:t>
      </w:r>
      <w:r w:rsidR="00286559" w:rsidRPr="00050C8B">
        <w:rPr>
          <w:rFonts w:ascii="Times New Roman" w:hAnsi="Times New Roman" w:cs="Times New Roman"/>
          <w:i/>
          <w:color w:val="000000" w:themeColor="text1"/>
          <w:sz w:val="20"/>
          <w:szCs w:val="20"/>
        </w:rPr>
        <w:t>Johnston v. Chief Constable of the Royal Ulster Constabulary</w:t>
      </w:r>
      <w:r w:rsidR="00286559" w:rsidRPr="00050C8B">
        <w:rPr>
          <w:rFonts w:ascii="Times New Roman" w:hAnsi="Times New Roman" w:cs="Times New Roman"/>
          <w:color w:val="000000" w:themeColor="text1"/>
          <w:sz w:val="20"/>
          <w:szCs w:val="20"/>
        </w:rPr>
        <w:t xml:space="preserve">, Case C-222/84, </w:t>
      </w:r>
      <w:r w:rsidR="00286559" w:rsidRPr="00050C8B">
        <w:rPr>
          <w:rFonts w:ascii="Times New Roman" w:hAnsi="Times New Roman" w:cs="Times New Roman"/>
          <w:color w:val="000000" w:themeColor="text1"/>
          <w:sz w:val="20"/>
          <w:szCs w:val="20"/>
          <w:shd w:val="clear" w:color="auto" w:fill="FFFFFF"/>
        </w:rPr>
        <w:t>ECLI:EU:C:1986:206</w:t>
      </w:r>
      <w:r w:rsidR="00286559" w:rsidRPr="00050C8B">
        <w:rPr>
          <w:rFonts w:ascii="Times New Roman" w:hAnsi="Times New Roman" w:cs="Times New Roman"/>
          <w:color w:val="000000" w:themeColor="text1"/>
          <w:sz w:val="20"/>
          <w:szCs w:val="20"/>
        </w:rPr>
        <w:t xml:space="preserve">; </w:t>
      </w:r>
      <w:r w:rsidR="00286559" w:rsidRPr="00050C8B">
        <w:rPr>
          <w:rFonts w:ascii="Times New Roman" w:hAnsi="Times New Roman" w:cs="Times New Roman"/>
          <w:i/>
          <w:iCs/>
          <w:color w:val="000000" w:themeColor="text1"/>
          <w:sz w:val="20"/>
          <w:szCs w:val="20"/>
        </w:rPr>
        <w:t>Commission v Poland</w:t>
      </w:r>
      <w:r w:rsidR="00286559" w:rsidRPr="00050C8B">
        <w:rPr>
          <w:rFonts w:ascii="Times New Roman" w:hAnsi="Times New Roman" w:cs="Times New Roman"/>
          <w:color w:val="000000" w:themeColor="text1"/>
          <w:sz w:val="20"/>
          <w:szCs w:val="20"/>
        </w:rPr>
        <w:t>, Case C-192/18,</w:t>
      </w:r>
      <w:r w:rsidR="00286559" w:rsidRPr="00050C8B">
        <w:rPr>
          <w:rFonts w:ascii="Times New Roman" w:hAnsi="Times New Roman" w:cs="Times New Roman"/>
          <w:i/>
          <w:iCs/>
          <w:color w:val="000000" w:themeColor="text1"/>
          <w:sz w:val="20"/>
          <w:szCs w:val="20"/>
        </w:rPr>
        <w:t xml:space="preserve"> </w:t>
      </w:r>
      <w:r w:rsidR="00286559" w:rsidRPr="00050C8B">
        <w:rPr>
          <w:rFonts w:ascii="Times New Roman" w:hAnsi="Times New Roman" w:cs="Times New Roman"/>
          <w:color w:val="000000" w:themeColor="text1"/>
          <w:sz w:val="20"/>
          <w:szCs w:val="20"/>
        </w:rPr>
        <w:t xml:space="preserve">ECLI:EU:C:2019:924; </w:t>
      </w:r>
      <w:r w:rsidR="00286559" w:rsidRPr="00050C8B">
        <w:rPr>
          <w:rFonts w:ascii="Times New Roman" w:hAnsi="Times New Roman" w:cs="Times New Roman"/>
          <w:i/>
          <w:iCs/>
          <w:color w:val="000000" w:themeColor="text1"/>
          <w:sz w:val="20"/>
          <w:szCs w:val="20"/>
        </w:rPr>
        <w:t>R Commission v. Poland</w:t>
      </w:r>
      <w:r w:rsidR="00286559" w:rsidRPr="00050C8B">
        <w:rPr>
          <w:rFonts w:ascii="Times New Roman" w:hAnsi="Times New Roman" w:cs="Times New Roman"/>
          <w:color w:val="000000" w:themeColor="text1"/>
          <w:sz w:val="20"/>
          <w:szCs w:val="20"/>
        </w:rPr>
        <w:t xml:space="preserve">, </w:t>
      </w:r>
      <w:r w:rsidR="00286559" w:rsidRPr="00050C8B">
        <w:rPr>
          <w:rFonts w:ascii="Times New Roman" w:hAnsi="Times New Roman" w:cs="Times New Roman"/>
          <w:color w:val="000000" w:themeColor="text1"/>
          <w:sz w:val="20"/>
          <w:szCs w:val="20"/>
          <w:shd w:val="clear" w:color="auto" w:fill="FFFFFF"/>
        </w:rPr>
        <w:t xml:space="preserve">Case C-791/19, </w:t>
      </w:r>
      <w:r w:rsidR="00286559" w:rsidRPr="00050C8B">
        <w:rPr>
          <w:rFonts w:ascii="Times New Roman" w:hAnsi="Times New Roman" w:cs="Times New Roman"/>
          <w:color w:val="000000" w:themeColor="text1"/>
          <w:sz w:val="20"/>
          <w:szCs w:val="20"/>
        </w:rPr>
        <w:t>ECLI:EU:C:2020:277.</w:t>
      </w:r>
    </w:p>
  </w:footnote>
  <w:footnote w:id="131">
    <w:p w14:paraId="0D97F71B" w14:textId="77777777" w:rsidR="00F43B80" w:rsidRPr="00050C8B" w:rsidRDefault="00F43B80" w:rsidP="00050C8B">
      <w:pPr>
        <w:pStyle w:val="NormalWeb"/>
        <w:spacing w:before="0" w:beforeAutospacing="0" w:after="0" w:afterAutospacing="0"/>
        <w:jc w:val="both"/>
        <w:rPr>
          <w:sz w:val="20"/>
          <w:szCs w:val="20"/>
        </w:rPr>
      </w:pPr>
      <w:r w:rsidRPr="00050C8B">
        <w:rPr>
          <w:rStyle w:val="FootnoteReference"/>
          <w:sz w:val="20"/>
          <w:szCs w:val="20"/>
        </w:rPr>
        <w:footnoteRef/>
      </w:r>
      <w:r w:rsidRPr="00050C8B">
        <w:rPr>
          <w:sz w:val="20"/>
          <w:szCs w:val="20"/>
        </w:rPr>
        <w:t xml:space="preserve"> European Council meeting (18 and 19 February 2016) – Conclusions, Brussels, 19 February 2016,</w:t>
      </w:r>
    </w:p>
    <w:p w14:paraId="19EF7EC8" w14:textId="77777777" w:rsidR="00F43B80" w:rsidRPr="00050C8B" w:rsidRDefault="00F43B80" w:rsidP="00050C8B">
      <w:pPr>
        <w:pStyle w:val="NormalWeb"/>
        <w:spacing w:before="0" w:beforeAutospacing="0" w:after="0" w:afterAutospacing="0"/>
        <w:jc w:val="both"/>
        <w:rPr>
          <w:sz w:val="20"/>
          <w:szCs w:val="20"/>
          <w:lang w:val="sv-SE"/>
        </w:rPr>
      </w:pPr>
      <w:r w:rsidRPr="00050C8B">
        <w:rPr>
          <w:sz w:val="20"/>
          <w:szCs w:val="20"/>
          <w:lang w:val="sv-SE"/>
        </w:rPr>
        <w:t xml:space="preserve">EUCO 1/16. </w:t>
      </w:r>
    </w:p>
  </w:footnote>
  <w:footnote w:id="132">
    <w:p w14:paraId="13DF8C6F" w14:textId="7477215C" w:rsidR="00F43B80" w:rsidRPr="00050C8B" w:rsidRDefault="00F43B80" w:rsidP="00050C8B">
      <w:pPr>
        <w:pStyle w:val="FootnoteText"/>
        <w:jc w:val="both"/>
        <w:rPr>
          <w:rFonts w:ascii="Times New Roman" w:hAnsi="Times New Roman" w:cs="Times New Roman"/>
          <w:lang w:val="sv-SE"/>
        </w:rPr>
      </w:pPr>
      <w:r w:rsidRPr="00050C8B">
        <w:rPr>
          <w:rStyle w:val="FootnoteReference"/>
          <w:rFonts w:ascii="Times New Roman" w:hAnsi="Times New Roman" w:cs="Times New Roman"/>
        </w:rPr>
        <w:footnoteRef/>
      </w:r>
      <w:r w:rsidRPr="00050C8B">
        <w:rPr>
          <w:rFonts w:ascii="Times New Roman" w:hAnsi="Times New Roman" w:cs="Times New Roman"/>
          <w:lang w:val="sv-SE"/>
        </w:rPr>
        <w:t xml:space="preserve"> </w:t>
      </w:r>
      <w:r w:rsidRPr="00050C8B">
        <w:rPr>
          <w:rFonts w:ascii="Times New Roman" w:hAnsi="Times New Roman" w:cs="Times New Roman"/>
          <w:i/>
          <w:iCs/>
          <w:lang w:val="sv-SE"/>
        </w:rPr>
        <w:t>I</w:t>
      </w:r>
      <w:r w:rsidR="00286559" w:rsidRPr="00050C8B">
        <w:rPr>
          <w:rFonts w:ascii="Times New Roman" w:hAnsi="Times New Roman" w:cs="Times New Roman"/>
          <w:i/>
          <w:iCs/>
          <w:lang w:val="sv-SE"/>
        </w:rPr>
        <w:t>d</w:t>
      </w:r>
      <w:r w:rsidRPr="00050C8B">
        <w:rPr>
          <w:rFonts w:ascii="Times New Roman" w:hAnsi="Times New Roman" w:cs="Times New Roman"/>
          <w:lang w:val="sv-SE"/>
        </w:rPr>
        <w:t>.</w:t>
      </w:r>
    </w:p>
  </w:footnote>
  <w:footnote w:id="133">
    <w:p w14:paraId="021B46A2" w14:textId="55DDA8D6" w:rsidR="00F43B80" w:rsidRPr="00050C8B" w:rsidRDefault="00F43B80" w:rsidP="00050C8B">
      <w:pPr>
        <w:pStyle w:val="FootnoteText"/>
        <w:jc w:val="both"/>
        <w:rPr>
          <w:rFonts w:ascii="Times New Roman" w:hAnsi="Times New Roman" w:cs="Times New Roman"/>
          <w:lang w:val="sv-SE"/>
        </w:rPr>
      </w:pPr>
      <w:r w:rsidRPr="00050C8B">
        <w:rPr>
          <w:rStyle w:val="FootnoteReference"/>
          <w:rFonts w:ascii="Times New Roman" w:hAnsi="Times New Roman" w:cs="Times New Roman"/>
        </w:rPr>
        <w:footnoteRef/>
      </w:r>
      <w:r w:rsidRPr="00050C8B">
        <w:rPr>
          <w:rFonts w:ascii="Times New Roman" w:hAnsi="Times New Roman" w:cs="Times New Roman"/>
          <w:lang w:val="sv-SE"/>
        </w:rPr>
        <w:t xml:space="preserve"> </w:t>
      </w:r>
      <w:r w:rsidR="00286559" w:rsidRPr="00050C8B">
        <w:rPr>
          <w:rFonts w:ascii="Times New Roman" w:hAnsi="Times New Roman" w:cs="Times New Roman"/>
          <w:i/>
          <w:iCs/>
          <w:lang w:val="sv-SE"/>
        </w:rPr>
        <w:t>Id</w:t>
      </w:r>
      <w:r w:rsidRPr="00050C8B">
        <w:rPr>
          <w:rFonts w:ascii="Times New Roman" w:hAnsi="Times New Roman" w:cs="Times New Roman"/>
          <w:lang w:val="sv-SE"/>
        </w:rPr>
        <w:t>.</w:t>
      </w:r>
    </w:p>
  </w:footnote>
  <w:footnote w:id="134">
    <w:p w14:paraId="6A1C0DEB" w14:textId="191F3228" w:rsidR="00F43B80" w:rsidRPr="00050C8B" w:rsidRDefault="00F43B80" w:rsidP="00050C8B">
      <w:pPr>
        <w:pStyle w:val="FootnoteText"/>
        <w:jc w:val="both"/>
        <w:rPr>
          <w:rFonts w:ascii="Times New Roman" w:hAnsi="Times New Roman" w:cs="Times New Roman"/>
          <w:color w:val="000000" w:themeColor="text1"/>
          <w:lang w:val="sv-SE"/>
        </w:rPr>
      </w:pPr>
      <w:r w:rsidRPr="00050C8B">
        <w:rPr>
          <w:rStyle w:val="FootnoteReference"/>
          <w:rFonts w:ascii="Times New Roman" w:hAnsi="Times New Roman" w:cs="Times New Roman"/>
        </w:rPr>
        <w:footnoteRef/>
      </w:r>
      <w:r w:rsidRPr="00050C8B">
        <w:rPr>
          <w:rFonts w:ascii="Times New Roman" w:hAnsi="Times New Roman" w:cs="Times New Roman"/>
          <w:lang w:val="sv-SE"/>
        </w:rPr>
        <w:t xml:space="preserve"> </w:t>
      </w:r>
      <w:r w:rsidR="00286559" w:rsidRPr="00050C8B">
        <w:rPr>
          <w:rFonts w:ascii="Times New Roman" w:hAnsi="Times New Roman" w:cs="Times New Roman"/>
          <w:color w:val="000000" w:themeColor="text1"/>
          <w:lang w:val="sv-SE"/>
        </w:rPr>
        <w:t>Allan F</w:t>
      </w:r>
      <w:r w:rsidR="00286559" w:rsidRPr="00050C8B">
        <w:rPr>
          <w:rFonts w:ascii="Times New Roman" w:hAnsi="Times New Roman" w:cs="Times New Roman"/>
          <w:smallCaps/>
          <w:lang w:val="sv-SE"/>
        </w:rPr>
        <w:t xml:space="preserve">. </w:t>
      </w:r>
      <w:r w:rsidR="00286559" w:rsidRPr="00050C8B">
        <w:rPr>
          <w:rFonts w:ascii="Times New Roman" w:hAnsi="Times New Roman" w:cs="Times New Roman"/>
          <w:color w:val="000000" w:themeColor="text1"/>
          <w:lang w:val="sv-SE"/>
        </w:rPr>
        <w:t xml:space="preserve"> Tatham, </w:t>
      </w:r>
      <w:r w:rsidR="00286559" w:rsidRPr="00050C8B">
        <w:rPr>
          <w:rFonts w:ascii="Times New Roman" w:hAnsi="Times New Roman" w:cs="Times New Roman"/>
          <w:i/>
          <w:iCs/>
          <w:lang w:val="sv-SE"/>
        </w:rPr>
        <w:t>“Don’t mention divorce at the wedding, darling!”: EU Accession and Withdrawal after Lisbon,</w:t>
      </w:r>
      <w:r w:rsidR="00286559" w:rsidRPr="00050C8B">
        <w:rPr>
          <w:rFonts w:ascii="Times New Roman" w:hAnsi="Times New Roman" w:cs="Times New Roman"/>
          <w:lang w:val="sv-SE"/>
        </w:rPr>
        <w:t xml:space="preserve"> </w:t>
      </w:r>
      <w:r w:rsidR="00286559" w:rsidRPr="00050C8B">
        <w:rPr>
          <w:rFonts w:ascii="Times New Roman" w:hAnsi="Times New Roman" w:cs="Times New Roman"/>
          <w:i/>
          <w:iCs/>
          <w:lang w:val="sv-SE"/>
        </w:rPr>
        <w:t>in</w:t>
      </w:r>
      <w:r w:rsidR="00286559" w:rsidRPr="00050C8B">
        <w:rPr>
          <w:rFonts w:ascii="Times New Roman" w:hAnsi="Times New Roman" w:cs="Times New Roman"/>
          <w:lang w:val="sv-SE"/>
        </w:rPr>
        <w:t xml:space="preserve"> </w:t>
      </w:r>
      <w:r w:rsidR="00286559" w:rsidRPr="00050C8B">
        <w:rPr>
          <w:rFonts w:ascii="Times New Roman" w:hAnsi="Times New Roman" w:cs="Times New Roman"/>
          <w:smallCaps/>
          <w:lang w:val="sv-SE"/>
        </w:rPr>
        <w:t>EU Law after Lisbon</w:t>
      </w:r>
      <w:r w:rsidR="00286559" w:rsidRPr="00050C8B">
        <w:rPr>
          <w:rFonts w:ascii="Times New Roman" w:hAnsi="Times New Roman" w:cs="Times New Roman"/>
          <w:lang w:val="sv-SE"/>
        </w:rPr>
        <w:t xml:space="preserve"> 128, 144 (Andrea Biondi, Piet Eeckhout and Stefanie Ripley, eds., 2012)</w:t>
      </w:r>
      <w:r w:rsidR="00286559" w:rsidRPr="00050C8B">
        <w:rPr>
          <w:rFonts w:ascii="Times New Roman" w:hAnsi="Times New Roman" w:cs="Times New Roman"/>
          <w:color w:val="000000" w:themeColor="text1"/>
          <w:lang w:val="sv-SE"/>
        </w:rPr>
        <w:t>.</w:t>
      </w:r>
    </w:p>
  </w:footnote>
  <w:footnote w:id="135">
    <w:p w14:paraId="514EE675" w14:textId="77777777" w:rsidR="00F43B80" w:rsidRPr="00050C8B" w:rsidRDefault="00F43B80" w:rsidP="00050C8B">
      <w:pPr>
        <w:pStyle w:val="NormalWeb"/>
        <w:spacing w:before="0" w:beforeAutospacing="0" w:after="0" w:afterAutospacing="0"/>
        <w:jc w:val="both"/>
        <w:rPr>
          <w:sz w:val="20"/>
          <w:szCs w:val="20"/>
        </w:rPr>
      </w:pPr>
      <w:r w:rsidRPr="00050C8B">
        <w:rPr>
          <w:rStyle w:val="FootnoteReference"/>
          <w:sz w:val="20"/>
          <w:szCs w:val="20"/>
        </w:rPr>
        <w:footnoteRef/>
      </w:r>
      <w:r w:rsidRPr="00050C8B">
        <w:rPr>
          <w:sz w:val="20"/>
          <w:szCs w:val="20"/>
        </w:rPr>
        <w:t xml:space="preserve"> German Constitutional Court, </w:t>
      </w:r>
      <w:r w:rsidRPr="00050C8B">
        <w:rPr>
          <w:i/>
          <w:iCs/>
          <w:sz w:val="20"/>
          <w:szCs w:val="20"/>
        </w:rPr>
        <w:t>In Re Maastricht Treaty</w:t>
      </w:r>
      <w:r w:rsidRPr="00050C8B">
        <w:rPr>
          <w:sz w:val="20"/>
          <w:szCs w:val="20"/>
        </w:rPr>
        <w:t>, Decision of October 12, 1993, 2 BvR 2134/92, 2 BvR 2159/92.</w:t>
      </w:r>
    </w:p>
  </w:footnote>
  <w:footnote w:id="136">
    <w:p w14:paraId="5AEBFA88" w14:textId="77777777" w:rsidR="00F43B80" w:rsidRPr="00050C8B" w:rsidRDefault="00F43B80" w:rsidP="00050C8B">
      <w:pPr>
        <w:pStyle w:val="NormalWeb"/>
        <w:shd w:val="clear" w:color="auto" w:fill="FFFFFF"/>
        <w:spacing w:before="0" w:beforeAutospacing="0" w:after="0" w:afterAutospacing="0"/>
        <w:jc w:val="both"/>
        <w:rPr>
          <w:sz w:val="20"/>
          <w:szCs w:val="20"/>
          <w:lang w:val="en-US"/>
        </w:rPr>
      </w:pPr>
      <w:r w:rsidRPr="00050C8B">
        <w:rPr>
          <w:rStyle w:val="FootnoteReference"/>
          <w:sz w:val="20"/>
          <w:szCs w:val="20"/>
        </w:rPr>
        <w:footnoteRef/>
      </w:r>
      <w:r w:rsidRPr="00050C8B">
        <w:rPr>
          <w:sz w:val="20"/>
          <w:szCs w:val="20"/>
        </w:rPr>
        <w:t xml:space="preserve"> Czech Constitutional Court, </w:t>
      </w:r>
      <w:r w:rsidRPr="00050C8B">
        <w:rPr>
          <w:i/>
          <w:iCs/>
          <w:sz w:val="20"/>
          <w:szCs w:val="20"/>
        </w:rPr>
        <w:t>Re Treaty of Lisbon</w:t>
      </w:r>
      <w:r w:rsidRPr="00050C8B">
        <w:rPr>
          <w:sz w:val="20"/>
          <w:szCs w:val="20"/>
        </w:rPr>
        <w:t xml:space="preserve">, Pl. </w:t>
      </w:r>
      <w:r w:rsidRPr="00050C8B">
        <w:rPr>
          <w:sz w:val="20"/>
          <w:szCs w:val="20"/>
          <w:lang w:val="en-US"/>
        </w:rPr>
        <w:t xml:space="preserve">ÚS 29/09. </w:t>
      </w:r>
    </w:p>
  </w:footnote>
  <w:footnote w:id="137">
    <w:p w14:paraId="319C6659" w14:textId="77777777" w:rsidR="0037433E" w:rsidRPr="00050C8B" w:rsidRDefault="0037433E"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lang w:val="en-US"/>
        </w:rPr>
        <w:t>Vienna Convention on the Law of the Treaties, May 23, 1969, 1155 UNTS 331.</w:t>
      </w:r>
    </w:p>
  </w:footnote>
  <w:footnote w:id="138">
    <w:p w14:paraId="29F7200E" w14:textId="55E45C8F" w:rsidR="00F43B80" w:rsidRPr="00050C8B" w:rsidRDefault="00F43B80" w:rsidP="00050C8B">
      <w:pPr>
        <w:pStyle w:val="FootnoteText"/>
        <w:jc w:val="both"/>
        <w:rPr>
          <w:rFonts w:ascii="Times New Roman" w:hAnsi="Times New Roman" w:cs="Times New Roman"/>
          <w:lang w:val="pt-BR"/>
        </w:rPr>
      </w:pPr>
      <w:r w:rsidRPr="00050C8B">
        <w:rPr>
          <w:rStyle w:val="FootnoteReference"/>
          <w:rFonts w:ascii="Times New Roman" w:hAnsi="Times New Roman" w:cs="Times New Roman"/>
        </w:rPr>
        <w:footnoteRef/>
      </w:r>
      <w:r w:rsidRPr="00050C8B">
        <w:rPr>
          <w:rFonts w:ascii="Times New Roman" w:hAnsi="Times New Roman" w:cs="Times New Roman"/>
          <w:lang w:val="pt-BR"/>
        </w:rPr>
        <w:t xml:space="preserve"> </w:t>
      </w:r>
      <w:r w:rsidR="00286559" w:rsidRPr="00050C8B">
        <w:rPr>
          <w:rFonts w:ascii="Times New Roman" w:hAnsi="Times New Roman" w:cs="Times New Roman"/>
          <w:i/>
          <w:color w:val="000000" w:themeColor="text1"/>
          <w:lang w:val="pt-BR"/>
        </w:rPr>
        <w:t>Costa v. ENEL</w:t>
      </w:r>
      <w:r w:rsidR="00286559" w:rsidRPr="00050C8B">
        <w:rPr>
          <w:rFonts w:ascii="Times New Roman" w:hAnsi="Times New Roman" w:cs="Times New Roman"/>
          <w:color w:val="000000" w:themeColor="text1"/>
          <w:lang w:val="pt-BR"/>
        </w:rPr>
        <w:t>, Case 6/64, ECLI:</w:t>
      </w:r>
      <w:r w:rsidR="00286559" w:rsidRPr="00050C8B">
        <w:rPr>
          <w:rFonts w:ascii="Times New Roman" w:hAnsi="Times New Roman" w:cs="Times New Roman"/>
          <w:color w:val="000000" w:themeColor="text1"/>
          <w:shd w:val="clear" w:color="auto" w:fill="FFFFFF"/>
          <w:lang w:val="pt-BR"/>
        </w:rPr>
        <w:t>EU:C:1964:66.</w:t>
      </w:r>
    </w:p>
  </w:footnote>
  <w:footnote w:id="139">
    <w:p w14:paraId="08957B1A" w14:textId="069CA357" w:rsidR="00F43B80" w:rsidRPr="00050C8B" w:rsidRDefault="00F43B80" w:rsidP="00050C8B">
      <w:pPr>
        <w:autoSpaceDE w:val="0"/>
        <w:autoSpaceDN w:val="0"/>
        <w:adjustRightInd w:val="0"/>
        <w:jc w:val="both"/>
        <w:rPr>
          <w:rFonts w:ascii="Times New Roman" w:eastAsiaTheme="minorEastAsia" w:hAnsi="Times New Roman" w:cs="Times New Roman"/>
          <w:sz w:val="20"/>
          <w:szCs w:val="20"/>
          <w:lang w:val="pt-BR"/>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lang w:val="pt-BR"/>
        </w:rPr>
        <w:t xml:space="preserve"> </w:t>
      </w:r>
      <w:r w:rsidR="00286559" w:rsidRPr="00050C8B">
        <w:rPr>
          <w:rFonts w:ascii="Times New Roman" w:eastAsiaTheme="minorEastAsia" w:hAnsi="Times New Roman" w:cs="Times New Roman"/>
          <w:i/>
          <w:iCs/>
          <w:sz w:val="20"/>
          <w:szCs w:val="20"/>
          <w:lang w:val="pt-BR"/>
        </w:rPr>
        <w:t xml:space="preserve">See </w:t>
      </w:r>
      <w:r w:rsidRPr="00050C8B">
        <w:rPr>
          <w:rFonts w:ascii="Times New Roman" w:eastAsiaTheme="minorEastAsia" w:hAnsi="Times New Roman" w:cs="Times New Roman"/>
          <w:sz w:val="20"/>
          <w:szCs w:val="20"/>
          <w:lang w:val="pt-BR"/>
        </w:rPr>
        <w:t xml:space="preserve">Pohjankoski, </w:t>
      </w:r>
      <w:r w:rsidR="00286559" w:rsidRPr="00050C8B">
        <w:rPr>
          <w:rFonts w:ascii="Times New Roman" w:eastAsiaTheme="minorEastAsia" w:hAnsi="Times New Roman" w:cs="Times New Roman"/>
          <w:i/>
          <w:iCs/>
          <w:sz w:val="20"/>
          <w:szCs w:val="20"/>
          <w:lang w:val="pt-BR"/>
        </w:rPr>
        <w:t xml:space="preserve">supra </w:t>
      </w:r>
      <w:r w:rsidR="00286559" w:rsidRPr="00050C8B">
        <w:rPr>
          <w:rFonts w:ascii="Times New Roman" w:eastAsiaTheme="minorEastAsia" w:hAnsi="Times New Roman" w:cs="Times New Roman"/>
          <w:sz w:val="20"/>
          <w:szCs w:val="20"/>
          <w:lang w:val="pt-BR"/>
        </w:rPr>
        <w:t>note 2</w:t>
      </w:r>
      <w:r w:rsidRPr="00050C8B">
        <w:rPr>
          <w:rFonts w:ascii="Times New Roman" w:eastAsiaTheme="minorEastAsia" w:hAnsi="Times New Roman" w:cs="Times New Roman"/>
          <w:sz w:val="20"/>
          <w:szCs w:val="20"/>
          <w:lang w:val="pt-BR"/>
        </w:rPr>
        <w:t>.</w:t>
      </w:r>
    </w:p>
  </w:footnote>
  <w:footnote w:id="140">
    <w:p w14:paraId="69A048E5" w14:textId="2D2DA945" w:rsidR="00F43B80" w:rsidRPr="00050C8B" w:rsidRDefault="00F43B80" w:rsidP="00050C8B">
      <w:pPr>
        <w:pStyle w:val="FootnoteText"/>
        <w:jc w:val="both"/>
        <w:rPr>
          <w:rFonts w:ascii="Times New Roman" w:hAnsi="Times New Roman" w:cs="Times New Roman"/>
          <w:lang w:val="pt-BR"/>
        </w:rPr>
      </w:pPr>
      <w:r w:rsidRPr="00050C8B">
        <w:rPr>
          <w:rStyle w:val="FootnoteReference"/>
          <w:rFonts w:ascii="Times New Roman" w:hAnsi="Times New Roman" w:cs="Times New Roman"/>
        </w:rPr>
        <w:footnoteRef/>
      </w:r>
      <w:r w:rsidRPr="00050C8B">
        <w:rPr>
          <w:rFonts w:ascii="Times New Roman" w:hAnsi="Times New Roman" w:cs="Times New Roman"/>
          <w:lang w:val="pt-BR"/>
        </w:rPr>
        <w:t xml:space="preserve"> </w:t>
      </w:r>
      <w:proofErr w:type="spellStart"/>
      <w:r w:rsidR="00286559" w:rsidRPr="00050C8B">
        <w:rPr>
          <w:rFonts w:ascii="Times New Roman" w:eastAsiaTheme="minorEastAsia" w:hAnsi="Times New Roman" w:cs="Times New Roman"/>
          <w:i/>
          <w:iCs/>
          <w:lang w:val="pt-BR"/>
        </w:rPr>
        <w:t>See</w:t>
      </w:r>
      <w:proofErr w:type="spellEnd"/>
      <w:r w:rsidRPr="00050C8B">
        <w:rPr>
          <w:rFonts w:ascii="Times New Roman" w:hAnsi="Times New Roman" w:cs="Times New Roman"/>
          <w:lang w:val="pt-BR"/>
        </w:rPr>
        <w:t xml:space="preserve"> </w:t>
      </w:r>
      <w:proofErr w:type="spellStart"/>
      <w:r w:rsidRPr="00050C8B">
        <w:rPr>
          <w:rFonts w:ascii="Times New Roman" w:hAnsi="Times New Roman" w:cs="Times New Roman"/>
          <w:lang w:val="pt-BR"/>
        </w:rPr>
        <w:t>Vidmar</w:t>
      </w:r>
      <w:proofErr w:type="spellEnd"/>
      <w:r w:rsidRPr="00050C8B">
        <w:rPr>
          <w:rFonts w:ascii="Times New Roman" w:hAnsi="Times New Roman" w:cs="Times New Roman"/>
          <w:lang w:val="pt-BR"/>
        </w:rPr>
        <w:t xml:space="preserve">, </w:t>
      </w:r>
      <w:r w:rsidR="00286559" w:rsidRPr="00050C8B">
        <w:rPr>
          <w:rFonts w:ascii="Times New Roman" w:eastAsiaTheme="minorEastAsia" w:hAnsi="Times New Roman" w:cs="Times New Roman"/>
          <w:i/>
          <w:iCs/>
          <w:lang w:val="pt-BR"/>
        </w:rPr>
        <w:t xml:space="preserve">supra </w:t>
      </w:r>
      <w:r w:rsidR="00286559" w:rsidRPr="00050C8B">
        <w:rPr>
          <w:rFonts w:ascii="Times New Roman" w:eastAsiaTheme="minorEastAsia" w:hAnsi="Times New Roman" w:cs="Times New Roman"/>
          <w:lang w:val="pt-BR"/>
        </w:rPr>
        <w:t xml:space="preserve">note </w:t>
      </w:r>
      <w:r w:rsidR="00E25462">
        <w:rPr>
          <w:rFonts w:ascii="Times New Roman" w:eastAsiaTheme="minorEastAsia" w:hAnsi="Times New Roman" w:cs="Times New Roman"/>
          <w:lang w:val="pt-BR"/>
        </w:rPr>
        <w:t>4</w:t>
      </w:r>
      <w:r w:rsidR="00286559" w:rsidRPr="00050C8B">
        <w:rPr>
          <w:rFonts w:ascii="Times New Roman" w:eastAsiaTheme="minorEastAsia" w:hAnsi="Times New Roman" w:cs="Times New Roman"/>
          <w:lang w:val="pt-BR"/>
        </w:rPr>
        <w:t>.</w:t>
      </w:r>
    </w:p>
  </w:footnote>
  <w:footnote w:id="141">
    <w:p w14:paraId="451958BA" w14:textId="6E1E760D"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286559" w:rsidRPr="00050C8B">
        <w:rPr>
          <w:rFonts w:ascii="Times New Roman" w:hAnsi="Times New Roman" w:cs="Times New Roman"/>
          <w:i/>
          <w:iCs/>
        </w:rPr>
        <w:t>I</w:t>
      </w:r>
      <w:r w:rsidRPr="00050C8B">
        <w:rPr>
          <w:rFonts w:ascii="Times New Roman" w:hAnsi="Times New Roman" w:cs="Times New Roman"/>
          <w:i/>
          <w:iCs/>
        </w:rPr>
        <w:t>d</w:t>
      </w:r>
      <w:r w:rsidRPr="00050C8B">
        <w:rPr>
          <w:rFonts w:ascii="Times New Roman" w:hAnsi="Times New Roman" w:cs="Times New Roman"/>
        </w:rPr>
        <w:t>.</w:t>
      </w:r>
    </w:p>
  </w:footnote>
  <w:footnote w:id="142">
    <w:p w14:paraId="2FA29DF6" w14:textId="47C0BB46" w:rsidR="004741D7" w:rsidRPr="00050C8B" w:rsidRDefault="004741D7" w:rsidP="00050C8B">
      <w:pPr>
        <w:pStyle w:val="FootnoteText"/>
        <w:contextualSpacing/>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E25462" w:rsidRPr="00050C8B">
        <w:rPr>
          <w:rFonts w:ascii="Times New Roman" w:hAnsi="Times New Roman" w:cs="Times New Roman"/>
          <w:color w:val="000000" w:themeColor="text1"/>
        </w:rPr>
        <w:t xml:space="preserve">Supreme Court of Canada, </w:t>
      </w:r>
      <w:r w:rsidR="00E25462" w:rsidRPr="00050C8B">
        <w:rPr>
          <w:rFonts w:ascii="Times New Roman" w:hAnsi="Times New Roman" w:cs="Times New Roman"/>
          <w:i/>
          <w:iCs/>
          <w:color w:val="000000" w:themeColor="text1"/>
        </w:rPr>
        <w:t>Reference re Secession of Quebec</w:t>
      </w:r>
      <w:r w:rsidR="00E25462" w:rsidRPr="00050C8B">
        <w:rPr>
          <w:rFonts w:ascii="Times New Roman" w:hAnsi="Times New Roman" w:cs="Times New Roman"/>
          <w:i/>
          <w:color w:val="000000" w:themeColor="text1"/>
        </w:rPr>
        <w:t xml:space="preserve"> </w:t>
      </w:r>
      <w:r w:rsidR="00E25462" w:rsidRPr="00050C8B">
        <w:rPr>
          <w:rFonts w:ascii="Times New Roman" w:hAnsi="Times New Roman" w:cs="Times New Roman"/>
          <w:color w:val="000000" w:themeColor="text1"/>
        </w:rPr>
        <w:t>[1998] 1 SCR, 217</w:t>
      </w:r>
      <w:r w:rsidRPr="00050C8B">
        <w:rPr>
          <w:rFonts w:ascii="Times New Roman" w:hAnsi="Times New Roman" w:cs="Times New Roman"/>
          <w:lang w:val="en-US"/>
        </w:rPr>
        <w:t>.</w:t>
      </w:r>
    </w:p>
  </w:footnote>
  <w:footnote w:id="143">
    <w:p w14:paraId="1348F9D5" w14:textId="1D7C881B" w:rsidR="004741D7" w:rsidRPr="00050C8B" w:rsidRDefault="004741D7"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286559" w:rsidRPr="00050C8B">
        <w:rPr>
          <w:rFonts w:ascii="Times New Roman" w:eastAsiaTheme="minorEastAsia" w:hAnsi="Times New Roman" w:cs="Times New Roman"/>
          <w:i/>
          <w:iCs/>
        </w:rPr>
        <w:t>See</w:t>
      </w:r>
      <w:r w:rsidRPr="00050C8B">
        <w:rPr>
          <w:rFonts w:ascii="Times New Roman" w:hAnsi="Times New Roman" w:cs="Times New Roman"/>
          <w:smallCaps/>
          <w:lang w:val="en-US"/>
        </w:rPr>
        <w:t xml:space="preserve"> </w:t>
      </w:r>
      <w:r w:rsidRPr="00050C8B">
        <w:rPr>
          <w:rFonts w:ascii="Times New Roman" w:hAnsi="Times New Roman" w:cs="Times New Roman"/>
          <w:lang w:val="en-US"/>
        </w:rPr>
        <w:t xml:space="preserve">Calhoun, </w:t>
      </w:r>
      <w:r w:rsidR="00286559" w:rsidRPr="00050C8B">
        <w:rPr>
          <w:rFonts w:ascii="Times New Roman" w:eastAsiaTheme="minorEastAsia" w:hAnsi="Times New Roman" w:cs="Times New Roman"/>
          <w:i/>
          <w:iCs/>
        </w:rPr>
        <w:t>supra</w:t>
      </w:r>
      <w:r w:rsidR="00286559" w:rsidRPr="00050C8B">
        <w:rPr>
          <w:rFonts w:ascii="Times New Roman" w:eastAsiaTheme="minorEastAsia" w:hAnsi="Times New Roman" w:cs="Times New Roman"/>
        </w:rPr>
        <w:t xml:space="preserve"> note</w:t>
      </w:r>
      <w:r w:rsidR="00286559" w:rsidRPr="00050C8B">
        <w:rPr>
          <w:rFonts w:ascii="Times New Roman" w:eastAsiaTheme="minorEastAsia" w:hAnsi="Times New Roman" w:cs="Times New Roman"/>
          <w:i/>
          <w:iCs/>
        </w:rPr>
        <w:t xml:space="preserve"> </w:t>
      </w:r>
      <w:r w:rsidR="00E25462">
        <w:rPr>
          <w:rFonts w:ascii="Times New Roman" w:hAnsi="Times New Roman" w:cs="Times New Roman"/>
          <w:color w:val="000000" w:themeColor="text1"/>
        </w:rPr>
        <w:t>4</w:t>
      </w:r>
      <w:r w:rsidR="00286559" w:rsidRPr="00050C8B">
        <w:rPr>
          <w:rFonts w:ascii="Times New Roman" w:hAnsi="Times New Roman" w:cs="Times New Roman"/>
          <w:color w:val="000000" w:themeColor="text1"/>
        </w:rPr>
        <w:t>0.</w:t>
      </w:r>
    </w:p>
  </w:footnote>
  <w:footnote w:id="144">
    <w:p w14:paraId="42C9EA3E" w14:textId="182E2D79"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A</w:t>
      </w:r>
      <w:r w:rsidR="00B32F73" w:rsidRPr="00050C8B">
        <w:rPr>
          <w:rFonts w:ascii="Times New Roman" w:hAnsi="Times New Roman" w:cs="Times New Roman"/>
        </w:rPr>
        <w:t>ndrew</w:t>
      </w:r>
      <w:r w:rsidRPr="00050C8B">
        <w:rPr>
          <w:rFonts w:ascii="Times New Roman" w:hAnsi="Times New Roman" w:cs="Times New Roman"/>
        </w:rPr>
        <w:t xml:space="preserve"> Duff, </w:t>
      </w:r>
      <w:proofErr w:type="gramStart"/>
      <w:r w:rsidRPr="00050C8B">
        <w:rPr>
          <w:rFonts w:ascii="Times New Roman" w:hAnsi="Times New Roman" w:cs="Times New Roman"/>
          <w:i/>
          <w:iCs/>
        </w:rPr>
        <w:t>Everything</w:t>
      </w:r>
      <w:proofErr w:type="gramEnd"/>
      <w:r w:rsidRPr="00050C8B">
        <w:rPr>
          <w:rFonts w:ascii="Times New Roman" w:hAnsi="Times New Roman" w:cs="Times New Roman"/>
          <w:i/>
          <w:iCs/>
        </w:rPr>
        <w:t xml:space="preserve"> you need to know about Article 50 (but were afraid to ask)</w:t>
      </w:r>
      <w:r w:rsidRPr="00050C8B">
        <w:rPr>
          <w:rFonts w:ascii="Times New Roman" w:hAnsi="Times New Roman" w:cs="Times New Roman"/>
        </w:rPr>
        <w:t xml:space="preserve">, </w:t>
      </w:r>
      <w:r w:rsidRPr="00050C8B">
        <w:rPr>
          <w:rFonts w:ascii="Times New Roman" w:hAnsi="Times New Roman" w:cs="Times New Roman"/>
          <w:smallCaps/>
        </w:rPr>
        <w:t>Verfassungblof</w:t>
      </w:r>
      <w:r w:rsidRPr="00050C8B">
        <w:rPr>
          <w:rFonts w:ascii="Times New Roman" w:hAnsi="Times New Roman" w:cs="Times New Roman"/>
          <w:i/>
          <w:iCs/>
        </w:rPr>
        <w:t xml:space="preserve">, </w:t>
      </w:r>
      <w:r w:rsidR="00B32F73" w:rsidRPr="00050C8B">
        <w:rPr>
          <w:rFonts w:ascii="Times New Roman" w:hAnsi="Times New Roman" w:cs="Times New Roman"/>
        </w:rPr>
        <w:t>(</w:t>
      </w:r>
      <w:r w:rsidRPr="00050C8B">
        <w:rPr>
          <w:rFonts w:ascii="Times New Roman" w:hAnsi="Times New Roman" w:cs="Times New Roman"/>
        </w:rPr>
        <w:t>4</w:t>
      </w:r>
      <w:r w:rsidRPr="00050C8B">
        <w:rPr>
          <w:rFonts w:ascii="Times New Roman" w:hAnsi="Times New Roman" w:cs="Times New Roman"/>
          <w:vertAlign w:val="superscript"/>
        </w:rPr>
        <w:t xml:space="preserve"> </w:t>
      </w:r>
      <w:r w:rsidRPr="00050C8B">
        <w:rPr>
          <w:rFonts w:ascii="Times New Roman" w:hAnsi="Times New Roman" w:cs="Times New Roman"/>
        </w:rPr>
        <w:t>July 2016</w:t>
      </w:r>
      <w:r w:rsidR="00B32F73" w:rsidRPr="00050C8B">
        <w:rPr>
          <w:rFonts w:ascii="Times New Roman" w:hAnsi="Times New Roman" w:cs="Times New Roman"/>
        </w:rPr>
        <w:t xml:space="preserve">), </w:t>
      </w:r>
      <w:r w:rsidR="00B32F73" w:rsidRPr="00050C8B">
        <w:rPr>
          <w:rFonts w:ascii="Times New Roman" w:hAnsi="Times New Roman" w:cs="Times New Roman"/>
          <w:color w:val="000000" w:themeColor="text1"/>
        </w:rPr>
        <w:t>https://verfassungsblog.de/brexit-article-50-duff/</w:t>
      </w:r>
      <w:r w:rsidRPr="00050C8B">
        <w:rPr>
          <w:rFonts w:ascii="Times New Roman" w:hAnsi="Times New Roman" w:cs="Times New Roman"/>
        </w:rPr>
        <w:t xml:space="preserve">. </w:t>
      </w:r>
    </w:p>
  </w:footnote>
  <w:footnote w:id="145">
    <w:p w14:paraId="6D7BB5C5" w14:textId="53173335" w:rsidR="0014662E" w:rsidRPr="00050C8B" w:rsidRDefault="0014662E"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B32F73" w:rsidRPr="00050C8B">
        <w:rPr>
          <w:rFonts w:ascii="Times New Roman" w:hAnsi="Times New Roman" w:cs="Times New Roman"/>
          <w:color w:val="000000" w:themeColor="text1"/>
        </w:rPr>
        <w:t xml:space="preserve">Sacha Garben, </w:t>
      </w:r>
      <w:r w:rsidR="00B32F73" w:rsidRPr="00050C8B">
        <w:rPr>
          <w:rFonts w:ascii="Times New Roman" w:hAnsi="Times New Roman" w:cs="Times New Roman"/>
          <w:i/>
          <w:iCs/>
        </w:rPr>
        <w:t>Collective Identity as a Legal Limit to European Integration in Areas of Core State Powers</w:t>
      </w:r>
      <w:r w:rsidR="00B32F73" w:rsidRPr="00050C8B">
        <w:rPr>
          <w:rFonts w:ascii="Times New Roman" w:hAnsi="Times New Roman" w:cs="Times New Roman"/>
        </w:rPr>
        <w:t xml:space="preserve">, 58 </w:t>
      </w:r>
      <w:r w:rsidR="00B32F73" w:rsidRPr="00050C8B">
        <w:rPr>
          <w:rFonts w:ascii="Times New Roman" w:hAnsi="Times New Roman" w:cs="Times New Roman"/>
          <w:smallCaps/>
        </w:rPr>
        <w:t>Journal of Common Market Studies</w:t>
      </w:r>
      <w:r w:rsidR="00B32F73" w:rsidRPr="00050C8B">
        <w:rPr>
          <w:rFonts w:ascii="Times New Roman" w:hAnsi="Times New Roman" w:cs="Times New Roman"/>
        </w:rPr>
        <w:t xml:space="preserve"> 41, 52 (2020)</w:t>
      </w:r>
      <w:r w:rsidR="00B32F73" w:rsidRPr="00050C8B">
        <w:rPr>
          <w:rFonts w:ascii="Times New Roman" w:hAnsi="Times New Roman" w:cs="Times New Roman"/>
          <w:color w:val="000000" w:themeColor="text1"/>
        </w:rPr>
        <w:t>.</w:t>
      </w:r>
    </w:p>
  </w:footnote>
  <w:footnote w:id="146">
    <w:p w14:paraId="01063F0D" w14:textId="4C347BCA" w:rsidR="00F43B80" w:rsidRPr="00050C8B" w:rsidRDefault="00F43B80" w:rsidP="00050C8B">
      <w:pPr>
        <w:jc w:val="both"/>
        <w:rPr>
          <w:rFonts w:ascii="Times New Roman" w:hAnsi="Times New Roman" w:cs="Times New Roman"/>
          <w:color w:val="000000" w:themeColor="text1"/>
          <w:sz w:val="20"/>
          <w:szCs w:val="20"/>
          <w:lang w:val="en-US"/>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00B32F73" w:rsidRPr="00050C8B">
        <w:rPr>
          <w:rFonts w:ascii="Times New Roman" w:hAnsi="Times New Roman" w:cs="Times New Roman"/>
          <w:color w:val="000000" w:themeColor="text1"/>
          <w:sz w:val="20"/>
          <w:szCs w:val="20"/>
        </w:rPr>
        <w:t xml:space="preserve">Raymond J. </w:t>
      </w:r>
      <w:r w:rsidR="00B32F73" w:rsidRPr="00050C8B">
        <w:rPr>
          <w:rFonts w:ascii="Times New Roman" w:eastAsiaTheme="minorEastAsia" w:hAnsi="Times New Roman" w:cs="Times New Roman"/>
          <w:color w:val="000000" w:themeColor="text1"/>
          <w:sz w:val="20"/>
          <w:szCs w:val="20"/>
        </w:rPr>
        <w:t xml:space="preserve">Friel, </w:t>
      </w:r>
      <w:r w:rsidR="00B32F73" w:rsidRPr="00050C8B">
        <w:rPr>
          <w:rFonts w:ascii="Times New Roman" w:eastAsiaTheme="minorEastAsia" w:hAnsi="Times New Roman" w:cs="Times New Roman"/>
          <w:i/>
          <w:iCs/>
          <w:sz w:val="20"/>
          <w:szCs w:val="20"/>
        </w:rPr>
        <w:t>Providing a Constitutional Framework for Withdrawal from the EU: Article 59 of the Draft European Constitution</w:t>
      </w:r>
      <w:r w:rsidR="00B32F73" w:rsidRPr="00050C8B">
        <w:rPr>
          <w:rFonts w:ascii="Times New Roman" w:eastAsiaTheme="minorEastAsia" w:hAnsi="Times New Roman" w:cs="Times New Roman"/>
          <w:sz w:val="20"/>
          <w:szCs w:val="20"/>
        </w:rPr>
        <w:t xml:space="preserve">, 53 </w:t>
      </w:r>
      <w:r w:rsidR="00B32F73" w:rsidRPr="00050C8B">
        <w:rPr>
          <w:rFonts w:ascii="Times New Roman" w:eastAsiaTheme="minorEastAsia" w:hAnsi="Times New Roman" w:cs="Times New Roman"/>
          <w:smallCaps/>
          <w:sz w:val="20"/>
          <w:szCs w:val="20"/>
        </w:rPr>
        <w:t>International &amp; Comparative Law Quarterly</w:t>
      </w:r>
      <w:r w:rsidR="00B32F73" w:rsidRPr="00050C8B">
        <w:rPr>
          <w:rFonts w:ascii="Times New Roman" w:eastAsiaTheme="minorEastAsia" w:hAnsi="Times New Roman" w:cs="Times New Roman"/>
          <w:i/>
          <w:iCs/>
          <w:sz w:val="20"/>
          <w:szCs w:val="20"/>
        </w:rPr>
        <w:t xml:space="preserve">, </w:t>
      </w:r>
      <w:r w:rsidR="00B32F73" w:rsidRPr="00050C8B">
        <w:rPr>
          <w:rFonts w:ascii="Times New Roman" w:eastAsiaTheme="minorEastAsia" w:hAnsi="Times New Roman" w:cs="Times New Roman"/>
          <w:sz w:val="20"/>
          <w:szCs w:val="20"/>
        </w:rPr>
        <w:t>407 (2004)</w:t>
      </w:r>
      <w:r w:rsidRPr="00050C8B">
        <w:rPr>
          <w:rFonts w:ascii="Times New Roman" w:eastAsiaTheme="minorEastAsia" w:hAnsi="Times New Roman" w:cs="Times New Roman"/>
          <w:sz w:val="20"/>
          <w:szCs w:val="20"/>
        </w:rPr>
        <w:t>.</w:t>
      </w:r>
    </w:p>
  </w:footnote>
  <w:footnote w:id="147">
    <w:p w14:paraId="67AD921D" w14:textId="58F22C8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B32F73" w:rsidRPr="00050C8B">
        <w:rPr>
          <w:rFonts w:ascii="Times New Roman" w:hAnsi="Times New Roman" w:cs="Times New Roman"/>
          <w:i/>
          <w:iCs/>
          <w:color w:val="000000" w:themeColor="text1"/>
        </w:rPr>
        <w:t>See</w:t>
      </w:r>
      <w:r w:rsidRPr="00050C8B">
        <w:rPr>
          <w:rFonts w:ascii="Times New Roman" w:hAnsi="Times New Roman" w:cs="Times New Roman"/>
          <w:color w:val="000000" w:themeColor="text1"/>
        </w:rPr>
        <w:t xml:space="preserve"> </w:t>
      </w:r>
      <w:r w:rsidRPr="00050C8B">
        <w:rPr>
          <w:rFonts w:ascii="Times New Roman" w:hAnsi="Times New Roman" w:cs="Times New Roman"/>
          <w:i/>
          <w:iCs/>
          <w:color w:val="000000" w:themeColor="text1"/>
        </w:rPr>
        <w:t xml:space="preserve">Wightman </w:t>
      </w:r>
      <w:r w:rsidR="00B32F73" w:rsidRPr="00050C8B">
        <w:rPr>
          <w:rFonts w:ascii="Times New Roman" w:hAnsi="Times New Roman" w:cs="Times New Roman"/>
          <w:i/>
          <w:iCs/>
          <w:color w:val="000000" w:themeColor="text1"/>
        </w:rPr>
        <w:t xml:space="preserve">supra </w:t>
      </w:r>
      <w:r w:rsidR="00B32F73" w:rsidRPr="00050C8B">
        <w:rPr>
          <w:rFonts w:ascii="Times New Roman" w:hAnsi="Times New Roman" w:cs="Times New Roman"/>
          <w:color w:val="000000" w:themeColor="text1"/>
        </w:rPr>
        <w:t>note 8</w:t>
      </w:r>
      <w:r w:rsidR="00E25462">
        <w:rPr>
          <w:rFonts w:ascii="Times New Roman" w:hAnsi="Times New Roman" w:cs="Times New Roman"/>
          <w:color w:val="000000" w:themeColor="text1"/>
        </w:rPr>
        <w:t>6</w:t>
      </w:r>
      <w:r w:rsidRPr="00050C8B">
        <w:rPr>
          <w:rFonts w:ascii="Times New Roman" w:hAnsi="Times New Roman" w:cs="Times New Roman"/>
          <w:color w:val="000000" w:themeColor="text1"/>
        </w:rPr>
        <w:t>, para. 50.</w:t>
      </w:r>
    </w:p>
  </w:footnote>
  <w:footnote w:id="148">
    <w:p w14:paraId="08CB4BD0" w14:textId="17327F1E"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B32F73" w:rsidRPr="00050C8B">
        <w:rPr>
          <w:rFonts w:ascii="Times New Roman" w:hAnsi="Times New Roman" w:cs="Times New Roman"/>
          <w:iCs/>
        </w:rPr>
        <w:t>Carlos Closa</w:t>
      </w:r>
      <w:r w:rsidR="00B32F73" w:rsidRPr="00050C8B">
        <w:rPr>
          <w:rFonts w:ascii="Times New Roman" w:hAnsi="Times New Roman" w:cs="Times New Roman"/>
          <w:i/>
          <w:iCs/>
          <w:color w:val="000000" w:themeColor="text1"/>
        </w:rPr>
        <w:t xml:space="preserve">, </w:t>
      </w:r>
      <w:r w:rsidR="00B32F73" w:rsidRPr="00050C8B">
        <w:rPr>
          <w:rFonts w:ascii="Times New Roman" w:hAnsi="Times New Roman" w:cs="Times New Roman"/>
          <w:i/>
        </w:rPr>
        <w:t xml:space="preserve">Interpreting Article 50: Exit, Voice and… What About </w:t>
      </w:r>
      <w:proofErr w:type="gramStart"/>
      <w:r w:rsidR="00B32F73" w:rsidRPr="00050C8B">
        <w:rPr>
          <w:rFonts w:ascii="Times New Roman" w:hAnsi="Times New Roman" w:cs="Times New Roman"/>
          <w:i/>
        </w:rPr>
        <w:t>Loyalty?,</w:t>
      </w:r>
      <w:proofErr w:type="gramEnd"/>
      <w:r w:rsidR="00B32F73" w:rsidRPr="00050C8B">
        <w:rPr>
          <w:rFonts w:ascii="Times New Roman" w:hAnsi="Times New Roman" w:cs="Times New Roman"/>
          <w:i/>
        </w:rPr>
        <w:t xml:space="preserve"> in</w:t>
      </w:r>
      <w:r w:rsidR="00B32F73" w:rsidRPr="00050C8B">
        <w:rPr>
          <w:rFonts w:ascii="Times New Roman" w:hAnsi="Times New Roman" w:cs="Times New Roman"/>
          <w:iCs/>
        </w:rPr>
        <w:t xml:space="preserve"> </w:t>
      </w:r>
      <w:r w:rsidR="00B32F73" w:rsidRPr="00050C8B">
        <w:rPr>
          <w:rFonts w:ascii="Times New Roman" w:hAnsi="Times New Roman" w:cs="Times New Roman"/>
          <w:iCs/>
          <w:smallCaps/>
        </w:rPr>
        <w:t>Secession from a Member State and Withdrawal from the European Union,</w:t>
      </w:r>
      <w:r w:rsidR="00B32F73" w:rsidRPr="00050C8B">
        <w:rPr>
          <w:rFonts w:ascii="Times New Roman" w:hAnsi="Times New Roman" w:cs="Times New Roman"/>
          <w:iCs/>
        </w:rPr>
        <w:t xml:space="preserve"> </w:t>
      </w:r>
      <w:r w:rsidR="00B32F73" w:rsidRPr="00050C8B">
        <w:rPr>
          <w:rFonts w:ascii="Times New Roman" w:hAnsi="Times New Roman" w:cs="Times New Roman"/>
        </w:rPr>
        <w:t xml:space="preserve">187, </w:t>
      </w:r>
      <w:r w:rsidR="00B32F73" w:rsidRPr="00050C8B">
        <w:rPr>
          <w:rFonts w:ascii="Times New Roman" w:hAnsi="Times New Roman" w:cs="Times New Roman"/>
          <w:color w:val="000000" w:themeColor="text1"/>
        </w:rPr>
        <w:t>193-194</w:t>
      </w:r>
      <w:r w:rsidR="00B32F73" w:rsidRPr="00050C8B">
        <w:rPr>
          <w:rFonts w:ascii="Times New Roman" w:hAnsi="Times New Roman" w:cs="Times New Roman"/>
          <w:iCs/>
        </w:rPr>
        <w:t xml:space="preserve"> (Carlos Closa ed., </w:t>
      </w:r>
      <w:r w:rsidR="00B32F73" w:rsidRPr="00050C8B">
        <w:rPr>
          <w:rFonts w:ascii="Times New Roman" w:hAnsi="Times New Roman" w:cs="Times New Roman"/>
        </w:rPr>
        <w:t>2017.</w:t>
      </w:r>
    </w:p>
  </w:footnote>
  <w:footnote w:id="149">
    <w:p w14:paraId="0ECB35A0" w14:textId="4C6AA307" w:rsidR="00F43B80" w:rsidRPr="00050C8B" w:rsidRDefault="00F43B80" w:rsidP="00050C8B">
      <w:pPr>
        <w:pStyle w:val="FootnoteText"/>
        <w:contextualSpacing/>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B32F73" w:rsidRPr="00050C8B">
        <w:rPr>
          <w:rFonts w:ascii="Times New Roman" w:eastAsiaTheme="minorEastAsia" w:hAnsi="Times New Roman" w:cs="Times New Roman"/>
          <w:i/>
          <w:iCs/>
        </w:rPr>
        <w:t xml:space="preserve">See </w:t>
      </w:r>
      <w:r w:rsidR="00B32F73" w:rsidRPr="00050C8B">
        <w:rPr>
          <w:rFonts w:ascii="Times New Roman" w:hAnsi="Times New Roman" w:cs="Times New Roman"/>
          <w:i/>
          <w:iCs/>
          <w:color w:val="000000" w:themeColor="text1"/>
        </w:rPr>
        <w:t>Reference re Secession of Quebec</w:t>
      </w:r>
      <w:r w:rsidR="00B32F73" w:rsidRPr="00050C8B">
        <w:rPr>
          <w:rFonts w:ascii="Times New Roman" w:hAnsi="Times New Roman" w:cs="Times New Roman"/>
          <w:color w:val="000000" w:themeColor="text1"/>
        </w:rPr>
        <w:t xml:space="preserve">, </w:t>
      </w:r>
      <w:r w:rsidR="00B32F73" w:rsidRPr="00050C8B">
        <w:rPr>
          <w:rFonts w:ascii="Times New Roman" w:eastAsiaTheme="minorEastAsia" w:hAnsi="Times New Roman" w:cs="Times New Roman"/>
          <w:i/>
          <w:iCs/>
        </w:rPr>
        <w:t>supra</w:t>
      </w:r>
      <w:r w:rsidR="00B32F73" w:rsidRPr="00050C8B">
        <w:rPr>
          <w:rFonts w:ascii="Times New Roman" w:eastAsiaTheme="minorEastAsia" w:hAnsi="Times New Roman" w:cs="Times New Roman"/>
        </w:rPr>
        <w:t xml:space="preserve"> note</w:t>
      </w:r>
      <w:r w:rsidR="00B32F73" w:rsidRPr="00050C8B">
        <w:rPr>
          <w:rFonts w:ascii="Times New Roman" w:eastAsiaTheme="minorEastAsia" w:hAnsi="Times New Roman" w:cs="Times New Roman"/>
          <w:i/>
          <w:iCs/>
        </w:rPr>
        <w:t xml:space="preserve"> </w:t>
      </w:r>
      <w:r w:rsidR="00E25462">
        <w:rPr>
          <w:rFonts w:ascii="Times New Roman" w:hAnsi="Times New Roman" w:cs="Times New Roman"/>
          <w:color w:val="000000" w:themeColor="text1"/>
        </w:rPr>
        <w:t>141</w:t>
      </w:r>
      <w:r w:rsidRPr="00050C8B">
        <w:rPr>
          <w:rFonts w:ascii="Times New Roman" w:hAnsi="Times New Roman" w:cs="Times New Roman"/>
          <w:color w:val="000000" w:themeColor="text1"/>
        </w:rPr>
        <w:t>, para. 104.</w:t>
      </w:r>
    </w:p>
  </w:footnote>
  <w:footnote w:id="150">
    <w:p w14:paraId="564762AF" w14:textId="7E990860"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w:t>
      </w:r>
      <w:r w:rsidR="00B32F73" w:rsidRPr="00050C8B">
        <w:rPr>
          <w:rFonts w:ascii="Times New Roman" w:hAnsi="Times New Roman" w:cs="Times New Roman"/>
          <w:color w:val="000000" w:themeColor="text1"/>
          <w:lang w:val="en-US"/>
        </w:rPr>
        <w:t xml:space="preserve">Antonello Tancredi, </w:t>
      </w:r>
      <w:r w:rsidR="00B32F73" w:rsidRPr="00050C8B">
        <w:rPr>
          <w:rFonts w:ascii="Times New Roman" w:hAnsi="Times New Roman" w:cs="Times New Roman"/>
          <w:i/>
          <w:iCs/>
          <w:color w:val="000000" w:themeColor="text1"/>
          <w:lang w:val="en-US"/>
        </w:rPr>
        <w:t>A normative ‘due process’ in the creation of States through secession</w:t>
      </w:r>
      <w:r w:rsidR="00B32F73" w:rsidRPr="00050C8B">
        <w:rPr>
          <w:rFonts w:ascii="Times New Roman" w:hAnsi="Times New Roman" w:cs="Times New Roman"/>
          <w:color w:val="000000" w:themeColor="text1"/>
          <w:lang w:val="en-US"/>
        </w:rPr>
        <w:t xml:space="preserve">, </w:t>
      </w:r>
      <w:r w:rsidR="00B32F73" w:rsidRPr="00050C8B">
        <w:rPr>
          <w:rFonts w:ascii="Times New Roman" w:hAnsi="Times New Roman" w:cs="Times New Roman"/>
          <w:i/>
          <w:iCs/>
          <w:color w:val="000000" w:themeColor="text1"/>
          <w:lang w:val="en-US"/>
        </w:rPr>
        <w:t>in</w:t>
      </w:r>
      <w:r w:rsidR="00B32F73" w:rsidRPr="00050C8B">
        <w:rPr>
          <w:rFonts w:ascii="Times New Roman" w:hAnsi="Times New Roman" w:cs="Times New Roman"/>
          <w:color w:val="000000" w:themeColor="text1"/>
          <w:lang w:val="en-US"/>
        </w:rPr>
        <w:t xml:space="preserve"> </w:t>
      </w:r>
      <w:r w:rsidR="00B32F73" w:rsidRPr="00050C8B">
        <w:rPr>
          <w:rFonts w:ascii="Times New Roman" w:hAnsi="Times New Roman" w:cs="Times New Roman"/>
          <w:smallCaps/>
          <w:color w:val="000000" w:themeColor="text1"/>
          <w:lang w:val="en-US"/>
        </w:rPr>
        <w:t>Secession International Law Perspective</w:t>
      </w:r>
      <w:r w:rsidR="00B32F73" w:rsidRPr="00050C8B">
        <w:rPr>
          <w:rFonts w:ascii="Times New Roman" w:hAnsi="Times New Roman" w:cs="Times New Roman"/>
          <w:color w:val="000000" w:themeColor="text1"/>
          <w:lang w:val="en-US"/>
        </w:rPr>
        <w:t xml:space="preserve"> 171 (Marcello Kohen ed., 2006)</w:t>
      </w:r>
      <w:r w:rsidRPr="00050C8B">
        <w:rPr>
          <w:rFonts w:ascii="Times New Roman" w:hAnsi="Times New Roman" w:cs="Times New Roman"/>
          <w:lang w:val="en-US"/>
        </w:rPr>
        <w:t>.</w:t>
      </w:r>
    </w:p>
  </w:footnote>
  <w:footnote w:id="151">
    <w:p w14:paraId="0BA1A7CC" w14:textId="5BF6A5A5" w:rsidR="00F43B80" w:rsidRPr="00050C8B" w:rsidRDefault="00F43B80" w:rsidP="00050C8B">
      <w:pPr>
        <w:pStyle w:val="Allmrkusetekst1"/>
        <w:contextualSpacing/>
        <w:mirrorIndents/>
        <w:jc w:val="both"/>
        <w:rPr>
          <w:rFonts w:ascii="Times New Roman" w:hAnsi="Times New Roman"/>
          <w:lang w:val="en-US"/>
        </w:rPr>
      </w:pPr>
      <w:r w:rsidRPr="00050C8B">
        <w:rPr>
          <w:rStyle w:val="FootnoteReference"/>
          <w:rFonts w:ascii="Times New Roman" w:hAnsi="Times New Roman"/>
        </w:rPr>
        <w:footnoteRef/>
      </w:r>
      <w:r w:rsidRPr="00050C8B">
        <w:rPr>
          <w:rFonts w:ascii="Times New Roman" w:hAnsi="Times New Roman"/>
          <w:lang w:val="en-US"/>
        </w:rPr>
        <w:t xml:space="preserve"> </w:t>
      </w:r>
      <w:r w:rsidR="00B32F73" w:rsidRPr="00050C8B">
        <w:rPr>
          <w:rFonts w:ascii="Times New Roman" w:eastAsiaTheme="minorEastAsia" w:hAnsi="Times New Roman"/>
          <w:i/>
          <w:iCs/>
          <w:lang w:val="en-US" w:eastAsia="en-US"/>
        </w:rPr>
        <w:t xml:space="preserve">See </w:t>
      </w:r>
      <w:r w:rsidR="00B32F73" w:rsidRPr="00050C8B">
        <w:rPr>
          <w:rFonts w:ascii="Times New Roman" w:hAnsi="Times New Roman"/>
          <w:i/>
          <w:iCs/>
          <w:color w:val="000000" w:themeColor="text1"/>
          <w:lang w:val="en-US"/>
        </w:rPr>
        <w:t>Reference re Secession of Quebec</w:t>
      </w:r>
      <w:r w:rsidR="00B32F73" w:rsidRPr="00050C8B">
        <w:rPr>
          <w:rFonts w:ascii="Times New Roman" w:hAnsi="Times New Roman"/>
          <w:color w:val="000000" w:themeColor="text1"/>
          <w:lang w:val="en-US"/>
        </w:rPr>
        <w:t xml:space="preserve">, </w:t>
      </w:r>
      <w:r w:rsidR="00B32F73" w:rsidRPr="00050C8B">
        <w:rPr>
          <w:rFonts w:ascii="Times New Roman" w:eastAsiaTheme="minorEastAsia" w:hAnsi="Times New Roman"/>
          <w:i/>
          <w:iCs/>
          <w:lang w:val="en-US" w:eastAsia="en-US"/>
        </w:rPr>
        <w:t>supra</w:t>
      </w:r>
      <w:r w:rsidR="00B32F73" w:rsidRPr="00050C8B">
        <w:rPr>
          <w:rFonts w:ascii="Times New Roman" w:eastAsiaTheme="minorEastAsia" w:hAnsi="Times New Roman"/>
          <w:lang w:val="en-US" w:eastAsia="en-US"/>
        </w:rPr>
        <w:t xml:space="preserve"> note</w:t>
      </w:r>
      <w:r w:rsidR="00B32F73" w:rsidRPr="00050C8B">
        <w:rPr>
          <w:rFonts w:ascii="Times New Roman" w:eastAsiaTheme="minorEastAsia" w:hAnsi="Times New Roman"/>
          <w:i/>
          <w:iCs/>
          <w:lang w:val="en-US" w:eastAsia="en-US"/>
        </w:rPr>
        <w:t xml:space="preserve"> </w:t>
      </w:r>
      <w:r w:rsidR="00E25462">
        <w:rPr>
          <w:rFonts w:ascii="Times New Roman" w:hAnsi="Times New Roman"/>
          <w:color w:val="000000" w:themeColor="text1"/>
          <w:lang w:val="en-US"/>
        </w:rPr>
        <w:t>141</w:t>
      </w:r>
      <w:r w:rsidRPr="00050C8B">
        <w:rPr>
          <w:rFonts w:ascii="Times New Roman" w:hAnsi="Times New Roman"/>
          <w:lang w:val="en-US"/>
        </w:rPr>
        <w:t>, par</w:t>
      </w:r>
      <w:r w:rsidR="00B32F73" w:rsidRPr="00050C8B">
        <w:rPr>
          <w:rFonts w:ascii="Times New Roman" w:hAnsi="Times New Roman"/>
          <w:lang w:val="en-US"/>
        </w:rPr>
        <w:t>a</w:t>
      </w:r>
      <w:r w:rsidRPr="00050C8B">
        <w:rPr>
          <w:rFonts w:ascii="Times New Roman" w:hAnsi="Times New Roman"/>
          <w:lang w:val="en-US"/>
        </w:rPr>
        <w:t xml:space="preserve"> 90.</w:t>
      </w:r>
    </w:p>
  </w:footnote>
  <w:footnote w:id="152">
    <w:p w14:paraId="53AEF6E1" w14:textId="3B652130"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w:t>
      </w:r>
      <w:r w:rsidR="00E25462" w:rsidRPr="00050C8B">
        <w:rPr>
          <w:rFonts w:ascii="Times New Roman" w:hAnsi="Times New Roman"/>
          <w:smallCaps/>
          <w:color w:val="000000" w:themeColor="text1"/>
          <w:lang w:val="en-US"/>
        </w:rPr>
        <w:t>Wayne Norman</w:t>
      </w:r>
      <w:r w:rsidR="00E25462" w:rsidRPr="00050C8B">
        <w:rPr>
          <w:rFonts w:ascii="Times New Roman" w:hAnsi="Times New Roman"/>
          <w:color w:val="000000" w:themeColor="text1"/>
          <w:lang w:val="en-US"/>
        </w:rPr>
        <w:t xml:space="preserve">, </w:t>
      </w:r>
      <w:r w:rsidR="00E25462" w:rsidRPr="00050C8B">
        <w:rPr>
          <w:rFonts w:ascii="Times New Roman" w:hAnsi="Times New Roman"/>
          <w:iCs/>
          <w:smallCaps/>
          <w:color w:val="000000" w:themeColor="text1"/>
          <w:lang w:val="en-US"/>
        </w:rPr>
        <w:t>Negotiating Nationalism: Nation-Building, Federalism, and Secession in the Multinational State</w:t>
      </w:r>
      <w:r w:rsidR="00E25462" w:rsidRPr="00050C8B">
        <w:rPr>
          <w:rFonts w:ascii="Times New Roman" w:hAnsi="Times New Roman"/>
          <w:iCs/>
          <w:color w:val="000000" w:themeColor="text1"/>
          <w:lang w:val="en-US"/>
        </w:rPr>
        <w:t>,</w:t>
      </w:r>
      <w:r w:rsidR="00E25462" w:rsidRPr="00050C8B">
        <w:rPr>
          <w:rFonts w:ascii="Times New Roman" w:hAnsi="Times New Roman"/>
          <w:color w:val="000000" w:themeColor="text1"/>
          <w:lang w:val="en-US"/>
        </w:rPr>
        <w:t xml:space="preserve"> 1</w:t>
      </w:r>
      <w:r w:rsidR="00E25462">
        <w:rPr>
          <w:rFonts w:ascii="Times New Roman" w:hAnsi="Times New Roman"/>
          <w:color w:val="000000" w:themeColor="text1"/>
          <w:lang w:val="en-US"/>
        </w:rPr>
        <w:t>7</w:t>
      </w:r>
      <w:r w:rsidR="00E25462" w:rsidRPr="00050C8B">
        <w:rPr>
          <w:rFonts w:ascii="Times New Roman" w:hAnsi="Times New Roman"/>
          <w:color w:val="000000" w:themeColor="text1"/>
          <w:lang w:val="en-US"/>
        </w:rPr>
        <w:t>8 (2006)</w:t>
      </w:r>
      <w:r w:rsidRPr="00050C8B">
        <w:rPr>
          <w:rFonts w:ascii="Times New Roman" w:hAnsi="Times New Roman" w:cs="Times New Roman"/>
          <w:color w:val="000000"/>
          <w:lang w:val="en-US"/>
        </w:rPr>
        <w:t xml:space="preserve">. </w:t>
      </w:r>
    </w:p>
  </w:footnote>
  <w:footnote w:id="153">
    <w:p w14:paraId="72FAD5F0" w14:textId="3CDE4244" w:rsidR="00F43B80" w:rsidRPr="00050C8B" w:rsidRDefault="00F43B80" w:rsidP="00050C8B">
      <w:pPr>
        <w:jc w:val="both"/>
        <w:rPr>
          <w:rFonts w:ascii="Times New Roman"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00B32F73" w:rsidRPr="00050C8B">
        <w:rPr>
          <w:rFonts w:ascii="Times New Roman" w:hAnsi="Times New Roman" w:cs="Times New Roman"/>
          <w:i/>
          <w:iCs/>
          <w:sz w:val="20"/>
          <w:szCs w:val="20"/>
        </w:rPr>
        <w:t>See</w:t>
      </w:r>
      <w:r w:rsidR="00B32F73" w:rsidRPr="00050C8B">
        <w:rPr>
          <w:rFonts w:ascii="Times New Roman" w:hAnsi="Times New Roman" w:cs="Times New Roman"/>
          <w:sz w:val="20"/>
          <w:szCs w:val="20"/>
        </w:rPr>
        <w:t xml:space="preserve"> generally </w:t>
      </w:r>
      <w:r w:rsidR="00B32F73" w:rsidRPr="00050C8B">
        <w:rPr>
          <w:rFonts w:ascii="Times New Roman" w:hAnsi="Times New Roman" w:cs="Times New Roman"/>
          <w:smallCaps/>
          <w:color w:val="000000"/>
          <w:sz w:val="20"/>
          <w:szCs w:val="20"/>
          <w:shd w:val="clear" w:color="auto" w:fill="FFFFFF"/>
        </w:rPr>
        <w:t>Leonard F. M. Besselink,</w:t>
      </w:r>
      <w:r w:rsidR="00B32F73" w:rsidRPr="00050C8B">
        <w:rPr>
          <w:rStyle w:val="apple-converted-space"/>
          <w:rFonts w:ascii="Times New Roman" w:hAnsi="Times New Roman" w:cs="Times New Roman"/>
          <w:smallCaps/>
          <w:color w:val="000000"/>
          <w:sz w:val="20"/>
          <w:szCs w:val="20"/>
          <w:shd w:val="clear" w:color="auto" w:fill="FFFFFF"/>
        </w:rPr>
        <w:t> </w:t>
      </w:r>
      <w:r w:rsidR="00B32F73" w:rsidRPr="00050C8B">
        <w:rPr>
          <w:rFonts w:ascii="Times New Roman" w:hAnsi="Times New Roman" w:cs="Times New Roman"/>
          <w:smallCaps/>
          <w:color w:val="000000"/>
          <w:sz w:val="20"/>
          <w:szCs w:val="20"/>
        </w:rPr>
        <w:t>A Composite European Constitution</w:t>
      </w:r>
      <w:r w:rsidR="00B32F73" w:rsidRPr="00050C8B">
        <w:rPr>
          <w:rStyle w:val="apple-converted-space"/>
          <w:rFonts w:ascii="Times New Roman" w:hAnsi="Times New Roman" w:cs="Times New Roman"/>
          <w:color w:val="000000"/>
          <w:sz w:val="20"/>
          <w:szCs w:val="20"/>
          <w:shd w:val="clear" w:color="auto" w:fill="FFFFFF"/>
        </w:rPr>
        <w:t> </w:t>
      </w:r>
      <w:r w:rsidR="00B32F73" w:rsidRPr="00050C8B">
        <w:rPr>
          <w:rFonts w:ascii="Times New Roman" w:hAnsi="Times New Roman" w:cs="Times New Roman"/>
          <w:color w:val="000000"/>
          <w:sz w:val="20"/>
          <w:szCs w:val="20"/>
          <w:shd w:val="clear" w:color="auto" w:fill="FFFFFF"/>
        </w:rPr>
        <w:t>(2007)</w:t>
      </w:r>
      <w:r w:rsidR="00B32F73" w:rsidRPr="00050C8B">
        <w:rPr>
          <w:rFonts w:ascii="Times New Roman" w:hAnsi="Times New Roman" w:cs="Times New Roman"/>
          <w:color w:val="000000" w:themeColor="text1"/>
          <w:sz w:val="20"/>
          <w:szCs w:val="20"/>
        </w:rPr>
        <w:t xml:space="preserve">; </w:t>
      </w:r>
      <w:r w:rsidR="00B32F73" w:rsidRPr="00050C8B">
        <w:rPr>
          <w:rFonts w:ascii="Times New Roman" w:hAnsi="Times New Roman" w:cs="Times New Roman"/>
          <w:smallCaps/>
          <w:color w:val="000000"/>
          <w:sz w:val="20"/>
          <w:szCs w:val="20"/>
          <w:shd w:val="clear" w:color="auto" w:fill="FFFFFF"/>
        </w:rPr>
        <w:t>Monica Claes,</w:t>
      </w:r>
      <w:r w:rsidR="00B32F73" w:rsidRPr="00050C8B">
        <w:rPr>
          <w:rStyle w:val="apple-converted-space"/>
          <w:rFonts w:ascii="Times New Roman" w:hAnsi="Times New Roman" w:cs="Times New Roman"/>
          <w:smallCaps/>
          <w:color w:val="000000"/>
          <w:sz w:val="20"/>
          <w:szCs w:val="20"/>
          <w:shd w:val="clear" w:color="auto" w:fill="FFFFFF"/>
        </w:rPr>
        <w:t> </w:t>
      </w:r>
      <w:r w:rsidR="00B32F73" w:rsidRPr="00050C8B">
        <w:rPr>
          <w:rFonts w:ascii="Times New Roman" w:hAnsi="Times New Roman" w:cs="Times New Roman"/>
          <w:smallCaps/>
          <w:color w:val="000000"/>
          <w:sz w:val="20"/>
          <w:szCs w:val="20"/>
        </w:rPr>
        <w:t>The National Courts’ Mandate In The European Constitution</w:t>
      </w:r>
      <w:r w:rsidR="00B32F73" w:rsidRPr="00050C8B">
        <w:rPr>
          <w:rFonts w:ascii="Times New Roman" w:hAnsi="Times New Roman" w:cs="Times New Roman"/>
          <w:i/>
          <w:iCs/>
          <w:color w:val="000000"/>
          <w:sz w:val="20"/>
          <w:szCs w:val="20"/>
        </w:rPr>
        <w:t xml:space="preserve"> </w:t>
      </w:r>
      <w:r w:rsidR="00B32F73" w:rsidRPr="00050C8B">
        <w:rPr>
          <w:rFonts w:ascii="Times New Roman" w:hAnsi="Times New Roman" w:cs="Times New Roman"/>
          <w:color w:val="000000"/>
          <w:sz w:val="20"/>
          <w:szCs w:val="20"/>
          <w:shd w:val="clear" w:color="auto" w:fill="FFFFFF"/>
        </w:rPr>
        <w:t>(2006)</w:t>
      </w:r>
      <w:r w:rsidR="00B32F73" w:rsidRPr="00050C8B">
        <w:rPr>
          <w:rFonts w:ascii="Times New Roman" w:hAnsi="Times New Roman" w:cs="Times New Roman"/>
          <w:iCs/>
          <w:color w:val="000000" w:themeColor="text1"/>
          <w:sz w:val="20"/>
          <w:szCs w:val="20"/>
        </w:rPr>
        <w:t>.</w:t>
      </w:r>
    </w:p>
  </w:footnote>
  <w:footnote w:id="154">
    <w:p w14:paraId="1BEE3C85" w14:textId="4CA7B87A" w:rsidR="00F43B80" w:rsidRPr="00050C8B" w:rsidRDefault="00F43B80" w:rsidP="00050C8B">
      <w:pPr>
        <w:jc w:val="both"/>
        <w:rPr>
          <w:rFonts w:ascii="Times New Roman" w:eastAsiaTheme="minorEastAsia" w:hAnsi="Times New Roman" w:cs="Times New Roman"/>
          <w:sz w:val="20"/>
          <w:szCs w:val="20"/>
        </w:rPr>
      </w:pPr>
      <w:r w:rsidRPr="00050C8B">
        <w:rPr>
          <w:rStyle w:val="FootnoteReference"/>
          <w:rFonts w:ascii="Times New Roman" w:hAnsi="Times New Roman" w:cs="Times New Roman"/>
          <w:sz w:val="20"/>
          <w:szCs w:val="20"/>
        </w:rPr>
        <w:footnoteRef/>
      </w:r>
      <w:r w:rsidRPr="00050C8B">
        <w:rPr>
          <w:rFonts w:ascii="Times New Roman" w:hAnsi="Times New Roman" w:cs="Times New Roman"/>
          <w:sz w:val="20"/>
          <w:szCs w:val="20"/>
        </w:rPr>
        <w:t xml:space="preserve"> </w:t>
      </w:r>
      <w:r w:rsidR="00B32F73" w:rsidRPr="00050C8B">
        <w:rPr>
          <w:rFonts w:ascii="Times New Roman" w:hAnsi="Times New Roman" w:cs="Times New Roman"/>
          <w:i/>
          <w:iCs/>
          <w:sz w:val="20"/>
          <w:szCs w:val="20"/>
        </w:rPr>
        <w:t xml:space="preserve">See </w:t>
      </w:r>
      <w:r w:rsidR="00B32F73" w:rsidRPr="00050C8B">
        <w:rPr>
          <w:rFonts w:ascii="Times New Roman" w:hAnsi="Times New Roman" w:cs="Times New Roman"/>
          <w:sz w:val="20"/>
          <w:szCs w:val="20"/>
        </w:rPr>
        <w:t xml:space="preserve">generally </w:t>
      </w:r>
      <w:r w:rsidR="00B32F73" w:rsidRPr="00050C8B">
        <w:rPr>
          <w:rFonts w:ascii="Times New Roman" w:hAnsi="Times New Roman" w:cs="Times New Roman"/>
          <w:color w:val="000000"/>
          <w:sz w:val="20"/>
          <w:szCs w:val="20"/>
          <w:shd w:val="clear" w:color="auto" w:fill="FFFFFF"/>
        </w:rPr>
        <w:t xml:space="preserve">Jacques Ziller, </w:t>
      </w:r>
      <w:r w:rsidR="00B32F73" w:rsidRPr="00050C8B">
        <w:rPr>
          <w:rFonts w:ascii="Times New Roman" w:hAnsi="Times New Roman" w:cs="Times New Roman"/>
          <w:i/>
          <w:iCs/>
          <w:color w:val="000000"/>
          <w:sz w:val="20"/>
          <w:szCs w:val="20"/>
          <w:shd w:val="clear" w:color="auto" w:fill="FFFFFF"/>
        </w:rPr>
        <w:t xml:space="preserve">National Constitutional Concepts in the New Constitution </w:t>
      </w:r>
      <w:proofErr w:type="gramStart"/>
      <w:r w:rsidR="00B32F73" w:rsidRPr="00050C8B">
        <w:rPr>
          <w:rFonts w:ascii="Times New Roman" w:hAnsi="Times New Roman" w:cs="Times New Roman"/>
          <w:i/>
          <w:iCs/>
          <w:color w:val="000000"/>
          <w:sz w:val="20"/>
          <w:szCs w:val="20"/>
          <w:shd w:val="clear" w:color="auto" w:fill="FFFFFF"/>
        </w:rPr>
        <w:t>For</w:t>
      </w:r>
      <w:proofErr w:type="gramEnd"/>
      <w:r w:rsidR="00B32F73" w:rsidRPr="00050C8B">
        <w:rPr>
          <w:rFonts w:ascii="Times New Roman" w:hAnsi="Times New Roman" w:cs="Times New Roman"/>
          <w:i/>
          <w:iCs/>
          <w:color w:val="000000"/>
          <w:sz w:val="20"/>
          <w:szCs w:val="20"/>
          <w:shd w:val="clear" w:color="auto" w:fill="FFFFFF"/>
        </w:rPr>
        <w:t xml:space="preserve"> Europe</w:t>
      </w:r>
      <w:r w:rsidR="00B32F73" w:rsidRPr="00050C8B">
        <w:rPr>
          <w:rFonts w:ascii="Times New Roman" w:hAnsi="Times New Roman" w:cs="Times New Roman"/>
          <w:color w:val="000000"/>
          <w:sz w:val="20"/>
          <w:szCs w:val="20"/>
          <w:shd w:val="clear" w:color="auto" w:fill="FFFFFF"/>
        </w:rPr>
        <w:t xml:space="preserve">, 1 </w:t>
      </w:r>
      <w:r w:rsidR="00B32F73" w:rsidRPr="00050C8B">
        <w:rPr>
          <w:rFonts w:ascii="Times New Roman" w:hAnsi="Times New Roman" w:cs="Times New Roman"/>
          <w:smallCaps/>
          <w:color w:val="000000"/>
          <w:sz w:val="20"/>
          <w:szCs w:val="20"/>
          <w:shd w:val="clear" w:color="auto" w:fill="FFFFFF"/>
        </w:rPr>
        <w:t>European Constitutional Law Review</w:t>
      </w:r>
      <w:r w:rsidR="00B32F73" w:rsidRPr="00050C8B">
        <w:rPr>
          <w:rFonts w:ascii="Times New Roman" w:hAnsi="Times New Roman" w:cs="Times New Roman"/>
          <w:color w:val="000000"/>
          <w:sz w:val="20"/>
          <w:szCs w:val="20"/>
          <w:shd w:val="clear" w:color="auto" w:fill="FFFFFF"/>
        </w:rPr>
        <w:t xml:space="preserve"> </w:t>
      </w:r>
      <w:r w:rsidR="00B32F73" w:rsidRPr="00050C8B">
        <w:rPr>
          <w:rFonts w:ascii="Times New Roman" w:eastAsiaTheme="minorEastAsia" w:hAnsi="Times New Roman" w:cs="Times New Roman"/>
          <w:sz w:val="20"/>
          <w:szCs w:val="20"/>
        </w:rPr>
        <w:t>247 and 452</w:t>
      </w:r>
      <w:r w:rsidR="00B32F73" w:rsidRPr="00050C8B">
        <w:rPr>
          <w:rFonts w:ascii="Times New Roman" w:hAnsi="Times New Roman" w:cs="Times New Roman"/>
          <w:color w:val="000000"/>
          <w:sz w:val="20"/>
          <w:szCs w:val="20"/>
          <w:shd w:val="clear" w:color="auto" w:fill="FFFFFF"/>
        </w:rPr>
        <w:t xml:space="preserve"> (2005)</w:t>
      </w:r>
      <w:r w:rsidR="00B32F73" w:rsidRPr="00050C8B">
        <w:rPr>
          <w:rFonts w:ascii="Times New Roman" w:eastAsiaTheme="minorEastAsia" w:hAnsi="Times New Roman" w:cs="Times New Roman"/>
          <w:sz w:val="20"/>
          <w:szCs w:val="20"/>
        </w:rPr>
        <w:t>.</w:t>
      </w:r>
    </w:p>
  </w:footnote>
  <w:footnote w:id="155">
    <w:p w14:paraId="1D947630" w14:textId="74BDC754" w:rsidR="00F43B80" w:rsidRPr="00050C8B" w:rsidRDefault="00F43B80" w:rsidP="00050C8B">
      <w:pPr>
        <w:pStyle w:val="FootnoteText"/>
        <w:jc w:val="both"/>
        <w:rPr>
          <w:rFonts w:ascii="Times New Roman" w:eastAsiaTheme="minorEastAsia"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22038F" w:rsidRPr="00050C8B">
        <w:rPr>
          <w:rFonts w:ascii="Times New Roman" w:hAnsi="Times New Roman" w:cs="Times New Roman"/>
          <w:i/>
          <w:iCs/>
        </w:rPr>
        <w:t>See</w:t>
      </w:r>
      <w:r w:rsidR="0022038F" w:rsidRPr="00050C8B">
        <w:rPr>
          <w:rFonts w:ascii="Times New Roman" w:hAnsi="Times New Roman" w:cs="Times New Roman"/>
        </w:rPr>
        <w:t xml:space="preserve"> generally Ingolf </w:t>
      </w:r>
      <w:r w:rsidR="0022038F" w:rsidRPr="00050C8B">
        <w:rPr>
          <w:rFonts w:ascii="Times New Roman" w:eastAsiaTheme="minorEastAsia" w:hAnsi="Times New Roman" w:cs="Times New Roman"/>
        </w:rPr>
        <w:t xml:space="preserve">Pernice, </w:t>
      </w:r>
      <w:r w:rsidR="0022038F" w:rsidRPr="00050C8B">
        <w:rPr>
          <w:rFonts w:ascii="Times New Roman" w:eastAsiaTheme="minorEastAsia" w:hAnsi="Times New Roman" w:cs="Times New Roman"/>
          <w:i/>
          <w:iCs/>
        </w:rPr>
        <w:t>Multi-level Constitutionalism and the Treaty of Amsterdam: European Constitution Making Revisited,</w:t>
      </w:r>
      <w:r w:rsidR="0022038F" w:rsidRPr="00050C8B">
        <w:rPr>
          <w:rFonts w:ascii="Times New Roman" w:eastAsiaTheme="minorEastAsia" w:hAnsi="Times New Roman" w:cs="Times New Roman"/>
        </w:rPr>
        <w:t xml:space="preserve"> 36 </w:t>
      </w:r>
      <w:r w:rsidR="0022038F" w:rsidRPr="00050C8B">
        <w:rPr>
          <w:rFonts w:ascii="Times New Roman" w:eastAsiaTheme="minorEastAsia" w:hAnsi="Times New Roman" w:cs="Times New Roman"/>
          <w:smallCaps/>
        </w:rPr>
        <w:t>Common Market Law Review</w:t>
      </w:r>
      <w:r w:rsidR="0022038F" w:rsidRPr="00050C8B">
        <w:rPr>
          <w:rFonts w:ascii="Times New Roman" w:eastAsiaTheme="minorEastAsia" w:hAnsi="Times New Roman" w:cs="Times New Roman"/>
        </w:rPr>
        <w:t xml:space="preserve"> 703 (1999).</w:t>
      </w:r>
    </w:p>
  </w:footnote>
  <w:footnote w:id="156">
    <w:p w14:paraId="6386C7EE" w14:textId="7777777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i/>
          <w:iCs/>
        </w:rPr>
        <w:t>Ibid</w:t>
      </w:r>
      <w:r w:rsidRPr="00050C8B">
        <w:rPr>
          <w:rFonts w:ascii="Times New Roman" w:hAnsi="Times New Roman" w:cs="Times New Roman"/>
        </w:rPr>
        <w:t>, 707.</w:t>
      </w:r>
    </w:p>
  </w:footnote>
  <w:footnote w:id="157">
    <w:p w14:paraId="44B0F404" w14:textId="579FA820"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proofErr w:type="spellStart"/>
      <w:r w:rsidRPr="00050C8B">
        <w:rPr>
          <w:rFonts w:ascii="Times New Roman" w:hAnsi="Times New Roman" w:cs="Times New Roman"/>
          <w:color w:val="000000" w:themeColor="text1"/>
        </w:rPr>
        <w:t>Besselink</w:t>
      </w:r>
      <w:proofErr w:type="spellEnd"/>
      <w:r w:rsidRPr="00050C8B">
        <w:rPr>
          <w:rFonts w:ascii="Times New Roman" w:hAnsi="Times New Roman" w:cs="Times New Roman"/>
          <w:color w:val="000000" w:themeColor="text1"/>
        </w:rPr>
        <w:t xml:space="preserve">, </w:t>
      </w:r>
      <w:r w:rsidR="00826FD4" w:rsidRPr="00050C8B">
        <w:rPr>
          <w:rFonts w:ascii="Times New Roman" w:hAnsi="Times New Roman" w:cs="Times New Roman"/>
          <w:i/>
          <w:iCs/>
          <w:color w:val="000000" w:themeColor="text1"/>
        </w:rPr>
        <w:t xml:space="preserve">supra </w:t>
      </w:r>
      <w:r w:rsidR="00826FD4" w:rsidRPr="00050C8B">
        <w:rPr>
          <w:rFonts w:ascii="Times New Roman" w:hAnsi="Times New Roman" w:cs="Times New Roman"/>
          <w:color w:val="000000" w:themeColor="text1"/>
        </w:rPr>
        <w:t>note 15</w:t>
      </w:r>
      <w:r w:rsidR="00E25462">
        <w:rPr>
          <w:rFonts w:ascii="Times New Roman" w:hAnsi="Times New Roman" w:cs="Times New Roman"/>
          <w:color w:val="000000" w:themeColor="text1"/>
        </w:rPr>
        <w:t>2</w:t>
      </w:r>
      <w:r w:rsidR="00826FD4" w:rsidRPr="00050C8B">
        <w:rPr>
          <w:rFonts w:ascii="Times New Roman" w:hAnsi="Times New Roman" w:cs="Times New Roman"/>
          <w:color w:val="000000" w:themeColor="text1"/>
        </w:rPr>
        <w:t xml:space="preserve">, </w:t>
      </w:r>
      <w:r w:rsidRPr="00050C8B">
        <w:rPr>
          <w:rFonts w:ascii="Times New Roman" w:hAnsi="Times New Roman" w:cs="Times New Roman"/>
          <w:color w:val="000000" w:themeColor="text1"/>
        </w:rPr>
        <w:t>6.</w:t>
      </w:r>
    </w:p>
  </w:footnote>
  <w:footnote w:id="158">
    <w:p w14:paraId="538E0F46" w14:textId="44092EE2"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i/>
          <w:iCs/>
        </w:rPr>
        <w:t>Id</w:t>
      </w:r>
      <w:r w:rsidRPr="00050C8B">
        <w:rPr>
          <w:rFonts w:ascii="Times New Roman" w:hAnsi="Times New Roman" w:cs="Times New Roman"/>
        </w:rPr>
        <w:t>.</w:t>
      </w:r>
    </w:p>
  </w:footnote>
  <w:footnote w:id="159">
    <w:p w14:paraId="0BECD7C2" w14:textId="2F200CE2" w:rsidR="00F43B80" w:rsidRPr="00050C8B" w:rsidRDefault="00F43B80" w:rsidP="00050C8B">
      <w:pPr>
        <w:pStyle w:val="FootnoteText"/>
        <w:jc w:val="both"/>
        <w:rPr>
          <w:rFonts w:ascii="Times New Roman" w:eastAsiaTheme="minorEastAsia"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eastAsiaTheme="minorEastAsia" w:hAnsi="Times New Roman" w:cs="Times New Roman"/>
        </w:rPr>
        <w:t xml:space="preserve">Weiler, </w:t>
      </w:r>
      <w:r w:rsidR="00826FD4" w:rsidRPr="00050C8B">
        <w:rPr>
          <w:rFonts w:ascii="Times New Roman" w:eastAsiaTheme="minorEastAsia" w:hAnsi="Times New Roman" w:cs="Times New Roman"/>
          <w:i/>
          <w:iCs/>
        </w:rPr>
        <w:t>supra</w:t>
      </w:r>
      <w:r w:rsidR="00826FD4" w:rsidRPr="00050C8B">
        <w:rPr>
          <w:rFonts w:ascii="Times New Roman" w:eastAsiaTheme="minorEastAsia" w:hAnsi="Times New Roman" w:cs="Times New Roman"/>
        </w:rPr>
        <w:t xml:space="preserve"> note 1,</w:t>
      </w:r>
      <w:r w:rsidRPr="00050C8B">
        <w:rPr>
          <w:rFonts w:ascii="Times New Roman" w:eastAsiaTheme="minorEastAsia" w:hAnsi="Times New Roman" w:cs="Times New Roman"/>
        </w:rPr>
        <w:t xml:space="preserve"> 7.</w:t>
      </w:r>
    </w:p>
  </w:footnote>
  <w:footnote w:id="160">
    <w:p w14:paraId="181DF376" w14:textId="086A3D29"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826FD4" w:rsidRPr="00050C8B">
        <w:rPr>
          <w:rFonts w:ascii="Times New Roman" w:hAnsi="Times New Roman" w:cs="Times New Roman"/>
        </w:rPr>
        <w:t xml:space="preserve">Steve Peers, </w:t>
      </w:r>
      <w:r w:rsidR="00826FD4" w:rsidRPr="00050C8B">
        <w:rPr>
          <w:rFonts w:ascii="Times New Roman" w:hAnsi="Times New Roman" w:cs="Times New Roman"/>
          <w:i/>
          <w:iCs/>
        </w:rPr>
        <w:t>The Future of EU Treaty Amendments</w:t>
      </w:r>
      <w:r w:rsidR="00826FD4" w:rsidRPr="00050C8B">
        <w:rPr>
          <w:rFonts w:ascii="Times New Roman" w:hAnsi="Times New Roman" w:cs="Times New Roman"/>
        </w:rPr>
        <w:t xml:space="preserve">, 31 </w:t>
      </w:r>
      <w:r w:rsidR="00826FD4" w:rsidRPr="00050C8B">
        <w:rPr>
          <w:rFonts w:ascii="Times New Roman" w:hAnsi="Times New Roman" w:cs="Times New Roman"/>
          <w:smallCaps/>
        </w:rPr>
        <w:t>Yearbook of European Law</w:t>
      </w:r>
      <w:r w:rsidR="00826FD4" w:rsidRPr="00050C8B">
        <w:rPr>
          <w:rFonts w:ascii="Times New Roman" w:hAnsi="Times New Roman" w:cs="Times New Roman"/>
        </w:rPr>
        <w:t xml:space="preserve"> 17, 59 (2012).</w:t>
      </w:r>
    </w:p>
  </w:footnote>
  <w:footnote w:id="161">
    <w:p w14:paraId="0EFFA4CE" w14:textId="77777777" w:rsidR="00A13431" w:rsidRPr="00050C8B" w:rsidRDefault="00A13431"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Pernice was one of the first to highlight that the duty to comply with the Article 2 TEU principles sets a limit to the constitutional heteronomy afforded by Article 4(2) TEU. “On the one hand, Member States’ national identities ‘inherent in their fundamental structures, political and constitutional, inclusive of regional and local self-government’ are protected by [now Article 4(2) TEU] … The Member States are deprived, on the other hand, of part of their constitutional autonomy insofar as they are subject to the common principles and values of the Union under [now Article 2 TEU]” </w:t>
      </w:r>
      <w:r w:rsidRPr="00050C8B">
        <w:rPr>
          <w:rFonts w:ascii="Times New Roman" w:hAnsi="Times New Roman" w:cs="Times New Roman"/>
          <w:color w:val="000000" w:themeColor="text1"/>
        </w:rPr>
        <w:t xml:space="preserve">Ingolf Pernice, </w:t>
      </w:r>
      <w:r w:rsidRPr="00050C8B">
        <w:rPr>
          <w:rFonts w:ascii="Times New Roman" w:eastAsiaTheme="minorEastAsia" w:hAnsi="Times New Roman" w:cs="Times New Roman"/>
          <w:i/>
          <w:iCs/>
        </w:rPr>
        <w:t>European v. National Constitutions</w:t>
      </w:r>
      <w:r w:rsidRPr="00050C8B">
        <w:rPr>
          <w:rFonts w:ascii="Times New Roman" w:eastAsiaTheme="minorEastAsia" w:hAnsi="Times New Roman" w:cs="Times New Roman"/>
          <w:color w:val="000000" w:themeColor="text1"/>
        </w:rPr>
        <w:t xml:space="preserve">, </w:t>
      </w:r>
      <w:r w:rsidRPr="00050C8B">
        <w:rPr>
          <w:rFonts w:ascii="Times New Roman" w:eastAsiaTheme="minorEastAsia" w:hAnsi="Times New Roman" w:cs="Times New Roman"/>
          <w:smallCaps/>
          <w:color w:val="000000" w:themeColor="text1"/>
        </w:rPr>
        <w:t>1 European Constitutional Law Review</w:t>
      </w:r>
      <w:r w:rsidRPr="00050C8B">
        <w:rPr>
          <w:rFonts w:ascii="Times New Roman" w:eastAsiaTheme="minorEastAsia" w:hAnsi="Times New Roman" w:cs="Times New Roman"/>
          <w:color w:val="000000" w:themeColor="text1"/>
        </w:rPr>
        <w:t xml:space="preserve"> 99, 101 (2005).</w:t>
      </w:r>
      <w:r w:rsidRPr="00050C8B">
        <w:rPr>
          <w:rFonts w:ascii="Times New Roman" w:hAnsi="Times New Roman" w:cs="Times New Roman"/>
        </w:rPr>
        <w:t xml:space="preserve"> In the context of the debate on secession within the EU, Closa also underlined that “</w:t>
      </w:r>
      <w:r w:rsidRPr="00050C8B">
        <w:rPr>
          <w:rFonts w:ascii="Times New Roman" w:eastAsiaTheme="minorEastAsia" w:hAnsi="Times New Roman" w:cs="Times New Roman"/>
          <w:color w:val="000000" w:themeColor="text1"/>
        </w:rPr>
        <w:t>national constitutional</w:t>
      </w:r>
      <w:r w:rsidRPr="00050C8B">
        <w:rPr>
          <w:rFonts w:ascii="Times New Roman" w:hAnsi="Times New Roman" w:cs="Times New Roman"/>
        </w:rPr>
        <w:t xml:space="preserve"> </w:t>
      </w:r>
      <w:r w:rsidRPr="00050C8B">
        <w:rPr>
          <w:rFonts w:ascii="Times New Roman" w:eastAsiaTheme="minorEastAsia" w:hAnsi="Times New Roman" w:cs="Times New Roman"/>
          <w:color w:val="000000" w:themeColor="text1"/>
        </w:rPr>
        <w:t>identity within the terms of Article 4(2) TEU is not to be interpreted as the absolute protection of the</w:t>
      </w:r>
      <w:r w:rsidRPr="00050C8B">
        <w:rPr>
          <w:rFonts w:ascii="Times New Roman" w:hAnsi="Times New Roman" w:cs="Times New Roman"/>
        </w:rPr>
        <w:t xml:space="preserve"> </w:t>
      </w:r>
      <w:r w:rsidRPr="00050C8B">
        <w:rPr>
          <w:rFonts w:ascii="Times New Roman" w:eastAsiaTheme="minorEastAsia" w:hAnsi="Times New Roman" w:cs="Times New Roman"/>
          <w:color w:val="000000" w:themeColor="text1"/>
        </w:rPr>
        <w:t>norms of Member State constitutions. Indeed, Article 4(2) TEU is to be read in the light of the values of the Union in Article 2 TEU.</w:t>
      </w:r>
      <w:r w:rsidRPr="00050C8B">
        <w:rPr>
          <w:rFonts w:ascii="Times New Roman" w:eastAsiaTheme="minorEastAsia" w:hAnsi="Times New Roman" w:cs="Times New Roman"/>
          <w:i/>
          <w:iCs/>
          <w:color w:val="000000" w:themeColor="text1"/>
        </w:rPr>
        <w:t xml:space="preserve">” </w:t>
      </w:r>
      <w:r w:rsidRPr="00050C8B">
        <w:rPr>
          <w:rFonts w:ascii="Times New Roman" w:eastAsiaTheme="minorEastAsia" w:hAnsi="Times New Roman" w:cs="Times New Roman"/>
          <w:smallCaps/>
          <w:color w:val="000000"/>
        </w:rPr>
        <w:t>Troubled Membership: Dealing with secession from a member state and withdrawal from the EU</w:t>
      </w:r>
      <w:r w:rsidRPr="00050C8B">
        <w:rPr>
          <w:rFonts w:ascii="Times New Roman" w:hAnsi="Times New Roman" w:cs="Times New Roman"/>
          <w:smallCaps/>
        </w:rPr>
        <w:t>,</w:t>
      </w:r>
      <w:r w:rsidRPr="00050C8B">
        <w:rPr>
          <w:rFonts w:ascii="Times New Roman" w:hAnsi="Times New Roman" w:cs="Times New Roman"/>
        </w:rPr>
        <w:t xml:space="preserve"> 10 </w:t>
      </w:r>
      <w:r w:rsidRPr="00050C8B">
        <w:rPr>
          <w:rFonts w:ascii="Times New Roman" w:eastAsiaTheme="minorEastAsia" w:hAnsi="Times New Roman" w:cs="Times New Roman"/>
        </w:rPr>
        <w:t>(</w:t>
      </w:r>
      <w:r w:rsidRPr="00050C8B">
        <w:rPr>
          <w:rFonts w:ascii="Times New Roman" w:hAnsi="Times New Roman" w:cs="Times New Roman"/>
        </w:rPr>
        <w:t>Carlos Closa</w:t>
      </w:r>
      <w:r w:rsidRPr="00050C8B">
        <w:rPr>
          <w:rFonts w:ascii="Times New Roman" w:eastAsiaTheme="minorEastAsia" w:hAnsi="Times New Roman" w:cs="Times New Roman"/>
        </w:rPr>
        <w:t xml:space="preserve"> ed., 20</w:t>
      </w:r>
      <w:r w:rsidRPr="00050C8B">
        <w:rPr>
          <w:rFonts w:ascii="Times New Roman" w:hAnsi="Times New Roman" w:cs="Times New Roman"/>
        </w:rPr>
        <w:t>14</w:t>
      </w:r>
      <w:r w:rsidRPr="00050C8B">
        <w:rPr>
          <w:rFonts w:ascii="Times New Roman" w:eastAsiaTheme="minorEastAsia" w:hAnsi="Times New Roman" w:cs="Times New Roman"/>
        </w:rPr>
        <w:t>).</w:t>
      </w:r>
    </w:p>
  </w:footnote>
  <w:footnote w:id="162">
    <w:p w14:paraId="6CC150A4" w14:textId="77777777" w:rsidR="004F0E74" w:rsidRPr="00050C8B" w:rsidRDefault="004F0E74" w:rsidP="004F0E74">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bCs/>
          <w:i/>
          <w:color w:val="000000" w:themeColor="text1"/>
        </w:rPr>
        <w:t xml:space="preserve">R (on the application of Miller and another) </w:t>
      </w:r>
      <w:r w:rsidRPr="00050C8B">
        <w:rPr>
          <w:rFonts w:ascii="Times New Roman" w:hAnsi="Times New Roman" w:cs="Times New Roman"/>
          <w:bCs/>
          <w:i/>
          <w:iCs/>
          <w:color w:val="000000" w:themeColor="text1"/>
        </w:rPr>
        <w:t xml:space="preserve">v </w:t>
      </w:r>
      <w:r w:rsidRPr="00050C8B">
        <w:rPr>
          <w:rFonts w:ascii="Times New Roman" w:hAnsi="Times New Roman" w:cs="Times New Roman"/>
          <w:bCs/>
          <w:i/>
          <w:color w:val="000000" w:themeColor="text1"/>
        </w:rPr>
        <w:t>Secretary of State for Exiting the European Union</w:t>
      </w:r>
      <w:r w:rsidRPr="00050C8B">
        <w:rPr>
          <w:rFonts w:ascii="Times New Roman" w:hAnsi="Times New Roman" w:cs="Times New Roman"/>
          <w:bCs/>
          <w:color w:val="000000" w:themeColor="text1"/>
        </w:rPr>
        <w:t xml:space="preserve"> [2017] UKSC 5.</w:t>
      </w:r>
    </w:p>
  </w:footnote>
  <w:footnote w:id="163">
    <w:p w14:paraId="1DBEA0F5" w14:textId="3D49B8B9" w:rsidR="004F0E74" w:rsidRPr="00E25462" w:rsidRDefault="004F0E74" w:rsidP="004F0E74">
      <w:pPr>
        <w:pStyle w:val="FootnoteText"/>
        <w:jc w:val="both"/>
        <w:rPr>
          <w:rFonts w:ascii="Times New Roman" w:hAnsi="Times New Roman" w:cs="Times New Roman"/>
          <w:lang w:val="pt-BR"/>
        </w:rPr>
      </w:pPr>
      <w:r w:rsidRPr="00E25462">
        <w:rPr>
          <w:rStyle w:val="FootnoteReference"/>
          <w:rFonts w:ascii="Times New Roman" w:hAnsi="Times New Roman" w:cs="Times New Roman"/>
        </w:rPr>
        <w:footnoteRef/>
      </w:r>
      <w:r w:rsidRPr="00E25462">
        <w:rPr>
          <w:rFonts w:ascii="Times New Roman" w:hAnsi="Times New Roman" w:cs="Times New Roman"/>
          <w:color w:val="000000" w:themeColor="text1"/>
          <w:lang w:val="pt-BR"/>
        </w:rPr>
        <w:t xml:space="preserve"> </w:t>
      </w:r>
      <w:r w:rsidR="00E25462" w:rsidRPr="00E25462">
        <w:rPr>
          <w:rFonts w:ascii="Times New Roman" w:hAnsi="Times New Roman" w:cs="Times New Roman"/>
          <w:color w:val="000000" w:themeColor="text1"/>
        </w:rPr>
        <w:t xml:space="preserve">Piet </w:t>
      </w:r>
      <w:proofErr w:type="spellStart"/>
      <w:r w:rsidR="00E25462" w:rsidRPr="00E25462">
        <w:rPr>
          <w:rFonts w:ascii="Times New Roman" w:hAnsi="Times New Roman" w:cs="Times New Roman"/>
          <w:color w:val="000000" w:themeColor="text1"/>
        </w:rPr>
        <w:t>Eeckhout</w:t>
      </w:r>
      <w:proofErr w:type="spellEnd"/>
      <w:r w:rsidR="00E25462" w:rsidRPr="00E25462">
        <w:rPr>
          <w:rFonts w:ascii="Times New Roman" w:hAnsi="Times New Roman" w:cs="Times New Roman"/>
          <w:color w:val="000000" w:themeColor="text1"/>
        </w:rPr>
        <w:t xml:space="preserve"> and Eleni </w:t>
      </w:r>
      <w:proofErr w:type="spellStart"/>
      <w:r w:rsidR="00E25462" w:rsidRPr="00E25462">
        <w:rPr>
          <w:rFonts w:ascii="Times New Roman" w:hAnsi="Times New Roman" w:cs="Times New Roman"/>
          <w:color w:val="000000" w:themeColor="text1"/>
        </w:rPr>
        <w:t>Frantziou</w:t>
      </w:r>
      <w:proofErr w:type="spellEnd"/>
      <w:r w:rsidR="00E25462" w:rsidRPr="00E25462">
        <w:rPr>
          <w:rFonts w:ascii="Times New Roman" w:hAnsi="Times New Roman" w:cs="Times New Roman"/>
          <w:color w:val="000000" w:themeColor="text1"/>
        </w:rPr>
        <w:t xml:space="preserve">, </w:t>
      </w:r>
      <w:r w:rsidR="00E25462" w:rsidRPr="00E25462">
        <w:rPr>
          <w:rFonts w:ascii="Times New Roman" w:hAnsi="Times New Roman" w:cs="Times New Roman"/>
          <w:i/>
          <w:iCs/>
          <w:color w:val="000000" w:themeColor="text1"/>
          <w:shd w:val="clear" w:color="auto" w:fill="FFFFFF"/>
        </w:rPr>
        <w:t>Brexit and Article 50 TEU: A constitutionalist reading</w:t>
      </w:r>
      <w:r w:rsidR="00E25462" w:rsidRPr="00E25462">
        <w:rPr>
          <w:rFonts w:ascii="Times New Roman" w:hAnsi="Times New Roman" w:cs="Times New Roman"/>
          <w:color w:val="000000" w:themeColor="text1"/>
          <w:shd w:val="clear" w:color="auto" w:fill="FFFFFF"/>
        </w:rPr>
        <w:t>,</w:t>
      </w:r>
      <w:r w:rsidR="00E25462" w:rsidRPr="00E25462">
        <w:rPr>
          <w:rFonts w:ascii="Times New Roman" w:hAnsi="Times New Roman" w:cs="Times New Roman"/>
          <w:i/>
          <w:iCs/>
          <w:color w:val="000000" w:themeColor="text1"/>
          <w:shd w:val="clear" w:color="auto" w:fill="FFFFFF"/>
        </w:rPr>
        <w:t xml:space="preserve"> </w:t>
      </w:r>
      <w:r w:rsidR="00E25462" w:rsidRPr="00E25462">
        <w:rPr>
          <w:rFonts w:ascii="Times New Roman" w:hAnsi="Times New Roman" w:cs="Times New Roman"/>
          <w:color w:val="000000" w:themeColor="text1"/>
          <w:shd w:val="clear" w:color="auto" w:fill="FFFFFF"/>
        </w:rPr>
        <w:t xml:space="preserve">54 </w:t>
      </w:r>
      <w:r w:rsidR="00E25462" w:rsidRPr="00E25462">
        <w:rPr>
          <w:rFonts w:ascii="Times New Roman" w:eastAsiaTheme="minorEastAsia" w:hAnsi="Times New Roman" w:cs="Times New Roman"/>
          <w:smallCaps/>
          <w:color w:val="000000" w:themeColor="text1"/>
        </w:rPr>
        <w:t>Common Market Law Review 695, 710 (2017)</w:t>
      </w:r>
      <w:r w:rsidRPr="00E25462">
        <w:rPr>
          <w:rFonts w:ascii="Times New Roman" w:eastAsiaTheme="minorEastAsia" w:hAnsi="Times New Roman" w:cs="Times New Roman"/>
          <w:lang w:val="pt-BR"/>
        </w:rPr>
        <w:t>.</w:t>
      </w:r>
    </w:p>
  </w:footnote>
  <w:footnote w:id="164">
    <w:p w14:paraId="06EEC56F" w14:textId="2278A821"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826FD4" w:rsidRPr="00050C8B">
        <w:rPr>
          <w:rFonts w:ascii="Times New Roman" w:hAnsi="Times New Roman" w:cs="Times New Roman"/>
          <w:color w:val="000000" w:themeColor="text1"/>
        </w:rPr>
        <w:t xml:space="preserve">Takis </w:t>
      </w:r>
      <w:proofErr w:type="spellStart"/>
      <w:r w:rsidR="00826FD4" w:rsidRPr="00050C8B">
        <w:rPr>
          <w:rFonts w:ascii="Times New Roman" w:eastAsiaTheme="minorEastAsia" w:hAnsi="Times New Roman" w:cs="Times New Roman"/>
          <w:color w:val="000000" w:themeColor="text1"/>
        </w:rPr>
        <w:t>Tridimas</w:t>
      </w:r>
      <w:proofErr w:type="spellEnd"/>
      <w:r w:rsidR="00826FD4" w:rsidRPr="00050C8B">
        <w:rPr>
          <w:rFonts w:ascii="Times New Roman" w:eastAsiaTheme="minorEastAsia" w:hAnsi="Times New Roman" w:cs="Times New Roman"/>
          <w:color w:val="000000" w:themeColor="text1"/>
        </w:rPr>
        <w:t xml:space="preserve">, </w:t>
      </w:r>
      <w:r w:rsidR="00826FD4" w:rsidRPr="00050C8B">
        <w:rPr>
          <w:rFonts w:ascii="Times New Roman" w:eastAsiaTheme="minorEastAsia" w:hAnsi="Times New Roman" w:cs="Times New Roman"/>
          <w:i/>
          <w:iCs/>
          <w:color w:val="000000" w:themeColor="text1"/>
        </w:rPr>
        <w:t xml:space="preserve">Article 50: An Endgame without an </w:t>
      </w:r>
      <w:proofErr w:type="gramStart"/>
      <w:r w:rsidR="00826FD4" w:rsidRPr="00050C8B">
        <w:rPr>
          <w:rFonts w:ascii="Times New Roman" w:eastAsiaTheme="minorEastAsia" w:hAnsi="Times New Roman" w:cs="Times New Roman"/>
          <w:i/>
          <w:iCs/>
          <w:color w:val="000000" w:themeColor="text1"/>
        </w:rPr>
        <w:t>End?</w:t>
      </w:r>
      <w:r w:rsidR="00826FD4" w:rsidRPr="00050C8B">
        <w:rPr>
          <w:rFonts w:ascii="Times New Roman" w:eastAsiaTheme="minorEastAsia" w:hAnsi="Times New Roman" w:cs="Times New Roman"/>
          <w:color w:val="000000" w:themeColor="text1"/>
        </w:rPr>
        <w:t>,</w:t>
      </w:r>
      <w:proofErr w:type="gramEnd"/>
      <w:r w:rsidR="00826FD4" w:rsidRPr="00050C8B">
        <w:rPr>
          <w:rFonts w:ascii="Times New Roman" w:eastAsiaTheme="minorEastAsia" w:hAnsi="Times New Roman" w:cs="Times New Roman"/>
          <w:color w:val="000000" w:themeColor="text1"/>
        </w:rPr>
        <w:t xml:space="preserve"> 27 </w:t>
      </w:r>
      <w:r w:rsidR="00826FD4" w:rsidRPr="00050C8B">
        <w:rPr>
          <w:rFonts w:ascii="Times New Roman" w:eastAsiaTheme="minorEastAsia" w:hAnsi="Times New Roman" w:cs="Times New Roman"/>
          <w:smallCaps/>
          <w:color w:val="000000" w:themeColor="text1"/>
        </w:rPr>
        <w:t>King’s Law Journal</w:t>
      </w:r>
      <w:r w:rsidR="00826FD4" w:rsidRPr="00050C8B">
        <w:rPr>
          <w:rFonts w:ascii="Times New Roman" w:eastAsiaTheme="minorEastAsia" w:hAnsi="Times New Roman" w:cs="Times New Roman"/>
          <w:color w:val="000000" w:themeColor="text1"/>
        </w:rPr>
        <w:t xml:space="preserve"> </w:t>
      </w:r>
      <w:r w:rsidR="00826FD4" w:rsidRPr="00050C8B">
        <w:rPr>
          <w:rFonts w:ascii="Times New Roman" w:eastAsiaTheme="minorEastAsia" w:hAnsi="Times New Roman" w:cs="Times New Roman"/>
        </w:rPr>
        <w:t>297, 303 (2016)</w:t>
      </w:r>
      <w:r w:rsidRPr="00050C8B">
        <w:rPr>
          <w:rFonts w:ascii="Times New Roman" w:eastAsiaTheme="minorEastAsia" w:hAnsi="Times New Roman" w:cs="Times New Roman"/>
          <w:color w:val="000000" w:themeColor="text1"/>
        </w:rPr>
        <w:t>.</w:t>
      </w:r>
    </w:p>
  </w:footnote>
  <w:footnote w:id="165">
    <w:p w14:paraId="6A7CEDC4" w14:textId="05C6E88F"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826FD4" w:rsidRPr="00050C8B">
        <w:rPr>
          <w:rFonts w:ascii="Times New Roman" w:hAnsi="Times New Roman" w:cs="Times New Roman"/>
        </w:rPr>
        <w:t xml:space="preserve">Christople Hillion, </w:t>
      </w:r>
      <w:r w:rsidR="00826FD4" w:rsidRPr="00050C8B">
        <w:rPr>
          <w:rFonts w:ascii="Times New Roman" w:hAnsi="Times New Roman" w:cs="Times New Roman"/>
          <w:i/>
          <w:iCs/>
        </w:rPr>
        <w:t>Withdrawal under Article 50 TEU: An Integration-Friendly Process</w:t>
      </w:r>
      <w:r w:rsidR="00826FD4" w:rsidRPr="00050C8B">
        <w:rPr>
          <w:rFonts w:ascii="Times New Roman" w:hAnsi="Times New Roman" w:cs="Times New Roman"/>
        </w:rPr>
        <w:t xml:space="preserve">, 55 </w:t>
      </w:r>
      <w:r w:rsidR="00826FD4" w:rsidRPr="00050C8B">
        <w:rPr>
          <w:rFonts w:ascii="Times New Roman" w:hAnsi="Times New Roman" w:cs="Times New Roman"/>
          <w:smallCaps/>
        </w:rPr>
        <w:t>Common Market Law Review</w:t>
      </w:r>
      <w:r w:rsidR="00826FD4" w:rsidRPr="00050C8B">
        <w:rPr>
          <w:rFonts w:ascii="Times New Roman" w:hAnsi="Times New Roman" w:cs="Times New Roman"/>
        </w:rPr>
        <w:t>, 29, 40 (2018)</w:t>
      </w:r>
      <w:r w:rsidRPr="00050C8B">
        <w:rPr>
          <w:rFonts w:ascii="Times New Roman" w:hAnsi="Times New Roman" w:cs="Times New Roman"/>
        </w:rPr>
        <w:t>.</w:t>
      </w:r>
    </w:p>
  </w:footnote>
  <w:footnote w:id="166">
    <w:p w14:paraId="55BA672C" w14:textId="77777777"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color w:val="000000" w:themeColor="text1"/>
        </w:rPr>
        <w:footnoteRef/>
      </w:r>
      <w:r w:rsidRPr="00050C8B">
        <w:rPr>
          <w:rFonts w:ascii="Times New Roman" w:hAnsi="Times New Roman" w:cs="Times New Roman"/>
          <w:color w:val="000000" w:themeColor="text1"/>
        </w:rPr>
        <w:t xml:space="preserve"> </w:t>
      </w:r>
      <w:r w:rsidRPr="00050C8B">
        <w:rPr>
          <w:rFonts w:ascii="Times New Roman" w:hAnsi="Times New Roman" w:cs="Times New Roman"/>
          <w:i/>
          <w:iCs/>
          <w:color w:val="000000" w:themeColor="text1"/>
        </w:rPr>
        <w:t>Ibid</w:t>
      </w:r>
      <w:r w:rsidRPr="00050C8B">
        <w:rPr>
          <w:rFonts w:ascii="Times New Roman" w:hAnsi="Times New Roman" w:cs="Times New Roman"/>
          <w:color w:val="000000" w:themeColor="text1"/>
        </w:rPr>
        <w:t>., at 311.</w:t>
      </w:r>
    </w:p>
  </w:footnote>
  <w:footnote w:id="167">
    <w:p w14:paraId="6B14DD32" w14:textId="45C162BF" w:rsidR="00F43B80" w:rsidRPr="00050C8B" w:rsidRDefault="00F43B80" w:rsidP="00050C8B">
      <w:pPr>
        <w:jc w:val="both"/>
        <w:rPr>
          <w:rFonts w:ascii="Times New Roman" w:hAnsi="Times New Roman" w:cs="Times New Roman"/>
          <w:color w:val="000000" w:themeColor="text1"/>
          <w:sz w:val="20"/>
          <w:szCs w:val="20"/>
        </w:rPr>
      </w:pPr>
      <w:r w:rsidRPr="00050C8B">
        <w:rPr>
          <w:rStyle w:val="FootnoteReference"/>
          <w:rFonts w:ascii="Times New Roman" w:hAnsi="Times New Roman" w:cs="Times New Roman"/>
          <w:color w:val="000000" w:themeColor="text1"/>
          <w:sz w:val="20"/>
          <w:szCs w:val="20"/>
        </w:rPr>
        <w:footnoteRef/>
      </w:r>
      <w:r w:rsidRPr="00050C8B">
        <w:rPr>
          <w:rFonts w:ascii="Times New Roman" w:hAnsi="Times New Roman" w:cs="Times New Roman"/>
          <w:color w:val="000000" w:themeColor="text1"/>
          <w:sz w:val="20"/>
          <w:szCs w:val="20"/>
        </w:rPr>
        <w:t xml:space="preserve"> </w:t>
      </w:r>
      <w:r w:rsidRPr="00050C8B">
        <w:rPr>
          <w:rFonts w:ascii="Times New Roman" w:eastAsiaTheme="minorEastAsia" w:hAnsi="Times New Roman" w:cs="Times New Roman"/>
          <w:i/>
          <w:iCs/>
          <w:color w:val="000000" w:themeColor="text1"/>
          <w:sz w:val="20"/>
          <w:szCs w:val="20"/>
          <w:lang w:val="en-US"/>
        </w:rPr>
        <w:t>Kadi v Council and Commission</w:t>
      </w:r>
      <w:r w:rsidRPr="00050C8B">
        <w:rPr>
          <w:rFonts w:ascii="Times New Roman" w:eastAsiaTheme="minorEastAsia" w:hAnsi="Times New Roman" w:cs="Times New Roman"/>
          <w:color w:val="000000" w:themeColor="text1"/>
          <w:sz w:val="20"/>
          <w:szCs w:val="20"/>
          <w:lang w:val="en-US"/>
        </w:rPr>
        <w:t xml:space="preserve">, </w:t>
      </w:r>
      <w:r w:rsidR="00826FD4" w:rsidRPr="00050C8B">
        <w:rPr>
          <w:rFonts w:ascii="Times New Roman" w:eastAsiaTheme="minorEastAsia" w:hAnsi="Times New Roman" w:cs="Times New Roman"/>
          <w:color w:val="000000" w:themeColor="text1"/>
          <w:sz w:val="20"/>
          <w:szCs w:val="20"/>
          <w:lang w:val="en-US"/>
        </w:rPr>
        <w:t xml:space="preserve">Joined Cases C–402/05 P and C–415/05 P, </w:t>
      </w:r>
      <w:r w:rsidRPr="00050C8B">
        <w:rPr>
          <w:rFonts w:ascii="Times New Roman" w:hAnsi="Times New Roman" w:cs="Times New Roman"/>
          <w:color w:val="000000" w:themeColor="text1"/>
          <w:sz w:val="20"/>
          <w:szCs w:val="20"/>
        </w:rPr>
        <w:t>ECLI:EU:C:2008:461</w:t>
      </w:r>
      <w:r w:rsidRPr="00050C8B">
        <w:rPr>
          <w:rFonts w:ascii="Times New Roman" w:eastAsiaTheme="minorEastAsia" w:hAnsi="Times New Roman" w:cs="Times New Roman"/>
          <w:color w:val="000000" w:themeColor="text1"/>
          <w:sz w:val="20"/>
          <w:szCs w:val="20"/>
          <w:lang w:val="en-US"/>
        </w:rPr>
        <w:t>, at para 285.</w:t>
      </w:r>
    </w:p>
  </w:footnote>
  <w:footnote w:id="168">
    <w:p w14:paraId="1A76BBAE" w14:textId="714486C2"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i/>
          <w:iCs/>
          <w:color w:val="000000" w:themeColor="text1"/>
        </w:rPr>
        <w:t xml:space="preserve">See </w:t>
      </w:r>
      <w:r w:rsidR="00826FD4" w:rsidRPr="00050C8B">
        <w:rPr>
          <w:rFonts w:ascii="Times New Roman" w:hAnsi="Times New Roman" w:cs="Times New Roman"/>
        </w:rPr>
        <w:t>Agreement on the Withdrawal of the United Kingdom of Great Britain and Northern Ireland from the European Union and the European Atomic Energy Community</w:t>
      </w:r>
      <w:r w:rsidRPr="00050C8B">
        <w:rPr>
          <w:rFonts w:ascii="Times New Roman" w:hAnsi="Times New Roman" w:cs="Times New Roman"/>
          <w:color w:val="000000" w:themeColor="text1"/>
        </w:rPr>
        <w:t>, Part Two, Arts 9-39.</w:t>
      </w:r>
    </w:p>
  </w:footnote>
  <w:footnote w:id="169">
    <w:p w14:paraId="580AC712" w14:textId="77777777" w:rsidR="00F43B80" w:rsidRPr="00050C8B" w:rsidRDefault="00F43B80" w:rsidP="00050C8B">
      <w:pPr>
        <w:pStyle w:val="FootnoteText"/>
        <w:jc w:val="both"/>
        <w:rPr>
          <w:rFonts w:ascii="Times New Roman" w:hAnsi="Times New Roman" w:cs="Times New Roman"/>
          <w:color w:val="000000" w:themeColor="text1"/>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color w:val="000000" w:themeColor="text1"/>
        </w:rPr>
        <w:t xml:space="preserve">Ibid., </w:t>
      </w:r>
      <w:r w:rsidRPr="00050C8B">
        <w:rPr>
          <w:rFonts w:ascii="Times New Roman" w:eastAsiaTheme="minorEastAsia" w:hAnsi="Times New Roman" w:cs="Times New Roman"/>
          <w:color w:val="000000"/>
          <w:lang w:val="en-US"/>
        </w:rPr>
        <w:t>Part Six, Arts 158-185</w:t>
      </w:r>
    </w:p>
  </w:footnote>
  <w:footnote w:id="170">
    <w:p w14:paraId="3083D49B" w14:textId="7777777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Pr="00050C8B">
        <w:rPr>
          <w:rFonts w:ascii="Times New Roman" w:hAnsi="Times New Roman" w:cs="Times New Roman"/>
          <w:color w:val="000000" w:themeColor="text1"/>
        </w:rPr>
        <w:t xml:space="preserve">Ibid., </w:t>
      </w:r>
      <w:r w:rsidRPr="00050C8B">
        <w:rPr>
          <w:rFonts w:ascii="Times New Roman" w:hAnsi="Times New Roman" w:cs="Times New Roman"/>
        </w:rPr>
        <w:t>Protocol on Ireland/Northern Ireland</w:t>
      </w:r>
      <w:r w:rsidRPr="00050C8B">
        <w:rPr>
          <w:rFonts w:ascii="Times New Roman" w:hAnsi="Times New Roman" w:cs="Times New Roman"/>
          <w:color w:val="000000"/>
        </w:rPr>
        <w:t>.</w:t>
      </w:r>
    </w:p>
  </w:footnote>
  <w:footnote w:id="171">
    <w:p w14:paraId="1118D5F2" w14:textId="229FBFD4"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00826FD4" w:rsidRPr="00050C8B">
        <w:rPr>
          <w:rFonts w:ascii="Times New Roman" w:hAnsi="Times New Roman" w:cs="Times New Roman"/>
          <w:i/>
          <w:iCs/>
          <w:color w:val="000000" w:themeColor="text1"/>
        </w:rPr>
        <w:t xml:space="preserve">See </w:t>
      </w:r>
      <w:proofErr w:type="spellStart"/>
      <w:r w:rsidRPr="00050C8B">
        <w:rPr>
          <w:rFonts w:ascii="Times New Roman" w:hAnsi="Times New Roman" w:cs="Times New Roman"/>
          <w:color w:val="000000" w:themeColor="text1"/>
        </w:rPr>
        <w:t>Closa</w:t>
      </w:r>
      <w:proofErr w:type="spellEnd"/>
      <w:r w:rsidRPr="00050C8B">
        <w:rPr>
          <w:rFonts w:ascii="Times New Roman" w:hAnsi="Times New Roman" w:cs="Times New Roman"/>
          <w:i/>
          <w:iCs/>
          <w:color w:val="000000" w:themeColor="text1"/>
        </w:rPr>
        <w:t>,</w:t>
      </w:r>
      <w:r w:rsidR="00826FD4" w:rsidRPr="00050C8B">
        <w:rPr>
          <w:rFonts w:ascii="Times New Roman" w:hAnsi="Times New Roman" w:cs="Times New Roman"/>
          <w:i/>
          <w:iCs/>
          <w:color w:val="000000" w:themeColor="text1"/>
        </w:rPr>
        <w:t xml:space="preserve"> supra </w:t>
      </w:r>
      <w:r w:rsidR="00826FD4" w:rsidRPr="00050C8B">
        <w:rPr>
          <w:rFonts w:ascii="Times New Roman" w:hAnsi="Times New Roman" w:cs="Times New Roman"/>
          <w:color w:val="000000" w:themeColor="text1"/>
        </w:rPr>
        <w:t>note 1</w:t>
      </w:r>
      <w:r w:rsidR="00E25462">
        <w:rPr>
          <w:rFonts w:ascii="Times New Roman" w:hAnsi="Times New Roman" w:cs="Times New Roman"/>
          <w:color w:val="000000" w:themeColor="text1"/>
        </w:rPr>
        <w:t>47</w:t>
      </w:r>
      <w:r w:rsidRPr="00050C8B">
        <w:rPr>
          <w:rFonts w:ascii="Times New Roman" w:hAnsi="Times New Roman" w:cs="Times New Roman"/>
          <w:iCs/>
        </w:rPr>
        <w:t>, 195.</w:t>
      </w:r>
    </w:p>
  </w:footnote>
  <w:footnote w:id="172">
    <w:p w14:paraId="00D4553F" w14:textId="77777777"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Northern Ireland Act 1998, Sch 1.</w:t>
      </w:r>
    </w:p>
  </w:footnote>
  <w:footnote w:id="173">
    <w:p w14:paraId="6CD70B6E" w14:textId="3867DF90"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0F44F9" w:rsidRPr="00050C8B">
        <w:rPr>
          <w:rFonts w:ascii="Times New Roman" w:hAnsi="Times New Roman" w:cs="Times New Roman"/>
          <w:i/>
          <w:iCs/>
        </w:rPr>
        <w:t xml:space="preserve">See </w:t>
      </w:r>
      <w:r w:rsidR="000F44F9" w:rsidRPr="00050C8B">
        <w:rPr>
          <w:rFonts w:ascii="Times New Roman" w:hAnsi="Times New Roman" w:cs="Times New Roman"/>
          <w:i/>
          <w:iCs/>
          <w:color w:val="000000" w:themeColor="text1"/>
        </w:rPr>
        <w:t xml:space="preserve">Wightman supra </w:t>
      </w:r>
      <w:r w:rsidR="000F44F9" w:rsidRPr="00050C8B">
        <w:rPr>
          <w:rFonts w:ascii="Times New Roman" w:hAnsi="Times New Roman" w:cs="Times New Roman"/>
          <w:color w:val="000000" w:themeColor="text1"/>
        </w:rPr>
        <w:t xml:space="preserve">note </w:t>
      </w:r>
      <w:r w:rsidR="00E25462">
        <w:rPr>
          <w:rFonts w:ascii="Times New Roman" w:hAnsi="Times New Roman" w:cs="Times New Roman"/>
          <w:color w:val="000000" w:themeColor="text1"/>
        </w:rPr>
        <w:t>86</w:t>
      </w:r>
      <w:r w:rsidRPr="00050C8B">
        <w:rPr>
          <w:rFonts w:ascii="Times New Roman" w:hAnsi="Times New Roman" w:cs="Times New Roman"/>
          <w:iCs/>
        </w:rPr>
        <w:t>, para 69.</w:t>
      </w:r>
      <w:r w:rsidRPr="00050C8B">
        <w:rPr>
          <w:rFonts w:ascii="Times New Roman" w:hAnsi="Times New Roman" w:cs="Times New Roman"/>
        </w:rPr>
        <w:t xml:space="preserve"> To the extent that such decision is unequivocal and unconditional, </w:t>
      </w:r>
      <w:r w:rsidR="000F44F9" w:rsidRPr="00050C8B">
        <w:rPr>
          <w:rFonts w:ascii="Times New Roman" w:hAnsi="Times New Roman" w:cs="Times New Roman"/>
        </w:rPr>
        <w:t>“</w:t>
      </w:r>
      <w:r w:rsidRPr="00050C8B">
        <w:rPr>
          <w:rFonts w:ascii="Times New Roman" w:hAnsi="Times New Roman" w:cs="Times New Roman"/>
        </w:rPr>
        <w:t>the sovereign nature of the right of withdrawal enshrined in Article 50(1) supports the conclusion that the Member State concerned has a right to revoke the notification of its intention to withdraw from the European Union.</w:t>
      </w:r>
      <w:r w:rsidR="000F44F9" w:rsidRPr="00050C8B">
        <w:rPr>
          <w:rFonts w:ascii="Times New Roman" w:hAnsi="Times New Roman" w:cs="Times New Roman"/>
        </w:rPr>
        <w:t xml:space="preserve">” </w:t>
      </w:r>
      <w:r w:rsidRPr="00050C8B">
        <w:rPr>
          <w:rFonts w:ascii="Times New Roman" w:hAnsi="Times New Roman" w:cs="Times New Roman"/>
        </w:rPr>
        <w:t>Article 50 TEU has been interpreted Wightman, which has, to some extent, partly rewritten (or at least supplemented) the provision. Wightman has been game changer in this respect. Indeed, on 10 December 2018, the ECJ and recognised the unilateral revocability of the notification under Art. 50 TEU:</w:t>
      </w:r>
      <w:r w:rsidR="000F44F9" w:rsidRPr="00050C8B">
        <w:rPr>
          <w:rFonts w:ascii="Times New Roman" w:hAnsi="Times New Roman" w:cs="Times New Roman"/>
        </w:rPr>
        <w:t xml:space="preserve"> </w:t>
      </w:r>
      <w:r w:rsidRPr="00050C8B">
        <w:rPr>
          <w:rFonts w:ascii="Times New Roman" w:hAnsi="Times New Roman" w:cs="Times New Roman"/>
        </w:rPr>
        <w:t xml:space="preserve">“Article 50 TEU must be interpreted as meaning that, where a Member State has notified the European Council, in accordance with that article, of its intention to withdraw from the European Union, that article allows that Member State — for as long as a withdrawal agreement concluded between that Member State and the European Union has not entered into force or, if no such agreement has been concluded, for as long as the two-year period laid down in Article 50(3) TEU, possibly extended in accordance with that paragraph, has not expired — to revoke that notification unilaterally, in an unequivocal and unconditional manner, by a notice addressed to the European Council in writing, after the Member State concerned has taken the revocation decision in accordance with its constitutional requirements. The purpose of that revocation is to confirm the EU membership of the Member State concerned under terms that are unchanged as regards its status as a Member State, and that revocation brings the withdrawal procedure to an end.”  </w:t>
      </w:r>
    </w:p>
  </w:footnote>
  <w:footnote w:id="174">
    <w:p w14:paraId="73B60230" w14:textId="615CDB4A"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000F44F9" w:rsidRPr="00050C8B">
        <w:rPr>
          <w:rFonts w:ascii="Times New Roman" w:hAnsi="Times New Roman" w:cs="Times New Roman"/>
          <w:lang w:val="en-US"/>
        </w:rPr>
        <w:t xml:space="preserve"> </w:t>
      </w:r>
      <w:r w:rsidRPr="00050C8B">
        <w:rPr>
          <w:rFonts w:ascii="Times New Roman" w:hAnsi="Times New Roman" w:cs="Times New Roman"/>
          <w:lang w:val="en-US"/>
        </w:rPr>
        <w:t>D</w:t>
      </w:r>
      <w:r w:rsidR="000F44F9" w:rsidRPr="00050C8B">
        <w:rPr>
          <w:rFonts w:ascii="Times New Roman" w:hAnsi="Times New Roman" w:cs="Times New Roman"/>
          <w:lang w:val="en-US"/>
        </w:rPr>
        <w:t>aniel</w:t>
      </w:r>
      <w:r w:rsidRPr="00050C8B">
        <w:rPr>
          <w:rFonts w:ascii="Times New Roman" w:hAnsi="Times New Roman" w:cs="Times New Roman"/>
          <w:lang w:val="en-US"/>
        </w:rPr>
        <w:t xml:space="preserve"> Sarmiento, </w:t>
      </w:r>
      <w:r w:rsidRPr="00050C8B">
        <w:rPr>
          <w:rFonts w:ascii="Times New Roman" w:hAnsi="Times New Roman" w:cs="Times New Roman"/>
          <w:i/>
          <w:iCs/>
          <w:lang w:val="en-US"/>
        </w:rPr>
        <w:t>Brexit and EU Citizenship After Wightman</w:t>
      </w:r>
      <w:r w:rsidRPr="00050C8B">
        <w:rPr>
          <w:rFonts w:ascii="Times New Roman" w:hAnsi="Times New Roman" w:cs="Times New Roman"/>
          <w:lang w:val="en-US"/>
        </w:rPr>
        <w:t>,</w:t>
      </w:r>
      <w:r w:rsidR="000F44F9" w:rsidRPr="00050C8B">
        <w:rPr>
          <w:rFonts w:ascii="Times New Roman" w:hAnsi="Times New Roman" w:cs="Times New Roman"/>
          <w:lang w:val="en-US"/>
        </w:rPr>
        <w:t xml:space="preserve"> </w:t>
      </w:r>
      <w:r w:rsidR="000F44F9" w:rsidRPr="00050C8B">
        <w:rPr>
          <w:rFonts w:ascii="Times New Roman" w:hAnsi="Times New Roman" w:cs="Times New Roman"/>
          <w:smallCaps/>
          <w:lang w:val="en-US"/>
        </w:rPr>
        <w:t>Despite our Differences</w:t>
      </w:r>
      <w:r w:rsidRPr="00050C8B">
        <w:rPr>
          <w:rFonts w:ascii="Times New Roman" w:hAnsi="Times New Roman" w:cs="Times New Roman"/>
          <w:lang w:val="en-US"/>
        </w:rPr>
        <w:t xml:space="preserve"> </w:t>
      </w:r>
      <w:r w:rsidR="000F44F9" w:rsidRPr="00050C8B">
        <w:rPr>
          <w:rFonts w:ascii="Times New Roman" w:hAnsi="Times New Roman" w:cs="Times New Roman"/>
          <w:lang w:val="en-US"/>
        </w:rPr>
        <w:t xml:space="preserve">(12 December </w:t>
      </w:r>
      <w:r w:rsidRPr="00050C8B">
        <w:rPr>
          <w:rFonts w:ascii="Times New Roman" w:hAnsi="Times New Roman" w:cs="Times New Roman"/>
          <w:lang w:val="en-US"/>
        </w:rPr>
        <w:t>2018</w:t>
      </w:r>
      <w:r w:rsidR="000F44F9" w:rsidRPr="00050C8B">
        <w:rPr>
          <w:rFonts w:ascii="Times New Roman" w:hAnsi="Times New Roman" w:cs="Times New Roman"/>
          <w:lang w:val="en-US"/>
        </w:rPr>
        <w:t>)</w:t>
      </w:r>
      <w:r w:rsidRPr="00050C8B">
        <w:rPr>
          <w:rFonts w:ascii="Times New Roman" w:hAnsi="Times New Roman" w:cs="Times New Roman"/>
          <w:lang w:val="en-US"/>
        </w:rPr>
        <w:t xml:space="preserve">, </w:t>
      </w:r>
      <w:hyperlink r:id="rId25" w:history="1">
        <w:r w:rsidRPr="00050C8B">
          <w:rPr>
            <w:rStyle w:val="Collegamentoipertestuale1"/>
            <w:rFonts w:ascii="Times New Roman" w:hAnsi="Times New Roman" w:cs="Times New Roman"/>
            <w:lang w:val="en-US"/>
          </w:rPr>
          <w:t>https://despiteourdifferencesblog.wordpress.com/2018/12/12/brexit-and-eu-citizenship-after-wightman/</w:t>
        </w:r>
      </w:hyperlink>
      <w:r w:rsidRPr="00050C8B">
        <w:rPr>
          <w:rFonts w:ascii="Times New Roman" w:hAnsi="Times New Roman" w:cs="Times New Roman"/>
          <w:lang w:val="en-US"/>
        </w:rPr>
        <w:t xml:space="preserve"> </w:t>
      </w:r>
    </w:p>
  </w:footnote>
  <w:footnote w:id="175">
    <w:p w14:paraId="287EEDF7" w14:textId="6CC03D36"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w:t>
      </w:r>
      <w:r w:rsidR="000F44F9" w:rsidRPr="00050C8B">
        <w:rPr>
          <w:rFonts w:ascii="Times New Roman" w:hAnsi="Times New Roman" w:cs="Times New Roman"/>
          <w:i/>
          <w:iCs/>
          <w:color w:val="000000" w:themeColor="text1"/>
        </w:rPr>
        <w:t xml:space="preserve">Wightman supra </w:t>
      </w:r>
      <w:r w:rsidR="000F44F9" w:rsidRPr="00050C8B">
        <w:rPr>
          <w:rFonts w:ascii="Times New Roman" w:hAnsi="Times New Roman" w:cs="Times New Roman"/>
          <w:color w:val="000000" w:themeColor="text1"/>
        </w:rPr>
        <w:t>note 8</w:t>
      </w:r>
      <w:r w:rsidR="00E25462">
        <w:rPr>
          <w:rFonts w:ascii="Times New Roman" w:hAnsi="Times New Roman" w:cs="Times New Roman"/>
          <w:color w:val="000000" w:themeColor="text1"/>
        </w:rPr>
        <w:t>6</w:t>
      </w:r>
      <w:r w:rsidR="000F44F9" w:rsidRPr="00050C8B">
        <w:rPr>
          <w:rFonts w:ascii="Times New Roman" w:hAnsi="Times New Roman" w:cs="Times New Roman"/>
          <w:color w:val="000000" w:themeColor="text1"/>
        </w:rPr>
        <w:t>, para 64:</w:t>
      </w:r>
      <w:r w:rsidR="000F44F9" w:rsidRPr="00050C8B">
        <w:rPr>
          <w:rFonts w:ascii="Times New Roman" w:hAnsi="Times New Roman" w:cs="Times New Roman"/>
          <w:lang w:val="en-US"/>
        </w:rPr>
        <w:t xml:space="preserve"> </w:t>
      </w:r>
      <w:r w:rsidRPr="00050C8B">
        <w:rPr>
          <w:rFonts w:ascii="Times New Roman" w:hAnsi="Times New Roman" w:cs="Times New Roman"/>
          <w:lang w:val="en-US"/>
        </w:rPr>
        <w:t>“It must also be noted that, since citizenship of the Union is intended to be the fundamental status of nationals of the Member States (see, to that effect, judgments of 20 September 2001, Grzelczyk, C‑184/99, EU:C:2001:458, paragraph 31; of 19 October 2004, Zhu and Chen, C‑200/02, EU:C:2004:639, paragraph 25; and of 2 March 2010, Rottmann, C-135/08, EU:C:2010:104, paragraph 43), any withdrawal of a Member State from the European Union is liable to have a considerable impact on the rights of all Union citizens, including, inter alia, their right to free movement, as regards both nationals of the Member State concerned and nationals of other Member States”.</w:t>
      </w:r>
    </w:p>
  </w:footnote>
  <w:footnote w:id="176">
    <w:p w14:paraId="42C08D8E" w14:textId="61DEFE26" w:rsidR="00F43B80" w:rsidRPr="00050C8B" w:rsidRDefault="00F43B80" w:rsidP="00050C8B">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rPr>
        <w:t xml:space="preserve"> </w:t>
      </w:r>
      <w:r w:rsidR="000F44F9" w:rsidRPr="00050C8B">
        <w:rPr>
          <w:rFonts w:ascii="Times New Roman" w:hAnsi="Times New Roman" w:cs="Times New Roman"/>
          <w:i/>
          <w:iCs/>
          <w:lang w:val="en-US"/>
        </w:rPr>
        <w:t>Id,</w:t>
      </w:r>
      <w:r w:rsidR="008E3468" w:rsidRPr="00050C8B">
        <w:rPr>
          <w:rFonts w:ascii="Times New Roman" w:hAnsi="Times New Roman" w:cs="Times New Roman"/>
          <w:lang w:val="en-US"/>
        </w:rPr>
        <w:t xml:space="preserve"> para</w:t>
      </w:r>
      <w:r w:rsidRPr="00050C8B">
        <w:rPr>
          <w:rFonts w:ascii="Times New Roman" w:hAnsi="Times New Roman" w:cs="Times New Roman"/>
        </w:rPr>
        <w:t xml:space="preserve"> 60.</w:t>
      </w:r>
    </w:p>
  </w:footnote>
  <w:footnote w:id="177">
    <w:p w14:paraId="4E128425" w14:textId="5EFE1125"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w:t>
      </w:r>
      <w:r w:rsidR="000F44F9" w:rsidRPr="00050C8B">
        <w:rPr>
          <w:rFonts w:ascii="Times New Roman" w:hAnsi="Times New Roman" w:cs="Times New Roman"/>
          <w:i/>
          <w:iCs/>
          <w:lang w:val="en-US"/>
        </w:rPr>
        <w:t>Id,</w:t>
      </w:r>
      <w:r w:rsidR="000F44F9" w:rsidRPr="00050C8B">
        <w:rPr>
          <w:rFonts w:ascii="Times New Roman" w:hAnsi="Times New Roman" w:cs="Times New Roman"/>
          <w:lang w:val="en-US"/>
        </w:rPr>
        <w:t xml:space="preserve"> para</w:t>
      </w:r>
      <w:r w:rsidR="000F44F9" w:rsidRPr="00050C8B">
        <w:rPr>
          <w:rFonts w:ascii="Times New Roman" w:hAnsi="Times New Roman" w:cs="Times New Roman"/>
        </w:rPr>
        <w:t xml:space="preserve"> 63: </w:t>
      </w:r>
      <w:r w:rsidRPr="00050C8B">
        <w:rPr>
          <w:rFonts w:ascii="Times New Roman" w:hAnsi="Times New Roman" w:cs="Times New Roman"/>
          <w:lang w:val="en-US"/>
        </w:rPr>
        <w:t>“As is apparent from Article 49 TEU, which provides the possibility for any European State to apply to become a member of the European Union and to which Article 50 TEU, on the right of withdrawal, is the counterpart, the European Union is composed of States which have freely and voluntarily committed themselves to those values, and EU law is thus based on the fundamental premise that each Member State shares with all the other Member States, and recognises that those Member States share with it, those same values (see, to that effect, judgment of 25 July 2018, Minister for Justice and Equality (Deficiencies in the system of justice), C‑216/18 PPU, EU:C:2018:586, paragraph 35</w:t>
      </w:r>
      <w:r w:rsidR="000F44F9" w:rsidRPr="00050C8B">
        <w:rPr>
          <w:rFonts w:ascii="Times New Roman" w:hAnsi="Times New Roman" w:cs="Times New Roman"/>
          <w:lang w:val="en-US"/>
        </w:rPr>
        <w:t>)</w:t>
      </w:r>
      <w:r w:rsidRPr="00050C8B">
        <w:rPr>
          <w:rFonts w:ascii="Times New Roman" w:hAnsi="Times New Roman" w:cs="Times New Roman"/>
          <w:lang w:val="en-US"/>
        </w:rPr>
        <w:t>.</w:t>
      </w:r>
      <w:r w:rsidR="000F44F9" w:rsidRPr="00050C8B">
        <w:rPr>
          <w:rFonts w:ascii="Times New Roman" w:hAnsi="Times New Roman" w:cs="Times New Roman"/>
          <w:lang w:val="en-US"/>
        </w:rPr>
        <w:t>”</w:t>
      </w:r>
    </w:p>
  </w:footnote>
  <w:footnote w:id="178">
    <w:p w14:paraId="37645217" w14:textId="7B630375" w:rsidR="00F43B80" w:rsidRPr="00050C8B"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050C8B">
        <w:rPr>
          <w:rFonts w:ascii="Times New Roman" w:hAnsi="Times New Roman" w:cs="Times New Roman"/>
          <w:lang w:val="es-ES"/>
        </w:rPr>
        <w:t xml:space="preserve"> </w:t>
      </w:r>
      <w:r w:rsidR="000F44F9" w:rsidRPr="00050C8B">
        <w:rPr>
          <w:rFonts w:ascii="Times New Roman" w:hAnsi="Times New Roman" w:cs="Times New Roman"/>
          <w:i/>
          <w:iCs/>
          <w:lang w:val="es-ES"/>
        </w:rPr>
        <w:t>Id</w:t>
      </w:r>
      <w:r w:rsidRPr="00050C8B">
        <w:rPr>
          <w:rFonts w:ascii="Times New Roman" w:hAnsi="Times New Roman" w:cs="Times New Roman"/>
          <w:lang w:val="es-ES"/>
        </w:rPr>
        <w:t>, paras 65- 67.</w:t>
      </w:r>
    </w:p>
  </w:footnote>
  <w:footnote w:id="179">
    <w:p w14:paraId="1EADFD3F" w14:textId="2A8390A5" w:rsidR="00F43B80" w:rsidRPr="00050C8B"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050C8B">
        <w:rPr>
          <w:rFonts w:ascii="Times New Roman" w:hAnsi="Times New Roman" w:cs="Times New Roman"/>
          <w:lang w:val="es-ES"/>
        </w:rPr>
        <w:t xml:space="preserve"> </w:t>
      </w:r>
      <w:r w:rsidR="000F44F9" w:rsidRPr="00050C8B">
        <w:rPr>
          <w:rFonts w:ascii="Times New Roman" w:hAnsi="Times New Roman" w:cs="Times New Roman"/>
          <w:i/>
          <w:iCs/>
          <w:lang w:val="es-ES"/>
        </w:rPr>
        <w:t>Id</w:t>
      </w:r>
      <w:r w:rsidR="000F44F9" w:rsidRPr="00050C8B">
        <w:rPr>
          <w:rFonts w:ascii="Times New Roman" w:hAnsi="Times New Roman" w:cs="Times New Roman"/>
          <w:lang w:val="es-ES"/>
        </w:rPr>
        <w:t>,</w:t>
      </w:r>
      <w:r w:rsidRPr="00050C8B">
        <w:rPr>
          <w:rFonts w:ascii="Times New Roman" w:hAnsi="Times New Roman" w:cs="Times New Roman"/>
          <w:lang w:val="es-ES"/>
        </w:rPr>
        <w:t xml:space="preserve"> para 57.</w:t>
      </w:r>
    </w:p>
  </w:footnote>
  <w:footnote w:id="180">
    <w:p w14:paraId="13D918E8" w14:textId="44C83F08" w:rsidR="00F43B80" w:rsidRPr="00050C8B"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050C8B">
        <w:rPr>
          <w:rFonts w:ascii="Times New Roman" w:hAnsi="Times New Roman" w:cs="Times New Roman"/>
          <w:lang w:val="es-ES"/>
        </w:rPr>
        <w:t xml:space="preserve"> </w:t>
      </w:r>
      <w:r w:rsidR="000F44F9" w:rsidRPr="00050C8B">
        <w:rPr>
          <w:rFonts w:ascii="Times New Roman" w:hAnsi="Times New Roman" w:cs="Times New Roman"/>
          <w:i/>
          <w:iCs/>
          <w:lang w:val="es-ES"/>
        </w:rPr>
        <w:t>Id</w:t>
      </w:r>
      <w:r w:rsidR="000F44F9" w:rsidRPr="00050C8B">
        <w:rPr>
          <w:rFonts w:ascii="Times New Roman" w:hAnsi="Times New Roman" w:cs="Times New Roman"/>
          <w:lang w:val="es-ES"/>
        </w:rPr>
        <w:t xml:space="preserve">, </w:t>
      </w:r>
      <w:r w:rsidRPr="00050C8B">
        <w:rPr>
          <w:rFonts w:ascii="Times New Roman" w:hAnsi="Times New Roman" w:cs="Times New Roman"/>
          <w:lang w:val="es-ES"/>
        </w:rPr>
        <w:t>para 58.</w:t>
      </w:r>
    </w:p>
  </w:footnote>
  <w:footnote w:id="181">
    <w:p w14:paraId="2C80E7CB" w14:textId="77777777" w:rsidR="00AB1371" w:rsidRPr="00050C8B" w:rsidRDefault="00AB1371" w:rsidP="00AB1371">
      <w:pPr>
        <w:pStyle w:val="FootnoteText"/>
        <w:jc w:val="both"/>
        <w:rPr>
          <w:rFonts w:ascii="Times New Roman" w:hAnsi="Times New Roman" w:cs="Times New Roman"/>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w:t>
      </w:r>
      <w:r w:rsidRPr="00050C8B">
        <w:rPr>
          <w:rFonts w:ascii="Times New Roman" w:hAnsi="Times New Roman" w:cs="Times New Roman"/>
          <w:i/>
        </w:rPr>
        <w:t xml:space="preserve">Wightman and others v Secretary of State for Exiting the European Union, </w:t>
      </w:r>
      <w:r w:rsidRPr="00050C8B">
        <w:rPr>
          <w:rFonts w:ascii="Times New Roman" w:hAnsi="Times New Roman" w:cs="Times New Roman"/>
          <w:iCs/>
        </w:rPr>
        <w:t xml:space="preserve">Case </w:t>
      </w:r>
      <w:r w:rsidRPr="00050C8B">
        <w:rPr>
          <w:rFonts w:ascii="Times New Roman" w:hAnsi="Times New Roman" w:cs="Times New Roman"/>
        </w:rPr>
        <w:t>C-621/18</w:t>
      </w:r>
      <w:r w:rsidRPr="00050C8B">
        <w:rPr>
          <w:rFonts w:ascii="Times New Roman" w:hAnsi="Times New Roman" w:cs="Times New Roman"/>
          <w:i/>
          <w:iCs/>
        </w:rPr>
        <w:t xml:space="preserve">, </w:t>
      </w:r>
      <w:r w:rsidRPr="00050C8B">
        <w:rPr>
          <w:rFonts w:ascii="Times New Roman" w:hAnsi="Times New Roman" w:cs="Times New Roman"/>
          <w:lang w:val="en-US"/>
        </w:rPr>
        <w:t>Opinion of Advocate General Campos Sánchez-</w:t>
      </w:r>
      <w:proofErr w:type="spellStart"/>
      <w:r w:rsidRPr="00050C8B">
        <w:rPr>
          <w:rFonts w:ascii="Times New Roman" w:hAnsi="Times New Roman" w:cs="Times New Roman"/>
          <w:lang w:val="en-US"/>
        </w:rPr>
        <w:t>Bordona</w:t>
      </w:r>
      <w:proofErr w:type="spellEnd"/>
      <w:r w:rsidRPr="00050C8B">
        <w:rPr>
          <w:rFonts w:ascii="Times New Roman" w:hAnsi="Times New Roman" w:cs="Times New Roman"/>
          <w:lang w:val="en-US"/>
        </w:rPr>
        <w:t>, EU:C:2018:978</w:t>
      </w:r>
    </w:p>
  </w:footnote>
  <w:footnote w:id="182">
    <w:p w14:paraId="6D285E32" w14:textId="162ABCD4" w:rsidR="00E34C2B" w:rsidRPr="00E34C2B" w:rsidRDefault="00E34C2B">
      <w:pPr>
        <w:pStyle w:val="FootnoteText"/>
        <w:rPr>
          <w:rFonts w:ascii="Times New Roman" w:hAnsi="Times New Roman" w:cs="Times New Roman"/>
        </w:rPr>
      </w:pPr>
      <w:r w:rsidRPr="00E34C2B">
        <w:rPr>
          <w:rStyle w:val="FootnoteReference"/>
          <w:rFonts w:ascii="Times New Roman" w:hAnsi="Times New Roman" w:cs="Times New Roman"/>
        </w:rPr>
        <w:footnoteRef/>
      </w:r>
      <w:r w:rsidRPr="00E34C2B">
        <w:rPr>
          <w:rFonts w:ascii="Times New Roman" w:hAnsi="Times New Roman" w:cs="Times New Roman"/>
        </w:rPr>
        <w:t xml:space="preserve"> </w:t>
      </w:r>
      <w:r w:rsidRPr="00E34C2B">
        <w:rPr>
          <w:rFonts w:ascii="Times New Roman" w:hAnsi="Times New Roman" w:cs="Times New Roman"/>
          <w:i/>
          <w:iCs/>
        </w:rPr>
        <w:t>Id</w:t>
      </w:r>
      <w:r w:rsidRPr="00E34C2B">
        <w:rPr>
          <w:rFonts w:ascii="Times New Roman" w:hAnsi="Times New Roman" w:cs="Times New Roman"/>
        </w:rPr>
        <w:t>, paras 131-132.</w:t>
      </w:r>
    </w:p>
  </w:footnote>
  <w:footnote w:id="183">
    <w:p w14:paraId="49DC670E" w14:textId="3EE9C536" w:rsidR="00F43B80" w:rsidRPr="00E272C0"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E272C0">
        <w:rPr>
          <w:rFonts w:ascii="Times New Roman" w:hAnsi="Times New Roman" w:cs="Times New Roman"/>
          <w:lang w:val="es-ES"/>
        </w:rPr>
        <w:t xml:space="preserve"> </w:t>
      </w:r>
      <w:r w:rsidR="000F44F9" w:rsidRPr="00E272C0">
        <w:rPr>
          <w:rFonts w:ascii="Times New Roman" w:hAnsi="Times New Roman" w:cs="Times New Roman"/>
          <w:i/>
          <w:iCs/>
          <w:lang w:val="es-ES"/>
        </w:rPr>
        <w:t>Id</w:t>
      </w:r>
      <w:r w:rsidRPr="00E272C0">
        <w:rPr>
          <w:rFonts w:ascii="Times New Roman" w:hAnsi="Times New Roman" w:cs="Times New Roman"/>
          <w:lang w:val="es-ES"/>
        </w:rPr>
        <w:t>, para 84.</w:t>
      </w:r>
    </w:p>
  </w:footnote>
  <w:footnote w:id="184">
    <w:p w14:paraId="276A65A5" w14:textId="3E3A40F9" w:rsidR="00F43B80" w:rsidRPr="00E272C0"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E272C0">
        <w:rPr>
          <w:rFonts w:ascii="Times New Roman" w:hAnsi="Times New Roman" w:cs="Times New Roman"/>
          <w:lang w:val="es-ES"/>
        </w:rPr>
        <w:t xml:space="preserve"> </w:t>
      </w:r>
      <w:r w:rsidR="000F44F9" w:rsidRPr="00E272C0">
        <w:rPr>
          <w:rFonts w:ascii="Times New Roman" w:hAnsi="Times New Roman" w:cs="Times New Roman"/>
          <w:i/>
          <w:lang w:val="es-ES"/>
        </w:rPr>
        <w:t>Id</w:t>
      </w:r>
      <w:r w:rsidRPr="00E272C0">
        <w:rPr>
          <w:rFonts w:ascii="Times New Roman" w:hAnsi="Times New Roman" w:cs="Times New Roman"/>
          <w:lang w:val="es-ES"/>
        </w:rPr>
        <w:t>, para 82.</w:t>
      </w:r>
    </w:p>
  </w:footnote>
  <w:footnote w:id="185">
    <w:p w14:paraId="37CA3173" w14:textId="6AF1CFAB" w:rsidR="00F43B80" w:rsidRPr="00E272C0"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E272C0">
        <w:rPr>
          <w:rFonts w:ascii="Times New Roman" w:hAnsi="Times New Roman" w:cs="Times New Roman"/>
          <w:lang w:val="es-ES"/>
        </w:rPr>
        <w:t xml:space="preserve"> </w:t>
      </w:r>
      <w:proofErr w:type="spellStart"/>
      <w:r w:rsidR="000F44F9" w:rsidRPr="00E272C0">
        <w:rPr>
          <w:rFonts w:ascii="Times New Roman" w:hAnsi="Times New Roman" w:cs="Times New Roman"/>
          <w:i/>
          <w:iCs/>
          <w:color w:val="000000" w:themeColor="text1"/>
          <w:lang w:val="es-ES"/>
        </w:rPr>
        <w:t>Wightman</w:t>
      </w:r>
      <w:proofErr w:type="spellEnd"/>
      <w:r w:rsidR="000F44F9" w:rsidRPr="00E272C0">
        <w:rPr>
          <w:rFonts w:ascii="Times New Roman" w:hAnsi="Times New Roman" w:cs="Times New Roman"/>
          <w:i/>
          <w:iCs/>
          <w:color w:val="000000" w:themeColor="text1"/>
          <w:lang w:val="es-ES"/>
        </w:rPr>
        <w:t xml:space="preserve"> supra </w:t>
      </w:r>
      <w:r w:rsidR="000F44F9" w:rsidRPr="00E272C0">
        <w:rPr>
          <w:rFonts w:ascii="Times New Roman" w:hAnsi="Times New Roman" w:cs="Times New Roman"/>
          <w:color w:val="000000" w:themeColor="text1"/>
          <w:lang w:val="es-ES"/>
        </w:rPr>
        <w:t>note 8</w:t>
      </w:r>
      <w:r w:rsidR="00E25462">
        <w:rPr>
          <w:rFonts w:ascii="Times New Roman" w:hAnsi="Times New Roman" w:cs="Times New Roman"/>
          <w:color w:val="000000" w:themeColor="text1"/>
          <w:lang w:val="es-ES"/>
        </w:rPr>
        <w:t>6</w:t>
      </w:r>
      <w:r w:rsidRPr="00E272C0">
        <w:rPr>
          <w:rFonts w:ascii="Times New Roman" w:hAnsi="Times New Roman" w:cs="Times New Roman"/>
          <w:lang w:val="es-ES"/>
        </w:rPr>
        <w:t>, para 44.</w:t>
      </w:r>
    </w:p>
  </w:footnote>
  <w:footnote w:id="186">
    <w:p w14:paraId="62D7DFB1" w14:textId="1199067D" w:rsidR="00F43B80" w:rsidRPr="00E272C0"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E272C0">
        <w:rPr>
          <w:rFonts w:ascii="Times New Roman" w:hAnsi="Times New Roman" w:cs="Times New Roman"/>
          <w:lang w:val="es-ES"/>
        </w:rPr>
        <w:t xml:space="preserve"> </w:t>
      </w:r>
      <w:r w:rsidR="000F44F9" w:rsidRPr="00E272C0">
        <w:rPr>
          <w:rFonts w:ascii="Times New Roman" w:hAnsi="Times New Roman" w:cs="Times New Roman"/>
          <w:i/>
          <w:lang w:val="es-ES"/>
        </w:rPr>
        <w:t>I</w:t>
      </w:r>
      <w:r w:rsidRPr="00E272C0">
        <w:rPr>
          <w:rFonts w:ascii="Times New Roman" w:hAnsi="Times New Roman" w:cs="Times New Roman"/>
          <w:i/>
          <w:lang w:val="es-ES"/>
        </w:rPr>
        <w:t>d</w:t>
      </w:r>
      <w:r w:rsidRPr="00E272C0">
        <w:rPr>
          <w:rFonts w:ascii="Times New Roman" w:hAnsi="Times New Roman" w:cs="Times New Roman"/>
          <w:lang w:val="es-ES"/>
        </w:rPr>
        <w:t>, paras 44-45.</w:t>
      </w:r>
    </w:p>
  </w:footnote>
  <w:footnote w:id="187">
    <w:p w14:paraId="0EAD7E1E" w14:textId="32CD1BC5" w:rsidR="00F43B80" w:rsidRPr="00E272C0"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E272C0">
        <w:rPr>
          <w:rFonts w:ascii="Times New Roman" w:hAnsi="Times New Roman" w:cs="Times New Roman"/>
          <w:lang w:val="es-ES"/>
        </w:rPr>
        <w:t xml:space="preserve"> </w:t>
      </w:r>
      <w:r w:rsidR="0018688C" w:rsidRPr="00E272C0">
        <w:rPr>
          <w:rFonts w:ascii="Times New Roman" w:hAnsi="Times New Roman" w:cs="Times New Roman"/>
          <w:i/>
          <w:iCs/>
          <w:lang w:val="es-ES"/>
        </w:rPr>
        <w:t>Id</w:t>
      </w:r>
      <w:r w:rsidRPr="00E272C0">
        <w:rPr>
          <w:rFonts w:ascii="Times New Roman" w:hAnsi="Times New Roman" w:cs="Times New Roman"/>
          <w:lang w:val="es-ES"/>
        </w:rPr>
        <w:t>, para 70.</w:t>
      </w:r>
    </w:p>
  </w:footnote>
  <w:footnote w:id="188">
    <w:p w14:paraId="30CBFF32" w14:textId="1BD76D53" w:rsidR="00F43B80" w:rsidRPr="00E272C0"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E272C0">
        <w:rPr>
          <w:rFonts w:ascii="Times New Roman" w:hAnsi="Times New Roman" w:cs="Times New Roman"/>
          <w:lang w:val="es-ES"/>
        </w:rPr>
        <w:t xml:space="preserve"> </w:t>
      </w:r>
      <w:r w:rsidR="0018688C" w:rsidRPr="00E272C0">
        <w:rPr>
          <w:rFonts w:ascii="Times New Roman" w:hAnsi="Times New Roman" w:cs="Times New Roman"/>
          <w:i/>
          <w:iCs/>
          <w:lang w:val="es-ES"/>
        </w:rPr>
        <w:t>Id</w:t>
      </w:r>
      <w:r w:rsidRPr="00E272C0">
        <w:rPr>
          <w:rFonts w:ascii="Times New Roman" w:hAnsi="Times New Roman" w:cs="Times New Roman"/>
          <w:lang w:val="es-ES"/>
        </w:rPr>
        <w:t>, para 59.</w:t>
      </w:r>
    </w:p>
  </w:footnote>
  <w:footnote w:id="189">
    <w:p w14:paraId="1D09E0C8" w14:textId="6E8B95F6" w:rsidR="00F43B80" w:rsidRPr="00E272C0"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E272C0">
        <w:rPr>
          <w:rFonts w:ascii="Times New Roman" w:hAnsi="Times New Roman" w:cs="Times New Roman"/>
          <w:lang w:val="es-ES"/>
        </w:rPr>
        <w:t xml:space="preserve"> Opinion of the AG Campos Sánchez-Bordona, </w:t>
      </w:r>
      <w:r w:rsidR="0018688C" w:rsidRPr="00E272C0">
        <w:rPr>
          <w:rFonts w:ascii="Times New Roman" w:hAnsi="Times New Roman" w:cs="Times New Roman"/>
          <w:i/>
          <w:iCs/>
          <w:lang w:val="es-ES"/>
        </w:rPr>
        <w:t xml:space="preserve">supra </w:t>
      </w:r>
      <w:r w:rsidR="0018688C" w:rsidRPr="00E272C0">
        <w:rPr>
          <w:rFonts w:ascii="Times New Roman" w:hAnsi="Times New Roman" w:cs="Times New Roman"/>
          <w:lang w:val="es-ES"/>
        </w:rPr>
        <w:t>note 1</w:t>
      </w:r>
      <w:r w:rsidR="00E25462">
        <w:rPr>
          <w:rFonts w:ascii="Times New Roman" w:hAnsi="Times New Roman" w:cs="Times New Roman"/>
          <w:lang w:val="es-ES"/>
        </w:rPr>
        <w:t>80</w:t>
      </w:r>
      <w:r w:rsidRPr="00E272C0">
        <w:rPr>
          <w:rFonts w:ascii="Times New Roman" w:hAnsi="Times New Roman" w:cs="Times New Roman"/>
          <w:lang w:val="es-ES"/>
        </w:rPr>
        <w:t>, para 146.</w:t>
      </w:r>
    </w:p>
  </w:footnote>
  <w:footnote w:id="190">
    <w:p w14:paraId="1F01144D" w14:textId="1A563F16" w:rsidR="00F43B80" w:rsidRPr="00050C8B"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050C8B">
        <w:rPr>
          <w:rFonts w:ascii="Times New Roman" w:hAnsi="Times New Roman" w:cs="Times New Roman"/>
          <w:lang w:val="es-ES"/>
        </w:rPr>
        <w:t xml:space="preserve"> </w:t>
      </w:r>
      <w:r w:rsidRPr="00050C8B">
        <w:rPr>
          <w:rFonts w:ascii="Times New Roman" w:hAnsi="Times New Roman" w:cs="Times New Roman"/>
          <w:i/>
          <w:iCs/>
          <w:lang w:val="es-ES"/>
        </w:rPr>
        <w:t>Id</w:t>
      </w:r>
      <w:r w:rsidRPr="00050C8B">
        <w:rPr>
          <w:rFonts w:ascii="Times New Roman" w:hAnsi="Times New Roman" w:cs="Times New Roman"/>
          <w:lang w:val="es-ES"/>
        </w:rPr>
        <w:t>, para 147.</w:t>
      </w:r>
    </w:p>
  </w:footnote>
  <w:footnote w:id="191">
    <w:p w14:paraId="077497EE" w14:textId="309AC10D" w:rsidR="00F43B80" w:rsidRPr="00050C8B"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050C8B">
        <w:rPr>
          <w:rFonts w:ascii="Times New Roman" w:hAnsi="Times New Roman" w:cs="Times New Roman"/>
          <w:lang w:val="es-ES"/>
        </w:rPr>
        <w:t xml:space="preserve"> </w:t>
      </w:r>
      <w:r w:rsidR="0018688C" w:rsidRPr="00050C8B">
        <w:rPr>
          <w:rFonts w:ascii="Times New Roman" w:hAnsi="Times New Roman" w:cs="Times New Roman"/>
          <w:i/>
          <w:iCs/>
          <w:lang w:val="es-ES"/>
        </w:rPr>
        <w:t>Id</w:t>
      </w:r>
      <w:r w:rsidRPr="00050C8B">
        <w:rPr>
          <w:rFonts w:ascii="Times New Roman" w:hAnsi="Times New Roman" w:cs="Times New Roman"/>
          <w:lang w:val="es-ES"/>
        </w:rPr>
        <w:t>, para 148.</w:t>
      </w:r>
    </w:p>
  </w:footnote>
  <w:footnote w:id="192">
    <w:p w14:paraId="1EF543A7" w14:textId="095EDB48" w:rsidR="00F43B80" w:rsidRPr="00050C8B"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050C8B">
        <w:rPr>
          <w:rFonts w:ascii="Times New Roman" w:hAnsi="Times New Roman" w:cs="Times New Roman"/>
          <w:lang w:val="es-ES"/>
        </w:rPr>
        <w:t xml:space="preserve"> </w:t>
      </w:r>
      <w:r w:rsidR="0018688C" w:rsidRPr="00050C8B">
        <w:rPr>
          <w:rFonts w:ascii="Times New Roman" w:hAnsi="Times New Roman" w:cs="Times New Roman"/>
          <w:i/>
          <w:iCs/>
          <w:lang w:val="es-ES"/>
        </w:rPr>
        <w:t>Id</w:t>
      </w:r>
      <w:r w:rsidRPr="00050C8B">
        <w:rPr>
          <w:rFonts w:ascii="Times New Roman" w:hAnsi="Times New Roman" w:cs="Times New Roman"/>
          <w:lang w:val="es-ES"/>
        </w:rPr>
        <w:t>, paras 150 and 154.</w:t>
      </w:r>
    </w:p>
  </w:footnote>
  <w:footnote w:id="193">
    <w:p w14:paraId="42312E5E" w14:textId="3A66D1DD" w:rsidR="00F43B80" w:rsidRPr="00050C8B"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050C8B">
        <w:rPr>
          <w:rFonts w:ascii="Times New Roman" w:hAnsi="Times New Roman" w:cs="Times New Roman"/>
          <w:lang w:val="es-ES"/>
        </w:rPr>
        <w:t xml:space="preserve"> </w:t>
      </w:r>
      <w:r w:rsidR="0018688C" w:rsidRPr="00050C8B">
        <w:rPr>
          <w:rFonts w:ascii="Times New Roman" w:hAnsi="Times New Roman" w:cs="Times New Roman"/>
          <w:i/>
          <w:iCs/>
          <w:lang w:val="es-ES"/>
        </w:rPr>
        <w:t>Id</w:t>
      </w:r>
      <w:r w:rsidRPr="00050C8B">
        <w:rPr>
          <w:rFonts w:ascii="Times New Roman" w:hAnsi="Times New Roman" w:cs="Times New Roman"/>
          <w:lang w:val="es-ES"/>
        </w:rPr>
        <w:t>, para 169.</w:t>
      </w:r>
    </w:p>
  </w:footnote>
  <w:footnote w:id="194">
    <w:p w14:paraId="73CC97AC" w14:textId="659BA4BC" w:rsidR="00F43B80" w:rsidRPr="00050C8B" w:rsidRDefault="00F43B80" w:rsidP="00050C8B">
      <w:pPr>
        <w:pStyle w:val="FootnoteText"/>
        <w:jc w:val="both"/>
        <w:rPr>
          <w:rFonts w:ascii="Times New Roman" w:hAnsi="Times New Roman" w:cs="Times New Roman"/>
          <w:lang w:val="es-ES"/>
        </w:rPr>
      </w:pPr>
      <w:r w:rsidRPr="00050C8B">
        <w:rPr>
          <w:rStyle w:val="FootnoteReference"/>
          <w:rFonts w:ascii="Times New Roman" w:hAnsi="Times New Roman" w:cs="Times New Roman"/>
        </w:rPr>
        <w:footnoteRef/>
      </w:r>
      <w:r w:rsidRPr="00050C8B">
        <w:rPr>
          <w:rFonts w:ascii="Times New Roman" w:hAnsi="Times New Roman" w:cs="Times New Roman"/>
          <w:lang w:val="es-ES"/>
        </w:rPr>
        <w:t xml:space="preserve"> </w:t>
      </w:r>
      <w:proofErr w:type="spellStart"/>
      <w:r w:rsidR="0018688C" w:rsidRPr="00050C8B">
        <w:rPr>
          <w:rFonts w:ascii="Times New Roman" w:hAnsi="Times New Roman" w:cs="Times New Roman"/>
          <w:i/>
          <w:iCs/>
          <w:color w:val="000000" w:themeColor="text1"/>
          <w:lang w:val="es-ES"/>
        </w:rPr>
        <w:t>Wightman</w:t>
      </w:r>
      <w:proofErr w:type="spellEnd"/>
      <w:r w:rsidR="0018688C" w:rsidRPr="00050C8B">
        <w:rPr>
          <w:rFonts w:ascii="Times New Roman" w:hAnsi="Times New Roman" w:cs="Times New Roman"/>
          <w:i/>
          <w:iCs/>
          <w:color w:val="000000" w:themeColor="text1"/>
          <w:lang w:val="es-ES"/>
        </w:rPr>
        <w:t xml:space="preserve"> supra </w:t>
      </w:r>
      <w:r w:rsidR="0018688C" w:rsidRPr="00050C8B">
        <w:rPr>
          <w:rFonts w:ascii="Times New Roman" w:hAnsi="Times New Roman" w:cs="Times New Roman"/>
          <w:color w:val="000000" w:themeColor="text1"/>
          <w:lang w:val="es-ES"/>
        </w:rPr>
        <w:t>note 8</w:t>
      </w:r>
      <w:r w:rsidR="00E25462">
        <w:rPr>
          <w:rFonts w:ascii="Times New Roman" w:hAnsi="Times New Roman" w:cs="Times New Roman"/>
          <w:color w:val="000000" w:themeColor="text1"/>
          <w:lang w:val="es-ES"/>
        </w:rPr>
        <w:t>6</w:t>
      </w:r>
      <w:r w:rsidRPr="00050C8B">
        <w:rPr>
          <w:rFonts w:ascii="Times New Roman" w:hAnsi="Times New Roman" w:cs="Times New Roman"/>
          <w:lang w:val="es-ES"/>
        </w:rPr>
        <w:t>, para 74.</w:t>
      </w:r>
    </w:p>
  </w:footnote>
  <w:footnote w:id="195">
    <w:p w14:paraId="14FC1617" w14:textId="20C80178" w:rsidR="00F43B80" w:rsidRPr="00E272C0"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E272C0">
        <w:rPr>
          <w:rFonts w:ascii="Times New Roman" w:hAnsi="Times New Roman" w:cs="Times New Roman"/>
          <w:lang w:val="en-US"/>
        </w:rPr>
        <w:t xml:space="preserve"> </w:t>
      </w:r>
      <w:r w:rsidR="0018688C" w:rsidRPr="00E272C0">
        <w:rPr>
          <w:rFonts w:ascii="Times New Roman" w:hAnsi="Times New Roman" w:cs="Times New Roman"/>
          <w:i/>
          <w:iCs/>
          <w:lang w:val="en-US"/>
        </w:rPr>
        <w:t>See</w:t>
      </w:r>
      <w:r w:rsidRPr="00E272C0">
        <w:rPr>
          <w:rFonts w:ascii="Times New Roman" w:hAnsi="Times New Roman" w:cs="Times New Roman"/>
          <w:lang w:val="en-US"/>
        </w:rPr>
        <w:t xml:space="preserve"> </w:t>
      </w:r>
      <w:proofErr w:type="spellStart"/>
      <w:r w:rsidRPr="00E272C0">
        <w:rPr>
          <w:rFonts w:ascii="Times New Roman" w:hAnsi="Times New Roman" w:cs="Times New Roman"/>
          <w:smallCaps/>
          <w:lang w:val="en-US"/>
        </w:rPr>
        <w:t>Schütze</w:t>
      </w:r>
      <w:proofErr w:type="spellEnd"/>
      <w:r w:rsidRPr="00E272C0">
        <w:rPr>
          <w:rFonts w:ascii="Times New Roman" w:hAnsi="Times New Roman" w:cs="Times New Roman"/>
          <w:lang w:val="en-US"/>
        </w:rPr>
        <w:t xml:space="preserve">, </w:t>
      </w:r>
      <w:r w:rsidR="0018688C" w:rsidRPr="00E272C0">
        <w:rPr>
          <w:rFonts w:ascii="Times New Roman" w:hAnsi="Times New Roman" w:cs="Times New Roman"/>
          <w:i/>
          <w:iCs/>
          <w:lang w:val="en-US"/>
        </w:rPr>
        <w:t xml:space="preserve">supra </w:t>
      </w:r>
      <w:r w:rsidR="0018688C" w:rsidRPr="00E272C0">
        <w:rPr>
          <w:rFonts w:ascii="Times New Roman" w:hAnsi="Times New Roman" w:cs="Times New Roman"/>
          <w:lang w:val="en-US"/>
        </w:rPr>
        <w:t>note 4</w:t>
      </w:r>
      <w:r w:rsidR="00E25462">
        <w:rPr>
          <w:rFonts w:ascii="Times New Roman" w:hAnsi="Times New Roman" w:cs="Times New Roman"/>
          <w:lang w:val="en-US"/>
        </w:rPr>
        <w:t>6</w:t>
      </w:r>
      <w:r w:rsidRPr="00E272C0">
        <w:rPr>
          <w:rFonts w:ascii="Times New Roman" w:hAnsi="Times New Roman" w:cs="Times New Roman"/>
          <w:lang w:val="en-US"/>
        </w:rPr>
        <w:t>.</w:t>
      </w:r>
    </w:p>
  </w:footnote>
  <w:footnote w:id="196">
    <w:p w14:paraId="25E8361E" w14:textId="60E97F0C" w:rsidR="00F43B80" w:rsidRPr="00E272C0"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E272C0">
        <w:rPr>
          <w:rFonts w:ascii="Times New Roman" w:hAnsi="Times New Roman" w:cs="Times New Roman"/>
          <w:lang w:val="en-US"/>
        </w:rPr>
        <w:t xml:space="preserve"> </w:t>
      </w:r>
      <w:r w:rsidRPr="00E272C0">
        <w:rPr>
          <w:rFonts w:ascii="Times New Roman" w:hAnsi="Times New Roman" w:cs="Times New Roman"/>
          <w:i/>
          <w:iCs/>
          <w:lang w:val="en-US"/>
        </w:rPr>
        <w:t>Köbler</w:t>
      </w:r>
      <w:r w:rsidR="0018688C" w:rsidRPr="00E272C0">
        <w:rPr>
          <w:rFonts w:ascii="Times New Roman" w:hAnsi="Times New Roman" w:cs="Times New Roman"/>
          <w:lang w:val="en-US"/>
        </w:rPr>
        <w:t>, Case C-224/01,</w:t>
      </w:r>
      <w:r w:rsidRPr="00E272C0">
        <w:rPr>
          <w:rFonts w:ascii="Times New Roman" w:hAnsi="Times New Roman" w:cs="Times New Roman"/>
          <w:lang w:val="en-US"/>
        </w:rPr>
        <w:t xml:space="preserve"> ECLI:EU:C:2003:513</w:t>
      </w:r>
      <w:r w:rsidR="009C7817" w:rsidRPr="00E272C0">
        <w:rPr>
          <w:rFonts w:ascii="Times New Roman" w:hAnsi="Times New Roman" w:cs="Times New Roman"/>
          <w:lang w:val="en-US"/>
        </w:rPr>
        <w:t>.</w:t>
      </w:r>
    </w:p>
  </w:footnote>
  <w:footnote w:id="197">
    <w:p w14:paraId="5870D47E" w14:textId="77777777"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German Constitutional Court 2 BvR 2661/06, </w:t>
      </w:r>
      <w:hyperlink r:id="rId26" w:history="1">
        <w:r w:rsidRPr="00050C8B">
          <w:rPr>
            <w:rStyle w:val="Hyperlink"/>
            <w:rFonts w:ascii="Times New Roman" w:hAnsi="Times New Roman" w:cs="Times New Roman"/>
            <w:lang w:val="en-US"/>
          </w:rPr>
          <w:t>https://www.bundesverfassungsgericht.de/entscheidungen/rs20100706_2bvr266106.html</w:t>
        </w:r>
      </w:hyperlink>
      <w:r w:rsidRPr="00050C8B">
        <w:rPr>
          <w:rFonts w:ascii="Times New Roman" w:hAnsi="Times New Roman" w:cs="Times New Roman"/>
          <w:lang w:val="en-US"/>
        </w:rPr>
        <w:t xml:space="preserve"> </w:t>
      </w:r>
    </w:p>
  </w:footnote>
  <w:footnote w:id="198">
    <w:p w14:paraId="7B94DD6E" w14:textId="120C6CB7" w:rsidR="00F43B80" w:rsidRPr="00050C8B" w:rsidRDefault="00F43B80" w:rsidP="00050C8B">
      <w:pPr>
        <w:pStyle w:val="FootnoteText"/>
        <w:jc w:val="both"/>
        <w:rPr>
          <w:rFonts w:ascii="Times New Roman" w:hAnsi="Times New Roman" w:cs="Times New Roman"/>
          <w:lang w:val="en-US"/>
        </w:rPr>
      </w:pPr>
      <w:r w:rsidRPr="00050C8B">
        <w:rPr>
          <w:rStyle w:val="FootnoteReference"/>
          <w:rFonts w:ascii="Times New Roman" w:hAnsi="Times New Roman" w:cs="Times New Roman"/>
        </w:rPr>
        <w:footnoteRef/>
      </w:r>
      <w:r w:rsidRPr="00050C8B">
        <w:rPr>
          <w:rFonts w:ascii="Times New Roman" w:hAnsi="Times New Roman" w:cs="Times New Roman"/>
          <w:lang w:val="en-US"/>
        </w:rPr>
        <w:t xml:space="preserve"> G</w:t>
      </w:r>
      <w:r w:rsidR="009C7817" w:rsidRPr="00050C8B">
        <w:rPr>
          <w:rFonts w:ascii="Times New Roman" w:hAnsi="Times New Roman" w:cs="Times New Roman"/>
          <w:lang w:val="en-US"/>
        </w:rPr>
        <w:t>iuseppe</w:t>
      </w:r>
      <w:r w:rsidRPr="00050C8B">
        <w:rPr>
          <w:rFonts w:ascii="Times New Roman" w:hAnsi="Times New Roman" w:cs="Times New Roman"/>
          <w:lang w:val="en-US"/>
        </w:rPr>
        <w:t xml:space="preserve"> Martinico, </w:t>
      </w:r>
      <w:r w:rsidRPr="00050C8B">
        <w:rPr>
          <w:rFonts w:ascii="Times New Roman" w:hAnsi="Times New Roman" w:cs="Times New Roman"/>
          <w:i/>
          <w:iCs/>
          <w:lang w:val="en-US"/>
        </w:rPr>
        <w:t>Taming National Identity: A Systematic Understanding of Article 4.2 TEU</w:t>
      </w:r>
      <w:r w:rsidR="009C7817" w:rsidRPr="00050C8B">
        <w:rPr>
          <w:rFonts w:ascii="Times New Roman" w:hAnsi="Times New Roman" w:cs="Times New Roman"/>
          <w:lang w:val="en-US"/>
        </w:rPr>
        <w:t>,</w:t>
      </w:r>
      <w:r w:rsidRPr="00050C8B">
        <w:rPr>
          <w:rFonts w:ascii="Times New Roman" w:hAnsi="Times New Roman" w:cs="Times New Roman"/>
          <w:lang w:val="en-US"/>
        </w:rPr>
        <w:t xml:space="preserve"> </w:t>
      </w:r>
      <w:r w:rsidR="009C7817" w:rsidRPr="00050C8B">
        <w:rPr>
          <w:rFonts w:ascii="Times New Roman" w:hAnsi="Times New Roman" w:cs="Times New Roman"/>
          <w:lang w:val="en-US"/>
        </w:rPr>
        <w:t xml:space="preserve">27 </w:t>
      </w:r>
      <w:r w:rsidRPr="00050C8B">
        <w:rPr>
          <w:rFonts w:ascii="Times New Roman" w:hAnsi="Times New Roman" w:cs="Times New Roman"/>
          <w:smallCaps/>
          <w:lang w:val="en-US"/>
        </w:rPr>
        <w:t>European Public Law</w:t>
      </w:r>
      <w:r w:rsidRPr="00050C8B">
        <w:rPr>
          <w:rFonts w:ascii="Times New Roman" w:hAnsi="Times New Roman" w:cs="Times New Roman"/>
          <w:lang w:val="en-US"/>
        </w:rPr>
        <w:t xml:space="preserve"> 447, 462</w:t>
      </w:r>
      <w:r w:rsidR="009C7817" w:rsidRPr="00050C8B">
        <w:rPr>
          <w:rFonts w:ascii="Times New Roman" w:hAnsi="Times New Roman" w:cs="Times New Roman"/>
          <w:lang w:val="en-US"/>
        </w:rPr>
        <w:t xml:space="preserve"> (2021)</w:t>
      </w:r>
      <w:r w:rsidRPr="00050C8B">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5CD4"/>
    <w:multiLevelType w:val="hybridMultilevel"/>
    <w:tmpl w:val="C76888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64740D"/>
    <w:multiLevelType w:val="hybridMultilevel"/>
    <w:tmpl w:val="E354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C5A6C"/>
    <w:multiLevelType w:val="hybridMultilevel"/>
    <w:tmpl w:val="E8C20BA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266706"/>
    <w:multiLevelType w:val="hybridMultilevel"/>
    <w:tmpl w:val="B9660506"/>
    <w:lvl w:ilvl="0" w:tplc="0809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FE0AE0"/>
    <w:multiLevelType w:val="hybridMultilevel"/>
    <w:tmpl w:val="A8F2BA56"/>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1728845">
    <w:abstractNumId w:val="0"/>
  </w:num>
  <w:num w:numId="2" w16cid:durableId="488443569">
    <w:abstractNumId w:val="2"/>
  </w:num>
  <w:num w:numId="3" w16cid:durableId="1975325809">
    <w:abstractNumId w:val="3"/>
  </w:num>
  <w:num w:numId="4" w16cid:durableId="82648754">
    <w:abstractNumId w:val="4"/>
  </w:num>
  <w:num w:numId="5" w16cid:durableId="115017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1MLEwNDQyMDMwNLBQ0lEKTi0uzszPAykwqQUA/wjXVCwAAAA="/>
  </w:docVars>
  <w:rsids>
    <w:rsidRoot w:val="0048484D"/>
    <w:rsid w:val="000008BE"/>
    <w:rsid w:val="00001216"/>
    <w:rsid w:val="00003D4F"/>
    <w:rsid w:val="00004EC0"/>
    <w:rsid w:val="00006B0A"/>
    <w:rsid w:val="00010B05"/>
    <w:rsid w:val="00011808"/>
    <w:rsid w:val="00013EE6"/>
    <w:rsid w:val="0001421D"/>
    <w:rsid w:val="000150AF"/>
    <w:rsid w:val="00026116"/>
    <w:rsid w:val="0003409D"/>
    <w:rsid w:val="00047C4D"/>
    <w:rsid w:val="00050C8B"/>
    <w:rsid w:val="00054D6B"/>
    <w:rsid w:val="000553E8"/>
    <w:rsid w:val="00056D74"/>
    <w:rsid w:val="00057E5A"/>
    <w:rsid w:val="000619E4"/>
    <w:rsid w:val="00063593"/>
    <w:rsid w:val="0006697B"/>
    <w:rsid w:val="00071522"/>
    <w:rsid w:val="00072279"/>
    <w:rsid w:val="000733A8"/>
    <w:rsid w:val="0007567E"/>
    <w:rsid w:val="000757D5"/>
    <w:rsid w:val="000771DF"/>
    <w:rsid w:val="00081756"/>
    <w:rsid w:val="00083C1B"/>
    <w:rsid w:val="00084133"/>
    <w:rsid w:val="000942F7"/>
    <w:rsid w:val="00094A62"/>
    <w:rsid w:val="00094CA7"/>
    <w:rsid w:val="000A14F6"/>
    <w:rsid w:val="000A5142"/>
    <w:rsid w:val="000B545F"/>
    <w:rsid w:val="000B64D0"/>
    <w:rsid w:val="000C057C"/>
    <w:rsid w:val="000D0531"/>
    <w:rsid w:val="000D0C55"/>
    <w:rsid w:val="000D3D4F"/>
    <w:rsid w:val="000E05BC"/>
    <w:rsid w:val="000E1985"/>
    <w:rsid w:val="000E4CEC"/>
    <w:rsid w:val="000E6184"/>
    <w:rsid w:val="000E6567"/>
    <w:rsid w:val="000E674C"/>
    <w:rsid w:val="000F004A"/>
    <w:rsid w:val="000F081E"/>
    <w:rsid w:val="000F1AE9"/>
    <w:rsid w:val="000F44F9"/>
    <w:rsid w:val="000F5879"/>
    <w:rsid w:val="000F64ED"/>
    <w:rsid w:val="000F7562"/>
    <w:rsid w:val="001002FA"/>
    <w:rsid w:val="0010605A"/>
    <w:rsid w:val="00106C73"/>
    <w:rsid w:val="0010735B"/>
    <w:rsid w:val="00110AAE"/>
    <w:rsid w:val="001110D4"/>
    <w:rsid w:val="00116649"/>
    <w:rsid w:val="00117F8E"/>
    <w:rsid w:val="00124724"/>
    <w:rsid w:val="00130B6D"/>
    <w:rsid w:val="00136CC9"/>
    <w:rsid w:val="00136E14"/>
    <w:rsid w:val="0014662E"/>
    <w:rsid w:val="001557F5"/>
    <w:rsid w:val="001647E6"/>
    <w:rsid w:val="00170BDB"/>
    <w:rsid w:val="00176A58"/>
    <w:rsid w:val="00184F31"/>
    <w:rsid w:val="0018688C"/>
    <w:rsid w:val="00196D85"/>
    <w:rsid w:val="001A6787"/>
    <w:rsid w:val="001B2512"/>
    <w:rsid w:val="001B2B36"/>
    <w:rsid w:val="001B2DE3"/>
    <w:rsid w:val="001B2F18"/>
    <w:rsid w:val="001B3E46"/>
    <w:rsid w:val="001B7B18"/>
    <w:rsid w:val="001C57CC"/>
    <w:rsid w:val="001C7035"/>
    <w:rsid w:val="001D24C8"/>
    <w:rsid w:val="001D4604"/>
    <w:rsid w:val="001D5092"/>
    <w:rsid w:val="001E04E7"/>
    <w:rsid w:val="001E0B0E"/>
    <w:rsid w:val="001E2F15"/>
    <w:rsid w:val="001E362C"/>
    <w:rsid w:val="001E5207"/>
    <w:rsid w:val="001F2170"/>
    <w:rsid w:val="001F3687"/>
    <w:rsid w:val="001F37DA"/>
    <w:rsid w:val="001F3985"/>
    <w:rsid w:val="001F4E6C"/>
    <w:rsid w:val="001F7264"/>
    <w:rsid w:val="001F7885"/>
    <w:rsid w:val="001F7D6D"/>
    <w:rsid w:val="002007FB"/>
    <w:rsid w:val="0020405F"/>
    <w:rsid w:val="00215FA0"/>
    <w:rsid w:val="0022038F"/>
    <w:rsid w:val="00222E0F"/>
    <w:rsid w:val="00234286"/>
    <w:rsid w:val="00241D56"/>
    <w:rsid w:val="0024230E"/>
    <w:rsid w:val="002427C1"/>
    <w:rsid w:val="00242ABE"/>
    <w:rsid w:val="00245707"/>
    <w:rsid w:val="00245729"/>
    <w:rsid w:val="00247EDD"/>
    <w:rsid w:val="00250612"/>
    <w:rsid w:val="002513EA"/>
    <w:rsid w:val="00251900"/>
    <w:rsid w:val="00251AB5"/>
    <w:rsid w:val="00251B36"/>
    <w:rsid w:val="00252FF8"/>
    <w:rsid w:val="002540F4"/>
    <w:rsid w:val="002542F9"/>
    <w:rsid w:val="002549B5"/>
    <w:rsid w:val="002579E1"/>
    <w:rsid w:val="00260C0D"/>
    <w:rsid w:val="002625B6"/>
    <w:rsid w:val="00266B43"/>
    <w:rsid w:val="00272AE0"/>
    <w:rsid w:val="0027381B"/>
    <w:rsid w:val="0027461C"/>
    <w:rsid w:val="002757BC"/>
    <w:rsid w:val="0028158E"/>
    <w:rsid w:val="00283757"/>
    <w:rsid w:val="002840E2"/>
    <w:rsid w:val="00285423"/>
    <w:rsid w:val="00286559"/>
    <w:rsid w:val="00286F81"/>
    <w:rsid w:val="00287311"/>
    <w:rsid w:val="00287A4E"/>
    <w:rsid w:val="0029015C"/>
    <w:rsid w:val="0029121C"/>
    <w:rsid w:val="00293759"/>
    <w:rsid w:val="00294AB1"/>
    <w:rsid w:val="002A2AFB"/>
    <w:rsid w:val="002A619F"/>
    <w:rsid w:val="002B09C0"/>
    <w:rsid w:val="002B2417"/>
    <w:rsid w:val="002B37A7"/>
    <w:rsid w:val="002B4A7C"/>
    <w:rsid w:val="002B7A16"/>
    <w:rsid w:val="002C48E3"/>
    <w:rsid w:val="002C750E"/>
    <w:rsid w:val="002C7B7B"/>
    <w:rsid w:val="002D04EE"/>
    <w:rsid w:val="002D0553"/>
    <w:rsid w:val="002D1381"/>
    <w:rsid w:val="002D7D7E"/>
    <w:rsid w:val="002D7FF8"/>
    <w:rsid w:val="002E2BCE"/>
    <w:rsid w:val="002E2CE8"/>
    <w:rsid w:val="002E44FD"/>
    <w:rsid w:val="002E45F3"/>
    <w:rsid w:val="002E788C"/>
    <w:rsid w:val="002F142A"/>
    <w:rsid w:val="002F4B5D"/>
    <w:rsid w:val="002F552E"/>
    <w:rsid w:val="002F686D"/>
    <w:rsid w:val="002F7B3E"/>
    <w:rsid w:val="00301050"/>
    <w:rsid w:val="00304F6D"/>
    <w:rsid w:val="00310ADA"/>
    <w:rsid w:val="00311074"/>
    <w:rsid w:val="003130D9"/>
    <w:rsid w:val="00313592"/>
    <w:rsid w:val="00313705"/>
    <w:rsid w:val="003157A8"/>
    <w:rsid w:val="00316534"/>
    <w:rsid w:val="00320C62"/>
    <w:rsid w:val="00320C69"/>
    <w:rsid w:val="003210C2"/>
    <w:rsid w:val="003212AA"/>
    <w:rsid w:val="003234F3"/>
    <w:rsid w:val="003264B5"/>
    <w:rsid w:val="00326C38"/>
    <w:rsid w:val="003271BD"/>
    <w:rsid w:val="003337B7"/>
    <w:rsid w:val="00335448"/>
    <w:rsid w:val="0034162D"/>
    <w:rsid w:val="00343958"/>
    <w:rsid w:val="003441B4"/>
    <w:rsid w:val="003517B9"/>
    <w:rsid w:val="00351D4B"/>
    <w:rsid w:val="00352457"/>
    <w:rsid w:val="003544C5"/>
    <w:rsid w:val="003561B1"/>
    <w:rsid w:val="00361D84"/>
    <w:rsid w:val="00362CA4"/>
    <w:rsid w:val="003666C7"/>
    <w:rsid w:val="00366B70"/>
    <w:rsid w:val="00366F1E"/>
    <w:rsid w:val="00370E12"/>
    <w:rsid w:val="00372EEB"/>
    <w:rsid w:val="0037433E"/>
    <w:rsid w:val="0037542C"/>
    <w:rsid w:val="00384E64"/>
    <w:rsid w:val="00385386"/>
    <w:rsid w:val="00391B93"/>
    <w:rsid w:val="00394E79"/>
    <w:rsid w:val="0039505D"/>
    <w:rsid w:val="003A07E5"/>
    <w:rsid w:val="003A3DCA"/>
    <w:rsid w:val="003B0C28"/>
    <w:rsid w:val="003B52AE"/>
    <w:rsid w:val="003C3055"/>
    <w:rsid w:val="003C79FD"/>
    <w:rsid w:val="003D329C"/>
    <w:rsid w:val="003D4C41"/>
    <w:rsid w:val="003E0298"/>
    <w:rsid w:val="003E48FE"/>
    <w:rsid w:val="003E519F"/>
    <w:rsid w:val="003F1FAF"/>
    <w:rsid w:val="003F3369"/>
    <w:rsid w:val="003F4045"/>
    <w:rsid w:val="003F55FF"/>
    <w:rsid w:val="003F607A"/>
    <w:rsid w:val="003F6E2B"/>
    <w:rsid w:val="004002DE"/>
    <w:rsid w:val="004029A0"/>
    <w:rsid w:val="00402FC7"/>
    <w:rsid w:val="0040799F"/>
    <w:rsid w:val="00407FF2"/>
    <w:rsid w:val="004108C0"/>
    <w:rsid w:val="00410FEF"/>
    <w:rsid w:val="00415196"/>
    <w:rsid w:val="004160F1"/>
    <w:rsid w:val="00416BC8"/>
    <w:rsid w:val="00422287"/>
    <w:rsid w:val="0042256E"/>
    <w:rsid w:val="00423ACC"/>
    <w:rsid w:val="00424015"/>
    <w:rsid w:val="00427D25"/>
    <w:rsid w:val="004351F8"/>
    <w:rsid w:val="004402D7"/>
    <w:rsid w:val="00443133"/>
    <w:rsid w:val="00444E97"/>
    <w:rsid w:val="004464BD"/>
    <w:rsid w:val="004511DB"/>
    <w:rsid w:val="00454B47"/>
    <w:rsid w:val="004556A1"/>
    <w:rsid w:val="00460F34"/>
    <w:rsid w:val="004629D3"/>
    <w:rsid w:val="00466084"/>
    <w:rsid w:val="00466500"/>
    <w:rsid w:val="00470740"/>
    <w:rsid w:val="00471276"/>
    <w:rsid w:val="00472A4B"/>
    <w:rsid w:val="004730ED"/>
    <w:rsid w:val="004741D7"/>
    <w:rsid w:val="004754D2"/>
    <w:rsid w:val="00477F77"/>
    <w:rsid w:val="0048020F"/>
    <w:rsid w:val="0048484D"/>
    <w:rsid w:val="004866B8"/>
    <w:rsid w:val="00486DF6"/>
    <w:rsid w:val="0048781C"/>
    <w:rsid w:val="00493CB5"/>
    <w:rsid w:val="00497336"/>
    <w:rsid w:val="004A383E"/>
    <w:rsid w:val="004A6A08"/>
    <w:rsid w:val="004A7174"/>
    <w:rsid w:val="004A75A7"/>
    <w:rsid w:val="004B3ACD"/>
    <w:rsid w:val="004B438A"/>
    <w:rsid w:val="004B59FB"/>
    <w:rsid w:val="004B609D"/>
    <w:rsid w:val="004C04BD"/>
    <w:rsid w:val="004C1427"/>
    <w:rsid w:val="004C51D0"/>
    <w:rsid w:val="004C5B99"/>
    <w:rsid w:val="004C7489"/>
    <w:rsid w:val="004D0F7E"/>
    <w:rsid w:val="004D342D"/>
    <w:rsid w:val="004D6222"/>
    <w:rsid w:val="004E0189"/>
    <w:rsid w:val="004E35DA"/>
    <w:rsid w:val="004E6431"/>
    <w:rsid w:val="004F0E74"/>
    <w:rsid w:val="004F53DA"/>
    <w:rsid w:val="0050043E"/>
    <w:rsid w:val="0050781F"/>
    <w:rsid w:val="00521F99"/>
    <w:rsid w:val="00522243"/>
    <w:rsid w:val="0052660E"/>
    <w:rsid w:val="00532A3A"/>
    <w:rsid w:val="005345E0"/>
    <w:rsid w:val="00541111"/>
    <w:rsid w:val="00542D62"/>
    <w:rsid w:val="005444AB"/>
    <w:rsid w:val="005514F2"/>
    <w:rsid w:val="005515D2"/>
    <w:rsid w:val="005601F1"/>
    <w:rsid w:val="00560327"/>
    <w:rsid w:val="00563476"/>
    <w:rsid w:val="0056457F"/>
    <w:rsid w:val="005648AE"/>
    <w:rsid w:val="0056530E"/>
    <w:rsid w:val="00565D2F"/>
    <w:rsid w:val="00565EFD"/>
    <w:rsid w:val="00572AAD"/>
    <w:rsid w:val="005743D7"/>
    <w:rsid w:val="0057440C"/>
    <w:rsid w:val="00575414"/>
    <w:rsid w:val="00575FE9"/>
    <w:rsid w:val="00581466"/>
    <w:rsid w:val="0058242D"/>
    <w:rsid w:val="005827D2"/>
    <w:rsid w:val="00591FD4"/>
    <w:rsid w:val="005924AF"/>
    <w:rsid w:val="00592EC8"/>
    <w:rsid w:val="005A0ACE"/>
    <w:rsid w:val="005A1555"/>
    <w:rsid w:val="005A2756"/>
    <w:rsid w:val="005A426B"/>
    <w:rsid w:val="005B1246"/>
    <w:rsid w:val="005B17E1"/>
    <w:rsid w:val="005B3057"/>
    <w:rsid w:val="005B7683"/>
    <w:rsid w:val="005C0151"/>
    <w:rsid w:val="005D0DA7"/>
    <w:rsid w:val="005D5832"/>
    <w:rsid w:val="005D6695"/>
    <w:rsid w:val="005D7F3E"/>
    <w:rsid w:val="005E0A6E"/>
    <w:rsid w:val="005E0AC0"/>
    <w:rsid w:val="005E3BED"/>
    <w:rsid w:val="005E6BF3"/>
    <w:rsid w:val="005F261F"/>
    <w:rsid w:val="005F6274"/>
    <w:rsid w:val="006003E5"/>
    <w:rsid w:val="006008A1"/>
    <w:rsid w:val="00606118"/>
    <w:rsid w:val="0060712C"/>
    <w:rsid w:val="00610BA4"/>
    <w:rsid w:val="006112D5"/>
    <w:rsid w:val="0061211A"/>
    <w:rsid w:val="00614630"/>
    <w:rsid w:val="00620A7B"/>
    <w:rsid w:val="00621B8E"/>
    <w:rsid w:val="00624489"/>
    <w:rsid w:val="0062698D"/>
    <w:rsid w:val="0063096A"/>
    <w:rsid w:val="00634D1C"/>
    <w:rsid w:val="00640160"/>
    <w:rsid w:val="00640A62"/>
    <w:rsid w:val="00641826"/>
    <w:rsid w:val="00643AF1"/>
    <w:rsid w:val="0064427C"/>
    <w:rsid w:val="006468EC"/>
    <w:rsid w:val="00646AE8"/>
    <w:rsid w:val="0065067E"/>
    <w:rsid w:val="006540A4"/>
    <w:rsid w:val="0066042B"/>
    <w:rsid w:val="00663603"/>
    <w:rsid w:val="0066673C"/>
    <w:rsid w:val="00670295"/>
    <w:rsid w:val="006712B9"/>
    <w:rsid w:val="0067143C"/>
    <w:rsid w:val="00680588"/>
    <w:rsid w:val="00680E58"/>
    <w:rsid w:val="0068233E"/>
    <w:rsid w:val="006829DF"/>
    <w:rsid w:val="00686B0C"/>
    <w:rsid w:val="006872FA"/>
    <w:rsid w:val="00692860"/>
    <w:rsid w:val="00692EC8"/>
    <w:rsid w:val="006A19A4"/>
    <w:rsid w:val="006A42A1"/>
    <w:rsid w:val="006B25FC"/>
    <w:rsid w:val="006B2BC7"/>
    <w:rsid w:val="006B4E88"/>
    <w:rsid w:val="006B712D"/>
    <w:rsid w:val="006B7A09"/>
    <w:rsid w:val="006C14A3"/>
    <w:rsid w:val="006C687F"/>
    <w:rsid w:val="006D02E8"/>
    <w:rsid w:val="006D2E52"/>
    <w:rsid w:val="006D3185"/>
    <w:rsid w:val="006D7303"/>
    <w:rsid w:val="006D7626"/>
    <w:rsid w:val="006E16B8"/>
    <w:rsid w:val="006E7273"/>
    <w:rsid w:val="006F5403"/>
    <w:rsid w:val="007008CA"/>
    <w:rsid w:val="007037BE"/>
    <w:rsid w:val="007064F7"/>
    <w:rsid w:val="0070771C"/>
    <w:rsid w:val="00711405"/>
    <w:rsid w:val="00712AE3"/>
    <w:rsid w:val="00720D86"/>
    <w:rsid w:val="00721993"/>
    <w:rsid w:val="007228A6"/>
    <w:rsid w:val="00725442"/>
    <w:rsid w:val="007266D7"/>
    <w:rsid w:val="00730DF9"/>
    <w:rsid w:val="00732F23"/>
    <w:rsid w:val="00733DA3"/>
    <w:rsid w:val="00735320"/>
    <w:rsid w:val="00735D3A"/>
    <w:rsid w:val="0073715D"/>
    <w:rsid w:val="00751A25"/>
    <w:rsid w:val="00752FBE"/>
    <w:rsid w:val="007535F1"/>
    <w:rsid w:val="007567E6"/>
    <w:rsid w:val="00757E1D"/>
    <w:rsid w:val="00760660"/>
    <w:rsid w:val="007649FF"/>
    <w:rsid w:val="00765F06"/>
    <w:rsid w:val="00766E60"/>
    <w:rsid w:val="00771053"/>
    <w:rsid w:val="0077272D"/>
    <w:rsid w:val="007743C1"/>
    <w:rsid w:val="0077567F"/>
    <w:rsid w:val="00794079"/>
    <w:rsid w:val="00795E76"/>
    <w:rsid w:val="007A110E"/>
    <w:rsid w:val="007A6B0B"/>
    <w:rsid w:val="007B2746"/>
    <w:rsid w:val="007B2A5B"/>
    <w:rsid w:val="007B4527"/>
    <w:rsid w:val="007B6CC8"/>
    <w:rsid w:val="007C4623"/>
    <w:rsid w:val="007C4D59"/>
    <w:rsid w:val="007C6E5B"/>
    <w:rsid w:val="007D286B"/>
    <w:rsid w:val="007D2BF6"/>
    <w:rsid w:val="007D59E3"/>
    <w:rsid w:val="007D7BB4"/>
    <w:rsid w:val="007E2D3D"/>
    <w:rsid w:val="007E6DF6"/>
    <w:rsid w:val="007F004D"/>
    <w:rsid w:val="007F0C59"/>
    <w:rsid w:val="007F26CE"/>
    <w:rsid w:val="007F4ADC"/>
    <w:rsid w:val="007F4EFC"/>
    <w:rsid w:val="007F4F27"/>
    <w:rsid w:val="007F5857"/>
    <w:rsid w:val="007F7356"/>
    <w:rsid w:val="007F7545"/>
    <w:rsid w:val="00801D0B"/>
    <w:rsid w:val="008074C1"/>
    <w:rsid w:val="008104B8"/>
    <w:rsid w:val="008117B2"/>
    <w:rsid w:val="00812FCE"/>
    <w:rsid w:val="0081317D"/>
    <w:rsid w:val="0081577A"/>
    <w:rsid w:val="008204B1"/>
    <w:rsid w:val="008206F5"/>
    <w:rsid w:val="008231A0"/>
    <w:rsid w:val="00825681"/>
    <w:rsid w:val="008258B4"/>
    <w:rsid w:val="00826FD4"/>
    <w:rsid w:val="00827337"/>
    <w:rsid w:val="0083070E"/>
    <w:rsid w:val="00832578"/>
    <w:rsid w:val="008341F5"/>
    <w:rsid w:val="00835948"/>
    <w:rsid w:val="00836C82"/>
    <w:rsid w:val="00836CB5"/>
    <w:rsid w:val="00841084"/>
    <w:rsid w:val="008431F7"/>
    <w:rsid w:val="008452E7"/>
    <w:rsid w:val="00850307"/>
    <w:rsid w:val="00852B98"/>
    <w:rsid w:val="008612AD"/>
    <w:rsid w:val="00863F96"/>
    <w:rsid w:val="00866AF4"/>
    <w:rsid w:val="00867BB6"/>
    <w:rsid w:val="0087022D"/>
    <w:rsid w:val="00872C17"/>
    <w:rsid w:val="00875025"/>
    <w:rsid w:val="00876833"/>
    <w:rsid w:val="008772D0"/>
    <w:rsid w:val="00895BBA"/>
    <w:rsid w:val="008A0F6F"/>
    <w:rsid w:val="008A2734"/>
    <w:rsid w:val="008A572C"/>
    <w:rsid w:val="008B259D"/>
    <w:rsid w:val="008B4534"/>
    <w:rsid w:val="008C03E5"/>
    <w:rsid w:val="008C1D5F"/>
    <w:rsid w:val="008C24D2"/>
    <w:rsid w:val="008C2E0E"/>
    <w:rsid w:val="008C504B"/>
    <w:rsid w:val="008C5DB5"/>
    <w:rsid w:val="008C6649"/>
    <w:rsid w:val="008D2F8F"/>
    <w:rsid w:val="008D573B"/>
    <w:rsid w:val="008D6688"/>
    <w:rsid w:val="008E3468"/>
    <w:rsid w:val="008E3F55"/>
    <w:rsid w:val="008F0125"/>
    <w:rsid w:val="008F04D0"/>
    <w:rsid w:val="008F0941"/>
    <w:rsid w:val="008F22C7"/>
    <w:rsid w:val="008F28C9"/>
    <w:rsid w:val="00902C87"/>
    <w:rsid w:val="00906C0A"/>
    <w:rsid w:val="00907B02"/>
    <w:rsid w:val="00910179"/>
    <w:rsid w:val="00911753"/>
    <w:rsid w:val="009130DC"/>
    <w:rsid w:val="0092397A"/>
    <w:rsid w:val="00923C4C"/>
    <w:rsid w:val="009324F1"/>
    <w:rsid w:val="0093330E"/>
    <w:rsid w:val="00937A76"/>
    <w:rsid w:val="00937C22"/>
    <w:rsid w:val="00945724"/>
    <w:rsid w:val="00946D37"/>
    <w:rsid w:val="00950D40"/>
    <w:rsid w:val="00952CAE"/>
    <w:rsid w:val="009549B7"/>
    <w:rsid w:val="00957197"/>
    <w:rsid w:val="009579AF"/>
    <w:rsid w:val="00970431"/>
    <w:rsid w:val="00972689"/>
    <w:rsid w:val="009749F8"/>
    <w:rsid w:val="00974B64"/>
    <w:rsid w:val="0098193A"/>
    <w:rsid w:val="009825C5"/>
    <w:rsid w:val="00984989"/>
    <w:rsid w:val="00985BDF"/>
    <w:rsid w:val="00986886"/>
    <w:rsid w:val="00997773"/>
    <w:rsid w:val="0099791D"/>
    <w:rsid w:val="00997DE5"/>
    <w:rsid w:val="009A1F9B"/>
    <w:rsid w:val="009A4A09"/>
    <w:rsid w:val="009B48CA"/>
    <w:rsid w:val="009B4BCC"/>
    <w:rsid w:val="009C05B8"/>
    <w:rsid w:val="009C3DAB"/>
    <w:rsid w:val="009C4A38"/>
    <w:rsid w:val="009C520B"/>
    <w:rsid w:val="009C5C6E"/>
    <w:rsid w:val="009C7817"/>
    <w:rsid w:val="009D1531"/>
    <w:rsid w:val="009D15EA"/>
    <w:rsid w:val="009E1353"/>
    <w:rsid w:val="009E28CC"/>
    <w:rsid w:val="009E61F0"/>
    <w:rsid w:val="009F51AE"/>
    <w:rsid w:val="00A002CB"/>
    <w:rsid w:val="00A01427"/>
    <w:rsid w:val="00A03F2F"/>
    <w:rsid w:val="00A04A94"/>
    <w:rsid w:val="00A04D36"/>
    <w:rsid w:val="00A0679B"/>
    <w:rsid w:val="00A073E0"/>
    <w:rsid w:val="00A1021C"/>
    <w:rsid w:val="00A120D7"/>
    <w:rsid w:val="00A13431"/>
    <w:rsid w:val="00A14B0E"/>
    <w:rsid w:val="00A15AB5"/>
    <w:rsid w:val="00A17454"/>
    <w:rsid w:val="00A231E1"/>
    <w:rsid w:val="00A23CAC"/>
    <w:rsid w:val="00A242DD"/>
    <w:rsid w:val="00A265F6"/>
    <w:rsid w:val="00A315FE"/>
    <w:rsid w:val="00A31AA4"/>
    <w:rsid w:val="00A3224D"/>
    <w:rsid w:val="00A3225D"/>
    <w:rsid w:val="00A362D7"/>
    <w:rsid w:val="00A409A9"/>
    <w:rsid w:val="00A43773"/>
    <w:rsid w:val="00A44330"/>
    <w:rsid w:val="00A4601E"/>
    <w:rsid w:val="00A46059"/>
    <w:rsid w:val="00A5122C"/>
    <w:rsid w:val="00A51488"/>
    <w:rsid w:val="00A53375"/>
    <w:rsid w:val="00A5563C"/>
    <w:rsid w:val="00A55A9E"/>
    <w:rsid w:val="00A57357"/>
    <w:rsid w:val="00A6347F"/>
    <w:rsid w:val="00A6524F"/>
    <w:rsid w:val="00A669E8"/>
    <w:rsid w:val="00A66C8E"/>
    <w:rsid w:val="00A702CF"/>
    <w:rsid w:val="00A71210"/>
    <w:rsid w:val="00A72D4E"/>
    <w:rsid w:val="00A80E6E"/>
    <w:rsid w:val="00A87AB2"/>
    <w:rsid w:val="00A92596"/>
    <w:rsid w:val="00A9347A"/>
    <w:rsid w:val="00A94159"/>
    <w:rsid w:val="00A976AC"/>
    <w:rsid w:val="00A9784B"/>
    <w:rsid w:val="00AA378C"/>
    <w:rsid w:val="00AA6874"/>
    <w:rsid w:val="00AA6D8E"/>
    <w:rsid w:val="00AB0ECB"/>
    <w:rsid w:val="00AB1371"/>
    <w:rsid w:val="00AB15FA"/>
    <w:rsid w:val="00AB71EB"/>
    <w:rsid w:val="00AC1FD1"/>
    <w:rsid w:val="00AC21A7"/>
    <w:rsid w:val="00AD6149"/>
    <w:rsid w:val="00AE0154"/>
    <w:rsid w:val="00AE1FC3"/>
    <w:rsid w:val="00AE5F1C"/>
    <w:rsid w:val="00AF1BA3"/>
    <w:rsid w:val="00AF2EC0"/>
    <w:rsid w:val="00AF41F0"/>
    <w:rsid w:val="00AF4312"/>
    <w:rsid w:val="00B00181"/>
    <w:rsid w:val="00B0089B"/>
    <w:rsid w:val="00B017E3"/>
    <w:rsid w:val="00B02937"/>
    <w:rsid w:val="00B0459A"/>
    <w:rsid w:val="00B0492A"/>
    <w:rsid w:val="00B11A9B"/>
    <w:rsid w:val="00B1216C"/>
    <w:rsid w:val="00B157B9"/>
    <w:rsid w:val="00B17281"/>
    <w:rsid w:val="00B202F2"/>
    <w:rsid w:val="00B20CFD"/>
    <w:rsid w:val="00B2151A"/>
    <w:rsid w:val="00B250C7"/>
    <w:rsid w:val="00B27DEB"/>
    <w:rsid w:val="00B32F73"/>
    <w:rsid w:val="00B36F01"/>
    <w:rsid w:val="00B3717A"/>
    <w:rsid w:val="00B378DE"/>
    <w:rsid w:val="00B41620"/>
    <w:rsid w:val="00B417C7"/>
    <w:rsid w:val="00B44737"/>
    <w:rsid w:val="00B45A6E"/>
    <w:rsid w:val="00B47B7C"/>
    <w:rsid w:val="00B51D73"/>
    <w:rsid w:val="00B52FD3"/>
    <w:rsid w:val="00B66382"/>
    <w:rsid w:val="00B67C77"/>
    <w:rsid w:val="00B83902"/>
    <w:rsid w:val="00B9132D"/>
    <w:rsid w:val="00B916CE"/>
    <w:rsid w:val="00B91C15"/>
    <w:rsid w:val="00B93665"/>
    <w:rsid w:val="00B94ECD"/>
    <w:rsid w:val="00B9502B"/>
    <w:rsid w:val="00B97114"/>
    <w:rsid w:val="00BA0713"/>
    <w:rsid w:val="00BA0D23"/>
    <w:rsid w:val="00BA11E2"/>
    <w:rsid w:val="00BA4973"/>
    <w:rsid w:val="00BA55A5"/>
    <w:rsid w:val="00BA7269"/>
    <w:rsid w:val="00BB35C3"/>
    <w:rsid w:val="00BD1A88"/>
    <w:rsid w:val="00BD4378"/>
    <w:rsid w:val="00BD46AE"/>
    <w:rsid w:val="00BD4C60"/>
    <w:rsid w:val="00BE26EE"/>
    <w:rsid w:val="00BE29B9"/>
    <w:rsid w:val="00BE43AF"/>
    <w:rsid w:val="00BE576D"/>
    <w:rsid w:val="00BE5F4C"/>
    <w:rsid w:val="00BF1010"/>
    <w:rsid w:val="00BF17E6"/>
    <w:rsid w:val="00BF1800"/>
    <w:rsid w:val="00BF4A94"/>
    <w:rsid w:val="00BF6AD2"/>
    <w:rsid w:val="00C00866"/>
    <w:rsid w:val="00C01F8D"/>
    <w:rsid w:val="00C057ED"/>
    <w:rsid w:val="00C05A0F"/>
    <w:rsid w:val="00C07C26"/>
    <w:rsid w:val="00C12613"/>
    <w:rsid w:val="00C14DB2"/>
    <w:rsid w:val="00C16EAC"/>
    <w:rsid w:val="00C20C5F"/>
    <w:rsid w:val="00C37606"/>
    <w:rsid w:val="00C37878"/>
    <w:rsid w:val="00C41424"/>
    <w:rsid w:val="00C419E7"/>
    <w:rsid w:val="00C41A8D"/>
    <w:rsid w:val="00C42969"/>
    <w:rsid w:val="00C45965"/>
    <w:rsid w:val="00C47A3A"/>
    <w:rsid w:val="00C503D3"/>
    <w:rsid w:val="00C53C4E"/>
    <w:rsid w:val="00C541BC"/>
    <w:rsid w:val="00C61882"/>
    <w:rsid w:val="00C624CF"/>
    <w:rsid w:val="00C632C4"/>
    <w:rsid w:val="00C672D4"/>
    <w:rsid w:val="00C717E1"/>
    <w:rsid w:val="00C7389F"/>
    <w:rsid w:val="00C8080C"/>
    <w:rsid w:val="00C82B44"/>
    <w:rsid w:val="00C83201"/>
    <w:rsid w:val="00C86C2A"/>
    <w:rsid w:val="00C870B2"/>
    <w:rsid w:val="00C91544"/>
    <w:rsid w:val="00C91D61"/>
    <w:rsid w:val="00C94A44"/>
    <w:rsid w:val="00C953D8"/>
    <w:rsid w:val="00C962A1"/>
    <w:rsid w:val="00C96924"/>
    <w:rsid w:val="00C96DE3"/>
    <w:rsid w:val="00CA1BDB"/>
    <w:rsid w:val="00CA2D75"/>
    <w:rsid w:val="00CA3EE0"/>
    <w:rsid w:val="00CA47D1"/>
    <w:rsid w:val="00CA4C51"/>
    <w:rsid w:val="00CA6339"/>
    <w:rsid w:val="00CB1291"/>
    <w:rsid w:val="00CB2655"/>
    <w:rsid w:val="00CB7FEF"/>
    <w:rsid w:val="00CC09DC"/>
    <w:rsid w:val="00CC363E"/>
    <w:rsid w:val="00CC3B58"/>
    <w:rsid w:val="00CC5B88"/>
    <w:rsid w:val="00CC76D2"/>
    <w:rsid w:val="00CD1349"/>
    <w:rsid w:val="00CD1870"/>
    <w:rsid w:val="00CD19C6"/>
    <w:rsid w:val="00CD7DBE"/>
    <w:rsid w:val="00CF06FA"/>
    <w:rsid w:val="00CF26E9"/>
    <w:rsid w:val="00CF52AB"/>
    <w:rsid w:val="00CF530E"/>
    <w:rsid w:val="00CF535A"/>
    <w:rsid w:val="00CF63F8"/>
    <w:rsid w:val="00CF7697"/>
    <w:rsid w:val="00D00F8C"/>
    <w:rsid w:val="00D036EA"/>
    <w:rsid w:val="00D056E3"/>
    <w:rsid w:val="00D06A47"/>
    <w:rsid w:val="00D07110"/>
    <w:rsid w:val="00D101B9"/>
    <w:rsid w:val="00D13A4E"/>
    <w:rsid w:val="00D15ADC"/>
    <w:rsid w:val="00D164F5"/>
    <w:rsid w:val="00D20B9F"/>
    <w:rsid w:val="00D2412E"/>
    <w:rsid w:val="00D25273"/>
    <w:rsid w:val="00D27785"/>
    <w:rsid w:val="00D33CFD"/>
    <w:rsid w:val="00D37F93"/>
    <w:rsid w:val="00D404AF"/>
    <w:rsid w:val="00D45B2D"/>
    <w:rsid w:val="00D5225E"/>
    <w:rsid w:val="00D53649"/>
    <w:rsid w:val="00D6124D"/>
    <w:rsid w:val="00D618F7"/>
    <w:rsid w:val="00D61A97"/>
    <w:rsid w:val="00D61DD2"/>
    <w:rsid w:val="00D63EED"/>
    <w:rsid w:val="00D6409D"/>
    <w:rsid w:val="00D64CC8"/>
    <w:rsid w:val="00D66AA1"/>
    <w:rsid w:val="00D70B7E"/>
    <w:rsid w:val="00D8108E"/>
    <w:rsid w:val="00D81284"/>
    <w:rsid w:val="00D828E0"/>
    <w:rsid w:val="00D82B33"/>
    <w:rsid w:val="00D83DCC"/>
    <w:rsid w:val="00D85BAA"/>
    <w:rsid w:val="00D9121C"/>
    <w:rsid w:val="00D95805"/>
    <w:rsid w:val="00DA6A84"/>
    <w:rsid w:val="00DB1748"/>
    <w:rsid w:val="00DB246A"/>
    <w:rsid w:val="00DB4D44"/>
    <w:rsid w:val="00DB7372"/>
    <w:rsid w:val="00DC332F"/>
    <w:rsid w:val="00DC44E9"/>
    <w:rsid w:val="00DC4D03"/>
    <w:rsid w:val="00DD254C"/>
    <w:rsid w:val="00DD380A"/>
    <w:rsid w:val="00DE07A0"/>
    <w:rsid w:val="00DE3344"/>
    <w:rsid w:val="00DE3591"/>
    <w:rsid w:val="00DF31F9"/>
    <w:rsid w:val="00DF35CE"/>
    <w:rsid w:val="00DF3860"/>
    <w:rsid w:val="00DF587F"/>
    <w:rsid w:val="00DF70DB"/>
    <w:rsid w:val="00E01B54"/>
    <w:rsid w:val="00E055EA"/>
    <w:rsid w:val="00E06293"/>
    <w:rsid w:val="00E07EC6"/>
    <w:rsid w:val="00E109E9"/>
    <w:rsid w:val="00E15B72"/>
    <w:rsid w:val="00E21AA1"/>
    <w:rsid w:val="00E2282F"/>
    <w:rsid w:val="00E25462"/>
    <w:rsid w:val="00E27024"/>
    <w:rsid w:val="00E272C0"/>
    <w:rsid w:val="00E300F6"/>
    <w:rsid w:val="00E32982"/>
    <w:rsid w:val="00E335D1"/>
    <w:rsid w:val="00E34C2B"/>
    <w:rsid w:val="00E44C89"/>
    <w:rsid w:val="00E47DA8"/>
    <w:rsid w:val="00E53B85"/>
    <w:rsid w:val="00E603E0"/>
    <w:rsid w:val="00E62A8A"/>
    <w:rsid w:val="00E6495E"/>
    <w:rsid w:val="00E65BC4"/>
    <w:rsid w:val="00E6687D"/>
    <w:rsid w:val="00E6689D"/>
    <w:rsid w:val="00E66F67"/>
    <w:rsid w:val="00E67FB3"/>
    <w:rsid w:val="00E727A3"/>
    <w:rsid w:val="00E904D4"/>
    <w:rsid w:val="00E91283"/>
    <w:rsid w:val="00E91E0E"/>
    <w:rsid w:val="00E94D8E"/>
    <w:rsid w:val="00EA394D"/>
    <w:rsid w:val="00EA6FDA"/>
    <w:rsid w:val="00EB152D"/>
    <w:rsid w:val="00EB6542"/>
    <w:rsid w:val="00EC0D7B"/>
    <w:rsid w:val="00EC2DEF"/>
    <w:rsid w:val="00EC5CC3"/>
    <w:rsid w:val="00ED27A2"/>
    <w:rsid w:val="00ED3DEA"/>
    <w:rsid w:val="00EE02D2"/>
    <w:rsid w:val="00EE22CA"/>
    <w:rsid w:val="00EE32BD"/>
    <w:rsid w:val="00F00F21"/>
    <w:rsid w:val="00F01978"/>
    <w:rsid w:val="00F072BF"/>
    <w:rsid w:val="00F12DEA"/>
    <w:rsid w:val="00F1390F"/>
    <w:rsid w:val="00F15157"/>
    <w:rsid w:val="00F15C62"/>
    <w:rsid w:val="00F17CE6"/>
    <w:rsid w:val="00F24369"/>
    <w:rsid w:val="00F31B47"/>
    <w:rsid w:val="00F31F08"/>
    <w:rsid w:val="00F32DA3"/>
    <w:rsid w:val="00F34BBD"/>
    <w:rsid w:val="00F3517E"/>
    <w:rsid w:val="00F35AAD"/>
    <w:rsid w:val="00F42F08"/>
    <w:rsid w:val="00F43B80"/>
    <w:rsid w:val="00F43EDE"/>
    <w:rsid w:val="00F460C2"/>
    <w:rsid w:val="00F52C35"/>
    <w:rsid w:val="00F53D18"/>
    <w:rsid w:val="00F56AE1"/>
    <w:rsid w:val="00F606D6"/>
    <w:rsid w:val="00F625D2"/>
    <w:rsid w:val="00F6474F"/>
    <w:rsid w:val="00F65ACF"/>
    <w:rsid w:val="00F66907"/>
    <w:rsid w:val="00F75337"/>
    <w:rsid w:val="00F81004"/>
    <w:rsid w:val="00F822C2"/>
    <w:rsid w:val="00F82E79"/>
    <w:rsid w:val="00F85F10"/>
    <w:rsid w:val="00F934A2"/>
    <w:rsid w:val="00F93D15"/>
    <w:rsid w:val="00F96442"/>
    <w:rsid w:val="00FA10F8"/>
    <w:rsid w:val="00FA1A3E"/>
    <w:rsid w:val="00FA1A8C"/>
    <w:rsid w:val="00FB2188"/>
    <w:rsid w:val="00FB7564"/>
    <w:rsid w:val="00FC04BF"/>
    <w:rsid w:val="00FC112E"/>
    <w:rsid w:val="00FC1160"/>
    <w:rsid w:val="00FC49F8"/>
    <w:rsid w:val="00FD05BE"/>
    <w:rsid w:val="00FD0F2E"/>
    <w:rsid w:val="00FD413E"/>
    <w:rsid w:val="00FD53C8"/>
    <w:rsid w:val="00FD55C2"/>
    <w:rsid w:val="00FE07A4"/>
    <w:rsid w:val="00FE1EDB"/>
    <w:rsid w:val="00FE28DE"/>
    <w:rsid w:val="00FE435A"/>
    <w:rsid w:val="00FE473C"/>
    <w:rsid w:val="00FF116E"/>
    <w:rsid w:val="00FF2B89"/>
    <w:rsid w:val="00FF4B3C"/>
    <w:rsid w:val="00FF4C7D"/>
    <w:rsid w:val="00FF4CFA"/>
    <w:rsid w:val="00FF54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08BE"/>
  <w15:chartTrackingRefBased/>
  <w15:docId w15:val="{32466D0F-6C50-E049-9242-C6919C03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650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12FC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7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8484D"/>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48484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8484D"/>
    <w:rPr>
      <w:color w:val="0000FF"/>
      <w:u w:val="single"/>
    </w:rPr>
  </w:style>
  <w:style w:type="character" w:styleId="FollowedHyperlink">
    <w:name w:val="FollowedHyperlink"/>
    <w:basedOn w:val="DefaultParagraphFont"/>
    <w:uiPriority w:val="99"/>
    <w:semiHidden/>
    <w:unhideWhenUsed/>
    <w:rsid w:val="0048484D"/>
    <w:rPr>
      <w:color w:val="800080"/>
      <w:u w:val="single"/>
    </w:rPr>
  </w:style>
  <w:style w:type="paragraph" w:styleId="FootnoteText">
    <w:name w:val="footnote text"/>
    <w:aliases w:val="fn,RSC_WP (footnotes),FSR footnote,Footnote,Fußnote,lábléc,Footnote Text Char Char,C26 Footnote body,Voetnoottekst Char,Voetnoottekst Char1 Char,Voetnoottekst Char Char Char,Footnote Char Char Char,Fußnote Char Char Char,ft"/>
    <w:basedOn w:val="Normal"/>
    <w:link w:val="FootnoteTextChar"/>
    <w:unhideWhenUsed/>
    <w:qFormat/>
    <w:rsid w:val="0048484D"/>
    <w:rPr>
      <w:sz w:val="20"/>
      <w:szCs w:val="20"/>
    </w:rPr>
  </w:style>
  <w:style w:type="character" w:customStyle="1" w:styleId="FootnoteTextChar">
    <w:name w:val="Footnote Text Char"/>
    <w:aliases w:val="fn Char,RSC_WP (footnotes) Char,FSR footnote Char,Footnote Char,Fußnote Char,lábléc Char,Footnote Text Char Char Char,C26 Footnote body Char,Voetnoottekst Char Char,Voetnoottekst Char1 Char Char,Voetnoottekst Char Char Char Char"/>
    <w:basedOn w:val="DefaultParagraphFont"/>
    <w:link w:val="FootnoteText"/>
    <w:qFormat/>
    <w:rsid w:val="0048484D"/>
    <w:rPr>
      <w:sz w:val="20"/>
      <w:szCs w:val="20"/>
    </w:rPr>
  </w:style>
  <w:style w:type="character" w:styleId="FootnoteReference">
    <w:name w:val="footnote reference"/>
    <w:aliases w:val="RSC_WP (footnote reference),Footnote Reference Number,Footnote Reference_LVL6,Footnote Reference_LVL61,Footnote Reference_LVL62,Footnote Reference_LVL63,Footnote Reference_LVL64,C26 Footnote Number,Footnote symbol,header 3,f"/>
    <w:basedOn w:val="DefaultParagraphFont"/>
    <w:link w:val="4GCharCharChar"/>
    <w:unhideWhenUsed/>
    <w:qFormat/>
    <w:rsid w:val="0048484D"/>
    <w:rPr>
      <w:vertAlign w:val="superscript"/>
    </w:rPr>
  </w:style>
  <w:style w:type="character" w:styleId="CommentReference">
    <w:name w:val="annotation reference"/>
    <w:basedOn w:val="DefaultParagraphFont"/>
    <w:uiPriority w:val="99"/>
    <w:semiHidden/>
    <w:unhideWhenUsed/>
    <w:rsid w:val="00680588"/>
    <w:rPr>
      <w:sz w:val="16"/>
      <w:szCs w:val="16"/>
    </w:rPr>
  </w:style>
  <w:style w:type="paragraph" w:styleId="CommentText">
    <w:name w:val="annotation text"/>
    <w:basedOn w:val="Normal"/>
    <w:link w:val="CommentTextChar"/>
    <w:uiPriority w:val="99"/>
    <w:unhideWhenUsed/>
    <w:rsid w:val="00680588"/>
    <w:rPr>
      <w:sz w:val="20"/>
      <w:szCs w:val="20"/>
    </w:rPr>
  </w:style>
  <w:style w:type="character" w:customStyle="1" w:styleId="CommentTextChar">
    <w:name w:val="Comment Text Char"/>
    <w:basedOn w:val="DefaultParagraphFont"/>
    <w:link w:val="CommentText"/>
    <w:uiPriority w:val="99"/>
    <w:rsid w:val="00680588"/>
    <w:rPr>
      <w:sz w:val="20"/>
      <w:szCs w:val="20"/>
    </w:rPr>
  </w:style>
  <w:style w:type="paragraph" w:styleId="CommentSubject">
    <w:name w:val="annotation subject"/>
    <w:basedOn w:val="CommentText"/>
    <w:next w:val="CommentText"/>
    <w:link w:val="CommentSubjectChar"/>
    <w:uiPriority w:val="99"/>
    <w:semiHidden/>
    <w:unhideWhenUsed/>
    <w:rsid w:val="00680588"/>
    <w:rPr>
      <w:b/>
      <w:bCs/>
    </w:rPr>
  </w:style>
  <w:style w:type="character" w:customStyle="1" w:styleId="CommentSubjectChar">
    <w:name w:val="Comment Subject Char"/>
    <w:basedOn w:val="CommentTextChar"/>
    <w:link w:val="CommentSubject"/>
    <w:uiPriority w:val="99"/>
    <w:semiHidden/>
    <w:rsid w:val="00680588"/>
    <w:rPr>
      <w:b/>
      <w:bCs/>
      <w:sz w:val="20"/>
      <w:szCs w:val="20"/>
    </w:rPr>
  </w:style>
  <w:style w:type="character" w:styleId="Emphasis">
    <w:name w:val="Emphasis"/>
    <w:uiPriority w:val="20"/>
    <w:qFormat/>
    <w:rsid w:val="003212AA"/>
    <w:rPr>
      <w:i/>
      <w:iCs/>
    </w:rPr>
  </w:style>
  <w:style w:type="character" w:customStyle="1" w:styleId="apple-converted-space">
    <w:name w:val="apple-converted-space"/>
    <w:basedOn w:val="DefaultParagraphFont"/>
    <w:rsid w:val="001C7035"/>
  </w:style>
  <w:style w:type="character" w:customStyle="1" w:styleId="editsection">
    <w:name w:val="editsection"/>
    <w:basedOn w:val="DefaultParagraphFont"/>
    <w:rsid w:val="009B4BCC"/>
  </w:style>
  <w:style w:type="character" w:customStyle="1" w:styleId="mw-headline">
    <w:name w:val="mw-headline"/>
    <w:basedOn w:val="DefaultParagraphFont"/>
    <w:rsid w:val="009B4BCC"/>
  </w:style>
  <w:style w:type="paragraph" w:styleId="ListParagraph">
    <w:name w:val="List Paragraph"/>
    <w:basedOn w:val="Normal"/>
    <w:uiPriority w:val="34"/>
    <w:qFormat/>
    <w:rsid w:val="0039505D"/>
    <w:pPr>
      <w:ind w:left="720"/>
      <w:contextualSpacing/>
    </w:pPr>
  </w:style>
  <w:style w:type="paragraph" w:customStyle="1" w:styleId="Default">
    <w:name w:val="Default"/>
    <w:rsid w:val="00D101B9"/>
    <w:pPr>
      <w:autoSpaceDE w:val="0"/>
      <w:autoSpaceDN w:val="0"/>
      <w:adjustRightInd w:val="0"/>
    </w:pPr>
    <w:rPr>
      <w:rFonts w:ascii="Calibri" w:hAnsi="Calibri" w:cs="Calibri"/>
      <w:color w:val="000000"/>
    </w:rPr>
  </w:style>
  <w:style w:type="paragraph" w:customStyle="1" w:styleId="RefOther">
    <w:name w:val="RefOther"/>
    <w:basedOn w:val="Normal"/>
    <w:qFormat/>
    <w:rsid w:val="00D101B9"/>
    <w:pPr>
      <w:spacing w:line="480" w:lineRule="atLeast"/>
      <w:ind w:left="720" w:hanging="720"/>
    </w:pPr>
    <w:rPr>
      <w:rFonts w:ascii="Times New Roman" w:eastAsia="Times New Roman" w:hAnsi="Times New Roman" w:cs="Times New Roman"/>
      <w:color w:val="5F497A"/>
      <w:szCs w:val="20"/>
      <w:lang w:val="en-US"/>
    </w:rPr>
  </w:style>
  <w:style w:type="paragraph" w:customStyle="1" w:styleId="RefJournal">
    <w:name w:val="RefJournal"/>
    <w:basedOn w:val="Normal"/>
    <w:next w:val="Normal"/>
    <w:qFormat/>
    <w:rsid w:val="00C41A8D"/>
    <w:pPr>
      <w:spacing w:line="480" w:lineRule="atLeast"/>
      <w:ind w:left="720" w:hanging="720"/>
    </w:pPr>
    <w:rPr>
      <w:rFonts w:ascii="Times New Roman" w:eastAsia="Times New Roman" w:hAnsi="Times New Roman" w:cs="Times New Roman"/>
      <w:color w:val="548DD4"/>
      <w:szCs w:val="20"/>
      <w:lang w:val="en-US"/>
    </w:rPr>
  </w:style>
  <w:style w:type="character" w:styleId="UnresolvedMention">
    <w:name w:val="Unresolved Mention"/>
    <w:basedOn w:val="DefaultParagraphFont"/>
    <w:uiPriority w:val="99"/>
    <w:semiHidden/>
    <w:unhideWhenUsed/>
    <w:rsid w:val="00986886"/>
    <w:rPr>
      <w:color w:val="605E5C"/>
      <w:shd w:val="clear" w:color="auto" w:fill="E1DFDD"/>
    </w:rPr>
  </w:style>
  <w:style w:type="paragraph" w:customStyle="1" w:styleId="RefBook">
    <w:name w:val="RefBook"/>
    <w:basedOn w:val="RefOther"/>
    <w:qFormat/>
    <w:rsid w:val="00C96DE3"/>
    <w:rPr>
      <w:color w:val="E36C0A"/>
    </w:rPr>
  </w:style>
  <w:style w:type="paragraph" w:customStyle="1" w:styleId="FootnoteText1">
    <w:name w:val="Footnote Text1"/>
    <w:rsid w:val="00EC2DEF"/>
    <w:rPr>
      <w:rFonts w:ascii="Helvetica" w:eastAsia="ヒラギノ角ゴ Pro W3" w:hAnsi="Helvetica" w:cs="Times New Roman"/>
      <w:color w:val="000000"/>
      <w:sz w:val="20"/>
      <w:szCs w:val="20"/>
      <w:lang w:val="en-US"/>
    </w:rPr>
  </w:style>
  <w:style w:type="character" w:customStyle="1" w:styleId="Heading1Char">
    <w:name w:val="Heading 1 Char"/>
    <w:basedOn w:val="DefaultParagraphFont"/>
    <w:link w:val="Heading1"/>
    <w:uiPriority w:val="9"/>
    <w:rsid w:val="0046650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A2756"/>
    <w:rPr>
      <w:rFonts w:asciiTheme="majorHAnsi" w:eastAsiaTheme="majorEastAsia" w:hAnsiTheme="majorHAnsi" w:cstheme="majorBidi"/>
      <w:color w:val="1F3763" w:themeColor="accent1" w:themeShade="7F"/>
    </w:rPr>
  </w:style>
  <w:style w:type="paragraph" w:customStyle="1" w:styleId="c02alineaalta">
    <w:name w:val="c02alineaalta"/>
    <w:basedOn w:val="Normal"/>
    <w:rsid w:val="00E07EC6"/>
    <w:pPr>
      <w:spacing w:before="100" w:beforeAutospacing="1" w:after="100" w:afterAutospacing="1"/>
    </w:pPr>
    <w:rPr>
      <w:rFonts w:ascii="Times New Roman" w:eastAsia="Times New Roman" w:hAnsi="Times New Roman" w:cs="Times New Roman"/>
      <w:lang w:eastAsia="en-GB"/>
    </w:rPr>
  </w:style>
  <w:style w:type="character" w:customStyle="1" w:styleId="None">
    <w:name w:val="None"/>
    <w:rsid w:val="00011808"/>
  </w:style>
  <w:style w:type="character" w:customStyle="1" w:styleId="Hyperlink0">
    <w:name w:val="Hyperlink.0"/>
    <w:rsid w:val="00011808"/>
    <w:rPr>
      <w:color w:val="0000FF"/>
      <w:u w:val="single" w:color="0000FF"/>
      <w:lang w:val="en-US"/>
    </w:rPr>
  </w:style>
  <w:style w:type="character" w:customStyle="1" w:styleId="Hyperlink1">
    <w:name w:val="Hyperlink.1"/>
    <w:rsid w:val="00011808"/>
    <w:rPr>
      <w:rFonts w:ascii="Times New Roman" w:eastAsia="Times New Roman" w:hAnsi="Times New Roman" w:cs="Times New Roman"/>
      <w:color w:val="000000"/>
      <w:u w:val="single" w:color="000000"/>
      <w14:textOutline w14:w="0" w14:cap="rnd" w14:cmpd="sng" w14:algn="ctr">
        <w14:noFill/>
        <w14:prstDash w14:val="solid"/>
        <w14:bevel/>
      </w14:textOutline>
    </w:rPr>
  </w:style>
  <w:style w:type="character" w:customStyle="1" w:styleId="Hyperlink10">
    <w:name w:val="Hyperlink.10"/>
    <w:rsid w:val="00011808"/>
    <w:rPr>
      <w:rFonts w:ascii="Times New Roman" w:eastAsia="Times New Roman" w:hAnsi="Times New Roman" w:cs="Times New Roman"/>
      <w:color w:val="000000"/>
      <w:u w:val="single" w:color="000000"/>
      <w:lang w:val="fr-FR"/>
      <w14:textOutline w14:w="0" w14:cap="rnd" w14:cmpd="sng" w14:algn="ctr">
        <w14:noFill/>
        <w14:prstDash w14:val="solid"/>
        <w14:bevel/>
      </w14:textOutline>
    </w:rPr>
  </w:style>
  <w:style w:type="character" w:customStyle="1" w:styleId="A8">
    <w:name w:val="A8"/>
    <w:uiPriority w:val="99"/>
    <w:rsid w:val="005D7F3E"/>
    <w:rPr>
      <w:rFonts w:cs="Baskerville"/>
      <w:color w:val="000000"/>
      <w:sz w:val="21"/>
      <w:szCs w:val="21"/>
    </w:rPr>
  </w:style>
  <w:style w:type="paragraph" w:styleId="Revision">
    <w:name w:val="Revision"/>
    <w:hidden/>
    <w:uiPriority w:val="99"/>
    <w:semiHidden/>
    <w:rsid w:val="0050043E"/>
  </w:style>
  <w:style w:type="character" w:customStyle="1" w:styleId="A10">
    <w:name w:val="A10"/>
    <w:uiPriority w:val="99"/>
    <w:rsid w:val="0050043E"/>
    <w:rPr>
      <w:rFonts w:cs="Baskerville"/>
      <w:color w:val="000000"/>
      <w:sz w:val="12"/>
      <w:szCs w:val="12"/>
    </w:rPr>
  </w:style>
  <w:style w:type="character" w:customStyle="1" w:styleId="Heading2Char">
    <w:name w:val="Heading 2 Char"/>
    <w:basedOn w:val="DefaultParagraphFont"/>
    <w:link w:val="Heading2"/>
    <w:uiPriority w:val="9"/>
    <w:rsid w:val="00812FCE"/>
    <w:rPr>
      <w:rFonts w:asciiTheme="majorHAnsi" w:eastAsiaTheme="majorEastAsia" w:hAnsiTheme="majorHAnsi" w:cstheme="majorBidi"/>
      <w:color w:val="2F5496" w:themeColor="accent1" w:themeShade="BF"/>
      <w:sz w:val="26"/>
      <w:szCs w:val="26"/>
    </w:rPr>
  </w:style>
  <w:style w:type="paragraph" w:customStyle="1" w:styleId="pf0">
    <w:name w:val="pf0"/>
    <w:basedOn w:val="Normal"/>
    <w:rsid w:val="00422287"/>
    <w:pPr>
      <w:spacing w:before="100" w:beforeAutospacing="1" w:after="100" w:afterAutospacing="1"/>
    </w:pPr>
    <w:rPr>
      <w:rFonts w:ascii="Times New Roman" w:eastAsia="Times New Roman" w:hAnsi="Times New Roman" w:cs="Times New Roman"/>
      <w:lang w:val="it-IT" w:eastAsia="it-IT"/>
    </w:rPr>
  </w:style>
  <w:style w:type="character" w:customStyle="1" w:styleId="cf01">
    <w:name w:val="cf01"/>
    <w:basedOn w:val="DefaultParagraphFont"/>
    <w:rsid w:val="00422287"/>
    <w:rPr>
      <w:rFonts w:ascii="Segoe UI" w:hAnsi="Segoe UI" w:cs="Segoe UI" w:hint="default"/>
      <w:sz w:val="18"/>
      <w:szCs w:val="18"/>
    </w:rPr>
  </w:style>
  <w:style w:type="character" w:customStyle="1" w:styleId="Collegamentoipertestuale1">
    <w:name w:val="Collegamento ipertestuale1"/>
    <w:basedOn w:val="DefaultParagraphFont"/>
    <w:uiPriority w:val="99"/>
    <w:unhideWhenUsed/>
    <w:rsid w:val="00997DE5"/>
    <w:rPr>
      <w:color w:val="0000FF"/>
      <w:u w:val="single"/>
    </w:rPr>
  </w:style>
  <w:style w:type="paragraph" w:customStyle="1" w:styleId="Allmrkusetekst1">
    <w:name w:val="Allmärkuse tekst1"/>
    <w:basedOn w:val="Normal"/>
    <w:next w:val="FootnoteText"/>
    <w:unhideWhenUsed/>
    <w:qFormat/>
    <w:rsid w:val="00997DE5"/>
    <w:rPr>
      <w:rFonts w:ascii="Cambria" w:eastAsia="Times New Roman" w:hAnsi="Cambria" w:cs="Times New Roman"/>
      <w:sz w:val="20"/>
      <w:szCs w:val="20"/>
      <w:lang w:val="it-IT" w:eastAsia="zh-TW"/>
    </w:rPr>
  </w:style>
  <w:style w:type="paragraph" w:styleId="Header">
    <w:name w:val="header"/>
    <w:basedOn w:val="Normal"/>
    <w:link w:val="HeaderChar"/>
    <w:uiPriority w:val="99"/>
    <w:unhideWhenUsed/>
    <w:rsid w:val="00316534"/>
    <w:pPr>
      <w:tabs>
        <w:tab w:val="center" w:pos="4819"/>
        <w:tab w:val="right" w:pos="9638"/>
      </w:tabs>
    </w:pPr>
  </w:style>
  <w:style w:type="character" w:customStyle="1" w:styleId="HeaderChar">
    <w:name w:val="Header Char"/>
    <w:basedOn w:val="DefaultParagraphFont"/>
    <w:link w:val="Header"/>
    <w:uiPriority w:val="99"/>
    <w:rsid w:val="00316534"/>
  </w:style>
  <w:style w:type="paragraph" w:styleId="Footer">
    <w:name w:val="footer"/>
    <w:basedOn w:val="Normal"/>
    <w:link w:val="FooterChar"/>
    <w:uiPriority w:val="99"/>
    <w:unhideWhenUsed/>
    <w:rsid w:val="00316534"/>
    <w:pPr>
      <w:tabs>
        <w:tab w:val="center" w:pos="4819"/>
        <w:tab w:val="right" w:pos="9638"/>
      </w:tabs>
    </w:pPr>
  </w:style>
  <w:style w:type="character" w:customStyle="1" w:styleId="FooterChar">
    <w:name w:val="Footer Char"/>
    <w:basedOn w:val="DefaultParagraphFont"/>
    <w:link w:val="Footer"/>
    <w:uiPriority w:val="99"/>
    <w:rsid w:val="00316534"/>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CC5B88"/>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ED27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27A2"/>
    <w:rPr>
      <w:rFonts w:ascii="Times New Roman" w:hAnsi="Times New Roman" w:cs="Times New Roman"/>
      <w:sz w:val="18"/>
      <w:szCs w:val="18"/>
    </w:rPr>
  </w:style>
  <w:style w:type="character" w:styleId="PageNumber">
    <w:name w:val="page number"/>
    <w:basedOn w:val="DefaultParagraphFont"/>
    <w:uiPriority w:val="99"/>
    <w:semiHidden/>
    <w:unhideWhenUsed/>
    <w:rsid w:val="007F5857"/>
  </w:style>
  <w:style w:type="paragraph" w:customStyle="1" w:styleId="cfootnotetext">
    <w:name w:val="cfootnotetext"/>
    <w:basedOn w:val="Normal"/>
    <w:rsid w:val="00AE0154"/>
    <w:pPr>
      <w:spacing w:before="120" w:after="200" w:line="360" w:lineRule="auto"/>
      <w:ind w:left="1106" w:hanging="539"/>
    </w:pPr>
    <w:rPr>
      <w:rFonts w:ascii="Times New Roman" w:eastAsia="Times New Roman" w:hAnsi="Times New Roman" w:cs="Times New Roman"/>
      <w:szCs w:val="20"/>
      <w:lang w:eastAsia="en-GB"/>
    </w:rPr>
  </w:style>
  <w:style w:type="character" w:customStyle="1" w:styleId="delimiter">
    <w:name w:val="delimiter"/>
    <w:basedOn w:val="DefaultParagraphFont"/>
    <w:rsid w:val="00F606D6"/>
  </w:style>
  <w:style w:type="paragraph" w:customStyle="1" w:styleId="Footnotes">
    <w:name w:val="Footnotes"/>
    <w:basedOn w:val="Normal"/>
    <w:link w:val="FootnotesChar"/>
    <w:qFormat/>
    <w:rsid w:val="005E0A6E"/>
    <w:pPr>
      <w:ind w:firstLine="360"/>
    </w:pPr>
    <w:rPr>
      <w:rFonts w:ascii="Garamond" w:eastAsia="Times New Roman" w:hAnsi="Garamond" w:cstheme="majorHAnsi"/>
      <w:color w:val="000000" w:themeColor="text1"/>
      <w:sz w:val="17"/>
      <w:szCs w:val="17"/>
      <w:lang w:eastAsia="en-GB"/>
    </w:rPr>
  </w:style>
  <w:style w:type="character" w:customStyle="1" w:styleId="FootnotesChar">
    <w:name w:val="Footnotes Char"/>
    <w:basedOn w:val="DefaultParagraphFont"/>
    <w:link w:val="Footnotes"/>
    <w:rsid w:val="005E0A6E"/>
    <w:rPr>
      <w:rFonts w:ascii="Garamond" w:eastAsia="Times New Roman" w:hAnsi="Garamond" w:cstheme="majorHAnsi"/>
      <w:color w:val="000000" w:themeColor="text1"/>
      <w:sz w:val="17"/>
      <w:szCs w:val="17"/>
      <w:lang w:eastAsia="en-GB"/>
    </w:rPr>
  </w:style>
  <w:style w:type="paragraph" w:styleId="EndnoteText">
    <w:name w:val="endnote text"/>
    <w:basedOn w:val="Normal"/>
    <w:link w:val="EndnoteTextChar"/>
    <w:uiPriority w:val="99"/>
    <w:unhideWhenUsed/>
    <w:rsid w:val="00366B70"/>
    <w:rPr>
      <w:kern w:val="2"/>
      <w:sz w:val="20"/>
      <w:szCs w:val="20"/>
      <w:lang w:val="it-IT"/>
      <w14:ligatures w14:val="standardContextual"/>
    </w:rPr>
  </w:style>
  <w:style w:type="character" w:customStyle="1" w:styleId="EndnoteTextChar">
    <w:name w:val="Endnote Text Char"/>
    <w:basedOn w:val="DefaultParagraphFont"/>
    <w:link w:val="EndnoteText"/>
    <w:uiPriority w:val="99"/>
    <w:rsid w:val="00366B70"/>
    <w:rPr>
      <w:kern w:val="2"/>
      <w:sz w:val="20"/>
      <w:szCs w:val="20"/>
      <w:lang w:val="it-IT"/>
      <w14:ligatures w14:val="standardContextual"/>
    </w:rPr>
  </w:style>
  <w:style w:type="character" w:styleId="EndnoteReference">
    <w:name w:val="endnote reference"/>
    <w:basedOn w:val="DefaultParagraphFont"/>
    <w:uiPriority w:val="99"/>
    <w:semiHidden/>
    <w:unhideWhenUsed/>
    <w:rsid w:val="00366B70"/>
    <w:rPr>
      <w:vertAlign w:val="superscript"/>
    </w:rPr>
  </w:style>
  <w:style w:type="paragraph" w:customStyle="1" w:styleId="BodyTextFormat">
    <w:name w:val="Body Text Format"/>
    <w:basedOn w:val="Normal"/>
    <w:qFormat/>
    <w:rsid w:val="00366B70"/>
    <w:pPr>
      <w:adjustRightInd w:val="0"/>
      <w:ind w:firstLine="360"/>
      <w:jc w:val="both"/>
    </w:pPr>
    <w:rPr>
      <w:rFonts w:ascii="Garamond" w:eastAsia="Times New Roman" w:hAnsi="Garamond" w:cstheme="majorHAnsi"/>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8949">
      <w:bodyDiv w:val="1"/>
      <w:marLeft w:val="0"/>
      <w:marRight w:val="0"/>
      <w:marTop w:val="0"/>
      <w:marBottom w:val="0"/>
      <w:divBdr>
        <w:top w:val="none" w:sz="0" w:space="0" w:color="auto"/>
        <w:left w:val="none" w:sz="0" w:space="0" w:color="auto"/>
        <w:bottom w:val="none" w:sz="0" w:space="0" w:color="auto"/>
        <w:right w:val="none" w:sz="0" w:space="0" w:color="auto"/>
      </w:divBdr>
      <w:divsChild>
        <w:div w:id="467552198">
          <w:marLeft w:val="0"/>
          <w:marRight w:val="0"/>
          <w:marTop w:val="0"/>
          <w:marBottom w:val="0"/>
          <w:divBdr>
            <w:top w:val="none" w:sz="0" w:space="0" w:color="auto"/>
            <w:left w:val="none" w:sz="0" w:space="0" w:color="auto"/>
            <w:bottom w:val="none" w:sz="0" w:space="0" w:color="auto"/>
            <w:right w:val="none" w:sz="0" w:space="0" w:color="auto"/>
          </w:divBdr>
          <w:divsChild>
            <w:div w:id="1274365761">
              <w:marLeft w:val="0"/>
              <w:marRight w:val="0"/>
              <w:marTop w:val="0"/>
              <w:marBottom w:val="0"/>
              <w:divBdr>
                <w:top w:val="none" w:sz="0" w:space="0" w:color="auto"/>
                <w:left w:val="none" w:sz="0" w:space="0" w:color="auto"/>
                <w:bottom w:val="none" w:sz="0" w:space="0" w:color="auto"/>
                <w:right w:val="none" w:sz="0" w:space="0" w:color="auto"/>
              </w:divBdr>
              <w:divsChild>
                <w:div w:id="12944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1403">
      <w:bodyDiv w:val="1"/>
      <w:marLeft w:val="0"/>
      <w:marRight w:val="0"/>
      <w:marTop w:val="0"/>
      <w:marBottom w:val="0"/>
      <w:divBdr>
        <w:top w:val="none" w:sz="0" w:space="0" w:color="auto"/>
        <w:left w:val="none" w:sz="0" w:space="0" w:color="auto"/>
        <w:bottom w:val="none" w:sz="0" w:space="0" w:color="auto"/>
        <w:right w:val="none" w:sz="0" w:space="0" w:color="auto"/>
      </w:divBdr>
      <w:divsChild>
        <w:div w:id="1522009312">
          <w:marLeft w:val="0"/>
          <w:marRight w:val="0"/>
          <w:marTop w:val="0"/>
          <w:marBottom w:val="0"/>
          <w:divBdr>
            <w:top w:val="none" w:sz="0" w:space="0" w:color="auto"/>
            <w:left w:val="none" w:sz="0" w:space="0" w:color="auto"/>
            <w:bottom w:val="none" w:sz="0" w:space="0" w:color="auto"/>
            <w:right w:val="none" w:sz="0" w:space="0" w:color="auto"/>
          </w:divBdr>
          <w:divsChild>
            <w:div w:id="2126460951">
              <w:marLeft w:val="0"/>
              <w:marRight w:val="0"/>
              <w:marTop w:val="0"/>
              <w:marBottom w:val="0"/>
              <w:divBdr>
                <w:top w:val="none" w:sz="0" w:space="0" w:color="auto"/>
                <w:left w:val="none" w:sz="0" w:space="0" w:color="auto"/>
                <w:bottom w:val="none" w:sz="0" w:space="0" w:color="auto"/>
                <w:right w:val="none" w:sz="0" w:space="0" w:color="auto"/>
              </w:divBdr>
              <w:divsChild>
                <w:div w:id="5368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13267">
      <w:bodyDiv w:val="1"/>
      <w:marLeft w:val="0"/>
      <w:marRight w:val="0"/>
      <w:marTop w:val="0"/>
      <w:marBottom w:val="0"/>
      <w:divBdr>
        <w:top w:val="none" w:sz="0" w:space="0" w:color="auto"/>
        <w:left w:val="none" w:sz="0" w:space="0" w:color="auto"/>
        <w:bottom w:val="none" w:sz="0" w:space="0" w:color="auto"/>
        <w:right w:val="none" w:sz="0" w:space="0" w:color="auto"/>
      </w:divBdr>
      <w:divsChild>
        <w:div w:id="1863477166">
          <w:marLeft w:val="0"/>
          <w:marRight w:val="0"/>
          <w:marTop w:val="0"/>
          <w:marBottom w:val="0"/>
          <w:divBdr>
            <w:top w:val="none" w:sz="0" w:space="0" w:color="auto"/>
            <w:left w:val="none" w:sz="0" w:space="0" w:color="auto"/>
            <w:bottom w:val="none" w:sz="0" w:space="0" w:color="auto"/>
            <w:right w:val="none" w:sz="0" w:space="0" w:color="auto"/>
          </w:divBdr>
          <w:divsChild>
            <w:div w:id="1241672934">
              <w:marLeft w:val="0"/>
              <w:marRight w:val="0"/>
              <w:marTop w:val="0"/>
              <w:marBottom w:val="0"/>
              <w:divBdr>
                <w:top w:val="none" w:sz="0" w:space="0" w:color="auto"/>
                <w:left w:val="none" w:sz="0" w:space="0" w:color="auto"/>
                <w:bottom w:val="none" w:sz="0" w:space="0" w:color="auto"/>
                <w:right w:val="none" w:sz="0" w:space="0" w:color="auto"/>
              </w:divBdr>
              <w:divsChild>
                <w:div w:id="18152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0952">
      <w:bodyDiv w:val="1"/>
      <w:marLeft w:val="0"/>
      <w:marRight w:val="0"/>
      <w:marTop w:val="0"/>
      <w:marBottom w:val="0"/>
      <w:divBdr>
        <w:top w:val="none" w:sz="0" w:space="0" w:color="auto"/>
        <w:left w:val="none" w:sz="0" w:space="0" w:color="auto"/>
        <w:bottom w:val="none" w:sz="0" w:space="0" w:color="auto"/>
        <w:right w:val="none" w:sz="0" w:space="0" w:color="auto"/>
      </w:divBdr>
    </w:div>
    <w:div w:id="442841669">
      <w:bodyDiv w:val="1"/>
      <w:marLeft w:val="0"/>
      <w:marRight w:val="0"/>
      <w:marTop w:val="0"/>
      <w:marBottom w:val="0"/>
      <w:divBdr>
        <w:top w:val="none" w:sz="0" w:space="0" w:color="auto"/>
        <w:left w:val="none" w:sz="0" w:space="0" w:color="auto"/>
        <w:bottom w:val="none" w:sz="0" w:space="0" w:color="auto"/>
        <w:right w:val="none" w:sz="0" w:space="0" w:color="auto"/>
      </w:divBdr>
      <w:divsChild>
        <w:div w:id="1009988045">
          <w:marLeft w:val="0"/>
          <w:marRight w:val="0"/>
          <w:marTop w:val="0"/>
          <w:marBottom w:val="0"/>
          <w:divBdr>
            <w:top w:val="none" w:sz="0" w:space="0" w:color="auto"/>
            <w:left w:val="none" w:sz="0" w:space="0" w:color="auto"/>
            <w:bottom w:val="none" w:sz="0" w:space="0" w:color="auto"/>
            <w:right w:val="none" w:sz="0" w:space="0" w:color="auto"/>
          </w:divBdr>
          <w:divsChild>
            <w:div w:id="1638140243">
              <w:marLeft w:val="0"/>
              <w:marRight w:val="0"/>
              <w:marTop w:val="0"/>
              <w:marBottom w:val="0"/>
              <w:divBdr>
                <w:top w:val="none" w:sz="0" w:space="0" w:color="auto"/>
                <w:left w:val="none" w:sz="0" w:space="0" w:color="auto"/>
                <w:bottom w:val="none" w:sz="0" w:space="0" w:color="auto"/>
                <w:right w:val="none" w:sz="0" w:space="0" w:color="auto"/>
              </w:divBdr>
              <w:divsChild>
                <w:div w:id="7762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0916">
      <w:bodyDiv w:val="1"/>
      <w:marLeft w:val="0"/>
      <w:marRight w:val="0"/>
      <w:marTop w:val="0"/>
      <w:marBottom w:val="0"/>
      <w:divBdr>
        <w:top w:val="none" w:sz="0" w:space="0" w:color="auto"/>
        <w:left w:val="none" w:sz="0" w:space="0" w:color="auto"/>
        <w:bottom w:val="none" w:sz="0" w:space="0" w:color="auto"/>
        <w:right w:val="none" w:sz="0" w:space="0" w:color="auto"/>
      </w:divBdr>
    </w:div>
    <w:div w:id="569996101">
      <w:bodyDiv w:val="1"/>
      <w:marLeft w:val="0"/>
      <w:marRight w:val="0"/>
      <w:marTop w:val="0"/>
      <w:marBottom w:val="0"/>
      <w:divBdr>
        <w:top w:val="none" w:sz="0" w:space="0" w:color="auto"/>
        <w:left w:val="none" w:sz="0" w:space="0" w:color="auto"/>
        <w:bottom w:val="none" w:sz="0" w:space="0" w:color="auto"/>
        <w:right w:val="none" w:sz="0" w:space="0" w:color="auto"/>
      </w:divBdr>
      <w:divsChild>
        <w:div w:id="1541624095">
          <w:marLeft w:val="0"/>
          <w:marRight w:val="0"/>
          <w:marTop w:val="0"/>
          <w:marBottom w:val="0"/>
          <w:divBdr>
            <w:top w:val="none" w:sz="0" w:space="0" w:color="auto"/>
            <w:left w:val="none" w:sz="0" w:space="0" w:color="auto"/>
            <w:bottom w:val="none" w:sz="0" w:space="0" w:color="auto"/>
            <w:right w:val="none" w:sz="0" w:space="0" w:color="auto"/>
          </w:divBdr>
          <w:divsChild>
            <w:div w:id="1481728956">
              <w:marLeft w:val="0"/>
              <w:marRight w:val="0"/>
              <w:marTop w:val="0"/>
              <w:marBottom w:val="0"/>
              <w:divBdr>
                <w:top w:val="none" w:sz="0" w:space="0" w:color="auto"/>
                <w:left w:val="none" w:sz="0" w:space="0" w:color="auto"/>
                <w:bottom w:val="none" w:sz="0" w:space="0" w:color="auto"/>
                <w:right w:val="none" w:sz="0" w:space="0" w:color="auto"/>
              </w:divBdr>
              <w:divsChild>
                <w:div w:id="3347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59867">
      <w:bodyDiv w:val="1"/>
      <w:marLeft w:val="0"/>
      <w:marRight w:val="0"/>
      <w:marTop w:val="0"/>
      <w:marBottom w:val="0"/>
      <w:divBdr>
        <w:top w:val="none" w:sz="0" w:space="0" w:color="auto"/>
        <w:left w:val="none" w:sz="0" w:space="0" w:color="auto"/>
        <w:bottom w:val="none" w:sz="0" w:space="0" w:color="auto"/>
        <w:right w:val="none" w:sz="0" w:space="0" w:color="auto"/>
      </w:divBdr>
      <w:divsChild>
        <w:div w:id="502166253">
          <w:marLeft w:val="0"/>
          <w:marRight w:val="0"/>
          <w:marTop w:val="0"/>
          <w:marBottom w:val="0"/>
          <w:divBdr>
            <w:top w:val="none" w:sz="0" w:space="0" w:color="auto"/>
            <w:left w:val="none" w:sz="0" w:space="0" w:color="auto"/>
            <w:bottom w:val="none" w:sz="0" w:space="0" w:color="auto"/>
            <w:right w:val="none" w:sz="0" w:space="0" w:color="auto"/>
          </w:divBdr>
          <w:divsChild>
            <w:div w:id="1102872042">
              <w:marLeft w:val="0"/>
              <w:marRight w:val="0"/>
              <w:marTop w:val="0"/>
              <w:marBottom w:val="0"/>
              <w:divBdr>
                <w:top w:val="none" w:sz="0" w:space="0" w:color="auto"/>
                <w:left w:val="none" w:sz="0" w:space="0" w:color="auto"/>
                <w:bottom w:val="none" w:sz="0" w:space="0" w:color="auto"/>
                <w:right w:val="none" w:sz="0" w:space="0" w:color="auto"/>
              </w:divBdr>
              <w:divsChild>
                <w:div w:id="6539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0033">
      <w:bodyDiv w:val="1"/>
      <w:marLeft w:val="0"/>
      <w:marRight w:val="0"/>
      <w:marTop w:val="0"/>
      <w:marBottom w:val="0"/>
      <w:divBdr>
        <w:top w:val="none" w:sz="0" w:space="0" w:color="auto"/>
        <w:left w:val="none" w:sz="0" w:space="0" w:color="auto"/>
        <w:bottom w:val="none" w:sz="0" w:space="0" w:color="auto"/>
        <w:right w:val="none" w:sz="0" w:space="0" w:color="auto"/>
      </w:divBdr>
      <w:divsChild>
        <w:div w:id="1185285231">
          <w:marLeft w:val="0"/>
          <w:marRight w:val="0"/>
          <w:marTop w:val="0"/>
          <w:marBottom w:val="0"/>
          <w:divBdr>
            <w:top w:val="none" w:sz="0" w:space="0" w:color="auto"/>
            <w:left w:val="none" w:sz="0" w:space="0" w:color="auto"/>
            <w:bottom w:val="none" w:sz="0" w:space="0" w:color="auto"/>
            <w:right w:val="none" w:sz="0" w:space="0" w:color="auto"/>
          </w:divBdr>
          <w:divsChild>
            <w:div w:id="629631882">
              <w:marLeft w:val="0"/>
              <w:marRight w:val="0"/>
              <w:marTop w:val="0"/>
              <w:marBottom w:val="0"/>
              <w:divBdr>
                <w:top w:val="none" w:sz="0" w:space="0" w:color="auto"/>
                <w:left w:val="none" w:sz="0" w:space="0" w:color="auto"/>
                <w:bottom w:val="none" w:sz="0" w:space="0" w:color="auto"/>
                <w:right w:val="none" w:sz="0" w:space="0" w:color="auto"/>
              </w:divBdr>
              <w:divsChild>
                <w:div w:id="18224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11349">
      <w:bodyDiv w:val="1"/>
      <w:marLeft w:val="0"/>
      <w:marRight w:val="0"/>
      <w:marTop w:val="0"/>
      <w:marBottom w:val="0"/>
      <w:divBdr>
        <w:top w:val="none" w:sz="0" w:space="0" w:color="auto"/>
        <w:left w:val="none" w:sz="0" w:space="0" w:color="auto"/>
        <w:bottom w:val="none" w:sz="0" w:space="0" w:color="auto"/>
        <w:right w:val="none" w:sz="0" w:space="0" w:color="auto"/>
      </w:divBdr>
      <w:divsChild>
        <w:div w:id="992368931">
          <w:marLeft w:val="0"/>
          <w:marRight w:val="0"/>
          <w:marTop w:val="0"/>
          <w:marBottom w:val="0"/>
          <w:divBdr>
            <w:top w:val="none" w:sz="0" w:space="0" w:color="auto"/>
            <w:left w:val="none" w:sz="0" w:space="0" w:color="auto"/>
            <w:bottom w:val="none" w:sz="0" w:space="0" w:color="auto"/>
            <w:right w:val="none" w:sz="0" w:space="0" w:color="auto"/>
          </w:divBdr>
          <w:divsChild>
            <w:div w:id="1144540300">
              <w:marLeft w:val="0"/>
              <w:marRight w:val="0"/>
              <w:marTop w:val="0"/>
              <w:marBottom w:val="0"/>
              <w:divBdr>
                <w:top w:val="none" w:sz="0" w:space="0" w:color="auto"/>
                <w:left w:val="none" w:sz="0" w:space="0" w:color="auto"/>
                <w:bottom w:val="none" w:sz="0" w:space="0" w:color="auto"/>
                <w:right w:val="none" w:sz="0" w:space="0" w:color="auto"/>
              </w:divBdr>
              <w:divsChild>
                <w:div w:id="6144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65705">
      <w:bodyDiv w:val="1"/>
      <w:marLeft w:val="0"/>
      <w:marRight w:val="0"/>
      <w:marTop w:val="0"/>
      <w:marBottom w:val="0"/>
      <w:divBdr>
        <w:top w:val="none" w:sz="0" w:space="0" w:color="auto"/>
        <w:left w:val="none" w:sz="0" w:space="0" w:color="auto"/>
        <w:bottom w:val="none" w:sz="0" w:space="0" w:color="auto"/>
        <w:right w:val="none" w:sz="0" w:space="0" w:color="auto"/>
      </w:divBdr>
    </w:div>
    <w:div w:id="1023898104">
      <w:bodyDiv w:val="1"/>
      <w:marLeft w:val="0"/>
      <w:marRight w:val="0"/>
      <w:marTop w:val="0"/>
      <w:marBottom w:val="0"/>
      <w:divBdr>
        <w:top w:val="none" w:sz="0" w:space="0" w:color="auto"/>
        <w:left w:val="none" w:sz="0" w:space="0" w:color="auto"/>
        <w:bottom w:val="none" w:sz="0" w:space="0" w:color="auto"/>
        <w:right w:val="none" w:sz="0" w:space="0" w:color="auto"/>
      </w:divBdr>
      <w:divsChild>
        <w:div w:id="658003916">
          <w:marLeft w:val="0"/>
          <w:marRight w:val="0"/>
          <w:marTop w:val="0"/>
          <w:marBottom w:val="0"/>
          <w:divBdr>
            <w:top w:val="none" w:sz="0" w:space="0" w:color="auto"/>
            <w:left w:val="none" w:sz="0" w:space="0" w:color="auto"/>
            <w:bottom w:val="none" w:sz="0" w:space="0" w:color="auto"/>
            <w:right w:val="none" w:sz="0" w:space="0" w:color="auto"/>
          </w:divBdr>
          <w:divsChild>
            <w:div w:id="4479270">
              <w:marLeft w:val="0"/>
              <w:marRight w:val="0"/>
              <w:marTop w:val="0"/>
              <w:marBottom w:val="0"/>
              <w:divBdr>
                <w:top w:val="none" w:sz="0" w:space="0" w:color="auto"/>
                <w:left w:val="none" w:sz="0" w:space="0" w:color="auto"/>
                <w:bottom w:val="none" w:sz="0" w:space="0" w:color="auto"/>
                <w:right w:val="none" w:sz="0" w:space="0" w:color="auto"/>
              </w:divBdr>
              <w:divsChild>
                <w:div w:id="14522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525474">
      <w:bodyDiv w:val="1"/>
      <w:marLeft w:val="0"/>
      <w:marRight w:val="0"/>
      <w:marTop w:val="0"/>
      <w:marBottom w:val="0"/>
      <w:divBdr>
        <w:top w:val="none" w:sz="0" w:space="0" w:color="auto"/>
        <w:left w:val="none" w:sz="0" w:space="0" w:color="auto"/>
        <w:bottom w:val="none" w:sz="0" w:space="0" w:color="auto"/>
        <w:right w:val="none" w:sz="0" w:space="0" w:color="auto"/>
      </w:divBdr>
    </w:div>
    <w:div w:id="1099106058">
      <w:bodyDiv w:val="1"/>
      <w:marLeft w:val="0"/>
      <w:marRight w:val="0"/>
      <w:marTop w:val="0"/>
      <w:marBottom w:val="0"/>
      <w:divBdr>
        <w:top w:val="none" w:sz="0" w:space="0" w:color="auto"/>
        <w:left w:val="none" w:sz="0" w:space="0" w:color="auto"/>
        <w:bottom w:val="none" w:sz="0" w:space="0" w:color="auto"/>
        <w:right w:val="none" w:sz="0" w:space="0" w:color="auto"/>
      </w:divBdr>
    </w:div>
    <w:div w:id="1167014568">
      <w:bodyDiv w:val="1"/>
      <w:marLeft w:val="0"/>
      <w:marRight w:val="0"/>
      <w:marTop w:val="0"/>
      <w:marBottom w:val="0"/>
      <w:divBdr>
        <w:top w:val="none" w:sz="0" w:space="0" w:color="auto"/>
        <w:left w:val="none" w:sz="0" w:space="0" w:color="auto"/>
        <w:bottom w:val="none" w:sz="0" w:space="0" w:color="auto"/>
        <w:right w:val="none" w:sz="0" w:space="0" w:color="auto"/>
      </w:divBdr>
      <w:divsChild>
        <w:div w:id="45765012">
          <w:marLeft w:val="0"/>
          <w:marRight w:val="0"/>
          <w:marTop w:val="0"/>
          <w:marBottom w:val="0"/>
          <w:divBdr>
            <w:top w:val="none" w:sz="0" w:space="0" w:color="auto"/>
            <w:left w:val="none" w:sz="0" w:space="0" w:color="auto"/>
            <w:bottom w:val="none" w:sz="0" w:space="0" w:color="auto"/>
            <w:right w:val="none" w:sz="0" w:space="0" w:color="auto"/>
          </w:divBdr>
          <w:divsChild>
            <w:div w:id="386033257">
              <w:marLeft w:val="0"/>
              <w:marRight w:val="0"/>
              <w:marTop w:val="0"/>
              <w:marBottom w:val="0"/>
              <w:divBdr>
                <w:top w:val="none" w:sz="0" w:space="0" w:color="auto"/>
                <w:left w:val="none" w:sz="0" w:space="0" w:color="auto"/>
                <w:bottom w:val="none" w:sz="0" w:space="0" w:color="auto"/>
                <w:right w:val="none" w:sz="0" w:space="0" w:color="auto"/>
              </w:divBdr>
              <w:divsChild>
                <w:div w:id="76153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87589">
      <w:bodyDiv w:val="1"/>
      <w:marLeft w:val="0"/>
      <w:marRight w:val="0"/>
      <w:marTop w:val="0"/>
      <w:marBottom w:val="0"/>
      <w:divBdr>
        <w:top w:val="none" w:sz="0" w:space="0" w:color="auto"/>
        <w:left w:val="none" w:sz="0" w:space="0" w:color="auto"/>
        <w:bottom w:val="none" w:sz="0" w:space="0" w:color="auto"/>
        <w:right w:val="none" w:sz="0" w:space="0" w:color="auto"/>
      </w:divBdr>
      <w:divsChild>
        <w:div w:id="818307568">
          <w:marLeft w:val="0"/>
          <w:marRight w:val="0"/>
          <w:marTop w:val="0"/>
          <w:marBottom w:val="0"/>
          <w:divBdr>
            <w:top w:val="none" w:sz="0" w:space="0" w:color="auto"/>
            <w:left w:val="none" w:sz="0" w:space="0" w:color="auto"/>
            <w:bottom w:val="none" w:sz="0" w:space="0" w:color="auto"/>
            <w:right w:val="none" w:sz="0" w:space="0" w:color="auto"/>
          </w:divBdr>
          <w:divsChild>
            <w:div w:id="1089041714">
              <w:marLeft w:val="0"/>
              <w:marRight w:val="0"/>
              <w:marTop w:val="0"/>
              <w:marBottom w:val="0"/>
              <w:divBdr>
                <w:top w:val="none" w:sz="0" w:space="0" w:color="auto"/>
                <w:left w:val="none" w:sz="0" w:space="0" w:color="auto"/>
                <w:bottom w:val="none" w:sz="0" w:space="0" w:color="auto"/>
                <w:right w:val="none" w:sz="0" w:space="0" w:color="auto"/>
              </w:divBdr>
              <w:divsChild>
                <w:div w:id="20335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8149">
      <w:bodyDiv w:val="1"/>
      <w:marLeft w:val="0"/>
      <w:marRight w:val="0"/>
      <w:marTop w:val="0"/>
      <w:marBottom w:val="0"/>
      <w:divBdr>
        <w:top w:val="none" w:sz="0" w:space="0" w:color="auto"/>
        <w:left w:val="none" w:sz="0" w:space="0" w:color="auto"/>
        <w:bottom w:val="none" w:sz="0" w:space="0" w:color="auto"/>
        <w:right w:val="none" w:sz="0" w:space="0" w:color="auto"/>
      </w:divBdr>
      <w:divsChild>
        <w:div w:id="87166115">
          <w:marLeft w:val="0"/>
          <w:marRight w:val="0"/>
          <w:marTop w:val="0"/>
          <w:marBottom w:val="0"/>
          <w:divBdr>
            <w:top w:val="none" w:sz="0" w:space="0" w:color="auto"/>
            <w:left w:val="none" w:sz="0" w:space="0" w:color="auto"/>
            <w:bottom w:val="none" w:sz="0" w:space="0" w:color="auto"/>
            <w:right w:val="none" w:sz="0" w:space="0" w:color="auto"/>
          </w:divBdr>
          <w:divsChild>
            <w:div w:id="1294362201">
              <w:marLeft w:val="0"/>
              <w:marRight w:val="0"/>
              <w:marTop w:val="0"/>
              <w:marBottom w:val="0"/>
              <w:divBdr>
                <w:top w:val="none" w:sz="0" w:space="0" w:color="auto"/>
                <w:left w:val="none" w:sz="0" w:space="0" w:color="auto"/>
                <w:bottom w:val="none" w:sz="0" w:space="0" w:color="auto"/>
                <w:right w:val="none" w:sz="0" w:space="0" w:color="auto"/>
              </w:divBdr>
              <w:divsChild>
                <w:div w:id="9026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4411">
      <w:bodyDiv w:val="1"/>
      <w:marLeft w:val="0"/>
      <w:marRight w:val="0"/>
      <w:marTop w:val="0"/>
      <w:marBottom w:val="0"/>
      <w:divBdr>
        <w:top w:val="none" w:sz="0" w:space="0" w:color="auto"/>
        <w:left w:val="none" w:sz="0" w:space="0" w:color="auto"/>
        <w:bottom w:val="none" w:sz="0" w:space="0" w:color="auto"/>
        <w:right w:val="none" w:sz="0" w:space="0" w:color="auto"/>
      </w:divBdr>
      <w:divsChild>
        <w:div w:id="2042364670">
          <w:marLeft w:val="0"/>
          <w:marRight w:val="0"/>
          <w:marTop w:val="0"/>
          <w:marBottom w:val="0"/>
          <w:divBdr>
            <w:top w:val="none" w:sz="0" w:space="0" w:color="auto"/>
            <w:left w:val="none" w:sz="0" w:space="0" w:color="auto"/>
            <w:bottom w:val="none" w:sz="0" w:space="0" w:color="auto"/>
            <w:right w:val="none" w:sz="0" w:space="0" w:color="auto"/>
          </w:divBdr>
          <w:divsChild>
            <w:div w:id="816726147">
              <w:marLeft w:val="0"/>
              <w:marRight w:val="0"/>
              <w:marTop w:val="0"/>
              <w:marBottom w:val="0"/>
              <w:divBdr>
                <w:top w:val="none" w:sz="0" w:space="0" w:color="auto"/>
                <w:left w:val="none" w:sz="0" w:space="0" w:color="auto"/>
                <w:bottom w:val="none" w:sz="0" w:space="0" w:color="auto"/>
                <w:right w:val="none" w:sz="0" w:space="0" w:color="auto"/>
              </w:divBdr>
              <w:divsChild>
                <w:div w:id="14626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7028">
      <w:bodyDiv w:val="1"/>
      <w:marLeft w:val="0"/>
      <w:marRight w:val="0"/>
      <w:marTop w:val="0"/>
      <w:marBottom w:val="0"/>
      <w:divBdr>
        <w:top w:val="none" w:sz="0" w:space="0" w:color="auto"/>
        <w:left w:val="none" w:sz="0" w:space="0" w:color="auto"/>
        <w:bottom w:val="none" w:sz="0" w:space="0" w:color="auto"/>
        <w:right w:val="none" w:sz="0" w:space="0" w:color="auto"/>
      </w:divBdr>
      <w:divsChild>
        <w:div w:id="665864903">
          <w:marLeft w:val="0"/>
          <w:marRight w:val="0"/>
          <w:marTop w:val="0"/>
          <w:marBottom w:val="0"/>
          <w:divBdr>
            <w:top w:val="none" w:sz="0" w:space="0" w:color="auto"/>
            <w:left w:val="none" w:sz="0" w:space="0" w:color="auto"/>
            <w:bottom w:val="none" w:sz="0" w:space="0" w:color="auto"/>
            <w:right w:val="none" w:sz="0" w:space="0" w:color="auto"/>
          </w:divBdr>
          <w:divsChild>
            <w:div w:id="2089450225">
              <w:marLeft w:val="0"/>
              <w:marRight w:val="0"/>
              <w:marTop w:val="0"/>
              <w:marBottom w:val="0"/>
              <w:divBdr>
                <w:top w:val="none" w:sz="0" w:space="0" w:color="auto"/>
                <w:left w:val="none" w:sz="0" w:space="0" w:color="auto"/>
                <w:bottom w:val="none" w:sz="0" w:space="0" w:color="auto"/>
                <w:right w:val="none" w:sz="0" w:space="0" w:color="auto"/>
              </w:divBdr>
              <w:divsChild>
                <w:div w:id="10485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1296">
      <w:bodyDiv w:val="1"/>
      <w:marLeft w:val="0"/>
      <w:marRight w:val="0"/>
      <w:marTop w:val="0"/>
      <w:marBottom w:val="0"/>
      <w:divBdr>
        <w:top w:val="none" w:sz="0" w:space="0" w:color="auto"/>
        <w:left w:val="none" w:sz="0" w:space="0" w:color="auto"/>
        <w:bottom w:val="none" w:sz="0" w:space="0" w:color="auto"/>
        <w:right w:val="none" w:sz="0" w:space="0" w:color="auto"/>
      </w:divBdr>
    </w:div>
    <w:div w:id="1471708669">
      <w:bodyDiv w:val="1"/>
      <w:marLeft w:val="0"/>
      <w:marRight w:val="0"/>
      <w:marTop w:val="0"/>
      <w:marBottom w:val="0"/>
      <w:divBdr>
        <w:top w:val="none" w:sz="0" w:space="0" w:color="auto"/>
        <w:left w:val="none" w:sz="0" w:space="0" w:color="auto"/>
        <w:bottom w:val="none" w:sz="0" w:space="0" w:color="auto"/>
        <w:right w:val="none" w:sz="0" w:space="0" w:color="auto"/>
      </w:divBdr>
    </w:div>
    <w:div w:id="1493330408">
      <w:bodyDiv w:val="1"/>
      <w:marLeft w:val="0"/>
      <w:marRight w:val="0"/>
      <w:marTop w:val="0"/>
      <w:marBottom w:val="0"/>
      <w:divBdr>
        <w:top w:val="none" w:sz="0" w:space="0" w:color="auto"/>
        <w:left w:val="none" w:sz="0" w:space="0" w:color="auto"/>
        <w:bottom w:val="none" w:sz="0" w:space="0" w:color="auto"/>
        <w:right w:val="none" w:sz="0" w:space="0" w:color="auto"/>
      </w:divBdr>
      <w:divsChild>
        <w:div w:id="663507786">
          <w:marLeft w:val="0"/>
          <w:marRight w:val="0"/>
          <w:marTop w:val="0"/>
          <w:marBottom w:val="0"/>
          <w:divBdr>
            <w:top w:val="none" w:sz="0" w:space="0" w:color="auto"/>
            <w:left w:val="none" w:sz="0" w:space="0" w:color="auto"/>
            <w:bottom w:val="none" w:sz="0" w:space="0" w:color="auto"/>
            <w:right w:val="none" w:sz="0" w:space="0" w:color="auto"/>
          </w:divBdr>
          <w:divsChild>
            <w:div w:id="1060980061">
              <w:marLeft w:val="0"/>
              <w:marRight w:val="0"/>
              <w:marTop w:val="0"/>
              <w:marBottom w:val="0"/>
              <w:divBdr>
                <w:top w:val="none" w:sz="0" w:space="0" w:color="auto"/>
                <w:left w:val="none" w:sz="0" w:space="0" w:color="auto"/>
                <w:bottom w:val="none" w:sz="0" w:space="0" w:color="auto"/>
                <w:right w:val="none" w:sz="0" w:space="0" w:color="auto"/>
              </w:divBdr>
              <w:divsChild>
                <w:div w:id="14354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4004">
      <w:bodyDiv w:val="1"/>
      <w:marLeft w:val="0"/>
      <w:marRight w:val="0"/>
      <w:marTop w:val="0"/>
      <w:marBottom w:val="0"/>
      <w:divBdr>
        <w:top w:val="none" w:sz="0" w:space="0" w:color="auto"/>
        <w:left w:val="none" w:sz="0" w:space="0" w:color="auto"/>
        <w:bottom w:val="none" w:sz="0" w:space="0" w:color="auto"/>
        <w:right w:val="none" w:sz="0" w:space="0" w:color="auto"/>
      </w:divBdr>
      <w:divsChild>
        <w:div w:id="1994674679">
          <w:marLeft w:val="0"/>
          <w:marRight w:val="0"/>
          <w:marTop w:val="0"/>
          <w:marBottom w:val="0"/>
          <w:divBdr>
            <w:top w:val="none" w:sz="0" w:space="0" w:color="auto"/>
            <w:left w:val="none" w:sz="0" w:space="0" w:color="auto"/>
            <w:bottom w:val="none" w:sz="0" w:space="0" w:color="auto"/>
            <w:right w:val="none" w:sz="0" w:space="0" w:color="auto"/>
          </w:divBdr>
        </w:div>
        <w:div w:id="190805693">
          <w:marLeft w:val="0"/>
          <w:marRight w:val="0"/>
          <w:marTop w:val="0"/>
          <w:marBottom w:val="0"/>
          <w:divBdr>
            <w:top w:val="none" w:sz="0" w:space="0" w:color="auto"/>
            <w:left w:val="none" w:sz="0" w:space="0" w:color="auto"/>
            <w:bottom w:val="none" w:sz="0" w:space="0" w:color="auto"/>
            <w:right w:val="none" w:sz="0" w:space="0" w:color="auto"/>
          </w:divBdr>
        </w:div>
      </w:divsChild>
    </w:div>
    <w:div w:id="1805923204">
      <w:bodyDiv w:val="1"/>
      <w:marLeft w:val="0"/>
      <w:marRight w:val="0"/>
      <w:marTop w:val="0"/>
      <w:marBottom w:val="0"/>
      <w:divBdr>
        <w:top w:val="none" w:sz="0" w:space="0" w:color="auto"/>
        <w:left w:val="none" w:sz="0" w:space="0" w:color="auto"/>
        <w:bottom w:val="none" w:sz="0" w:space="0" w:color="auto"/>
        <w:right w:val="none" w:sz="0" w:space="0" w:color="auto"/>
      </w:divBdr>
    </w:div>
    <w:div w:id="1807702340">
      <w:bodyDiv w:val="1"/>
      <w:marLeft w:val="0"/>
      <w:marRight w:val="0"/>
      <w:marTop w:val="0"/>
      <w:marBottom w:val="0"/>
      <w:divBdr>
        <w:top w:val="none" w:sz="0" w:space="0" w:color="auto"/>
        <w:left w:val="none" w:sz="0" w:space="0" w:color="auto"/>
        <w:bottom w:val="none" w:sz="0" w:space="0" w:color="auto"/>
        <w:right w:val="none" w:sz="0" w:space="0" w:color="auto"/>
      </w:divBdr>
    </w:div>
    <w:div w:id="1869752463">
      <w:bodyDiv w:val="1"/>
      <w:marLeft w:val="0"/>
      <w:marRight w:val="0"/>
      <w:marTop w:val="0"/>
      <w:marBottom w:val="0"/>
      <w:divBdr>
        <w:top w:val="none" w:sz="0" w:space="0" w:color="auto"/>
        <w:left w:val="none" w:sz="0" w:space="0" w:color="auto"/>
        <w:bottom w:val="none" w:sz="0" w:space="0" w:color="auto"/>
        <w:right w:val="none" w:sz="0" w:space="0" w:color="auto"/>
      </w:divBdr>
      <w:divsChild>
        <w:div w:id="1981181759">
          <w:marLeft w:val="0"/>
          <w:marRight w:val="0"/>
          <w:marTop w:val="0"/>
          <w:marBottom w:val="0"/>
          <w:divBdr>
            <w:top w:val="none" w:sz="0" w:space="0" w:color="auto"/>
            <w:left w:val="none" w:sz="0" w:space="0" w:color="auto"/>
            <w:bottom w:val="none" w:sz="0" w:space="0" w:color="auto"/>
            <w:right w:val="none" w:sz="0" w:space="0" w:color="auto"/>
          </w:divBdr>
          <w:divsChild>
            <w:div w:id="1281910447">
              <w:marLeft w:val="0"/>
              <w:marRight w:val="0"/>
              <w:marTop w:val="0"/>
              <w:marBottom w:val="0"/>
              <w:divBdr>
                <w:top w:val="none" w:sz="0" w:space="0" w:color="auto"/>
                <w:left w:val="none" w:sz="0" w:space="0" w:color="auto"/>
                <w:bottom w:val="none" w:sz="0" w:space="0" w:color="auto"/>
                <w:right w:val="none" w:sz="0" w:space="0" w:color="auto"/>
              </w:divBdr>
              <w:divsChild>
                <w:div w:id="652179510">
                  <w:marLeft w:val="0"/>
                  <w:marRight w:val="0"/>
                  <w:marTop w:val="0"/>
                  <w:marBottom w:val="0"/>
                  <w:divBdr>
                    <w:top w:val="none" w:sz="0" w:space="0" w:color="auto"/>
                    <w:left w:val="none" w:sz="0" w:space="0" w:color="auto"/>
                    <w:bottom w:val="none" w:sz="0" w:space="0" w:color="auto"/>
                    <w:right w:val="none" w:sz="0" w:space="0" w:color="auto"/>
                  </w:divBdr>
                  <w:divsChild>
                    <w:div w:id="4451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39502">
      <w:bodyDiv w:val="1"/>
      <w:marLeft w:val="0"/>
      <w:marRight w:val="0"/>
      <w:marTop w:val="0"/>
      <w:marBottom w:val="0"/>
      <w:divBdr>
        <w:top w:val="none" w:sz="0" w:space="0" w:color="auto"/>
        <w:left w:val="none" w:sz="0" w:space="0" w:color="auto"/>
        <w:bottom w:val="none" w:sz="0" w:space="0" w:color="auto"/>
        <w:right w:val="none" w:sz="0" w:space="0" w:color="auto"/>
      </w:divBdr>
    </w:div>
    <w:div w:id="1962494095">
      <w:bodyDiv w:val="1"/>
      <w:marLeft w:val="0"/>
      <w:marRight w:val="0"/>
      <w:marTop w:val="0"/>
      <w:marBottom w:val="0"/>
      <w:divBdr>
        <w:top w:val="none" w:sz="0" w:space="0" w:color="auto"/>
        <w:left w:val="none" w:sz="0" w:space="0" w:color="auto"/>
        <w:bottom w:val="none" w:sz="0" w:space="0" w:color="auto"/>
        <w:right w:val="none" w:sz="0" w:space="0" w:color="auto"/>
      </w:divBdr>
    </w:div>
    <w:div w:id="2015451294">
      <w:bodyDiv w:val="1"/>
      <w:marLeft w:val="0"/>
      <w:marRight w:val="0"/>
      <w:marTop w:val="0"/>
      <w:marBottom w:val="0"/>
      <w:divBdr>
        <w:top w:val="none" w:sz="0" w:space="0" w:color="auto"/>
        <w:left w:val="none" w:sz="0" w:space="0" w:color="auto"/>
        <w:bottom w:val="none" w:sz="0" w:space="0" w:color="auto"/>
        <w:right w:val="none" w:sz="0" w:space="0" w:color="auto"/>
      </w:divBdr>
      <w:divsChild>
        <w:div w:id="1838570319">
          <w:marLeft w:val="0"/>
          <w:marRight w:val="0"/>
          <w:marTop w:val="0"/>
          <w:marBottom w:val="0"/>
          <w:divBdr>
            <w:top w:val="none" w:sz="0" w:space="0" w:color="auto"/>
            <w:left w:val="none" w:sz="0" w:space="0" w:color="auto"/>
            <w:bottom w:val="none" w:sz="0" w:space="0" w:color="auto"/>
            <w:right w:val="none" w:sz="0" w:space="0" w:color="auto"/>
          </w:divBdr>
          <w:divsChild>
            <w:div w:id="201093821">
              <w:marLeft w:val="0"/>
              <w:marRight w:val="0"/>
              <w:marTop w:val="0"/>
              <w:marBottom w:val="0"/>
              <w:divBdr>
                <w:top w:val="none" w:sz="0" w:space="0" w:color="auto"/>
                <w:left w:val="none" w:sz="0" w:space="0" w:color="auto"/>
                <w:bottom w:val="none" w:sz="0" w:space="0" w:color="auto"/>
                <w:right w:val="none" w:sz="0" w:space="0" w:color="auto"/>
              </w:divBdr>
              <w:divsChild>
                <w:div w:id="13163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25505">
      <w:bodyDiv w:val="1"/>
      <w:marLeft w:val="0"/>
      <w:marRight w:val="0"/>
      <w:marTop w:val="0"/>
      <w:marBottom w:val="0"/>
      <w:divBdr>
        <w:top w:val="none" w:sz="0" w:space="0" w:color="auto"/>
        <w:left w:val="none" w:sz="0" w:space="0" w:color="auto"/>
        <w:bottom w:val="none" w:sz="0" w:space="0" w:color="auto"/>
        <w:right w:val="none" w:sz="0" w:space="0" w:color="auto"/>
      </w:divBdr>
      <w:divsChild>
        <w:div w:id="1250961390">
          <w:marLeft w:val="0"/>
          <w:marRight w:val="0"/>
          <w:marTop w:val="0"/>
          <w:marBottom w:val="0"/>
          <w:divBdr>
            <w:top w:val="none" w:sz="0" w:space="0" w:color="auto"/>
            <w:left w:val="none" w:sz="0" w:space="0" w:color="auto"/>
            <w:bottom w:val="none" w:sz="0" w:space="0" w:color="auto"/>
            <w:right w:val="none" w:sz="0" w:space="0" w:color="auto"/>
          </w:divBdr>
          <w:divsChild>
            <w:div w:id="2122646497">
              <w:marLeft w:val="0"/>
              <w:marRight w:val="0"/>
              <w:marTop w:val="0"/>
              <w:marBottom w:val="0"/>
              <w:divBdr>
                <w:top w:val="none" w:sz="0" w:space="0" w:color="auto"/>
                <w:left w:val="none" w:sz="0" w:space="0" w:color="auto"/>
                <w:bottom w:val="none" w:sz="0" w:space="0" w:color="auto"/>
                <w:right w:val="none" w:sz="0" w:space="0" w:color="auto"/>
              </w:divBdr>
              <w:divsChild>
                <w:div w:id="21089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97806">
      <w:bodyDiv w:val="1"/>
      <w:marLeft w:val="0"/>
      <w:marRight w:val="0"/>
      <w:marTop w:val="0"/>
      <w:marBottom w:val="0"/>
      <w:divBdr>
        <w:top w:val="none" w:sz="0" w:space="0" w:color="auto"/>
        <w:left w:val="none" w:sz="0" w:space="0" w:color="auto"/>
        <w:bottom w:val="none" w:sz="0" w:space="0" w:color="auto"/>
        <w:right w:val="none" w:sz="0" w:space="0" w:color="auto"/>
      </w:divBdr>
    </w:div>
    <w:div w:id="2069835062">
      <w:bodyDiv w:val="1"/>
      <w:marLeft w:val="0"/>
      <w:marRight w:val="0"/>
      <w:marTop w:val="0"/>
      <w:marBottom w:val="0"/>
      <w:divBdr>
        <w:top w:val="none" w:sz="0" w:space="0" w:color="auto"/>
        <w:left w:val="none" w:sz="0" w:space="0" w:color="auto"/>
        <w:bottom w:val="none" w:sz="0" w:space="0" w:color="auto"/>
        <w:right w:val="none" w:sz="0" w:space="0" w:color="auto"/>
      </w:divBdr>
      <w:divsChild>
        <w:div w:id="1722707448">
          <w:marLeft w:val="0"/>
          <w:marRight w:val="0"/>
          <w:marTop w:val="0"/>
          <w:marBottom w:val="0"/>
          <w:divBdr>
            <w:top w:val="none" w:sz="0" w:space="0" w:color="auto"/>
            <w:left w:val="none" w:sz="0" w:space="0" w:color="auto"/>
            <w:bottom w:val="none" w:sz="0" w:space="0" w:color="auto"/>
            <w:right w:val="none" w:sz="0" w:space="0" w:color="auto"/>
          </w:divBdr>
          <w:divsChild>
            <w:div w:id="1725791360">
              <w:marLeft w:val="0"/>
              <w:marRight w:val="0"/>
              <w:marTop w:val="0"/>
              <w:marBottom w:val="0"/>
              <w:divBdr>
                <w:top w:val="none" w:sz="0" w:space="0" w:color="auto"/>
                <w:left w:val="none" w:sz="0" w:space="0" w:color="auto"/>
                <w:bottom w:val="none" w:sz="0" w:space="0" w:color="auto"/>
                <w:right w:val="none" w:sz="0" w:space="0" w:color="auto"/>
              </w:divBdr>
              <w:divsChild>
                <w:div w:id="12519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avalon.law.yale.edu/18th_century/kenres.asp" TargetMode="External"/><Relationship Id="rId13" Type="http://schemas.openxmlformats.org/officeDocument/2006/relationships/hyperlink" Target="https://www.abbevilleinstitute.org/john-c-calhoun-nullification-secession-constitution/" TargetMode="External"/><Relationship Id="rId18" Type="http://schemas.openxmlformats.org/officeDocument/2006/relationships/hyperlink" Target="https://verfassungsblog.de/poland-and-hungary-are-withdrawing-from-the-eu/" TargetMode="External"/><Relationship Id="rId26" Type="http://schemas.openxmlformats.org/officeDocument/2006/relationships/hyperlink" Target="https://www.bundesverfassungsgericht.de/entscheidungen/rs20100706_2bvr266106.html" TargetMode="External"/><Relationship Id="rId3" Type="http://schemas.openxmlformats.org/officeDocument/2006/relationships/hyperlink" Target="https://verfassungsblog.de/the-right-question-about-the-fcc-ultra-vires-decision" TargetMode="External"/><Relationship Id="rId21" Type="http://schemas.openxmlformats.org/officeDocument/2006/relationships/hyperlink" Target="https://www.youtube.com/watch?v=5s7_gY1SdbU&amp;t=5s" TargetMode="External"/><Relationship Id="rId7" Type="http://schemas.openxmlformats.org/officeDocument/2006/relationships/hyperlink" Target="https://founders.archives.gov/documents/Jefferson/03-03-02-0258" TargetMode="External"/><Relationship Id="rId12" Type="http://schemas.openxmlformats.org/officeDocument/2006/relationships/hyperlink" Target="http://www.constitution.org/jcc/dcgus.htm" TargetMode="External"/><Relationship Id="rId17" Type="http://schemas.openxmlformats.org/officeDocument/2006/relationships/hyperlink" Target="https://papers.ssrn.com/sol3/papers.cfm?abstract_id=2497519" TargetMode="External"/><Relationship Id="rId25" Type="http://schemas.openxmlformats.org/officeDocument/2006/relationships/hyperlink" Target="https://despiteourdifferencesblog.wordpress.com/2018/12/12/brexit-and-eu-citizenship-after-wightman/" TargetMode="External"/><Relationship Id="rId2" Type="http://schemas.openxmlformats.org/officeDocument/2006/relationships/hyperlink" Target="https://verfassungsblog.de/some-preliminary-remarks-on-the-pspp-decision-of-the-german-constitutional-court" TargetMode="External"/><Relationship Id="rId16" Type="http://schemas.openxmlformats.org/officeDocument/2006/relationships/hyperlink" Target="https://ec.europa.eu/commission/presscorner/detail/en/inf_21_2743" TargetMode="External"/><Relationship Id="rId20" Type="http://schemas.openxmlformats.org/officeDocument/2006/relationships/hyperlink" Target="https://eulawlive.com/long-read-mutual-trust-the-rule-of-law-and-the-charter-a-new-age-for-judicial-activism-by-xavier-grousot-and-giuseppe-martinico/" TargetMode="External"/><Relationship Id="rId1" Type="http://schemas.openxmlformats.org/officeDocument/2006/relationships/hyperlink" Target="https://www.washingtonpost.com/politics/2020/05/07/germany-may-be-plunging-europe-into-constitutional-crisis/" TargetMode="External"/><Relationship Id="rId6" Type="http://schemas.openxmlformats.org/officeDocument/2006/relationships/hyperlink" Target="https://www.osservatorioaic.it/images/rivista/pdf/2023_1_05_Monti.pdf" TargetMode="External"/><Relationship Id="rId11" Type="http://schemas.openxmlformats.org/officeDocument/2006/relationships/hyperlink" Target="https://clockworkconservative.wordpress.com/freedom/primary-documents/south-carolina-exposition-and-protest/" TargetMode="External"/><Relationship Id="rId24" Type="http://schemas.openxmlformats.org/officeDocument/2006/relationships/hyperlink" Target="https://oeil.secure.europarl.europa.eu/oeil/popups/ficheprocedure.do?lang=en&amp;reference=2021/2711(RSP)" TargetMode="External"/><Relationship Id="rId5" Type="http://schemas.openxmlformats.org/officeDocument/2006/relationships/hyperlink" Target="https://avalon.law.yale.edu/18th_century/ratva.asp" TargetMode="External"/><Relationship Id="rId15" Type="http://schemas.openxmlformats.org/officeDocument/2006/relationships/hyperlink" Target="https://curia.europa.eu/jcms/upload/docs/application/pdf/2020-05/cp200058en.pdf" TargetMode="External"/><Relationship Id="rId23" Type="http://schemas.openxmlformats.org/officeDocument/2006/relationships/hyperlink" Target="https://oeil.secure.europarl.europa.eu/oeil/popups/ficheprocedure.do?lang=en&amp;reference=2021/2582(RSP)" TargetMode="External"/><Relationship Id="rId10" Type="http://schemas.openxmlformats.org/officeDocument/2006/relationships/hyperlink" Target="http://www.constitution.org/cons/virg1798.htm" TargetMode="External"/><Relationship Id="rId19" Type="http://schemas.openxmlformats.org/officeDocument/2006/relationships/hyperlink" Target="https://www.europarl.europa.eu/RegData/etudes/BRIE/2019/642280/EPRS_BRI(2019)642280_EN.pdf" TargetMode="External"/><Relationship Id="rId4" Type="http://schemas.openxmlformats.org/officeDocument/2006/relationships/hyperlink" Target="https://verfassungsblog.de/is-the-bverfg-pspp-decision-simply-not-comprehensible" TargetMode="External"/><Relationship Id="rId9" Type="http://schemas.openxmlformats.org/officeDocument/2006/relationships/hyperlink" Target="https://www.monticello.org/site/research-and-collections/kentucky-and-virginia-resolutions" TargetMode="External"/><Relationship Id="rId14" Type="http://schemas.openxmlformats.org/officeDocument/2006/relationships/hyperlink" Target="https://www.bundesverfassungsgericht.de/SharedDocs/Entscheidungen/EN/2020/05/rs20200505_2bvr085915en.html%3Bjsessionid=F892FE5330900A9A29FDCBEF992814FE.2_cid392" TargetMode="External"/><Relationship Id="rId22" Type="http://schemas.openxmlformats.org/officeDocument/2006/relationships/hyperlink" Target="https://www.consilium.europa.eu/media/47296/1011-12-20-euco-conclusion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F8590-46D6-4769-8FD4-C487C95D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2834</TotalTime>
  <Pages>55</Pages>
  <Words>14766</Words>
  <Characters>77673</Characters>
  <Application>Microsoft Office Word</Application>
  <DocSecurity>0</DocSecurity>
  <Lines>1176</Lines>
  <Paragraphs>203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92236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SKOUTARIS</dc:creator>
  <cp:keywords/>
  <dc:description/>
  <cp:lastModifiedBy>Nikos SKOUTARIS</cp:lastModifiedBy>
  <cp:revision>45</cp:revision>
  <cp:lastPrinted>2023-02-10T09:14:00Z</cp:lastPrinted>
  <dcterms:created xsi:type="dcterms:W3CDTF">2024-09-11T06:13:00Z</dcterms:created>
  <dcterms:modified xsi:type="dcterms:W3CDTF">2024-10-01T20:19:00Z</dcterms:modified>
  <cp:category/>
</cp:coreProperties>
</file>