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F0AB" w14:textId="0DDEA498" w:rsidR="009E646E" w:rsidRDefault="009E646E"/>
    <w:p w14:paraId="5DB74348" w14:textId="3DA6C52B" w:rsidR="00590032" w:rsidRDefault="00100EB2" w:rsidP="00EA6D7A">
      <w:pPr>
        <w:jc w:val="center"/>
        <w:rPr>
          <w:b/>
          <w:bCs/>
        </w:rPr>
      </w:pPr>
      <w:r w:rsidRPr="00EA6D7A">
        <w:rPr>
          <w:b/>
          <w:bCs/>
        </w:rPr>
        <w:t>The context of the Emergency department as a location f</w:t>
      </w:r>
      <w:r w:rsidR="006C6C9E">
        <w:rPr>
          <w:b/>
          <w:bCs/>
        </w:rPr>
        <w:t>or a</w:t>
      </w:r>
      <w:r w:rsidRPr="00EA6D7A">
        <w:rPr>
          <w:b/>
          <w:bCs/>
        </w:rPr>
        <w:t xml:space="preserve"> smoking cessation </w:t>
      </w:r>
      <w:r w:rsidR="00EA6D7A" w:rsidRPr="00EA6D7A">
        <w:rPr>
          <w:b/>
          <w:bCs/>
        </w:rPr>
        <w:t>intervention – process evaluation findings from the COSTED trial</w:t>
      </w:r>
    </w:p>
    <w:p w14:paraId="663149F5" w14:textId="77777777" w:rsidR="00EA6D7A" w:rsidRPr="00EA6D7A" w:rsidRDefault="00EA6D7A" w:rsidP="00EA6D7A">
      <w:pPr>
        <w:jc w:val="center"/>
        <w:rPr>
          <w:b/>
          <w:bCs/>
        </w:rPr>
      </w:pPr>
    </w:p>
    <w:p w14:paraId="61E6587B" w14:textId="2A593B9D" w:rsidR="00590032" w:rsidRPr="00590032" w:rsidRDefault="00590032" w:rsidP="00590032">
      <w:pPr>
        <w:spacing w:line="360" w:lineRule="auto"/>
        <w:jc w:val="center"/>
        <w:rPr>
          <w:vertAlign w:val="superscript"/>
        </w:rPr>
      </w:pPr>
      <w:r>
        <w:t>Caitlin Notley</w:t>
      </w:r>
      <w:r w:rsidR="008F5352">
        <w:t>, PhD</w:t>
      </w:r>
      <w:r>
        <w:t>*</w:t>
      </w:r>
      <w:r w:rsidRPr="7ADBCD5A">
        <w:rPr>
          <w:vertAlign w:val="superscript"/>
        </w:rPr>
        <w:t>1</w:t>
      </w:r>
      <w:r>
        <w:t>, Pippa Belderson</w:t>
      </w:r>
      <w:r w:rsidR="008F5352">
        <w:t>, PhD</w:t>
      </w:r>
      <w:r w:rsidRPr="7ADBCD5A">
        <w:rPr>
          <w:vertAlign w:val="superscript"/>
        </w:rPr>
        <w:t>1</w:t>
      </w:r>
      <w:r>
        <w:t xml:space="preserve">, </w:t>
      </w:r>
      <w:r w:rsidR="009552BD">
        <w:t>Emma Ward</w:t>
      </w:r>
      <w:r w:rsidR="00FC345F">
        <w:t>, PhD</w:t>
      </w:r>
      <w:r w:rsidR="009552BD" w:rsidRPr="7ADBCD5A">
        <w:rPr>
          <w:vertAlign w:val="superscript"/>
        </w:rPr>
        <w:t>1</w:t>
      </w:r>
      <w:r w:rsidR="009552BD">
        <w:t xml:space="preserve">, </w:t>
      </w:r>
      <w:r>
        <w:t>Lucy V Clark</w:t>
      </w:r>
      <w:r w:rsidR="00E857C9">
        <w:t>, PhD</w:t>
      </w:r>
      <w:r w:rsidRPr="7ADBCD5A">
        <w:rPr>
          <w:vertAlign w:val="superscript"/>
        </w:rPr>
        <w:t>2</w:t>
      </w:r>
      <w:r>
        <w:t>, Allan Clark</w:t>
      </w:r>
      <w:r w:rsidR="00181011">
        <w:t>, PhD</w:t>
      </w:r>
      <w:r w:rsidRPr="7ADBCD5A">
        <w:rPr>
          <w:vertAlign w:val="superscript"/>
        </w:rPr>
        <w:t>2</w:t>
      </w:r>
      <w:r>
        <w:t>,  Susan Stir</w:t>
      </w:r>
      <w:r w:rsidRPr="7ADBCD5A">
        <w:rPr>
          <w:color w:val="000000" w:themeColor="text1"/>
        </w:rPr>
        <w:t>ling</w:t>
      </w:r>
      <w:r w:rsidR="001F53E5">
        <w:rPr>
          <w:color w:val="000000" w:themeColor="text1"/>
        </w:rPr>
        <w:t>, MSc</w:t>
      </w:r>
      <w:r w:rsidRPr="7ADBCD5A">
        <w:rPr>
          <w:color w:val="000000" w:themeColor="text1"/>
          <w:vertAlign w:val="superscript"/>
        </w:rPr>
        <w:t>2</w:t>
      </w:r>
      <w:r w:rsidRPr="7ADBCD5A">
        <w:rPr>
          <w:color w:val="000000" w:themeColor="text1"/>
        </w:rPr>
        <w:t>, Steve Parrott</w:t>
      </w:r>
      <w:r w:rsidR="001F53E5">
        <w:rPr>
          <w:color w:val="000000" w:themeColor="text1"/>
        </w:rPr>
        <w:t xml:space="preserve">, </w:t>
      </w:r>
      <w:r w:rsidR="001F53E5" w:rsidRPr="40552BC8">
        <w:t>MSc, J Li MPhil</w:t>
      </w:r>
      <w:r w:rsidRPr="7ADBCD5A">
        <w:rPr>
          <w:color w:val="000000" w:themeColor="text1"/>
          <w:vertAlign w:val="superscript"/>
        </w:rPr>
        <w:t>3</w:t>
      </w:r>
      <w:r w:rsidRPr="7ADBCD5A">
        <w:rPr>
          <w:color w:val="000000" w:themeColor="text1"/>
        </w:rPr>
        <w:t>,  Timothy J Coats</w:t>
      </w:r>
      <w:r w:rsidR="006467D9">
        <w:rPr>
          <w:color w:val="000000" w:themeColor="text1"/>
        </w:rPr>
        <w:t>, MD</w:t>
      </w:r>
      <w:r w:rsidRPr="7ADBCD5A">
        <w:rPr>
          <w:color w:val="000000" w:themeColor="text1"/>
          <w:vertAlign w:val="superscript"/>
        </w:rPr>
        <w:t>4</w:t>
      </w:r>
      <w:r w:rsidRPr="7ADBCD5A">
        <w:rPr>
          <w:color w:val="000000" w:themeColor="text1"/>
        </w:rPr>
        <w:t xml:space="preserve">, </w:t>
      </w:r>
      <w:r>
        <w:t>Linda Bauld</w:t>
      </w:r>
      <w:r w:rsidR="003805E9">
        <w:t>, PhD</w:t>
      </w:r>
      <w:r w:rsidRPr="7ADBCD5A">
        <w:rPr>
          <w:vertAlign w:val="superscript"/>
        </w:rPr>
        <w:t>5</w:t>
      </w:r>
      <w:r>
        <w:t>, Richard Holland</w:t>
      </w:r>
      <w:r w:rsidR="003805E9">
        <w:t>, PhD</w:t>
      </w:r>
      <w:r w:rsidRPr="7ADBCD5A">
        <w:rPr>
          <w:vertAlign w:val="superscript"/>
        </w:rPr>
        <w:t>6</w:t>
      </w:r>
      <w:r>
        <w:t>, Sarah Gentry</w:t>
      </w:r>
      <w:r w:rsidR="003821D1">
        <w:t>,</w:t>
      </w:r>
      <w:r w:rsidR="003821D1" w:rsidRPr="003821D1">
        <w:t xml:space="preserve"> </w:t>
      </w:r>
      <w:r w:rsidR="003821D1">
        <w:t>BMBS</w:t>
      </w:r>
      <w:r w:rsidR="003821D1" w:rsidRPr="7ADBCD5A">
        <w:rPr>
          <w:vertAlign w:val="superscript"/>
        </w:rPr>
        <w:t xml:space="preserve"> </w:t>
      </w:r>
      <w:r w:rsidRPr="7ADBCD5A">
        <w:rPr>
          <w:vertAlign w:val="superscript"/>
        </w:rPr>
        <w:t>1</w:t>
      </w:r>
      <w:r>
        <w:t>, Sanjay Agrawal</w:t>
      </w:r>
      <w:r w:rsidR="00AC7687">
        <w:t>, MBChB</w:t>
      </w:r>
      <w:r w:rsidR="00AC7687" w:rsidRPr="7ADBCD5A">
        <w:rPr>
          <w:vertAlign w:val="superscript"/>
        </w:rPr>
        <w:t xml:space="preserve"> </w:t>
      </w:r>
      <w:r w:rsidRPr="7ADBCD5A">
        <w:rPr>
          <w:vertAlign w:val="superscript"/>
        </w:rPr>
        <w:t>7</w:t>
      </w:r>
      <w:r>
        <w:t>, Benjamin M Bloom</w:t>
      </w:r>
      <w:r w:rsidR="00CE711B">
        <w:t>, PhD</w:t>
      </w:r>
      <w:r w:rsidRPr="7ADBCD5A">
        <w:rPr>
          <w:vertAlign w:val="superscript"/>
        </w:rPr>
        <w:t>8</w:t>
      </w:r>
      <w:r>
        <w:t>, Adrian Boyle</w:t>
      </w:r>
      <w:r w:rsidR="000B2CC7">
        <w:t>, MD</w:t>
      </w:r>
      <w:r w:rsidRPr="7ADBCD5A">
        <w:rPr>
          <w:vertAlign w:val="superscript"/>
        </w:rPr>
        <w:t>9</w:t>
      </w:r>
      <w:r>
        <w:t>, Alasdair Gray</w:t>
      </w:r>
      <w:r w:rsidR="00234AFD">
        <w:t>, MD</w:t>
      </w:r>
      <w:r w:rsidRPr="7ADBCD5A">
        <w:rPr>
          <w:vertAlign w:val="superscript"/>
        </w:rPr>
        <w:t>10</w:t>
      </w:r>
      <w:r>
        <w:t>, M Geraint Morris</w:t>
      </w:r>
      <w:r w:rsidR="00234AFD">
        <w:t>, MBBS</w:t>
      </w:r>
      <w:r w:rsidRPr="7ADBCD5A">
        <w:rPr>
          <w:vertAlign w:val="superscript"/>
        </w:rPr>
        <w:t>11</w:t>
      </w:r>
      <w:r>
        <w:t>, Ian Pope</w:t>
      </w:r>
      <w:r w:rsidR="007A77D8">
        <w:t>, MBBS</w:t>
      </w:r>
      <w:r w:rsidRPr="7ADBCD5A">
        <w:rPr>
          <w:vertAlign w:val="superscript"/>
        </w:rPr>
        <w:t>1,12</w:t>
      </w:r>
    </w:p>
    <w:p w14:paraId="606663C9" w14:textId="3AD1EA87" w:rsidR="00590032" w:rsidRPr="00A36289" w:rsidRDefault="00590032" w:rsidP="00590032">
      <w:pPr>
        <w:spacing w:line="360" w:lineRule="auto"/>
      </w:pPr>
      <w:r>
        <w:t>*</w:t>
      </w:r>
      <w:proofErr w:type="gramStart"/>
      <w:r>
        <w:t>corresponding</w:t>
      </w:r>
      <w:proofErr w:type="gramEnd"/>
      <w:r>
        <w:t xml:space="preserve"> author</w:t>
      </w:r>
    </w:p>
    <w:p w14:paraId="530EFFBE" w14:textId="6B6CA07C" w:rsidR="00590032" w:rsidRPr="00A9186B" w:rsidRDefault="00590032" w:rsidP="00590032">
      <w:pPr>
        <w:spacing w:line="360" w:lineRule="auto"/>
        <w:rPr>
          <w:sz w:val="18"/>
          <w:szCs w:val="18"/>
        </w:rPr>
      </w:pPr>
      <w:r w:rsidRPr="00A9186B">
        <w:rPr>
          <w:sz w:val="18"/>
          <w:szCs w:val="18"/>
          <w:vertAlign w:val="superscript"/>
        </w:rPr>
        <w:t>1</w:t>
      </w:r>
      <w:r w:rsidRPr="00A9186B">
        <w:rPr>
          <w:sz w:val="18"/>
          <w:szCs w:val="18"/>
        </w:rPr>
        <w:t>Norwich Medical School, University of East Anglia, Norwich, UK</w:t>
      </w:r>
      <w:r w:rsidR="00FF25D5">
        <w:rPr>
          <w:sz w:val="18"/>
          <w:szCs w:val="18"/>
        </w:rPr>
        <w:t>.</w:t>
      </w:r>
      <w:r w:rsidR="00CE59F2">
        <w:rPr>
          <w:sz w:val="18"/>
          <w:szCs w:val="18"/>
        </w:rPr>
        <w:t xml:space="preserve"> email:</w:t>
      </w:r>
      <w:r w:rsidR="00FF25D5">
        <w:rPr>
          <w:sz w:val="18"/>
          <w:szCs w:val="18"/>
        </w:rPr>
        <w:t xml:space="preserve"> </w:t>
      </w:r>
      <w:hyperlink r:id="rId11" w:history="1">
        <w:r w:rsidR="00CE59F2" w:rsidRPr="00D50BB4">
          <w:rPr>
            <w:rStyle w:val="Hyperlink"/>
            <w:sz w:val="18"/>
            <w:szCs w:val="18"/>
          </w:rPr>
          <w:t>c.notley@uea.ac.uk</w:t>
        </w:r>
      </w:hyperlink>
      <w:r w:rsidR="00CE59F2">
        <w:rPr>
          <w:sz w:val="18"/>
          <w:szCs w:val="18"/>
        </w:rPr>
        <w:t>. Tel: 01603 591275</w:t>
      </w:r>
    </w:p>
    <w:p w14:paraId="2717FD6E" w14:textId="65A65805" w:rsidR="00590032" w:rsidRPr="00A9186B" w:rsidRDefault="00590032" w:rsidP="00590032">
      <w:pPr>
        <w:spacing w:line="360" w:lineRule="auto"/>
        <w:rPr>
          <w:sz w:val="18"/>
          <w:szCs w:val="18"/>
        </w:rPr>
      </w:pPr>
      <w:r w:rsidRPr="00A9186B">
        <w:rPr>
          <w:sz w:val="18"/>
          <w:szCs w:val="18"/>
          <w:vertAlign w:val="superscript"/>
        </w:rPr>
        <w:t>2</w:t>
      </w:r>
      <w:r w:rsidRPr="00A9186B">
        <w:rPr>
          <w:sz w:val="18"/>
          <w:szCs w:val="18"/>
        </w:rPr>
        <w:t xml:space="preserve">Norwich Clinical Trials Unit, Norwich Medical School, University of East Anglia, Norwich, UK </w:t>
      </w:r>
    </w:p>
    <w:p w14:paraId="5E6235E2" w14:textId="2BD738A8" w:rsidR="00590032" w:rsidRPr="00A9186B" w:rsidRDefault="00590032" w:rsidP="00590032">
      <w:pPr>
        <w:spacing w:line="360" w:lineRule="auto"/>
        <w:rPr>
          <w:sz w:val="18"/>
          <w:szCs w:val="18"/>
        </w:rPr>
      </w:pPr>
      <w:r w:rsidRPr="00A9186B">
        <w:rPr>
          <w:sz w:val="18"/>
          <w:szCs w:val="18"/>
          <w:vertAlign w:val="superscript"/>
        </w:rPr>
        <w:t>3</w:t>
      </w:r>
      <w:r w:rsidRPr="00A9186B">
        <w:rPr>
          <w:sz w:val="18"/>
          <w:szCs w:val="18"/>
        </w:rPr>
        <w:t xml:space="preserve">Department of Health Sciences, University of York, York, UK </w:t>
      </w:r>
    </w:p>
    <w:p w14:paraId="78BA0B08" w14:textId="08E2102B" w:rsidR="00590032" w:rsidRPr="00A9186B" w:rsidRDefault="00590032" w:rsidP="00590032">
      <w:pPr>
        <w:spacing w:line="360" w:lineRule="auto"/>
        <w:rPr>
          <w:sz w:val="18"/>
          <w:szCs w:val="18"/>
        </w:rPr>
      </w:pPr>
      <w:r w:rsidRPr="00A9186B">
        <w:rPr>
          <w:sz w:val="18"/>
          <w:szCs w:val="18"/>
          <w:vertAlign w:val="superscript"/>
        </w:rPr>
        <w:t>4</w:t>
      </w:r>
      <w:r w:rsidRPr="00A9186B">
        <w:rPr>
          <w:sz w:val="18"/>
          <w:szCs w:val="18"/>
        </w:rPr>
        <w:t xml:space="preserve">Department of Cardiovascular Sciences, Leicester Medical School, University of Leicester, UK </w:t>
      </w:r>
    </w:p>
    <w:p w14:paraId="14463808" w14:textId="552561F3" w:rsidR="00590032" w:rsidRPr="00A9186B" w:rsidRDefault="00590032" w:rsidP="00590032">
      <w:pPr>
        <w:spacing w:line="360" w:lineRule="auto"/>
        <w:rPr>
          <w:rFonts w:ascii="Calibri" w:eastAsia="Calibri" w:hAnsi="Calibri" w:cs="Calibri"/>
          <w:sz w:val="18"/>
          <w:szCs w:val="18"/>
        </w:rPr>
      </w:pPr>
      <w:r w:rsidRPr="00A9186B">
        <w:rPr>
          <w:rFonts w:ascii="Calibri" w:eastAsia="Calibri" w:hAnsi="Calibri" w:cs="Calibri"/>
          <w:sz w:val="18"/>
          <w:szCs w:val="18"/>
          <w:vertAlign w:val="superscript"/>
        </w:rPr>
        <w:t>5</w:t>
      </w:r>
      <w:r w:rsidRPr="00A9186B">
        <w:rPr>
          <w:rFonts w:ascii="Calibri" w:eastAsia="Calibri" w:hAnsi="Calibri" w:cs="Calibri"/>
          <w:sz w:val="18"/>
          <w:szCs w:val="18"/>
        </w:rPr>
        <w:t>Usher Institute and SPECTRUM Consortium, College of Medicine, University of Edinburgh, UK</w:t>
      </w:r>
    </w:p>
    <w:p w14:paraId="6EB2A98C" w14:textId="53CD49A6" w:rsidR="00590032" w:rsidRPr="00A9186B" w:rsidRDefault="00590032" w:rsidP="00590032">
      <w:pPr>
        <w:spacing w:line="360" w:lineRule="auto"/>
        <w:rPr>
          <w:sz w:val="18"/>
          <w:szCs w:val="18"/>
        </w:rPr>
      </w:pPr>
      <w:r w:rsidRPr="00A9186B">
        <w:rPr>
          <w:rFonts w:ascii="Calibri" w:eastAsia="Calibri" w:hAnsi="Calibri" w:cs="Calibri"/>
          <w:sz w:val="18"/>
          <w:szCs w:val="18"/>
          <w:vertAlign w:val="superscript"/>
        </w:rPr>
        <w:t>6</w:t>
      </w:r>
      <w:r w:rsidRPr="00A9186B">
        <w:rPr>
          <w:rFonts w:ascii="Calibri" w:eastAsia="Calibri" w:hAnsi="Calibri" w:cs="Calibri"/>
          <w:sz w:val="18"/>
          <w:szCs w:val="18"/>
        </w:rPr>
        <w:t>Exeter Medical School, University of Exeter</w:t>
      </w:r>
    </w:p>
    <w:p w14:paraId="64E043C6" w14:textId="2A456552" w:rsidR="00590032" w:rsidRPr="00A9186B" w:rsidRDefault="00590032" w:rsidP="00590032">
      <w:pPr>
        <w:spacing w:line="360" w:lineRule="auto"/>
        <w:rPr>
          <w:sz w:val="18"/>
          <w:szCs w:val="18"/>
        </w:rPr>
      </w:pPr>
      <w:r w:rsidRPr="00A9186B">
        <w:rPr>
          <w:sz w:val="18"/>
          <w:szCs w:val="18"/>
          <w:vertAlign w:val="superscript"/>
        </w:rPr>
        <w:t>7</w:t>
      </w:r>
      <w:r w:rsidRPr="00A9186B">
        <w:rPr>
          <w:sz w:val="18"/>
          <w:szCs w:val="18"/>
        </w:rPr>
        <w:t>University Hospitals of Leicester NHS Trust, Leicester, UK</w:t>
      </w:r>
    </w:p>
    <w:p w14:paraId="0A94FDF7" w14:textId="04579791" w:rsidR="00590032" w:rsidRPr="00A9186B" w:rsidRDefault="00590032" w:rsidP="00590032">
      <w:pPr>
        <w:spacing w:line="360" w:lineRule="auto"/>
        <w:rPr>
          <w:sz w:val="18"/>
          <w:szCs w:val="18"/>
        </w:rPr>
      </w:pPr>
      <w:r w:rsidRPr="00A9186B">
        <w:rPr>
          <w:sz w:val="18"/>
          <w:szCs w:val="18"/>
          <w:vertAlign w:val="superscript"/>
        </w:rPr>
        <w:t>8</w:t>
      </w:r>
      <w:r w:rsidRPr="00A9186B">
        <w:rPr>
          <w:sz w:val="18"/>
          <w:szCs w:val="18"/>
        </w:rPr>
        <w:t>Royal London Hospital, Barts NHS Trust, London, UK</w:t>
      </w:r>
    </w:p>
    <w:p w14:paraId="10DFA9F3" w14:textId="37ACD21C" w:rsidR="00590032" w:rsidRPr="00A9186B" w:rsidRDefault="00590032" w:rsidP="00590032">
      <w:pPr>
        <w:spacing w:line="360" w:lineRule="auto"/>
        <w:rPr>
          <w:rFonts w:eastAsiaTheme="minorEastAsia"/>
          <w:sz w:val="18"/>
          <w:szCs w:val="18"/>
        </w:rPr>
      </w:pPr>
      <w:r w:rsidRPr="00A9186B">
        <w:rPr>
          <w:rFonts w:eastAsiaTheme="minorEastAsia"/>
          <w:sz w:val="18"/>
          <w:szCs w:val="18"/>
          <w:vertAlign w:val="superscript"/>
        </w:rPr>
        <w:t>9</w:t>
      </w:r>
      <w:r w:rsidRPr="00A9186B">
        <w:rPr>
          <w:rFonts w:eastAsiaTheme="minorEastAsia"/>
          <w:sz w:val="18"/>
          <w:szCs w:val="18"/>
        </w:rPr>
        <w:t>Addenbrookes Hospital, Cambridge University Hospitals Foundation Trust, Cambridge, UK</w:t>
      </w:r>
    </w:p>
    <w:p w14:paraId="6F87921C" w14:textId="0562D446" w:rsidR="00590032" w:rsidRPr="00A9186B" w:rsidRDefault="00590032" w:rsidP="00590032">
      <w:pPr>
        <w:spacing w:line="360" w:lineRule="auto"/>
        <w:rPr>
          <w:rFonts w:eastAsiaTheme="minorEastAsia"/>
          <w:sz w:val="18"/>
          <w:szCs w:val="18"/>
        </w:rPr>
      </w:pPr>
      <w:r w:rsidRPr="00A9186B">
        <w:rPr>
          <w:rFonts w:eastAsiaTheme="minorEastAsia"/>
          <w:sz w:val="18"/>
          <w:szCs w:val="18"/>
          <w:vertAlign w:val="superscript"/>
        </w:rPr>
        <w:t>10</w:t>
      </w:r>
      <w:r w:rsidRPr="00A9186B">
        <w:rPr>
          <w:rFonts w:eastAsiaTheme="minorEastAsia"/>
          <w:sz w:val="18"/>
          <w:szCs w:val="18"/>
        </w:rPr>
        <w:t>Royal Infirmary Edinburgh, NHS Lothian, Edinburgh, UK</w:t>
      </w:r>
    </w:p>
    <w:p w14:paraId="3EFD3D46" w14:textId="601ED1C6" w:rsidR="00590032" w:rsidRPr="00A9186B" w:rsidRDefault="00590032" w:rsidP="00590032">
      <w:pPr>
        <w:spacing w:line="360" w:lineRule="auto"/>
        <w:rPr>
          <w:rFonts w:eastAsiaTheme="minorEastAsia"/>
          <w:sz w:val="18"/>
          <w:szCs w:val="18"/>
        </w:rPr>
      </w:pPr>
      <w:r w:rsidRPr="00A9186B">
        <w:rPr>
          <w:rFonts w:eastAsiaTheme="minorEastAsia"/>
          <w:sz w:val="18"/>
          <w:szCs w:val="18"/>
          <w:vertAlign w:val="superscript"/>
        </w:rPr>
        <w:t>11</w:t>
      </w:r>
      <w:r w:rsidRPr="00A9186B">
        <w:rPr>
          <w:rFonts w:eastAsiaTheme="minorEastAsia"/>
          <w:sz w:val="18"/>
          <w:szCs w:val="18"/>
        </w:rPr>
        <w:t>Homerton University Hospital NHS Trust, London, UK</w:t>
      </w:r>
    </w:p>
    <w:p w14:paraId="22299F82" w14:textId="6C1C0848" w:rsidR="00590032" w:rsidRDefault="00590032" w:rsidP="00590032">
      <w:pPr>
        <w:spacing w:line="360" w:lineRule="auto"/>
        <w:rPr>
          <w:sz w:val="18"/>
          <w:szCs w:val="18"/>
        </w:rPr>
      </w:pPr>
      <w:r w:rsidRPr="00A9186B">
        <w:rPr>
          <w:rFonts w:eastAsiaTheme="minorEastAsia"/>
          <w:sz w:val="18"/>
          <w:szCs w:val="18"/>
          <w:vertAlign w:val="superscript"/>
        </w:rPr>
        <w:t>12</w:t>
      </w:r>
      <w:r w:rsidRPr="00A9186B">
        <w:rPr>
          <w:sz w:val="18"/>
          <w:szCs w:val="18"/>
        </w:rPr>
        <w:t xml:space="preserve"> Norfolk and Norwich University Hospital, Norwich, UK  </w:t>
      </w:r>
    </w:p>
    <w:p w14:paraId="0AD5F2AB" w14:textId="77777777" w:rsidR="00922258" w:rsidRPr="00A9186B" w:rsidRDefault="00922258" w:rsidP="00590032">
      <w:pPr>
        <w:spacing w:line="360" w:lineRule="auto"/>
        <w:rPr>
          <w:sz w:val="18"/>
          <w:szCs w:val="18"/>
        </w:rPr>
      </w:pPr>
    </w:p>
    <w:p w14:paraId="7D4AEA1B" w14:textId="41300A57" w:rsidR="004E1EB5" w:rsidRPr="00252ED5" w:rsidRDefault="004E1EB5" w:rsidP="00252ED5">
      <w:pPr>
        <w:spacing w:line="360" w:lineRule="auto"/>
        <w:rPr>
          <w:b/>
          <w:bCs/>
        </w:rPr>
      </w:pPr>
      <w:r w:rsidRPr="00A6726A">
        <w:rPr>
          <w:b/>
          <w:bCs/>
        </w:rPr>
        <w:t>Acknowledgements:</w:t>
      </w:r>
      <w:r w:rsidR="00252ED5">
        <w:rPr>
          <w:b/>
          <w:bCs/>
        </w:rPr>
        <w:t xml:space="preserve"> </w:t>
      </w:r>
      <w:r w:rsidRPr="00D619CB">
        <w:rPr>
          <w:color w:val="000000" w:themeColor="text1"/>
          <w:shd w:val="clear" w:color="auto" w:fill="FFFFFF"/>
        </w:rPr>
        <w:t xml:space="preserve">We thank the study sponsor, Norfolk and Norwich University Hospital NHS Foundation Trust. Our thanks go to the research teams at the organisations involved in recruitment and in undertaking qualitative interviews and supporting ethnographic observations. We would like to thank PPI contributors who were actively involved throughout, were integral to our public dissemination, and added to our interpretations. </w:t>
      </w:r>
    </w:p>
    <w:p w14:paraId="29E6D094" w14:textId="4369C66F" w:rsidR="004E1EB5" w:rsidRPr="004E5A30" w:rsidRDefault="004E1EB5" w:rsidP="004E5A30">
      <w:pPr>
        <w:rPr>
          <w:rFonts w:cstheme="minorHAnsi"/>
          <w:b/>
          <w:bCs/>
          <w:shd w:val="clear" w:color="auto" w:fill="FFFFFF"/>
        </w:rPr>
      </w:pPr>
      <w:r w:rsidRPr="004E5A30">
        <w:rPr>
          <w:rFonts w:cstheme="minorHAnsi"/>
          <w:b/>
          <w:bCs/>
          <w:shd w:val="clear" w:color="auto" w:fill="FFFFFF"/>
        </w:rPr>
        <w:t>Funding</w:t>
      </w:r>
      <w:r w:rsidR="00252ED5">
        <w:rPr>
          <w:rFonts w:cstheme="minorHAnsi"/>
          <w:b/>
          <w:bCs/>
          <w:shd w:val="clear" w:color="auto" w:fill="FFFFFF"/>
        </w:rPr>
        <w:t xml:space="preserve">: </w:t>
      </w:r>
      <w:r w:rsidRPr="004E5A30">
        <w:rPr>
          <w:color w:val="000000" w:themeColor="text1"/>
          <w:shd w:val="clear" w:color="auto" w:fill="FFFFFF"/>
        </w:rPr>
        <w:t>This study is funded by the N</w:t>
      </w:r>
      <w:r w:rsidR="00A958CB">
        <w:rPr>
          <w:color w:val="000000" w:themeColor="text1"/>
          <w:shd w:val="clear" w:color="auto" w:fill="FFFFFF"/>
        </w:rPr>
        <w:t xml:space="preserve">ational Institute for Health Research </w:t>
      </w:r>
      <w:r w:rsidRPr="004E5A30">
        <w:rPr>
          <w:color w:val="000000" w:themeColor="text1"/>
          <w:shd w:val="clear" w:color="auto" w:fill="FFFFFF"/>
        </w:rPr>
        <w:t>[Health Technology Assessment (</w:t>
      </w:r>
      <w:r w:rsidRPr="004E5A30">
        <w:rPr>
          <w:color w:val="000000" w:themeColor="text1"/>
        </w:rPr>
        <w:t>NIHR129438</w:t>
      </w:r>
      <w:r w:rsidRPr="004E5A30">
        <w:rPr>
          <w:color w:val="000000" w:themeColor="text1"/>
          <w:shd w:val="clear" w:color="auto" w:fill="FFFFFF"/>
        </w:rPr>
        <w:t xml:space="preserve">)]. The views expressed are those of the authors and not necessarily those of the NIHR or the Department of Health and Social Care. </w:t>
      </w:r>
      <w:r w:rsidRPr="004E5A30">
        <w:rPr>
          <w:rFonts w:cstheme="minorHAnsi"/>
          <w:color w:val="333333"/>
          <w:shd w:val="clear" w:color="auto" w:fill="FFFFFF"/>
        </w:rPr>
        <w:t>The funder had no role in considering the study design or in the collection, analysis, interpretation of data, writing of the report, or decision to submit the article for publication.</w:t>
      </w:r>
      <w:r w:rsidRPr="004E5A30">
        <w:rPr>
          <w:rFonts w:ascii="Helvetica" w:hAnsi="Helvetica" w:cs="Helvetica"/>
          <w:color w:val="333333"/>
          <w:shd w:val="clear" w:color="auto" w:fill="FFFFFF"/>
        </w:rPr>
        <w:t> </w:t>
      </w:r>
    </w:p>
    <w:p w14:paraId="32C26102" w14:textId="49D9192E" w:rsidR="00972E5E" w:rsidRPr="00252ED5" w:rsidRDefault="004E1EB5" w:rsidP="00252ED5">
      <w:pPr>
        <w:rPr>
          <w:rFonts w:cstheme="minorHAnsi"/>
          <w:b/>
          <w:color w:val="000000" w:themeColor="text1"/>
        </w:rPr>
      </w:pPr>
      <w:r w:rsidRPr="00AF4FDA">
        <w:rPr>
          <w:rFonts w:cstheme="minorHAnsi"/>
          <w:b/>
          <w:color w:val="000000" w:themeColor="text1"/>
        </w:rPr>
        <w:lastRenderedPageBreak/>
        <w:t>Competing interests</w:t>
      </w:r>
      <w:r w:rsidR="00252ED5">
        <w:rPr>
          <w:rFonts w:cstheme="minorHAnsi"/>
          <w:b/>
          <w:color w:val="000000" w:themeColor="text1"/>
        </w:rPr>
        <w:t xml:space="preserve">: </w:t>
      </w:r>
      <w:r w:rsidR="00AF4FDA">
        <w:rPr>
          <w:rFonts w:cstheme="minorHAnsi"/>
          <w:color w:val="000000" w:themeColor="text1"/>
          <w:shd w:val="clear" w:color="auto" w:fill="FFFFFF"/>
        </w:rPr>
        <w:t>N</w:t>
      </w:r>
      <w:r w:rsidR="004E5A30">
        <w:rPr>
          <w:rFonts w:cstheme="minorHAnsi"/>
          <w:color w:val="000000" w:themeColor="text1"/>
          <w:shd w:val="clear" w:color="auto" w:fill="FFFFFF"/>
        </w:rPr>
        <w:t>o</w:t>
      </w:r>
      <w:r w:rsidR="00AF4FDA">
        <w:rPr>
          <w:rFonts w:cstheme="minorHAnsi"/>
          <w:color w:val="000000" w:themeColor="text1"/>
          <w:shd w:val="clear" w:color="auto" w:fill="FFFFFF"/>
        </w:rPr>
        <w:t>ne</w:t>
      </w:r>
      <w:r w:rsidR="00252ED5">
        <w:rPr>
          <w:rFonts w:cstheme="minorHAnsi"/>
          <w:color w:val="000000" w:themeColor="text1"/>
          <w:shd w:val="clear" w:color="auto" w:fill="FFFFFF"/>
        </w:rPr>
        <w:t xml:space="preserve"> to declare</w:t>
      </w:r>
    </w:p>
    <w:p w14:paraId="459BA264" w14:textId="4357DE72" w:rsidR="00D55F56" w:rsidRDefault="00D55F56" w:rsidP="00590032">
      <w:pPr>
        <w:spacing w:line="360" w:lineRule="auto"/>
      </w:pPr>
      <w:r w:rsidRPr="00AF4FDA">
        <w:rPr>
          <w:b/>
          <w:bCs/>
        </w:rPr>
        <w:t>Word</w:t>
      </w:r>
      <w:r w:rsidR="004E1EB5" w:rsidRPr="00AF4FDA">
        <w:rPr>
          <w:b/>
          <w:bCs/>
        </w:rPr>
        <w:t xml:space="preserve"> Count:</w:t>
      </w:r>
      <w:r>
        <w:t xml:space="preserve"> (</w:t>
      </w:r>
      <w:r w:rsidR="00DD1F81">
        <w:t>3910</w:t>
      </w:r>
      <w:r w:rsidR="0016056B" w:rsidRPr="005D7C06">
        <w:t xml:space="preserve"> excluding tables</w:t>
      </w:r>
      <w:r w:rsidR="00C323FB">
        <w:t>)</w:t>
      </w:r>
    </w:p>
    <w:p w14:paraId="1E275F15" w14:textId="2AA57949" w:rsidR="00972E5E" w:rsidRPr="00601554" w:rsidRDefault="00972E5E" w:rsidP="00590032">
      <w:pPr>
        <w:spacing w:line="360" w:lineRule="auto"/>
      </w:pPr>
      <w:r>
        <w:rPr>
          <w:b/>
          <w:bCs/>
        </w:rPr>
        <w:t>Abstract</w:t>
      </w:r>
      <w:r w:rsidR="00601554" w:rsidRPr="00601554">
        <w:t xml:space="preserve"> (2</w:t>
      </w:r>
      <w:r w:rsidR="00487421">
        <w:t>3</w:t>
      </w:r>
      <w:r w:rsidR="00FD02E3">
        <w:t>6</w:t>
      </w:r>
      <w:r w:rsidR="00601554" w:rsidRPr="00601554">
        <w:t>)</w:t>
      </w:r>
    </w:p>
    <w:p w14:paraId="6A65A5C6" w14:textId="1CF9250D" w:rsidR="00972E5E" w:rsidRDefault="00270861" w:rsidP="00590032">
      <w:pPr>
        <w:spacing w:line="360" w:lineRule="auto"/>
      </w:pPr>
      <w:r>
        <w:t>Introduction</w:t>
      </w:r>
      <w:r w:rsidR="00290F44">
        <w:t>:</w:t>
      </w:r>
      <w:r w:rsidR="002414F7">
        <w:t xml:space="preserve"> </w:t>
      </w:r>
      <w:r w:rsidR="00AB31E3">
        <w:t xml:space="preserve">Hospital emergency </w:t>
      </w:r>
      <w:r w:rsidR="00DE3E86">
        <w:t>departments</w:t>
      </w:r>
      <w:r w:rsidR="00AB31E3">
        <w:t xml:space="preserve"> </w:t>
      </w:r>
      <w:r w:rsidR="00F15453">
        <w:t xml:space="preserve">(ED) </w:t>
      </w:r>
      <w:r w:rsidR="00AB31E3">
        <w:t xml:space="preserve">offer an opportunity to </w:t>
      </w:r>
      <w:r w:rsidR="00DE3E86">
        <w:t>engage</w:t>
      </w:r>
      <w:r w:rsidR="00AB31E3">
        <w:t xml:space="preserve"> with </w:t>
      </w:r>
      <w:r w:rsidR="00F45CBF">
        <w:t xml:space="preserve">large numbers of </w:t>
      </w:r>
      <w:r w:rsidR="00AB31E3">
        <w:t>people who smoke</w:t>
      </w:r>
      <w:r w:rsidR="001425AD">
        <w:t xml:space="preserve"> to prompt</w:t>
      </w:r>
      <w:r w:rsidR="007B659F">
        <w:t xml:space="preserve"> cessation</w:t>
      </w:r>
      <w:r w:rsidR="003432D0">
        <w:t xml:space="preserve">, although acceptability of </w:t>
      </w:r>
      <w:r w:rsidR="00CF2E2B">
        <w:t xml:space="preserve">opportunistic </w:t>
      </w:r>
      <w:r w:rsidR="003432D0">
        <w:t>intervention in this context has been questioned</w:t>
      </w:r>
      <w:r w:rsidR="00DE3E86">
        <w:t xml:space="preserve">. </w:t>
      </w:r>
      <w:r w:rsidR="002414F7">
        <w:t>This process evaluation study</w:t>
      </w:r>
      <w:r w:rsidR="007B659F">
        <w:t xml:space="preserve"> </w:t>
      </w:r>
      <w:r w:rsidR="00F15453">
        <w:t xml:space="preserve">was </w:t>
      </w:r>
      <w:r w:rsidR="008340DD">
        <w:t>embedded into</w:t>
      </w:r>
      <w:r w:rsidR="007B659F">
        <w:t xml:space="preserve"> the COSTED </w:t>
      </w:r>
      <w:r w:rsidR="00C360E5">
        <w:t xml:space="preserve">randomised controlled </w:t>
      </w:r>
      <w:r w:rsidR="007B659F">
        <w:t>trial</w:t>
      </w:r>
      <w:r w:rsidR="008340DD">
        <w:t xml:space="preserve"> </w:t>
      </w:r>
      <w:r w:rsidR="00C360E5">
        <w:t xml:space="preserve">(RCT) </w:t>
      </w:r>
      <w:r w:rsidR="008340DD">
        <w:t>and</w:t>
      </w:r>
      <w:r w:rsidR="002414F7">
        <w:t xml:space="preserve"> sought to </w:t>
      </w:r>
      <w:r w:rsidR="0066400D">
        <w:t>explore</w:t>
      </w:r>
      <w:r w:rsidR="00973104">
        <w:t xml:space="preserve"> the context of</w:t>
      </w:r>
      <w:r w:rsidR="0066400D">
        <w:t xml:space="preserve"> intervention delive</w:t>
      </w:r>
      <w:r w:rsidR="00F65FF3">
        <w:t>ry</w:t>
      </w:r>
      <w:r w:rsidR="00B1709F">
        <w:t xml:space="preserve"> within the ED</w:t>
      </w:r>
      <w:r w:rsidR="00F671DB">
        <w:t>.</w:t>
      </w:r>
    </w:p>
    <w:p w14:paraId="39C4AE16" w14:textId="7C59EE7C" w:rsidR="00290F44" w:rsidRDefault="00290F44" w:rsidP="00590032">
      <w:pPr>
        <w:spacing w:line="360" w:lineRule="auto"/>
      </w:pPr>
      <w:r>
        <w:t>Methods:</w:t>
      </w:r>
      <w:r w:rsidR="00F671DB">
        <w:t xml:space="preserve"> </w:t>
      </w:r>
      <w:r w:rsidR="007B76B5">
        <w:t xml:space="preserve">Qualitative interviews were conducted with participants and staff across six </w:t>
      </w:r>
      <w:r w:rsidR="00260188">
        <w:t>E</w:t>
      </w:r>
      <w:r w:rsidR="00C360E5">
        <w:t>D</w:t>
      </w:r>
      <w:r w:rsidR="00260188">
        <w:t xml:space="preserve">s </w:t>
      </w:r>
      <w:r w:rsidR="007B76B5">
        <w:t xml:space="preserve">participating </w:t>
      </w:r>
      <w:r w:rsidR="00260188">
        <w:t>in the COSTED</w:t>
      </w:r>
      <w:r w:rsidR="00C360E5">
        <w:t xml:space="preserve"> RCT</w:t>
      </w:r>
      <w:r w:rsidR="007B76B5">
        <w:t>.</w:t>
      </w:r>
      <w:r w:rsidR="00B65967">
        <w:t xml:space="preserve"> Interview data were thematically analysed specifically exploring contextual </w:t>
      </w:r>
      <w:r w:rsidR="000E6860">
        <w:t xml:space="preserve">influences. </w:t>
      </w:r>
      <w:r w:rsidR="0096070C">
        <w:t>D</w:t>
      </w:r>
      <w:r w:rsidR="000E6860">
        <w:t>ata w</w:t>
      </w:r>
      <w:r w:rsidR="0096070C">
        <w:t>ere</w:t>
      </w:r>
      <w:r w:rsidR="000E6860">
        <w:t xml:space="preserve"> triangulated with ethnographic observations</w:t>
      </w:r>
      <w:r w:rsidR="009C5C8C">
        <w:t>.</w:t>
      </w:r>
    </w:p>
    <w:p w14:paraId="7D9355B8" w14:textId="7BF771D5" w:rsidR="00290F44" w:rsidRDefault="00290F44" w:rsidP="00590032">
      <w:pPr>
        <w:spacing w:line="360" w:lineRule="auto"/>
      </w:pPr>
      <w:r>
        <w:t>Results:</w:t>
      </w:r>
      <w:r w:rsidR="005808E2">
        <w:t xml:space="preserve"> </w:t>
      </w:r>
      <w:r w:rsidR="00DC73AE">
        <w:t>In participant interviews (N=3</w:t>
      </w:r>
      <w:r w:rsidR="00D077BC">
        <w:t>4</w:t>
      </w:r>
      <w:r w:rsidR="009C5C8C">
        <w:t>)</w:t>
      </w:r>
      <w:r w:rsidR="00DC73AE">
        <w:t xml:space="preserve">, </w:t>
      </w:r>
      <w:r w:rsidR="00E923D0">
        <w:t>it was</w:t>
      </w:r>
      <w:r w:rsidR="009C5C8C">
        <w:t xml:space="preserve"> acceptable</w:t>
      </w:r>
      <w:r w:rsidR="00E923D0">
        <w:t xml:space="preserve"> overall </w:t>
      </w:r>
      <w:r w:rsidR="00CF1518">
        <w:t>to receive a</w:t>
      </w:r>
      <w:r w:rsidR="005808E2">
        <w:t xml:space="preserve"> brief opportunistic </w:t>
      </w:r>
      <w:r w:rsidR="00CF1518">
        <w:t xml:space="preserve">smoking cessation </w:t>
      </w:r>
      <w:r w:rsidR="005808E2">
        <w:t>intervention</w:t>
      </w:r>
      <w:r w:rsidR="00CF1518">
        <w:t xml:space="preserve"> in the ED</w:t>
      </w:r>
      <w:r w:rsidR="005808E2">
        <w:t xml:space="preserve">. </w:t>
      </w:r>
      <w:r w:rsidR="00E82287">
        <w:t>Contextual factors impacted at a range of levels. At the micro level participant</w:t>
      </w:r>
      <w:r w:rsidR="00B1232C">
        <w:t xml:space="preserve"> views and experiences combined with staff tailoring were important.</w:t>
      </w:r>
      <w:r w:rsidR="003F1D81">
        <w:t xml:space="preserve"> Being given an e-cigarette starter kit by a </w:t>
      </w:r>
      <w:r w:rsidR="00933E20">
        <w:t>‘</w:t>
      </w:r>
      <w:r w:rsidR="003F1D81">
        <w:t xml:space="preserve">credible source’ helped to legitimise vaping for smoking cessation and gave confidence in personal ability to switch away from tobacco. </w:t>
      </w:r>
      <w:r w:rsidR="00B1232C">
        <w:t xml:space="preserve"> At the </w:t>
      </w:r>
      <w:proofErr w:type="spellStart"/>
      <w:r w:rsidR="00B1232C">
        <w:t>meso</w:t>
      </w:r>
      <w:proofErr w:type="spellEnd"/>
      <w:r w:rsidR="00B1232C">
        <w:t xml:space="preserve"> level</w:t>
      </w:r>
      <w:r w:rsidR="00E82287">
        <w:t xml:space="preserve"> adaptations to intervention delivery </w:t>
      </w:r>
      <w:r w:rsidR="003F1D81">
        <w:t>were made responding to</w:t>
      </w:r>
      <w:r w:rsidR="00E82287">
        <w:t xml:space="preserve"> the context of the ED</w:t>
      </w:r>
      <w:r w:rsidR="00933E20">
        <w:t xml:space="preserve">. </w:t>
      </w:r>
      <w:r w:rsidR="00B224C4">
        <w:t>S</w:t>
      </w:r>
      <w:r w:rsidR="00914EC6">
        <w:t>t</w:t>
      </w:r>
      <w:r w:rsidR="00E23748">
        <w:t xml:space="preserve">op smoking </w:t>
      </w:r>
      <w:r w:rsidR="001D72DA">
        <w:t xml:space="preserve">advisors </w:t>
      </w:r>
      <w:r w:rsidR="00914EC6">
        <w:t xml:space="preserve">(N=11) </w:t>
      </w:r>
      <w:r w:rsidR="001D72DA">
        <w:t xml:space="preserve">had to </w:t>
      </w:r>
      <w:r w:rsidR="00A40F62">
        <w:t>adapt</w:t>
      </w:r>
      <w:r w:rsidR="001D72DA">
        <w:t xml:space="preserve"> and deliver the intervention</w:t>
      </w:r>
      <w:r w:rsidR="00A40F62">
        <w:t xml:space="preserve"> flexibly</w:t>
      </w:r>
      <w:r w:rsidR="001D72DA">
        <w:t xml:space="preserve"> </w:t>
      </w:r>
      <w:r w:rsidR="00A40F62">
        <w:t>depending</w:t>
      </w:r>
      <w:r w:rsidR="001D72DA">
        <w:t xml:space="preserve"> on space and </w:t>
      </w:r>
      <w:r w:rsidR="00A40F62">
        <w:t>clinical</w:t>
      </w:r>
      <w:r w:rsidR="001D72DA">
        <w:t xml:space="preserve"> need</w:t>
      </w:r>
      <w:r w:rsidR="00435551">
        <w:t xml:space="preserve">. </w:t>
      </w:r>
      <w:r w:rsidR="00933E20">
        <w:t>At the macro level, hospital policies supportive of va</w:t>
      </w:r>
      <w:r w:rsidR="00301485">
        <w:t>ping</w:t>
      </w:r>
      <w:r w:rsidR="00726B30">
        <w:t xml:space="preserve"> </w:t>
      </w:r>
      <w:r w:rsidR="00301485">
        <w:t>legitimised the approach.</w:t>
      </w:r>
    </w:p>
    <w:p w14:paraId="40C1E214" w14:textId="7AB86EEF" w:rsidR="00290F44" w:rsidRPr="008E4F2F" w:rsidRDefault="00290F44" w:rsidP="00590032">
      <w:pPr>
        <w:spacing w:line="360" w:lineRule="auto"/>
      </w:pPr>
      <w:r>
        <w:t>Conclusion</w:t>
      </w:r>
      <w:r w:rsidR="003D643C">
        <w:t>s</w:t>
      </w:r>
      <w:r>
        <w:t>:</w:t>
      </w:r>
      <w:r w:rsidR="002200FF">
        <w:t xml:space="preserve"> </w:t>
      </w:r>
      <w:r w:rsidR="00487421">
        <w:t>S</w:t>
      </w:r>
      <w:r w:rsidR="002C4F9A">
        <w:t xml:space="preserve">moking cessation </w:t>
      </w:r>
      <w:r w:rsidR="0046502A">
        <w:t xml:space="preserve">outcomes </w:t>
      </w:r>
      <w:r w:rsidR="002C4F9A">
        <w:t xml:space="preserve">reported in the main trial </w:t>
      </w:r>
      <w:r w:rsidR="0046502A">
        <w:t xml:space="preserve">across </w:t>
      </w:r>
      <w:r w:rsidR="00CA7787">
        <w:t>sites</w:t>
      </w:r>
      <w:r w:rsidR="0046502A">
        <w:t xml:space="preserve"> were </w:t>
      </w:r>
      <w:r w:rsidR="0034753F">
        <w:t>very similar because of the high</w:t>
      </w:r>
      <w:r w:rsidR="00FF479F">
        <w:t xml:space="preserve"> </w:t>
      </w:r>
      <w:r w:rsidR="00487421">
        <w:t xml:space="preserve">credibility, </w:t>
      </w:r>
      <w:r w:rsidR="00FF479F">
        <w:t>acceptab</w:t>
      </w:r>
      <w:r w:rsidR="0034753F">
        <w:t>ility</w:t>
      </w:r>
      <w:r w:rsidR="00FF479F">
        <w:t xml:space="preserve"> and f</w:t>
      </w:r>
      <w:r w:rsidR="00CF26F8">
        <w:t xml:space="preserve">lexible approach </w:t>
      </w:r>
      <w:r w:rsidR="0034753F">
        <w:t>of</w:t>
      </w:r>
      <w:r w:rsidR="00FF479F">
        <w:t xml:space="preserve"> deliver</w:t>
      </w:r>
      <w:r w:rsidR="0034753F">
        <w:t>ing</w:t>
      </w:r>
      <w:r w:rsidR="00FF479F">
        <w:t xml:space="preserve"> the COSTE</w:t>
      </w:r>
      <w:r w:rsidR="0041180C">
        <w:t>D</w:t>
      </w:r>
      <w:r w:rsidR="00FF479F">
        <w:t xml:space="preserve"> intervention in the ED. </w:t>
      </w:r>
    </w:p>
    <w:p w14:paraId="7F0D4F45" w14:textId="1E4D3C37" w:rsidR="00972E5E" w:rsidRDefault="00D33044" w:rsidP="00590032">
      <w:pPr>
        <w:spacing w:line="360" w:lineRule="auto"/>
        <w:rPr>
          <w:b/>
          <w:bCs/>
        </w:rPr>
      </w:pPr>
      <w:r>
        <w:rPr>
          <w:b/>
          <w:bCs/>
        </w:rPr>
        <w:t>Implications:</w:t>
      </w:r>
    </w:p>
    <w:p w14:paraId="50D28654" w14:textId="799DBC59" w:rsidR="00771C93" w:rsidRDefault="00720B19" w:rsidP="00590032">
      <w:pPr>
        <w:spacing w:line="360" w:lineRule="auto"/>
      </w:pPr>
      <w:r>
        <w:t>A</w:t>
      </w:r>
      <w:r w:rsidR="00B93C36">
        <w:t>ttending</w:t>
      </w:r>
      <w:r>
        <w:t xml:space="preserve"> a</w:t>
      </w:r>
      <w:r w:rsidR="00B93C36">
        <w:t xml:space="preserve"> hospital ED</w:t>
      </w:r>
      <w:r>
        <w:t xml:space="preserve"> is </w:t>
      </w:r>
      <w:r w:rsidR="007A28D5">
        <w:t>the right time and place to</w:t>
      </w:r>
      <w:r w:rsidR="00B93C36">
        <w:t xml:space="preserve"> receive smoking </w:t>
      </w:r>
      <w:r w:rsidR="003258AE">
        <w:t>cessation</w:t>
      </w:r>
      <w:r w:rsidR="00B93C36">
        <w:t xml:space="preserve"> </w:t>
      </w:r>
      <w:r w:rsidR="003258AE">
        <w:t>intervention</w:t>
      </w:r>
      <w:r w:rsidR="00B742D6">
        <w:t>, even for those not motivated to quit</w:t>
      </w:r>
      <w:r w:rsidR="007A28D5">
        <w:t>. People are willing to receive intervention</w:t>
      </w:r>
      <w:r w:rsidR="00F561B5">
        <w:t xml:space="preserve">, and </w:t>
      </w:r>
      <w:r w:rsidR="00E23748">
        <w:t xml:space="preserve">clinical </w:t>
      </w:r>
      <w:r w:rsidR="00F561B5">
        <w:t xml:space="preserve">staff are willing to </w:t>
      </w:r>
      <w:r w:rsidR="001235A6">
        <w:t>support</w:t>
      </w:r>
      <w:r w:rsidR="00E23748">
        <w:t xml:space="preserve"> intervention</w:t>
      </w:r>
      <w:r w:rsidR="001235A6">
        <w:t xml:space="preserve"> delivery</w:t>
      </w:r>
      <w:r w:rsidR="00B93C36">
        <w:t xml:space="preserve">. </w:t>
      </w:r>
      <w:r w:rsidR="003258AE">
        <w:t>Despite challenge</w:t>
      </w:r>
      <w:r w:rsidR="00752F72">
        <w:t>s</w:t>
      </w:r>
      <w:r w:rsidR="003258AE">
        <w:t xml:space="preserve">, </w:t>
      </w:r>
      <w:proofErr w:type="gramStart"/>
      <w:r w:rsidR="003258AE">
        <w:t>ov</w:t>
      </w:r>
      <w:r w:rsidR="00B93C36">
        <w:t>erall</w:t>
      </w:r>
      <w:proofErr w:type="gramEnd"/>
      <w:r w:rsidR="00B93C36">
        <w:t xml:space="preserve"> the context is helpful </w:t>
      </w:r>
      <w:r w:rsidR="003258AE">
        <w:t>in supporting people to switch away f</w:t>
      </w:r>
      <w:r w:rsidR="00FA15D2">
        <w:t>rom</w:t>
      </w:r>
      <w:r w:rsidR="003258AE">
        <w:t xml:space="preserve"> tobacco. </w:t>
      </w:r>
      <w:r w:rsidR="00771C93">
        <w:t xml:space="preserve">The intervention, with flexible and tailored implementation, </w:t>
      </w:r>
      <w:r w:rsidR="00494779">
        <w:t xml:space="preserve">is </w:t>
      </w:r>
      <w:r w:rsidR="00771C93">
        <w:t>adaptable to different ED contexts. This suggests that wider implementation across</w:t>
      </w:r>
      <w:r w:rsidR="00494779">
        <w:t xml:space="preserve"> NHS Trusts</w:t>
      </w:r>
      <w:r w:rsidR="00771C93">
        <w:t xml:space="preserve"> </w:t>
      </w:r>
      <w:r w:rsidR="00717619">
        <w:t xml:space="preserve">of </w:t>
      </w:r>
      <w:r w:rsidR="00494779">
        <w:t>the</w:t>
      </w:r>
      <w:r w:rsidR="00717619">
        <w:t xml:space="preserve"> effective</w:t>
      </w:r>
      <w:r w:rsidR="00494779">
        <w:t xml:space="preserve"> COSTED</w:t>
      </w:r>
      <w:r w:rsidR="00717619">
        <w:t xml:space="preserve"> intervention </w:t>
      </w:r>
      <w:r w:rsidR="00F06204">
        <w:t xml:space="preserve">is </w:t>
      </w:r>
      <w:r w:rsidR="00771C93">
        <w:t>feasible and</w:t>
      </w:r>
      <w:r w:rsidR="00ED5E7F">
        <w:t xml:space="preserve"> will</w:t>
      </w:r>
      <w:r w:rsidR="00771C93">
        <w:t xml:space="preserve"> ultimately support smoking cessation for people attending E</w:t>
      </w:r>
      <w:r w:rsidR="00ED5E7F">
        <w:t>D</w:t>
      </w:r>
      <w:r w:rsidR="00771C93">
        <w:t>s</w:t>
      </w:r>
      <w:r w:rsidR="00F06204">
        <w:t>, who may not otherwise have sought support.</w:t>
      </w:r>
    </w:p>
    <w:p w14:paraId="12AC7337" w14:textId="77777777" w:rsidR="006773BA" w:rsidRDefault="006773BA" w:rsidP="00590032">
      <w:pPr>
        <w:spacing w:line="360" w:lineRule="auto"/>
      </w:pPr>
    </w:p>
    <w:p w14:paraId="0D77DD6C" w14:textId="77777777" w:rsidR="00D33044" w:rsidRDefault="00D33044" w:rsidP="00590032">
      <w:pPr>
        <w:spacing w:line="360" w:lineRule="auto"/>
      </w:pPr>
    </w:p>
    <w:p w14:paraId="32525879" w14:textId="77777777" w:rsidR="00D33044" w:rsidRPr="002C2A4E" w:rsidRDefault="00D33044" w:rsidP="00590032">
      <w:pPr>
        <w:spacing w:line="360" w:lineRule="auto"/>
      </w:pPr>
    </w:p>
    <w:p w14:paraId="1DB73188" w14:textId="4C437B01" w:rsidR="00972E5E" w:rsidRPr="005E7260" w:rsidRDefault="005E7260" w:rsidP="00590032">
      <w:pPr>
        <w:spacing w:line="360" w:lineRule="auto"/>
        <w:rPr>
          <w:b/>
          <w:bCs/>
          <w:sz w:val="28"/>
          <w:szCs w:val="28"/>
        </w:rPr>
      </w:pPr>
      <w:r w:rsidRPr="005E7260">
        <w:rPr>
          <w:b/>
          <w:bCs/>
          <w:sz w:val="28"/>
          <w:szCs w:val="28"/>
        </w:rPr>
        <w:t>INTRODUCTION</w:t>
      </w:r>
    </w:p>
    <w:p w14:paraId="293FCEE6" w14:textId="4E838FCB" w:rsidR="006E2399" w:rsidRDefault="003D2CB8" w:rsidP="00590032">
      <w:pPr>
        <w:spacing w:line="360" w:lineRule="auto"/>
      </w:pPr>
      <w:r>
        <w:t xml:space="preserve">Smoking tobacco </w:t>
      </w:r>
      <w:r w:rsidR="009B0660">
        <w:t>is a key driver of health inequalities</w:t>
      </w:r>
      <w:r w:rsidR="00EB10C8">
        <w:t>. The more disadvantaged someone is, the more likely they are to smoke tobacco</w:t>
      </w:r>
      <w:r w:rsidR="0016000F">
        <w:t xml:space="preserve"> </w:t>
      </w:r>
      <w:r w:rsidR="005B48DC">
        <w:fldChar w:fldCharType="begin"/>
      </w:r>
      <w:r w:rsidR="005B48DC">
        <w:instrText xml:space="preserve"> ADDIN ZOTERO_ITEM CSL_CITATION {"citationID":"uSHtallz","properties":{"formattedCitation":"(1)","plainCitation":"(1)","noteIndex":0},"citationItems":[{"id":5569,"uris":["http://zotero.org/users/4082933/items/I5F9XY7V"],"itemData":{"id":5569,"type":"webpage","title":"Deprivation and the impact on smoking prevalence, England and Wales - Office for National Statistics","URL":"https://www.ons.gov.uk/peoplepopulationandcommunity/healthandsocialcare/drugusealcoholandsmoking/bulletins/deprivationandtheimpactonsmokingprevalenceenglandandwales/2017to2021","accessed":{"date-parts":[["2024",5,24]]}}}],"schema":"https://github.com/citation-style-language/schema/raw/master/csl-citation.json"} </w:instrText>
      </w:r>
      <w:r w:rsidR="005B48DC">
        <w:fldChar w:fldCharType="separate"/>
      </w:r>
      <w:r w:rsidR="005B48DC" w:rsidRPr="005B48DC">
        <w:rPr>
          <w:rFonts w:ascii="Calibri" w:hAnsi="Calibri" w:cs="Calibri"/>
        </w:rPr>
        <w:t>(1)</w:t>
      </w:r>
      <w:r w:rsidR="005B48DC">
        <w:fldChar w:fldCharType="end"/>
      </w:r>
      <w:r w:rsidR="00F735FA">
        <w:t>,</w:t>
      </w:r>
      <w:r w:rsidR="00D64614">
        <w:t xml:space="preserve"> suffer from smoking related </w:t>
      </w:r>
      <w:r>
        <w:t>disease</w:t>
      </w:r>
      <w:r w:rsidR="008231C8">
        <w:t xml:space="preserve"> and die prematurely</w:t>
      </w:r>
      <w:r>
        <w:t xml:space="preserve">. </w:t>
      </w:r>
      <w:r w:rsidR="00D46349">
        <w:t xml:space="preserve">Smoking prevalence is high amongst people attending hospital emergency departments </w:t>
      </w:r>
      <w:r>
        <w:t>(E</w:t>
      </w:r>
      <w:r w:rsidR="001B29A8">
        <w:t>D</w:t>
      </w:r>
      <w:r>
        <w:t>s</w:t>
      </w:r>
      <w:r w:rsidR="00A17ADB">
        <w:t>)</w:t>
      </w:r>
      <w:r w:rsidR="00186C2F">
        <w:fldChar w:fldCharType="begin"/>
      </w:r>
      <w:r w:rsidR="005B48DC">
        <w:instrText xml:space="preserve"> ADDIN ZOTERO_ITEM CSL_CITATION {"citationID":"IpIx2wT8","properties":{"formattedCitation":"(2)","plainCitation":"(2)","noteIndex":0},"citationItems":[{"id":5426,"uris":["http://zotero.org/users/4082933/items/DTST89S6"],"itemData":{"id":5426,"type":"article-journal","abstract":"Background: Hospital admission provides a special opportunity to identify smokers, and treatment of smoking in hospitalised patients is particularly effective.\nObjectives: We hypothesised that smoking prevalence is higher in people admitted to hospital compared to the general UK population, and higher in specific subgroups, such as emergency admissions.\nMethods: A British Thoracic Society online survey was used by hospitals, who randomly selected elective and emergency admissions under surgery and medicine, and retrospectively reviewed their case notes. Documentation of smoking status and treatment was recorded.\nResults: 146 institutions participated with 14,750 patient records submitted. Smoking status was recorded in 73% of cases. Smoking prevalence in UK hospital admissions was 25% (28% in males; 23% in females), significantly higher than the national average of 19% in Great Britain1 (p&lt;0.0001). The prevalence was highest in patients under 45 years of age (42%). Smoking prevalence in emergency admissions (27%) was higher than in elective admissions (19%). Smoking prevalence was also higher in respiratory patients (30%) than in other medical and surgical specialties. Of 2716 smokers only 28% were offered treatment, and under 6% received hospital based treatment for tobacco dependence.\nConclusions: This is the first UK wide study to measure real time smoking prevalence in hospitals. Smoking prevalence is significantly higher in people admitted to hospital than the general UK population. It is especially high in younger adults and emergency admissions. With at least 1 in 4 patients being current smokers, hospitalisation represents a unique opportunity to treat tobacco addiction.\n1 Office for national Statistics","container-title":"European Respiratory Journal","DOI":"10.1183/1393003.congress-2017.PA1268","ISSN":"0903-1936, 1399-3003","issue":"suppl 61","language":"en","license":"Copyright ©the authors 2017","note":"publisher: European Respiratory Society\nsection: Tobacco, Smoking Control and Health Education","source":"erj.ersjournals.com","title":"Smoking prevalence in UK hospital admissions from a national observational study","URL":"https://erj.ersjournals.com/content/50/suppl_61/PA1268","volume":"50","author":[{"family":"Mangera","given":"Zaheer"},{"family":"Lewis","given":"Anna"},{"family":"Hutchinson","given":"John"},{"family":"Searle","given":"Laura"},{"family":"Agrawal","given":"Sanjay"}],"accessed":{"date-parts":[["2024",3,23]]},"issued":{"date-parts":[["2017",9,1]]}}}],"schema":"https://github.com/citation-style-language/schema/raw/master/csl-citation.json"} </w:instrText>
      </w:r>
      <w:r w:rsidR="00186C2F">
        <w:fldChar w:fldCharType="separate"/>
      </w:r>
      <w:r w:rsidR="005B48DC" w:rsidRPr="005B48DC">
        <w:rPr>
          <w:rFonts w:ascii="Calibri" w:hAnsi="Calibri" w:cs="Calibri"/>
        </w:rPr>
        <w:t>(2)</w:t>
      </w:r>
      <w:r w:rsidR="00186C2F">
        <w:fldChar w:fldCharType="end"/>
      </w:r>
      <w:r w:rsidR="00DD1EB3">
        <w:t>,</w:t>
      </w:r>
      <w:r w:rsidR="00C025DC">
        <w:t xml:space="preserve"> who also </w:t>
      </w:r>
      <w:r w:rsidR="00834134">
        <w:t>treat</w:t>
      </w:r>
      <w:r w:rsidR="00C025DC">
        <w:t xml:space="preserve"> </w:t>
      </w:r>
      <w:r w:rsidR="00834134">
        <w:t>disproportionate</w:t>
      </w:r>
      <w:r w:rsidR="00C025DC">
        <w:t xml:space="preserve"> numbers of people f</w:t>
      </w:r>
      <w:r w:rsidR="00F735FA">
        <w:t>ro</w:t>
      </w:r>
      <w:r w:rsidR="00C025DC">
        <w:t>m lower socioeconomic groups</w:t>
      </w:r>
      <w:r w:rsidR="00F735FA">
        <w:fldChar w:fldCharType="begin"/>
      </w:r>
      <w:r w:rsidR="00F735FA">
        <w:instrText xml:space="preserve"> ADDIN ZOTERO_ITEM CSL_CITATION {"citationID":"jpe9iRkt","properties":{"formattedCitation":"(3)","plainCitation":"(3)","noteIndex":0},"citationItems":[{"id":5571,"uris":["http://zotero.org/users/4082933/items/QGWUPFUA"],"itemData":{"id":5571,"type":"webpage","title":"Inequalities in Accident and Emergency department attendance, England - Office for National Statistics","URL":"https://www.ons.gov.uk/peoplepopulationandcommunity/healthandsocialcare/healthcaresystem/articles/inequalitiesinaccidentandemergencydepartmentattendanceengland/march2021tomarch2022","accessed":{"date-parts":[["2024",5,24]]}}}],"schema":"https://github.com/citation-style-language/schema/raw/master/csl-citation.json"} </w:instrText>
      </w:r>
      <w:r w:rsidR="00F735FA">
        <w:fldChar w:fldCharType="separate"/>
      </w:r>
      <w:r w:rsidR="00F735FA" w:rsidRPr="00F735FA">
        <w:rPr>
          <w:rFonts w:ascii="Calibri" w:hAnsi="Calibri" w:cs="Calibri"/>
        </w:rPr>
        <w:t>(3)</w:t>
      </w:r>
      <w:r w:rsidR="00F735FA">
        <w:fldChar w:fldCharType="end"/>
      </w:r>
      <w:r w:rsidR="00F735FA">
        <w:t>.</w:t>
      </w:r>
      <w:r w:rsidR="00C025DC">
        <w:t xml:space="preserve"> The ED</w:t>
      </w:r>
      <w:r w:rsidR="00DD1EB3">
        <w:t xml:space="preserve"> </w:t>
      </w:r>
      <w:r w:rsidR="002603AD">
        <w:t>present</w:t>
      </w:r>
      <w:r w:rsidR="00C025DC">
        <w:t>s</w:t>
      </w:r>
      <w:r w:rsidR="002603AD">
        <w:t xml:space="preserve"> an opportunistic setting</w:t>
      </w:r>
      <w:r w:rsidR="00B1311C">
        <w:t xml:space="preserve"> </w:t>
      </w:r>
      <w:r w:rsidR="002603AD">
        <w:t>to</w:t>
      </w:r>
      <w:r w:rsidR="00760AF8">
        <w:t xml:space="preserve"> support people to quit smoking</w:t>
      </w:r>
      <w:r w:rsidR="00DA051B">
        <w:t xml:space="preserve"> </w:t>
      </w:r>
      <w:r w:rsidR="00660576">
        <w:fldChar w:fldCharType="begin"/>
      </w:r>
      <w:r w:rsidR="00F735FA">
        <w:instrText xml:space="preserve"> ADDIN ZOTERO_ITEM CSL_CITATION {"citationID":"XCyWCN4a","properties":{"formattedCitation":"(4,5)","plainCitation":"(4,5)","noteIndex":0},"citationItems":[{"id":1614,"uris":["http://zotero.org/users/4082933/items/R7EE4J84"],"itemData":{"id":1614,"type":"article-journal","abstract":"Urgent and emergency care (UEC) settings provide an opportunity to prevent ill-health and promote healthy lifestyles with potential to screen and deliver interventions to under-served, at-risk populations. The aim of this study was to synthesise and summarise the evidence on the effectiveness and implementation of interventions for health promotion in UEC settings.","container-title":"BMC Emergency Medicine","DOI":"10.1186/s12873-023-00798-7","ISSN":"1471-227X","issue":"1","journalAbbreviation":"BMC Emergency Medicine","page":"41","source":"BioMed Central","title":"Effectiveness and implementation of interventions for health promotion in urgent and emergency care settings: an umbrella review","title-short":"Effectiveness and implementation of interventions for health promotion in urgent and emergency care settings","volume":"23","author":[{"family":"Adams","given":"Emma J."},{"family":"Morris","given":"Lucy"},{"family":"Marshall","given":"Goolnora"},{"family":"Coffey","given":"Frank"},{"family":"Miller","given":"Philip D."},{"family":"Blake","given":"Holly"}],"issued":{"date-parts":[["2023",4,6]]}}},{"id":1610,"uris":["http://zotero.org/users/4082933/items/LICJFWL4"],"itemData":{"id":1610,"type":"article-journal","abstract":"Emergency department (ED) patients disproportionally smoke compared to the general population and frequently utilize the ED for routine, urgent, and emergent care. Thus, the ED is a target-rich environment for interventions aimed at increasing smoking cessation, especially among vulnerable populations. Promotion of smoking cessation in the ED has the potential to address health inequalities and reach patients that experience significant barriers to accessing preventive care and lifestyle modifications.","container-title":"Emergency Cancer Care","DOI":"10.1186/s44201-022-00006-5","ISSN":"2731-4790","issue":"1","journalAbbreviation":"Emergency Cancer Care","page":"5","source":"BioMed Central","title":"A selective review of smoking cessation interventions in the emergency department","volume":"1","author":[{"family":"Pettit","given":"Nicholas"},{"family":"Pope","given":"Ian"},{"family":"Neuner","given":"Bruno"},{"family":"Lash","given":"Rebecca"},{"family":"Bernstein","given":"Steven L."}],"issued":{"date-parts":[["2022",6,15]]}}}],"schema":"https://github.com/citation-style-language/schema/raw/master/csl-citation.json"} </w:instrText>
      </w:r>
      <w:r w:rsidR="00660576">
        <w:fldChar w:fldCharType="separate"/>
      </w:r>
      <w:r w:rsidR="00F735FA" w:rsidRPr="00F735FA">
        <w:rPr>
          <w:rFonts w:ascii="Calibri" w:hAnsi="Calibri" w:cs="Calibri"/>
        </w:rPr>
        <w:t>(4,5)</w:t>
      </w:r>
      <w:r w:rsidR="00660576">
        <w:fldChar w:fldCharType="end"/>
      </w:r>
      <w:r w:rsidR="002603AD">
        <w:t xml:space="preserve">. </w:t>
      </w:r>
    </w:p>
    <w:p w14:paraId="1E82FEA1" w14:textId="3827D2EF" w:rsidR="002603AD" w:rsidRDefault="004934B6" w:rsidP="00590032">
      <w:pPr>
        <w:spacing w:line="360" w:lineRule="auto"/>
      </w:pPr>
      <w:r>
        <w:t>The</w:t>
      </w:r>
      <w:r w:rsidR="00DD1EB3">
        <w:t xml:space="preserve"> Cessation of Smoking Trial in the Emergency Department</w:t>
      </w:r>
      <w:r>
        <w:t xml:space="preserve"> </w:t>
      </w:r>
      <w:r w:rsidR="00DD1EB3">
        <w:t>(</w:t>
      </w:r>
      <w:r>
        <w:t>COSTED</w:t>
      </w:r>
      <w:r w:rsidR="00DD1EB3">
        <w:t>)</w:t>
      </w:r>
      <w:r w:rsidR="00071D92">
        <w:fldChar w:fldCharType="begin"/>
      </w:r>
      <w:r w:rsidR="00845B5A">
        <w:instrText xml:space="preserve"> ADDIN ZOTERO_ITEM CSL_CITATION {"citationID":"7WjXHB3y","properties":{"formattedCitation":"(6,7)","plainCitation":"(6,7)","noteIndex":0},"citationItems":[{"id":1796,"uris":["http://zotero.org/users/4082933/items/I639I2YB"],"itemData":{"id":1796,"type":"article-journal","abstract":"Introduction Attendees of emergency departments (EDs) have a higher than expected prevalence of smoking. ED attendance may be a good opportunity to prompt positive behaviour change, even for smokers not currently motivated to quit. This study aims to determine whether an opportunist smoking cessation intervention delivered in the ED can help daily smokers attending the ED quit smoking and is cost-effective.\nMethods and analysis A two-arm pragmatic, multicentred, parallel-group, individually randomised, controlled superiority trial with an internal pilot, economic evaluation and mixed methods process evaluation. The trial will compare ED-based brief smoking cessation advice, including provision of an e-cigarette and referral to local stop smoking services (intervention) with the provision of contact details for local stop smoking services (control). Target sample size is 972, recruiting across 6 National Health Service EDs in England and Scotland. Outcomes will be collected at 1, 3 and 6 months. The primary outcome at 6 months is carbon monoxide verified continuous smoking abstinence.\nEthics and dissemination The trial was approved by the South Central—Oxford B Research Committee (21/SC/0288). Dissemination will include the publication of outcomes, and the process and economic evaluations in peer-reviewed journals. The findings will also be appropriately disseminated to relevant practice, policy and patient representative groups.\nTrial registration number NCT04854616; protocol V.4.2.","container-title":"BMJ Open","DOI":"10.1136/bmjopen-2022-064585","ISSN":"2044-6055, 2044-6055","issue":"1","language":"en","license":"© Author(s) (or their employer(s)) 2023.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British Medical Journal Publishing Group\nsection: Emergency medicine\nPMID: 36657751","page":"e064585","source":"bmjopen.bmj.com","title":"Cessation of smoking trial in the emergency department (CoSTED): protocol for a multicentre randomised controlled trial","title-short":"Cessation of smoking trial in the emergency department (CoSTED)","volume":"13","author":[{"family":"Notley","given":"Caitlin"},{"family":"Clark","given":"Lucy"},{"family":"Belderson","given":"Pippa"},{"family":"Ward","given":"Emma"},{"family":"Clark","given":"Allan B."},{"family":"Parrott","given":"Steve"},{"family":"Agrawal","given":"Sanjay"},{"family":"Bloom","given":"Ben M."},{"family":"Boyle","given":"Adrian A."},{"family":"Morris","given":"Geraint"},{"family":"Gray","given":"Alasdair"},{"family":"Coats","given":"Tim"},{"family":"Man","given":"Mei-See"},{"family":"Bauld","given":"Linda"},{"family":"Holland","given":"Richard"},{"family":"Pope","given":"Ian"}],"issued":{"date-parts":[["2023",1,1]]}}},{"id":5468,"uris":["http://zotero.org/users/4082933/items/GZN2SKQI"],"itemData":{"id":5468,"type":"article-journal","abstract":"BACKGROUND: Supporting people to quit smoking is one of the most powerful interventions to improve health. The Emergency Department (ED) represents a potentially valuable opportunity to deliver a smoking cessation intervention if it is sufficiently resourced. The objective of this trial was to determine whether an opportunistic ED-based smoking cessation intervention can help people to quit smoking.\nMETHODS: In this multicentre, parallel-group, randomised controlled superiority trial conducted between January and August 2022, adults who smoked daily and attended one of six UK EDs were randomised to intervention (brief advice, e-cigarette starter kit and referral to stop smoking services) or control (written information on stop smoking services). The primary outcome was biochemically validated abstinence at 6 months.\nRESULTS: An intention-to-treat analysis included 972 of 1443 people screened for inclusion (484 in the intervention group, 488 in the control group). Of 975 participants randomised, 3 were subsequently excluded, 17 withdrew and 287 were lost to follow-up. The 6-month biochemically-verified abstinence rate was 7.2% in the intervention group and 4.1% in the control group (relative risk 1.76; 95% CI 1.03 to 3.01; p=0.038). Self-reported 7-day abstinence at 6 months was 23.3% in the intervention group and 12.9% in the control group (relative risk 1.80; 95% CI 1.36 to 2.38; p&lt;0.001). No serious adverse events related to taking part in the trial were reported.\nCONCLUSIONS: An opportunistic smoking cessation intervention comprising brief advice, an e-cigarette starter kit and referral to stop smoking services is effective for sustained smoking abstinence with few reported adverse events.\nTRIAL REGISTRATION NUMBER: NCT04854616.","container-title":"Emergency medicine journal: EMJ","DOI":"10.1136/emermed-2023-213824","ISSN":"1472-0213","issue":"5","journalAbbreviation":"Emerg Med J","language":"eng","note":"PMID: 38531658\nPMCID: PMC11041600","page":"276-282","source":"PubMed","title":"Cessation of Smoking Trial in the Emergency Department (COSTED): a multicentre randomised controlled trial","title-short":"Cessation of Smoking Trial in the Emergency Department (COSTED)","volume":"41","author":[{"family":"Pope","given":"Ian"},{"family":"Clark","given":"Lucy V."},{"family":"Clark","given":"Allan"},{"family":"Ward","given":"Emma"},{"family":"Belderson","given":"Pippa"},{"family":"Stirling","given":"Susan"},{"family":"Parrott","given":"Steve"},{"family":"Li","given":"Jinshuo"},{"family":"Coats","given":"Tim"},{"family":"Bauld","given":"Linda"},{"family":"Holland","given":"Richard"},{"family":"Gentry","given":"Sarah"},{"family":"Agrawal","given":"Sanjay"},{"family":"Bloom","given":"Benjamin Michael"},{"family":"Boyle","given":"Adrian A."},{"family":"Gray","given":"Alasdair J."},{"family":"Morris","given":"M. Geraint"},{"family":"Livingstone-Banks","given":"Jonathan"},{"family":"Notley","given":"Caitlin"}],"issued":{"date-parts":[["2024",4,22]]}}}],"schema":"https://github.com/citation-style-language/schema/raw/master/csl-citation.json"} </w:instrText>
      </w:r>
      <w:r w:rsidR="00071D92">
        <w:fldChar w:fldCharType="separate"/>
      </w:r>
      <w:r w:rsidR="00845B5A" w:rsidRPr="00845B5A">
        <w:rPr>
          <w:rFonts w:ascii="Calibri" w:hAnsi="Calibri" w:cs="Calibri"/>
        </w:rPr>
        <w:t>(6,7)</w:t>
      </w:r>
      <w:r w:rsidR="00071D92">
        <w:fldChar w:fldCharType="end"/>
      </w:r>
      <w:r w:rsidRPr="00355CC4">
        <w:t xml:space="preserve"> test</w:t>
      </w:r>
      <w:r w:rsidR="00DD596A">
        <w:t>ed</w:t>
      </w:r>
      <w:r w:rsidRPr="00355CC4">
        <w:t xml:space="preserve"> real-world effectiveness of an ED-based brief</w:t>
      </w:r>
      <w:r w:rsidR="00DD1EB3">
        <w:t xml:space="preserve"> intervention to support people to quit smoking. The intervention included brief advice,</w:t>
      </w:r>
      <w:r>
        <w:t xml:space="preserve"> provision of an e-cigarette starter kit</w:t>
      </w:r>
      <w:r w:rsidR="00DD1EB3">
        <w:t xml:space="preserve"> and referral to stop smoking services</w:t>
      </w:r>
      <w:r w:rsidR="00334A7D">
        <w:t xml:space="preserve">. </w:t>
      </w:r>
      <w:r w:rsidR="00184AFB">
        <w:t xml:space="preserve">The trial demonstrated that the </w:t>
      </w:r>
      <w:r w:rsidR="001B0683">
        <w:t>intervention</w:t>
      </w:r>
      <w:r w:rsidR="00184AFB">
        <w:t xml:space="preserve"> was effective at supporting long term </w:t>
      </w:r>
      <w:r w:rsidR="009A44D8">
        <w:t xml:space="preserve">biochemically validated continuous </w:t>
      </w:r>
      <w:r w:rsidR="009A44D8" w:rsidRPr="00355CC4">
        <w:t>smoking abstinence</w:t>
      </w:r>
      <w:r w:rsidR="009A44D8">
        <w:t xml:space="preserve"> </w:t>
      </w:r>
      <w:r w:rsidR="001B0683">
        <w:t>for people (motivated or unmotivated) attending hospital emergency departments</w:t>
      </w:r>
      <w:r w:rsidR="001B0683">
        <w:fldChar w:fldCharType="begin"/>
      </w:r>
      <w:r w:rsidR="00F735FA">
        <w:instrText xml:space="preserve"> ADDIN ZOTERO_ITEM CSL_CITATION {"citationID":"V1MbLsZB","properties":{"formattedCitation":"(7)","plainCitation":"(7)","noteIndex":0},"citationItems":[{"id":5468,"uris":["http://zotero.org/users/4082933/items/GZN2SKQI"],"itemData":{"id":5468,"type":"article-journal","abstract":"BACKGROUND: Supporting people to quit smoking is one of the most powerful interventions to improve health. The Emergency Department (ED) represents a potentially valuable opportunity to deliver a smoking cessation intervention if it is sufficiently resourced. The objective of this trial was to determine whether an opportunistic ED-based smoking cessation intervention can help people to quit smoking.\nMETHODS: In this multicentre, parallel-group, randomised controlled superiority trial conducted between January and August 2022, adults who smoked daily and attended one of six UK EDs were randomised to intervention (brief advice, e-cigarette starter kit and referral to stop smoking services) or control (written information on stop smoking services). The primary outcome was biochemically validated abstinence at 6 months.\nRESULTS: An intention-to-treat analysis included 972 of 1443 people screened for inclusion (484 in the intervention group, 488 in the control group). Of 975 participants randomised, 3 were subsequently excluded, 17 withdrew and 287 were lost to follow-up. The 6-month biochemically-verified abstinence rate was 7.2% in the intervention group and 4.1% in the control group (relative risk 1.76; 95% CI 1.03 to 3.01; p=0.038). Self-reported 7-day abstinence at 6 months was 23.3% in the intervention group and 12.9% in the control group (relative risk 1.80; 95% CI 1.36 to 2.38; p&lt;0.001). No serious adverse events related to taking part in the trial were reported.\nCONCLUSIONS: An opportunistic smoking cessation intervention comprising brief advice, an e-cigarette starter kit and referral to stop smoking services is effective for sustained smoking abstinence with few reported adverse events.\nTRIAL REGISTRATION NUMBER: NCT04854616.","container-title":"Emergency medicine journal: EMJ","DOI":"10.1136/emermed-2023-213824","ISSN":"1472-0213","issue":"5","journalAbbreviation":"Emerg Med J","language":"eng","note":"PMID: 38531658\nPMCID: PMC11041600","page":"276-282","source":"PubMed","title":"Cessation of Smoking Trial in the Emergency Department (COSTED): a multicentre randomised controlled trial","title-short":"Cessation of Smoking Trial in the Emergency Department (COSTED)","volume":"41","author":[{"family":"Pope","given":"Ian"},{"family":"Clark","given":"Lucy V."},{"family":"Clark","given":"Allan"},{"family":"Ward","given":"Emma"},{"family":"Belderson","given":"Pippa"},{"family":"Stirling","given":"Susan"},{"family":"Parrott","given":"Steve"},{"family":"Li","given":"Jinshuo"},{"family":"Coats","given":"Tim"},{"family":"Bauld","given":"Linda"},{"family":"Holland","given":"Richard"},{"family":"Gentry","given":"Sarah"},{"family":"Agrawal","given":"Sanjay"},{"family":"Bloom","given":"Benjamin Michael"},{"family":"Boyle","given":"Adrian A."},{"family":"Gray","given":"Alasdair J."},{"family":"Morris","given":"M. Geraint"},{"family":"Livingstone-Banks","given":"Jonathan"},{"family":"Notley","given":"Caitlin"}],"issued":{"date-parts":[["2024",4,22]]}}}],"schema":"https://github.com/citation-style-language/schema/raw/master/csl-citation.json"} </w:instrText>
      </w:r>
      <w:r w:rsidR="001B0683">
        <w:fldChar w:fldCharType="separate"/>
      </w:r>
      <w:r w:rsidR="00F735FA" w:rsidRPr="00F735FA">
        <w:rPr>
          <w:rFonts w:ascii="Calibri" w:hAnsi="Calibri" w:cs="Calibri"/>
        </w:rPr>
        <w:t>(7)</w:t>
      </w:r>
      <w:r w:rsidR="001B0683">
        <w:fldChar w:fldCharType="end"/>
      </w:r>
      <w:r w:rsidR="00140EF9">
        <w:t>.</w:t>
      </w:r>
    </w:p>
    <w:p w14:paraId="723B3FA5" w14:textId="2278C705" w:rsidR="008E4F4A" w:rsidRDefault="000733AE" w:rsidP="00590032">
      <w:pPr>
        <w:spacing w:line="360" w:lineRule="auto"/>
      </w:pPr>
      <w:r>
        <w:t>It is increasingly recognised that context</w:t>
      </w:r>
      <w:r w:rsidR="00140EF9">
        <w:t xml:space="preserve"> fundamentally</w:t>
      </w:r>
      <w:r>
        <w:t xml:space="preserve"> impact</w:t>
      </w:r>
      <w:r w:rsidR="00D36209">
        <w:t xml:space="preserve">s </w:t>
      </w:r>
      <w:r w:rsidR="00D36209" w:rsidRPr="00D1083B">
        <w:rPr>
          <w:rFonts w:cstheme="minorHAnsi"/>
        </w:rPr>
        <w:t xml:space="preserve">intervention delivery, both within </w:t>
      </w:r>
      <w:r w:rsidR="00140EF9">
        <w:rPr>
          <w:rFonts w:cstheme="minorHAnsi"/>
        </w:rPr>
        <w:t xml:space="preserve">randomised controlled </w:t>
      </w:r>
      <w:r w:rsidR="00D36209" w:rsidRPr="00D1083B">
        <w:rPr>
          <w:rFonts w:cstheme="minorHAnsi"/>
        </w:rPr>
        <w:t xml:space="preserve">trials and </w:t>
      </w:r>
      <w:r w:rsidR="00D1083B" w:rsidRPr="00D1083B">
        <w:rPr>
          <w:rFonts w:cstheme="minorHAnsi"/>
        </w:rPr>
        <w:t>real</w:t>
      </w:r>
      <w:r w:rsidR="00D36209" w:rsidRPr="00D1083B">
        <w:rPr>
          <w:rFonts w:cstheme="minorHAnsi"/>
        </w:rPr>
        <w:t xml:space="preserve"> world implementation</w:t>
      </w:r>
      <w:r w:rsidR="00061B7E">
        <w:rPr>
          <w:rFonts w:cstheme="minorHAnsi"/>
        </w:rPr>
        <w:fldChar w:fldCharType="begin"/>
      </w:r>
      <w:r w:rsidR="00F735FA">
        <w:rPr>
          <w:rFonts w:cstheme="minorHAnsi"/>
        </w:rPr>
        <w:instrText xml:space="preserve"> ADDIN ZOTERO_ITEM CSL_CITATION {"citationID":"2PhFHNkM","properties":{"formattedCitation":"(8)","plainCitation":"(8)","noteIndex":0},"citationItems":[{"id":1613,"uris":["http://zotero.org/users/4082933/items/NRR3Z2SI"],"itemData":{"id":1613,"type":"article-journal","abstract":"Health psychology is at the forefront of developing and disseminating evidence, theories, and methods that have improved the understanding of health behaviour change. However, current dissemination approaches may be insufficient for promoting broader application and impact of this evidence to benefit the health of patients and the public. Nevertheless, behaviour change theory/methods typically directed towards health behaviours are now used in implementation science to understand and support behaviour change in individuals at different health system levels whose own behaviour impacts delivering evidence-based health behaviour change interventions. Despite contributing to implementation science, health psychology is perhaps doing less to draw from it. A redoubled focus on implementation science in health psychology could provide novel prospects for enhancing the impact of health behaviour change evidence. We report a Health Psychology Review-specific review-of-reviews of trials of health behaviour change interventions published from inception to April 2020. We identified 34 reviews and assessed whether implementation readiness of behaviour change interventions was discussed. We then narratively review how implementation science has integrated theory/methods from health psychology and related discipline. Finally, we demonstrate how greater synergy between implementation science and health psychology could promote greater follow-through on advances made in the science of health behaviour change.","container-title":"Health Psychology Review","DOI":"10.1080/17437199.2020.1866638","ISSN":"1743-7199","issue":"1","note":"publisher: Routledge\n_eprint: https://doi.org/10.1080/17437199.2020.1866638\nPMID: 33446062","page":"22-49","source":"Taylor and Francis+NEJM","title":"Enhancing the translation of health behaviour change research into practice: a selective conceptual review of the synergy between implementation science and health psychology","title-short":"Enhancing the translation of health behaviour change research into practice","volume":"16","author":[{"family":"Presseau","given":"Justin"},{"family":"Byrne-Davis","given":"Lucie M.T."},{"family":"Hotham","given":"Sarah"},{"family":"Lorencatto","given":"Fabiana"},{"family":"Potthoff","given":"Sebastian"},{"family":"Atkinson","given":"Lou"},{"family":"Bull","given":"Eleanor R."},{"family":"Dima","given":"Alexandra L."},{"family":"Dongen","given":"Anne","non-dropping-particle":"van"},{"family":"French","given":"David"},{"family":"Hankonen","given":"Nelli"},{"family":"Hart","given":"Jo"},{"family":"Hoor","given":"Gill A.","non-dropping-particle":"ten"},{"family":"Hudson","given":"Kristian"},{"family":"Kwasnicka","given":"Dominika"},{"family":"Lieshout","given":"Sanne","non-dropping-particle":"van"},{"family":"McSharry","given":"Jennifer"},{"family":"Olander","given":"Ellinor K."},{"family":"Powell","given":"Rachael"},{"family":"Toomey","given":"Elaine"},{"family":"Byrne","given":"Molly"}],"issued":{"date-parts":[["2022",1,2]]}}}],"schema":"https://github.com/citation-style-language/schema/raw/master/csl-citation.json"} </w:instrText>
      </w:r>
      <w:r w:rsidR="00061B7E">
        <w:rPr>
          <w:rFonts w:cstheme="minorHAnsi"/>
        </w:rPr>
        <w:fldChar w:fldCharType="separate"/>
      </w:r>
      <w:r w:rsidR="00F735FA" w:rsidRPr="00F735FA">
        <w:rPr>
          <w:rFonts w:ascii="Calibri" w:hAnsi="Calibri" w:cs="Calibri"/>
        </w:rPr>
        <w:t>(8)</w:t>
      </w:r>
      <w:r w:rsidR="00061B7E">
        <w:rPr>
          <w:rFonts w:cstheme="minorHAnsi"/>
        </w:rPr>
        <w:fldChar w:fldCharType="end"/>
      </w:r>
      <w:r w:rsidR="00D36209" w:rsidRPr="00D1083B">
        <w:rPr>
          <w:rFonts w:cstheme="minorHAnsi"/>
        </w:rPr>
        <w:t xml:space="preserve">. We define context as </w:t>
      </w:r>
      <w:r w:rsidR="00D36209" w:rsidRPr="00D1083B">
        <w:rPr>
          <w:rFonts w:cstheme="minorHAnsi"/>
          <w:color w:val="333333"/>
          <w:shd w:val="clear" w:color="auto" w:fill="FFFFFF"/>
        </w:rPr>
        <w:t>“any feature of the circumstances in which an intervention is conceived, developed, implemented and evaluated”</w:t>
      </w:r>
      <w:r w:rsidR="00D1083B" w:rsidRPr="00D1083B">
        <w:rPr>
          <w:rFonts w:cstheme="minorHAnsi"/>
          <w:color w:val="333333"/>
          <w:shd w:val="clear" w:color="auto" w:fill="FFFFFF"/>
        </w:rPr>
        <w:fldChar w:fldCharType="begin"/>
      </w:r>
      <w:r w:rsidR="00F735FA">
        <w:rPr>
          <w:rFonts w:cstheme="minorHAnsi"/>
          <w:color w:val="333333"/>
          <w:shd w:val="clear" w:color="auto" w:fill="FFFFFF"/>
        </w:rPr>
        <w:instrText xml:space="preserve"> ADDIN ZOTERO_ITEM CSL_CITATION {"citationID":"LjeqwTDm","properties":{"formattedCitation":"(9)","plainCitation":"(9)","noteIndex":0},"citationItems":[{"id":1618,"uris":["http://zotero.org/users/4082933/items/XTGU6JRM"],"itemData":{"id":1618,"type":"article-journal","abstract":"&lt;p&gt;The UK Medical Research Council’s widely used guidance for developing and evaluating complex interventions has been replaced by a new framework, commissioned jointly by the Medical Research Council and the National Institute for Health Research, which takes account of recent developments in theory and methods and the need to maximise the efficiency, use, and impact of research.&lt;/p&gt;","container-title":"BMJ","DOI":"10.1136/bmj.n2061","ISSN":"1756-1833","journalAbbreviation":"BMJ","language":"en","license":"© Author(s) (or their employer(s)) 2019. Re-use permitted under CC BY. No commercial re-use. See rights and permissions. Published by BMJ.. http://creativecommons.org/licenses/by/4.0/This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34593508","page":"n2061","source":"www.bmj.com","title":"A new framework for developing and evaluating complex interventions: update of Medical Research Council guidance","title-short":"A new framework for developing and evaluating complex interventions","volume":"374","author":[{"family":"Skivington","given":"Kathryn"},{"family":"Matthews","given":"Lynsay"},{"family":"Simpson","given":"Sharon Anne"},{"family":"Craig","given":"Peter"},{"family":"Baird","given":"Janis"},{"family":"Blazeby","given":"Jane M."},{"family":"Boyd","given":"Kathleen Anne"},{"family":"Craig","given":"Neil"},{"family":"French","given":"David P."},{"family":"McIntosh","given":"Emma"},{"family":"Petticrew","given":"Mark"},{"family":"Rycroft-Malone","given":"Jo"},{"family":"White","given":"Martin"},{"family":"Moore","given":"Laurence"}],"issued":{"date-parts":[["2021",9,30]]}}}],"schema":"https://github.com/citation-style-language/schema/raw/master/csl-citation.json"} </w:instrText>
      </w:r>
      <w:r w:rsidR="00D1083B" w:rsidRPr="00D1083B">
        <w:rPr>
          <w:rFonts w:cstheme="minorHAnsi"/>
          <w:color w:val="333333"/>
          <w:shd w:val="clear" w:color="auto" w:fill="FFFFFF"/>
        </w:rPr>
        <w:fldChar w:fldCharType="separate"/>
      </w:r>
      <w:r w:rsidR="00F735FA" w:rsidRPr="00F735FA">
        <w:rPr>
          <w:rFonts w:ascii="Calibri" w:hAnsi="Calibri" w:cs="Calibri"/>
        </w:rPr>
        <w:t>(9)</w:t>
      </w:r>
      <w:r w:rsidR="00D1083B" w:rsidRPr="00D1083B">
        <w:rPr>
          <w:rFonts w:cstheme="minorHAnsi"/>
          <w:color w:val="333333"/>
          <w:shd w:val="clear" w:color="auto" w:fill="FFFFFF"/>
        </w:rPr>
        <w:fldChar w:fldCharType="end"/>
      </w:r>
      <w:r w:rsidR="00233771">
        <w:rPr>
          <w:rFonts w:cstheme="minorHAnsi"/>
          <w:color w:val="333333"/>
          <w:shd w:val="clear" w:color="auto" w:fill="FFFFFF"/>
        </w:rPr>
        <w:t>.</w:t>
      </w:r>
      <w:r w:rsidR="00D1083B" w:rsidRPr="00D1083B">
        <w:rPr>
          <w:rFonts w:cstheme="minorHAnsi"/>
          <w:color w:val="333333"/>
          <w:shd w:val="clear" w:color="auto" w:fill="FFFFFF"/>
        </w:rPr>
        <w:t xml:space="preserve"> </w:t>
      </w:r>
      <w:r w:rsidR="008E4F4A" w:rsidRPr="00D1083B">
        <w:rPr>
          <w:rFonts w:cstheme="minorHAnsi"/>
        </w:rPr>
        <w:t>The</w:t>
      </w:r>
      <w:r w:rsidR="008E4F4A">
        <w:t xml:space="preserve"> ED context represents a frenetic clinical environment where </w:t>
      </w:r>
      <w:r w:rsidR="0042199A">
        <w:t xml:space="preserve">large numbers of </w:t>
      </w:r>
      <w:r w:rsidR="00B6276F">
        <w:t xml:space="preserve">patients </w:t>
      </w:r>
      <w:r w:rsidR="00B15D27">
        <w:t>are assessed</w:t>
      </w:r>
      <w:r w:rsidR="00214D7A">
        <w:t>, triaged and treated</w:t>
      </w:r>
      <w:r w:rsidR="00B6276F">
        <w:t>. It has been assumed that this environment is not conducive to the implementation of behavioural interventions due to urgent clinical demands</w:t>
      </w:r>
      <w:r w:rsidR="00233771">
        <w:t xml:space="preserve"> and staff burden</w:t>
      </w:r>
      <w:r w:rsidR="00FA7AFB">
        <w:fldChar w:fldCharType="begin"/>
      </w:r>
      <w:r w:rsidR="00F735FA">
        <w:instrText xml:space="preserve"> ADDIN ZOTERO_ITEM CSL_CITATION {"citationID":"cgMnH5TE","properties":{"formattedCitation":"(10)","plainCitation":"(10)","noteIndex":0},"citationItems":[{"id":1612,"uris":["http://zotero.org/users/4082933/items/HENZDRJ4"],"itemData":{"id":1612,"type":"article-journal","abstract":"This article is the outcome of a consensus building workshop entitled, “Overcoming Barriers to Implementation and Dissemination” convened at the 2009 Academic Emergency Medicine Consensus Conference, “Public Health in the ED: Surveillance, Screening, and Intervention.” The participants were asked to address potential methods for overcoming barriers to the dissemination and implementation in the emergency department (ED) of evidenced-based practices to improve public health. The panel discussed three broad areas of interest including methods for disseminating evidence-based practices, barriers encountered during the process of implementation, and the importance of involvement in activities outside the ED including engagement in policy development and improvement. Four recommendations were discussed in detail and consensus was reached. The recommendations included 1) researchers and advocates should disseminate findings through multiple forums beyond peer-reviewed publications when an ED-based public health intervention has enough evidence to support integration into the routine practice of emergency care; 2) local barriers to implementation of public health interventions should be recognized and well understood from multiple perspectives prior to implementation; 3) innovation must be put into place and adapted based on local institutional context and culture as barriers and the best methods for overcoming them will vary across institutions; and 4) use of legislation, regulation, and incentives outside of the ED should support and strengthen ED-based interventions. For each area of interest, research dimensions to extend the current understanding of methods for effectively and efficiently implementing evidence-based public health interventions in the ED were discussed and consensus was achieved.","container-title":"Academic emergency medicine : official journal of the Society for Academic Emergency Medicine","DOI":"10.1111/j.1553-2712.2009.00547.x","ISSN":"1069-6563","issue":"11","journalAbbreviation":"Acad Emerg Med","note":"PMID: 20053233\nPMCID: PMC3075066","page":"1132-1137","source":"PubMed Central","title":"Public Health in the Emergency Department: Overcoming Barriers to Implementation and Dissemination","title-short":"Public Health in the Emergency Department","volume":"16","author":[{"family":"McKay","given":"Mary Pat"},{"family":"Vaca","given":"Federico E."},{"family":"Field","given":"Craig"},{"family":"Rhodes","given":"Karin"}],"issued":{"date-parts":[["2009",11]]}}}],"schema":"https://github.com/citation-style-language/schema/raw/master/csl-citation.json"} </w:instrText>
      </w:r>
      <w:r w:rsidR="00FA7AFB">
        <w:fldChar w:fldCharType="separate"/>
      </w:r>
      <w:r w:rsidR="00F735FA" w:rsidRPr="00F735FA">
        <w:rPr>
          <w:rFonts w:ascii="Calibri" w:hAnsi="Calibri" w:cs="Calibri"/>
        </w:rPr>
        <w:t>(10)</w:t>
      </w:r>
      <w:r w:rsidR="00FA7AFB">
        <w:fldChar w:fldCharType="end"/>
      </w:r>
      <w:r w:rsidR="00B6276F">
        <w:t>.</w:t>
      </w:r>
      <w:r w:rsidR="006627E7">
        <w:t xml:space="preserve"> This suggests that careful consideration of the context for intervention delivery, its acceptability and appropriateness, f</w:t>
      </w:r>
      <w:r w:rsidR="00975D72">
        <w:t>ro</w:t>
      </w:r>
      <w:r w:rsidR="006627E7">
        <w:t xml:space="preserve">m multiple perspectives, is </w:t>
      </w:r>
      <w:r w:rsidR="008729E9">
        <w:t>key</w:t>
      </w:r>
      <w:r w:rsidR="00F64461" w:rsidRPr="00DC19A0">
        <w:rPr>
          <w:rFonts w:cstheme="minorHAnsi"/>
          <w:color w:val="333333"/>
          <w:shd w:val="clear" w:color="auto" w:fill="FFFFFF"/>
        </w:rPr>
        <w:fldChar w:fldCharType="begin"/>
      </w:r>
      <w:r w:rsidR="00F735FA">
        <w:rPr>
          <w:rFonts w:cstheme="minorHAnsi"/>
          <w:color w:val="333333"/>
          <w:shd w:val="clear" w:color="auto" w:fill="FFFFFF"/>
        </w:rPr>
        <w:instrText xml:space="preserve"> ADDIN ZOTERO_ITEM CSL_CITATION {"citationID":"sC04xvTw","properties":{"formattedCitation":"(9)","plainCitation":"(9)","noteIndex":0},"citationItems":[{"id":1618,"uris":["http://zotero.org/users/4082933/items/XTGU6JRM"],"itemData":{"id":1618,"type":"article-journal","abstract":"&lt;p&gt;The UK Medical Research Council’s widely used guidance for developing and evaluating complex interventions has been replaced by a new framework, commissioned jointly by the Medical Research Council and the National Institute for Health Research, which takes account of recent developments in theory and methods and the need to maximise the efficiency, use, and impact of research.&lt;/p&gt;","container-title":"BMJ","DOI":"10.1136/bmj.n2061","ISSN":"1756-1833","journalAbbreviation":"BMJ","language":"en","license":"© Author(s) (or their employer(s)) 2019. Re-use permitted under CC BY. No commercial re-use. See rights and permissions. Published by BMJ.. http://creativecommons.org/licenses/by/4.0/This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34593508","page":"n2061","source":"www.bmj.com","title":"A new framework for developing and evaluating complex interventions: update of Medical Research Council guidance","title-short":"A new framework for developing and evaluating complex interventions","volume":"374","author":[{"family":"Skivington","given":"Kathryn"},{"family":"Matthews","given":"Lynsay"},{"family":"Simpson","given":"Sharon Anne"},{"family":"Craig","given":"Peter"},{"family":"Baird","given":"Janis"},{"family":"Blazeby","given":"Jane M."},{"family":"Boyd","given":"Kathleen Anne"},{"family":"Craig","given":"Neil"},{"family":"French","given":"David P."},{"family":"McIntosh","given":"Emma"},{"family":"Petticrew","given":"Mark"},{"family":"Rycroft-Malone","given":"Jo"},{"family":"White","given":"Martin"},{"family":"Moore","given":"Laurence"}],"issued":{"date-parts":[["2021",9,30]]}}}],"schema":"https://github.com/citation-style-language/schema/raw/master/csl-citation.json"} </w:instrText>
      </w:r>
      <w:r w:rsidR="00F64461" w:rsidRPr="00DC19A0">
        <w:rPr>
          <w:rFonts w:cstheme="minorHAnsi"/>
          <w:color w:val="333333"/>
          <w:shd w:val="clear" w:color="auto" w:fill="FFFFFF"/>
        </w:rPr>
        <w:fldChar w:fldCharType="separate"/>
      </w:r>
      <w:r w:rsidR="00F735FA" w:rsidRPr="00F735FA">
        <w:rPr>
          <w:rFonts w:ascii="Calibri" w:hAnsi="Calibri" w:cs="Calibri"/>
        </w:rPr>
        <w:t>(9)</w:t>
      </w:r>
      <w:r w:rsidR="00F64461" w:rsidRPr="00DC19A0">
        <w:rPr>
          <w:rFonts w:cstheme="minorHAnsi"/>
          <w:color w:val="333333"/>
          <w:shd w:val="clear" w:color="auto" w:fill="FFFFFF"/>
        </w:rPr>
        <w:fldChar w:fldCharType="end"/>
      </w:r>
      <w:r w:rsidR="00DC19A0" w:rsidRPr="00DC19A0">
        <w:rPr>
          <w:rFonts w:cstheme="minorHAnsi"/>
          <w:color w:val="333333"/>
          <w:shd w:val="clear" w:color="auto" w:fill="FFFFFF"/>
        </w:rPr>
        <w:t>.</w:t>
      </w:r>
      <w:r w:rsidR="00DC19A0">
        <w:rPr>
          <w:rFonts w:ascii="Helvetica" w:hAnsi="Helvetica" w:cs="Helvetica"/>
          <w:color w:val="333333"/>
          <w:shd w:val="clear" w:color="auto" w:fill="FFFFFF"/>
        </w:rPr>
        <w:t xml:space="preserve"> </w:t>
      </w:r>
      <w:r w:rsidR="006627E7">
        <w:t xml:space="preserve">Within the COSTED trial, this embedded process evaluation sought to explore intervention </w:t>
      </w:r>
      <w:r w:rsidR="00B93620">
        <w:t xml:space="preserve">delivery and </w:t>
      </w:r>
      <w:r w:rsidR="006627E7">
        <w:t>implementation</w:t>
      </w:r>
      <w:r w:rsidR="004A3589">
        <w:t>, r</w:t>
      </w:r>
      <w:r w:rsidR="00782C5F">
        <w:t>ecognising that RCT</w:t>
      </w:r>
      <w:r w:rsidR="008246BF">
        <w:t>s</w:t>
      </w:r>
      <w:r w:rsidR="00782C5F">
        <w:t xml:space="preserve"> </w:t>
      </w:r>
      <w:r w:rsidR="001F1651">
        <w:t xml:space="preserve">can </w:t>
      </w:r>
      <w:r w:rsidR="00F728B8">
        <w:t>inform</w:t>
      </w:r>
      <w:r w:rsidR="001F1651">
        <w:t xml:space="preserve"> understanding of effectiveness, but other</w:t>
      </w:r>
      <w:r w:rsidR="00F728B8">
        <w:t xml:space="preserve"> approaches are</w:t>
      </w:r>
      <w:r w:rsidR="004A3589">
        <w:t xml:space="preserve"> </w:t>
      </w:r>
      <w:r w:rsidR="00F728B8">
        <w:t>needed to inform ‘why things work’</w:t>
      </w:r>
      <w:r w:rsidR="00A61AEF">
        <w:fldChar w:fldCharType="begin"/>
      </w:r>
      <w:r w:rsidR="00F735FA">
        <w:instrText xml:space="preserve"> ADDIN ZOTERO_ITEM CSL_CITATION {"citationID":"NjEacn7Z","properties":{"formattedCitation":"(11)","plainCitation":"(11)","noteIndex":0},"citationItems":[{"id":1615,"uris":["http://zotero.org/users/4082933/items/7PLIG9HK"],"itemData":{"id":1615,"type":"article-journal","abstract":"Randomized Controlled Trials (RCTs) are increasingly popular in the social sciences, not only in medicine. We argue that the lay public, and sometimes researchers, put too much trust in RCTs over other methods of investigation. Contrary to frequent claims in the applied literature, randomization does not equalize everything other than the treatment in the treatment and control groups, it does not automatically deliver a precise estimate of the average treatment effect (ATE), and it does not relieve us of the need to think about (observed or unobserved) covariates. Finding out whether an estimate was generated by chance is more difficult than commonly believed. At best, an RCT yields an unbiased estimate, but this property is of limited practical value. Even then, estimates apply only to the sample selected for the trial, often no more than a convenience sample, and justification is required to extend the results to other groups, including any population to which the trial sample belongs, or to any individual, including an individual in the trial. Demanding ‘external validity’ is unhelpful because it expects too much of an RCT while undervaluing its potential contribution. RCTs do indeed require minimal assumptions and can operate with little prior knowledge. This is an advantage when persuading distrustful audiences, but it is a disadvantage for cumulative scientific progress, where prior knowledge should be built upon, not discarded. RCTs can play a role in building scientific knowledge and useful predictions but they can only do so as part of a cumulative program, combining with other methods, including conceptual and theoretical development, to discover not ‘what works’, but ‘why things work’.","collection-title":"Randomized Controlled Trials and Evidence-based Policy: A Multidisciplinary Dialogue","container-title":"Social Science &amp; Medicine","DOI":"10.1016/j.socscimed.2017.12.005","ISSN":"0277-9536","journalAbbreviation":"Social Science &amp; Medicine","language":"en","page":"2-21","source":"ScienceDirect","title":"Understanding and misunderstanding randomized controlled trials","volume":"210","author":[{"family":"Deaton","given":"Angus"},{"family":"Cartwright","given":"Nancy"}],"issued":{"date-parts":[["2018",8,1]]}}}],"schema":"https://github.com/citation-style-language/schema/raw/master/csl-citation.json"} </w:instrText>
      </w:r>
      <w:r w:rsidR="00A61AEF">
        <w:fldChar w:fldCharType="separate"/>
      </w:r>
      <w:r w:rsidR="00F735FA" w:rsidRPr="00F735FA">
        <w:rPr>
          <w:rFonts w:ascii="Calibri" w:hAnsi="Calibri" w:cs="Calibri"/>
        </w:rPr>
        <w:t>(11)</w:t>
      </w:r>
      <w:r w:rsidR="00A61AEF">
        <w:fldChar w:fldCharType="end"/>
      </w:r>
      <w:r w:rsidR="00BA3D6F">
        <w:t>.</w:t>
      </w:r>
      <w:r w:rsidR="00F728B8">
        <w:t xml:space="preserve"> </w:t>
      </w:r>
      <w:r w:rsidR="00472121">
        <w:t xml:space="preserve"> </w:t>
      </w:r>
      <w:r w:rsidR="00722622">
        <w:t>To our knowledge, this</w:t>
      </w:r>
      <w:r w:rsidR="00BA3D6F">
        <w:t xml:space="preserve"> </w:t>
      </w:r>
      <w:r w:rsidR="00722622">
        <w:t xml:space="preserve">study is the first to fully explore </w:t>
      </w:r>
      <w:r w:rsidR="00C2712D">
        <w:t xml:space="preserve">smoking cessation </w:t>
      </w:r>
      <w:r w:rsidR="00722622">
        <w:t>intervention delivery</w:t>
      </w:r>
      <w:r w:rsidR="00224608">
        <w:t xml:space="preserve"> in the </w:t>
      </w:r>
      <w:r w:rsidR="00722622">
        <w:t>ED</w:t>
      </w:r>
      <w:r w:rsidR="006F2A51">
        <w:t xml:space="preserve"> context</w:t>
      </w:r>
      <w:r w:rsidR="00722622">
        <w:t>.</w:t>
      </w:r>
    </w:p>
    <w:p w14:paraId="620C3AAF" w14:textId="16DA1185" w:rsidR="00782E1A" w:rsidRPr="005E7260" w:rsidRDefault="005E7260" w:rsidP="00590032">
      <w:pPr>
        <w:spacing w:line="360" w:lineRule="auto"/>
        <w:rPr>
          <w:b/>
          <w:bCs/>
          <w:sz w:val="28"/>
          <w:szCs w:val="28"/>
        </w:rPr>
      </w:pPr>
      <w:r w:rsidRPr="005E7260">
        <w:rPr>
          <w:b/>
          <w:bCs/>
          <w:sz w:val="28"/>
          <w:szCs w:val="28"/>
        </w:rPr>
        <w:t>METHODS:</w:t>
      </w:r>
    </w:p>
    <w:p w14:paraId="6186B670" w14:textId="0F72E222" w:rsidR="00CC0159" w:rsidRDefault="00782E1A" w:rsidP="006056B0">
      <w:pPr>
        <w:spacing w:before="120" w:after="0" w:line="360" w:lineRule="auto"/>
      </w:pPr>
      <w:r>
        <w:t>A mixed methods</w:t>
      </w:r>
      <w:r w:rsidR="00F72708">
        <w:t xml:space="preserve"> qualitative</w:t>
      </w:r>
      <w:r>
        <w:t xml:space="preserve"> process evaluation</w:t>
      </w:r>
      <w:r>
        <w:fldChar w:fldCharType="begin"/>
      </w:r>
      <w:r w:rsidR="00F735FA">
        <w:instrText xml:space="preserve"> ADDIN ZOTERO_ITEM CSL_CITATION {"citationID":"FemkEJ6E","properties":{"formattedCitation":"(12)","plainCitation":"(12)","noteIndex":0},"citationItems":[{"id":39,"uris":["http://zotero.org/users/4082933/items/X99Y2QA5"],"itemData":{"id":39,"type":"article-journal","abstract":"&lt;p&gt;Process evaluation is an essential part of designing and testing complex interventions. New MRC guidance provides a framework for conducting and reporting process evaluation studies&lt;/p&gt;","container-title":"BMJ","DOI":"10.1136/bmj.h1258","ISSN":"1756-1833","journalAbbreviation":"BMJ","language":"en","license":"© Moore et al 2015.            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25791983","page":"h1258","source":"www.bmj.com","title":"Process evaluation of complex interventions: Medical Research Council guidance","title-short":"Process evaluation of complex interventions","volume":"350","author":[{"family":"Moore","given":"Graham F."},{"family":"Audrey","given":"Suzanne"},{"family":"Barker","given":"Mary"},{"family":"Bond","given":"Lyndal"},{"family":"Bonell","given":"Chris"},{"family":"Hardeman","given":"Wendy"},{"family":"Moore","given":"Laurence"},{"family":"O’Cathain","given":"Alicia"},{"family":"Tinati","given":"Tannaze"},{"family":"Wight","given":"Daniel"},{"family":"Baird","given":"Janis"}],"issued":{"date-parts":[["2015",3,19]]}}}],"schema":"https://github.com/citation-style-language/schema/raw/master/csl-citation.json"} </w:instrText>
      </w:r>
      <w:r>
        <w:fldChar w:fldCharType="separate"/>
      </w:r>
      <w:r w:rsidR="00F735FA" w:rsidRPr="00F735FA">
        <w:rPr>
          <w:rFonts w:ascii="Calibri" w:hAnsi="Calibri" w:cs="Calibri"/>
        </w:rPr>
        <w:t>(12)</w:t>
      </w:r>
      <w:r>
        <w:fldChar w:fldCharType="end"/>
      </w:r>
      <w:r>
        <w:t xml:space="preserve"> was undertaken to assess implementation of the intervention within the ED, and to explore participant </w:t>
      </w:r>
      <w:r w:rsidR="00DD1EB3">
        <w:t xml:space="preserve">and staff </w:t>
      </w:r>
      <w:r>
        <w:t xml:space="preserve">views on the intervention, contextual variation and </w:t>
      </w:r>
      <w:r w:rsidR="00F1504C">
        <w:t>the impact of context</w:t>
      </w:r>
      <w:r>
        <w:t xml:space="preserve">. </w:t>
      </w:r>
      <w:r w:rsidR="003A602C">
        <w:t xml:space="preserve">Ethical approval for the study was granted </w:t>
      </w:r>
      <w:r w:rsidR="00A87FA5">
        <w:t>(</w:t>
      </w:r>
      <w:r w:rsidR="004E4B65">
        <w:t>South Central—</w:t>
      </w:r>
      <w:r w:rsidR="004E4B65">
        <w:lastRenderedPageBreak/>
        <w:t>Oxford B Research Committee 21/SC/0288</w:t>
      </w:r>
      <w:r w:rsidR="00701188">
        <w:t xml:space="preserve">; </w:t>
      </w:r>
      <w:r w:rsidR="00A87FA5">
        <w:t xml:space="preserve">Trial Registration number: NCT04854616) </w:t>
      </w:r>
      <w:r w:rsidR="003A602C">
        <w:t xml:space="preserve">and the </w:t>
      </w:r>
      <w:r w:rsidR="004A193F">
        <w:t>analysis and findings are reported according to COREQ guidelines</w:t>
      </w:r>
      <w:r>
        <w:fldChar w:fldCharType="begin"/>
      </w:r>
      <w:r w:rsidR="00F735FA">
        <w:instrText xml:space="preserve"> ADDIN ZOTERO_ITEM CSL_CITATION {"citationID":"EjaEE6Uc","properties":{"formattedCitation":"(13)","plainCitation":"(13)","noteIndex":0},"citationItems":[{"id":547,"uris":["http://zotero.org/users/4082933/items/D94N6W8T"],"itemData":{"id":547,"type":"article-journal","abstract":"AbstractBackground.  Qualitative research explores complex phenomena encountered by clinicians, health care providers, policy makers and consumers. Although par","container-title":"International Journal for Quality in Health Care","DOI":"10.1093/intqhc/mzm042","ISSN":"1353-4505","issue":"6","journalAbbreviation":"Int J Qual Health Care","language":"en","page":"349-357","source":"academic.oup.com","title":"Consolidated criteria for reporting qualitative research (COREQ): a 32-item checklist for interviews and focus groups","title-short":"Consolidated criteria for reporting qualitative research (COREQ)","volume":"19","author":[{"family":"Tong","given":"Allison"},{"family":"Sainsbury","given":"Peter"},{"family":"Craig","given":"Jonathan"}],"issued":{"date-parts":[["2007",12,1]]}}}],"schema":"https://github.com/citation-style-language/schema/raw/master/csl-citation.json"} </w:instrText>
      </w:r>
      <w:r>
        <w:fldChar w:fldCharType="separate"/>
      </w:r>
      <w:r w:rsidR="00F735FA" w:rsidRPr="00F735FA">
        <w:rPr>
          <w:rFonts w:ascii="Calibri" w:hAnsi="Calibri" w:cs="Calibri"/>
        </w:rPr>
        <w:t>(13)</w:t>
      </w:r>
      <w:r>
        <w:fldChar w:fldCharType="end"/>
      </w:r>
      <w:r w:rsidR="00745EA4">
        <w:t>.</w:t>
      </w:r>
    </w:p>
    <w:p w14:paraId="66EC51E2" w14:textId="4C6F97D3" w:rsidR="00D52178" w:rsidRDefault="00413536" w:rsidP="006056B0">
      <w:pPr>
        <w:spacing w:before="120" w:after="0" w:line="360" w:lineRule="auto"/>
      </w:pPr>
      <w:r w:rsidRPr="00F0048C">
        <w:t>Detailed qualitative data</w:t>
      </w:r>
      <w:r>
        <w:t xml:space="preserve"> were</w:t>
      </w:r>
      <w:r w:rsidRPr="00F0048C">
        <w:t xml:space="preserve"> collected</w:t>
      </w:r>
      <w:r>
        <w:t xml:space="preserve"> </w:t>
      </w:r>
      <w:r w:rsidR="001C7341">
        <w:t xml:space="preserve">from participants and clinical staff </w:t>
      </w:r>
      <w:r>
        <w:t xml:space="preserve">by the </w:t>
      </w:r>
      <w:r w:rsidR="00BD4C71">
        <w:t xml:space="preserve">experienced </w:t>
      </w:r>
      <w:r>
        <w:t>research team (CN, PB and EW undertook observation</w:t>
      </w:r>
      <w:r w:rsidR="00BC0DA1">
        <w:t>s</w:t>
      </w:r>
      <w:r>
        <w:t xml:space="preserve"> and interviews).</w:t>
      </w:r>
    </w:p>
    <w:p w14:paraId="2296EB31" w14:textId="51AF671D" w:rsidR="00425751" w:rsidRDefault="00D52178" w:rsidP="006056B0">
      <w:pPr>
        <w:spacing w:before="120" w:after="0" w:line="360" w:lineRule="auto"/>
      </w:pPr>
      <w:r>
        <w:t>O</w:t>
      </w:r>
      <w:r w:rsidRPr="00F0048C">
        <w:t xml:space="preserve">bservations </w:t>
      </w:r>
      <w:r w:rsidR="004670E0">
        <w:t>at</w:t>
      </w:r>
      <w:r w:rsidRPr="00F0048C">
        <w:t xml:space="preserve"> </w:t>
      </w:r>
      <w:r>
        <w:t xml:space="preserve">the six </w:t>
      </w:r>
      <w:r w:rsidRPr="00F0048C">
        <w:t>ED</w:t>
      </w:r>
      <w:r>
        <w:t xml:space="preserve">s in which the interventions were being delivered were undertaken with detailed field notes taken. Interviews </w:t>
      </w:r>
      <w:r w:rsidR="00C350D2">
        <w:t xml:space="preserve">were undertaken with </w:t>
      </w:r>
      <w:r w:rsidR="001C7341">
        <w:t>Advisors</w:t>
      </w:r>
      <w:r w:rsidR="00C350D2">
        <w:t xml:space="preserve"> delivering the intervention from</w:t>
      </w:r>
      <w:r>
        <w:t xml:space="preserve"> each site</w:t>
      </w:r>
      <w:r w:rsidR="00C350D2">
        <w:t xml:space="preserve">. </w:t>
      </w:r>
    </w:p>
    <w:p w14:paraId="226C15BD" w14:textId="45E46396" w:rsidR="00A14FDD" w:rsidRDefault="000C302A" w:rsidP="00F0222D">
      <w:pPr>
        <w:spacing w:before="120" w:after="0" w:line="360" w:lineRule="auto"/>
      </w:pPr>
      <w:r>
        <w:t>Trial p</w:t>
      </w:r>
      <w:r w:rsidR="00DE2C2B">
        <w:t>articipants</w:t>
      </w:r>
      <w:r w:rsidR="00D6455E">
        <w:t xml:space="preserve"> were purposively </w:t>
      </w:r>
      <w:r w:rsidR="00C1123D">
        <w:t xml:space="preserve">selected </w:t>
      </w:r>
      <w:r w:rsidR="00DE2C2B">
        <w:t xml:space="preserve">for interviews </w:t>
      </w:r>
      <w:r w:rsidR="00C1123D">
        <w:t>across</w:t>
      </w:r>
      <w:r w:rsidR="00782E1A">
        <w:t xml:space="preserve"> both intervention and control group</w:t>
      </w:r>
      <w:r w:rsidR="00002672">
        <w:t>s and</w:t>
      </w:r>
      <w:r w:rsidR="00782E1A">
        <w:t xml:space="preserve"> </w:t>
      </w:r>
      <w:r w:rsidR="0060415F">
        <w:t>across all sites</w:t>
      </w:r>
      <w:r w:rsidR="00782E1A">
        <w:t xml:space="preserve"> </w:t>
      </w:r>
      <w:r w:rsidR="00155376">
        <w:t>following</w:t>
      </w:r>
      <w:r w:rsidR="00782E1A">
        <w:t xml:space="preserve"> final </w:t>
      </w:r>
      <w:r w:rsidR="008E3566">
        <w:t>trial follow-up</w:t>
      </w:r>
      <w:r w:rsidR="008C0D7C">
        <w:t xml:space="preserve"> (6 months)</w:t>
      </w:r>
      <w:r w:rsidR="00002672">
        <w:t xml:space="preserve">. </w:t>
      </w:r>
      <w:r w:rsidR="00683579">
        <w:t xml:space="preserve">Sample size was determined based on likely </w:t>
      </w:r>
      <w:r w:rsidR="008D5CE5">
        <w:t xml:space="preserve">‘sufficiency’ of data to explore </w:t>
      </w:r>
      <w:r w:rsidR="00AA7C62">
        <w:t>the question of contextual influence on intervention delivery</w:t>
      </w:r>
      <w:r w:rsidR="00446592">
        <w:t xml:space="preserve">. </w:t>
      </w:r>
      <w:r w:rsidR="00002672">
        <w:t>P</w:t>
      </w:r>
      <w:r w:rsidR="005E2A7C">
        <w:t>articipants</w:t>
      </w:r>
      <w:r w:rsidR="008E3566">
        <w:t xml:space="preserve"> were </w:t>
      </w:r>
      <w:r w:rsidR="0016056B">
        <w:t>invited to participate</w:t>
      </w:r>
      <w:r w:rsidR="008E3566">
        <w:t xml:space="preserve"> in</w:t>
      </w:r>
      <w:r w:rsidR="005E2A7C">
        <w:t xml:space="preserve"> in-depth interview</w:t>
      </w:r>
      <w:r w:rsidR="00D02C6D">
        <w:t>s</w:t>
      </w:r>
      <w:r w:rsidR="005E2A7C">
        <w:t xml:space="preserve">, for which they gave written consent. </w:t>
      </w:r>
      <w:r w:rsidR="00CC0159">
        <w:t xml:space="preserve">Interview guides, developed in consultation with </w:t>
      </w:r>
      <w:r w:rsidR="00002672">
        <w:t>patient and public (</w:t>
      </w:r>
      <w:r w:rsidR="00CC0159">
        <w:t>PPI</w:t>
      </w:r>
      <w:r w:rsidR="00002672">
        <w:t>)</w:t>
      </w:r>
      <w:r w:rsidR="00CC0159">
        <w:t xml:space="preserve"> representatives, explored views and experiences of the intervention</w:t>
      </w:r>
      <w:r w:rsidR="00D077BC">
        <w:t xml:space="preserve"> where received</w:t>
      </w:r>
      <w:r w:rsidR="00CC0159">
        <w:t xml:space="preserve">, to understand barriers and facilitators, and to assess patient’s perspectives. </w:t>
      </w:r>
      <w:r w:rsidR="00BE5DCE">
        <w:t>Interview</w:t>
      </w:r>
      <w:r w:rsidR="00BE0456">
        <w:t>s</w:t>
      </w:r>
      <w:r w:rsidR="00BE5DCE">
        <w:t xml:space="preserve"> took place over the telephone or via video call</w:t>
      </w:r>
      <w:r w:rsidR="00874453">
        <w:t>,</w:t>
      </w:r>
      <w:r w:rsidR="00134E57">
        <w:t xml:space="preserve"> </w:t>
      </w:r>
      <w:r w:rsidR="00591DA8">
        <w:t xml:space="preserve">lasted between </w:t>
      </w:r>
      <w:r w:rsidR="16A7A753">
        <w:t xml:space="preserve">11 </w:t>
      </w:r>
      <w:r w:rsidR="00591DA8">
        <w:t xml:space="preserve">and </w:t>
      </w:r>
      <w:r w:rsidR="6A942C6F">
        <w:t>75</w:t>
      </w:r>
      <w:r w:rsidR="00591DA8">
        <w:t xml:space="preserve"> minutes</w:t>
      </w:r>
      <w:r w:rsidR="00200C04">
        <w:t>,</w:t>
      </w:r>
      <w:r w:rsidR="00874453">
        <w:t xml:space="preserve"> and</w:t>
      </w:r>
      <w:r w:rsidR="00200C04">
        <w:t xml:space="preserve"> </w:t>
      </w:r>
      <w:r w:rsidR="00134E57">
        <w:t>were audio recorded and transcribed verbatim.</w:t>
      </w:r>
      <w:r w:rsidR="00BE5DCE">
        <w:t xml:space="preserve"> </w:t>
      </w:r>
    </w:p>
    <w:p w14:paraId="11B97513" w14:textId="71B5B5F4" w:rsidR="00782E1A" w:rsidRDefault="00A14FDD" w:rsidP="00F0222D">
      <w:pPr>
        <w:spacing w:before="120" w:after="0" w:line="360" w:lineRule="auto"/>
      </w:pPr>
      <w:r>
        <w:t xml:space="preserve">As our focus for analysis was understanding the impact of context on intervention delivery, we devised a thematic coding frame to enable analysis of contextual impacts at different levels, theoretically driven according to the social ecological framework </w:t>
      </w:r>
      <w:r>
        <w:fldChar w:fldCharType="begin"/>
      </w:r>
      <w:r w:rsidR="00F735FA">
        <w:instrText xml:space="preserve"> ADDIN ZOTERO_ITEM CSL_CITATION {"citationID":"UB97leXy","properties":{"formattedCitation":"(14)","plainCitation":"(14)","noteIndex":0},"citationItems":[{"id":54,"uris":["http://zotero.org/users/4082933/items/PW5Z3UBH"],"itemData":{"id":54,"type":"book","abstract":"Includes bibliographical references (p. 299-319) and index; Electronic reproduction","ISBN":"978-0-674-22457-5","language":"eng","number-of-pages":"358","publisher":"Cambridge, MA : Harvard University Press","source":"Internet Archive","title":"The ecology of human development [electronic resource] : experiments by nature and design","title-short":"The ecology of human development [electronic resource]","URL":"http://archive.org/details/ecologyofhumande00urie","author":[{"family":"Bronfenbrenner","given":"Urie"},{"family":"ebrary","given":"Inc"}],"contributor":[{"literal":"Internet Archive"}],"accessed":{"date-parts":[["2022",2,5]]},"issued":{"date-parts":[["1996"]]}}}],"schema":"https://github.com/citation-style-language/schema/raw/master/csl-citation.json"} </w:instrText>
      </w:r>
      <w:r>
        <w:fldChar w:fldCharType="separate"/>
      </w:r>
      <w:r w:rsidR="00F735FA" w:rsidRPr="00F735FA">
        <w:rPr>
          <w:rFonts w:ascii="Calibri" w:hAnsi="Calibri" w:cs="Calibri"/>
        </w:rPr>
        <w:t>(14)</w:t>
      </w:r>
      <w:r>
        <w:fldChar w:fldCharType="end"/>
      </w:r>
      <w:r w:rsidR="00376B24">
        <w:t>. This</w:t>
      </w:r>
      <w:r>
        <w:t xml:space="preserve"> enabled us to consider influence at the </w:t>
      </w:r>
      <w:r w:rsidR="0076460A">
        <w:t xml:space="preserve">microsystem (e.g. interpersonal staff-patient interactions) and individual (e.g. intra-individual participant thoughts and perspectives), mesosystem (e.g. the micro-social context of </w:t>
      </w:r>
      <w:r w:rsidR="00B900F9">
        <w:t xml:space="preserve">the </w:t>
      </w:r>
      <w:r w:rsidR="0076460A">
        <w:t xml:space="preserve">ED setting), </w:t>
      </w:r>
      <w:r w:rsidR="0096394F">
        <w:t xml:space="preserve">and </w:t>
      </w:r>
      <w:r>
        <w:t xml:space="preserve">macrosystem </w:t>
      </w:r>
      <w:r w:rsidR="0096394F">
        <w:t>levels</w:t>
      </w:r>
      <w:r>
        <w:t xml:space="preserve"> (e.g. policy).</w:t>
      </w:r>
      <w:r w:rsidR="005730F2">
        <w:t xml:space="preserve"> </w:t>
      </w:r>
      <w:r w:rsidR="0096394F">
        <w:t>Inductive t</w:t>
      </w:r>
      <w:r w:rsidR="00782E1A" w:rsidRPr="00F0048C">
        <w:t>hematic analysis</w:t>
      </w:r>
      <w:r w:rsidR="00002672">
        <w:t xml:space="preserve"> </w:t>
      </w:r>
      <w:r w:rsidR="00704A6C">
        <w:fldChar w:fldCharType="begin"/>
      </w:r>
      <w:r w:rsidR="00F735FA">
        <w:instrText xml:space="preserve"> ADDIN ZOTERO_ITEM CSL_CITATION {"citationID":"suRzhzqL","properties":{"formattedCitation":"(15)","plainCitation":"(15)","noteIndex":0},"citationItems":[{"id":4932,"uris":["http://zotero.org/groups/1507108/items/3PBNBCKW"],"itemData":{"id":4932,"type":"article-journal","abstract":"Thematic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psychology.","container-title":"Qualitative Research in Psychology","DOI":"10.1191/1478088706qp063oa","ISSN":"1478-0887","issue":"2","page":"77-101","source":"Taylor and Francis+NEJM","title":"Using thematic analysis in psychology","volume":"3","author":[{"family":"Braun","given":"Virginia"},{"family":"Clarke","given":"Victoria"}],"issued":{"date-parts":[["2006",1,1]]}}}],"schema":"https://github.com/citation-style-language/schema/raw/master/csl-citation.json"} </w:instrText>
      </w:r>
      <w:r w:rsidR="00704A6C">
        <w:fldChar w:fldCharType="separate"/>
      </w:r>
      <w:r w:rsidR="00F735FA" w:rsidRPr="00F735FA">
        <w:rPr>
          <w:rFonts w:ascii="Calibri" w:hAnsi="Calibri" w:cs="Calibri"/>
        </w:rPr>
        <w:t>(15)</w:t>
      </w:r>
      <w:r w:rsidR="00704A6C">
        <w:fldChar w:fldCharType="end"/>
      </w:r>
      <w:r w:rsidR="00782E1A" w:rsidRPr="00F0048C">
        <w:t xml:space="preserve"> of interview data</w:t>
      </w:r>
      <w:r w:rsidR="00C969B6">
        <w:t xml:space="preserve"> </w:t>
      </w:r>
      <w:r w:rsidR="003701DB">
        <w:t xml:space="preserve">commenced </w:t>
      </w:r>
      <w:r w:rsidR="00836864">
        <w:t xml:space="preserve">using NVivo </w:t>
      </w:r>
      <w:r w:rsidR="00002672">
        <w:t>u</w:t>
      </w:r>
      <w:r w:rsidR="003701DB">
        <w:t>ntil ‘</w:t>
      </w:r>
      <w:r w:rsidR="004A0551">
        <w:t>analytical</w:t>
      </w:r>
      <w:r w:rsidR="003701DB">
        <w:t xml:space="preserve"> sufficiency’</w:t>
      </w:r>
      <w:r w:rsidR="004C7C95">
        <w:fldChar w:fldCharType="begin"/>
      </w:r>
      <w:r w:rsidR="00F735FA">
        <w:instrText xml:space="preserve"> ADDIN ZOTERO_ITEM CSL_CITATION {"citationID":"L9Q7LnXg","properties":{"formattedCitation":"(16)","plainCitation":"(16)","noteIndex":0},"citationItems":[{"id":1611,"uris":["http://zotero.org/users/4082933/items/WMUBCG8H"],"itemData":{"id":1611,"type":"article-journal","container-title":"Journal of Graduate Medical Education","DOI":"10.4300/JGME-D-21-00752.1","ISSN":"1949-8349","issue":"5","journalAbbreviation":"Journal of Graduate Medical Education","page":"607-611","source":"Silverchair","title":"Beyond the Guise of Saturation: Rigor and Qualitative Interview Data","title-short":"Beyond the Guise of Saturation","volume":"13","author":[{"family":"LaDonna","given":"Kori A."},{"family":"Artino","given":"Anthony R.","suffix":"Jr"},{"family":"Balmer","given":"Dorene F."}],"issued":{"date-parts":[["2021",10,15]]}}}],"schema":"https://github.com/citation-style-language/schema/raw/master/csl-citation.json"} </w:instrText>
      </w:r>
      <w:r w:rsidR="004C7C95">
        <w:fldChar w:fldCharType="separate"/>
      </w:r>
      <w:r w:rsidR="00F735FA" w:rsidRPr="00F735FA">
        <w:rPr>
          <w:rFonts w:ascii="Calibri" w:hAnsi="Calibri" w:cs="Calibri"/>
        </w:rPr>
        <w:t>(16)</w:t>
      </w:r>
      <w:r w:rsidR="004C7C95">
        <w:fldChar w:fldCharType="end"/>
      </w:r>
      <w:r w:rsidR="003701DB">
        <w:t xml:space="preserve"> was reached</w:t>
      </w:r>
      <w:r w:rsidR="00EA33CA">
        <w:t>. This was supplemented with second stage coding, organising codes into levels of contextual influence</w:t>
      </w:r>
      <w:r w:rsidR="003701DB">
        <w:t xml:space="preserve">. </w:t>
      </w:r>
      <w:r w:rsidR="00200C04">
        <w:t>PB and EW undertook thematic analysis, with CN verifying analysis</w:t>
      </w:r>
      <w:r w:rsidR="00836864">
        <w:t xml:space="preserve">. Interpretation of codes </w:t>
      </w:r>
      <w:r w:rsidR="004A0551">
        <w:t>was</w:t>
      </w:r>
      <w:r w:rsidR="00836864">
        <w:t xml:space="preserve"> discussed and agreed by consensus.</w:t>
      </w:r>
      <w:r w:rsidR="00C969B6">
        <w:t xml:space="preserve"> </w:t>
      </w:r>
      <w:r w:rsidR="00591DA8">
        <w:t xml:space="preserve">Findings </w:t>
      </w:r>
      <w:r w:rsidR="00C969B6">
        <w:t>are</w:t>
      </w:r>
      <w:r w:rsidR="007016EA">
        <w:t xml:space="preserve"> reported</w:t>
      </w:r>
      <w:r w:rsidR="00442A37">
        <w:t xml:space="preserve"> integrating</w:t>
      </w:r>
      <w:r w:rsidR="00782E1A" w:rsidRPr="00F0048C">
        <w:t xml:space="preserve"> observational and quantitative </w:t>
      </w:r>
      <w:r w:rsidR="001727F0">
        <w:t xml:space="preserve">data </w:t>
      </w:r>
      <w:r w:rsidR="00782E1A" w:rsidRPr="00F0048C">
        <w:t xml:space="preserve">to </w:t>
      </w:r>
      <w:r w:rsidR="001727F0">
        <w:t xml:space="preserve">inform an understanding </w:t>
      </w:r>
      <w:r w:rsidR="00854A5C">
        <w:t>of the ED</w:t>
      </w:r>
      <w:r w:rsidR="00782E1A" w:rsidRPr="00F0048C">
        <w:t xml:space="preserve"> context fo</w:t>
      </w:r>
      <w:r w:rsidR="007016EA">
        <w:t xml:space="preserve">r </w:t>
      </w:r>
      <w:r w:rsidR="00782E1A" w:rsidRPr="00F0048C">
        <w:t>trial outcomes.</w:t>
      </w:r>
      <w:r w:rsidR="006E5734">
        <w:t xml:space="preserve"> Quotations are used as illustrations of the themes presented, with all participants fully anonymised. </w:t>
      </w:r>
    </w:p>
    <w:p w14:paraId="168B4CBF" w14:textId="77777777" w:rsidR="00002672" w:rsidRDefault="00002672" w:rsidP="00002672">
      <w:pPr>
        <w:spacing w:before="120" w:after="0"/>
        <w:rPr>
          <w:b/>
          <w:bCs/>
        </w:rPr>
      </w:pPr>
    </w:p>
    <w:p w14:paraId="68E59909" w14:textId="6CD7F3C7" w:rsidR="00FE399A" w:rsidRPr="005E7260" w:rsidRDefault="005E7260" w:rsidP="00590032">
      <w:pPr>
        <w:spacing w:line="360" w:lineRule="auto"/>
        <w:rPr>
          <w:b/>
          <w:bCs/>
          <w:sz w:val="28"/>
          <w:szCs w:val="28"/>
        </w:rPr>
      </w:pPr>
      <w:r w:rsidRPr="005E7260">
        <w:rPr>
          <w:b/>
          <w:bCs/>
          <w:sz w:val="28"/>
          <w:szCs w:val="28"/>
        </w:rPr>
        <w:t>RESULTS:</w:t>
      </w:r>
    </w:p>
    <w:p w14:paraId="6EDF9BC8" w14:textId="61375288" w:rsidR="00002672" w:rsidRDefault="00002672" w:rsidP="006056B0">
      <w:pPr>
        <w:spacing w:line="360" w:lineRule="auto"/>
      </w:pPr>
      <w:r>
        <w:t xml:space="preserve">Qualitative interviews captured the views of a range of ED based </w:t>
      </w:r>
      <w:r w:rsidR="002B4C17">
        <w:t xml:space="preserve">Advisors </w:t>
      </w:r>
      <w:r>
        <w:t>involved in delivering the intervention</w:t>
      </w:r>
      <w:r w:rsidR="009A7E63">
        <w:t xml:space="preserve"> including research nurses, ED health care assistan</w:t>
      </w:r>
      <w:r w:rsidR="00C30FDF">
        <w:t>ts</w:t>
      </w:r>
      <w:r w:rsidR="009A7E63">
        <w:t xml:space="preserve"> and clinical research practitioners</w:t>
      </w:r>
      <w:r w:rsidR="006C35CD">
        <w:t>(n=11)</w:t>
      </w:r>
      <w:r w:rsidR="00C30FDF">
        <w:t xml:space="preserve"> across all sites</w:t>
      </w:r>
      <w:r>
        <w:t xml:space="preserve">. Our purposive sampling of trial participants meant that we spoke to a </w:t>
      </w:r>
      <w:r w:rsidR="00A66FB4">
        <w:t>broad</w:t>
      </w:r>
      <w:r>
        <w:t xml:space="preserve"> range of people representing diverse characteristics </w:t>
      </w:r>
      <w:r w:rsidR="000D02F1">
        <w:t>(N=34)</w:t>
      </w:r>
      <w:r w:rsidR="001F2F14">
        <w:t xml:space="preserve"> </w:t>
      </w:r>
      <w:r>
        <w:t>(</w:t>
      </w:r>
      <w:r w:rsidR="00615654">
        <w:t>T</w:t>
      </w:r>
      <w:r>
        <w:t xml:space="preserve">able </w:t>
      </w:r>
      <w:r w:rsidR="00C30FDF">
        <w:t>1</w:t>
      </w:r>
      <w:r>
        <w:t>).</w:t>
      </w:r>
    </w:p>
    <w:p w14:paraId="79F781E1" w14:textId="43BE273C" w:rsidR="00F31FFB" w:rsidRPr="00F31FFB" w:rsidRDefault="00F31FFB" w:rsidP="006056B0">
      <w:pPr>
        <w:spacing w:line="360" w:lineRule="auto"/>
        <w:rPr>
          <w:i/>
          <w:iCs/>
        </w:rPr>
      </w:pPr>
      <w:r>
        <w:rPr>
          <w:i/>
          <w:iCs/>
        </w:rPr>
        <w:lastRenderedPageBreak/>
        <w:t>Insert table 1.</w:t>
      </w:r>
    </w:p>
    <w:p w14:paraId="0889CF5C" w14:textId="080CB8DD" w:rsidR="00F04D47" w:rsidRPr="002341F9" w:rsidRDefault="00956EC7" w:rsidP="006056B0">
      <w:pPr>
        <w:spacing w:after="0" w:line="360" w:lineRule="auto"/>
      </w:pPr>
      <w:r>
        <w:t>The six Emergency Departments were situated across England and Scotland</w:t>
      </w:r>
      <w:r w:rsidR="002341F9" w:rsidRPr="746C1C7B">
        <w:t xml:space="preserve"> (see </w:t>
      </w:r>
      <w:r w:rsidR="004D577A" w:rsidRPr="746C1C7B">
        <w:t xml:space="preserve">table </w:t>
      </w:r>
      <w:r w:rsidR="007870FC" w:rsidRPr="746C1C7B">
        <w:t>in appendix 1</w:t>
      </w:r>
      <w:r w:rsidR="007870FC">
        <w:t xml:space="preserve"> </w:t>
      </w:r>
      <w:r w:rsidR="004D577A">
        <w:t>for</w:t>
      </w:r>
      <w:r w:rsidR="006123C4">
        <w:t xml:space="preserve"> contextual notes</w:t>
      </w:r>
      <w:r w:rsidR="009B77F1">
        <w:t>)</w:t>
      </w:r>
      <w:r w:rsidR="2FA5C587">
        <w:t>.</w:t>
      </w:r>
    </w:p>
    <w:p w14:paraId="262EA120" w14:textId="61206181" w:rsidR="746C1C7B" w:rsidRDefault="746C1C7B" w:rsidP="006056B0">
      <w:pPr>
        <w:spacing w:after="0" w:line="360" w:lineRule="auto"/>
      </w:pPr>
    </w:p>
    <w:p w14:paraId="779EC4FD" w14:textId="0F3B5EA8" w:rsidR="00615654" w:rsidRPr="002576CE" w:rsidRDefault="0063376F" w:rsidP="00F31FFB">
      <w:pPr>
        <w:spacing w:after="0" w:line="360" w:lineRule="auto"/>
      </w:pPr>
      <w:r w:rsidRPr="000D400A">
        <w:t xml:space="preserve">The ED context was found to profoundly impact </w:t>
      </w:r>
      <w:r w:rsidR="008D24D4">
        <w:t xml:space="preserve">both </w:t>
      </w:r>
      <w:r w:rsidRPr="000D400A">
        <w:t xml:space="preserve">intervention delivery and </w:t>
      </w:r>
      <w:r w:rsidR="009B77F1">
        <w:t>how participants received the intervention.</w:t>
      </w:r>
      <w:r w:rsidR="00116712">
        <w:t xml:space="preserve"> Despite this, </w:t>
      </w:r>
      <w:proofErr w:type="gramStart"/>
      <w:r w:rsidR="00116712">
        <w:t>overall</w:t>
      </w:r>
      <w:proofErr w:type="gramEnd"/>
      <w:r w:rsidR="00116712">
        <w:t xml:space="preserve"> the</w:t>
      </w:r>
      <w:r w:rsidR="0085566B">
        <w:t xml:space="preserve"> effect </w:t>
      </w:r>
      <w:r w:rsidR="00116712">
        <w:t xml:space="preserve">of context did not </w:t>
      </w:r>
      <w:r w:rsidR="005E2925">
        <w:t>significantly impact</w:t>
      </w:r>
      <w:r w:rsidR="005A43D0">
        <w:t xml:space="preserve"> the primary outcome of biochemically verified smoking cessation</w:t>
      </w:r>
      <w:r w:rsidR="00E924ED">
        <w:t xml:space="preserve"> by site</w:t>
      </w:r>
      <w:r w:rsidR="00CB4946">
        <w:t xml:space="preserve"> (Table </w:t>
      </w:r>
      <w:r w:rsidR="006F790C">
        <w:t>2</w:t>
      </w:r>
      <w:r w:rsidR="00704EEA">
        <w:t xml:space="preserve"> and Table 3</w:t>
      </w:r>
      <w:r w:rsidR="00CB4946">
        <w:t>).</w:t>
      </w:r>
    </w:p>
    <w:p w14:paraId="75097A84" w14:textId="2FE63AF6" w:rsidR="002F12ED" w:rsidRPr="00F31FFB" w:rsidRDefault="00F31FFB" w:rsidP="00953B93">
      <w:pPr>
        <w:rPr>
          <w:i/>
          <w:iCs/>
        </w:rPr>
      </w:pPr>
      <w:r w:rsidRPr="00F31FFB">
        <w:rPr>
          <w:i/>
          <w:iCs/>
        </w:rPr>
        <w:t>Insert table 2</w:t>
      </w:r>
    </w:p>
    <w:p w14:paraId="33351DDB" w14:textId="0CE17C54" w:rsidR="00F31FFB" w:rsidRPr="00F31FFB" w:rsidRDefault="00F31FFB" w:rsidP="00953B93">
      <w:pPr>
        <w:rPr>
          <w:i/>
          <w:iCs/>
        </w:rPr>
      </w:pPr>
      <w:r w:rsidRPr="00F31FFB">
        <w:rPr>
          <w:i/>
          <w:iCs/>
        </w:rPr>
        <w:t>Insert table 3</w:t>
      </w:r>
    </w:p>
    <w:p w14:paraId="4726498A" w14:textId="0AF0AD26" w:rsidR="003267F2" w:rsidRDefault="002C457C" w:rsidP="00590032">
      <w:pPr>
        <w:spacing w:line="360" w:lineRule="auto"/>
      </w:pPr>
      <w:r>
        <w:t xml:space="preserve">Qualitative data revealed contextual influences </w:t>
      </w:r>
      <w:r w:rsidR="00C83F03">
        <w:t xml:space="preserve">that influenced </w:t>
      </w:r>
      <w:r w:rsidR="00441CFE">
        <w:t xml:space="preserve">how </w:t>
      </w:r>
      <w:r w:rsidR="00B37C62">
        <w:t xml:space="preserve">staff delivered, and how </w:t>
      </w:r>
      <w:r w:rsidR="00441CFE">
        <w:t>participants received</w:t>
      </w:r>
      <w:r w:rsidR="00F20916">
        <w:t>,</w:t>
      </w:r>
      <w:r w:rsidR="00441CFE">
        <w:t xml:space="preserve"> the intervention</w:t>
      </w:r>
      <w:r w:rsidR="003267F2">
        <w:t xml:space="preserve"> at different levels.</w:t>
      </w:r>
    </w:p>
    <w:p w14:paraId="246CE897" w14:textId="77777777" w:rsidR="00CB48EE" w:rsidRPr="00D74E40" w:rsidRDefault="00CB48EE" w:rsidP="00CB48EE">
      <w:pPr>
        <w:spacing w:line="360" w:lineRule="auto"/>
        <w:rPr>
          <w:b/>
          <w:bCs/>
        </w:rPr>
      </w:pPr>
      <w:r w:rsidRPr="00D74E40">
        <w:rPr>
          <w:b/>
          <w:bCs/>
        </w:rPr>
        <w:t>Microsystem contextual influences</w:t>
      </w:r>
    </w:p>
    <w:p w14:paraId="1DDAEE14" w14:textId="565E0344" w:rsidR="00CB48EE" w:rsidRPr="00CB48EE" w:rsidRDefault="00CB48EE" w:rsidP="00CB48EE">
      <w:pPr>
        <w:spacing w:line="360" w:lineRule="auto"/>
        <w:rPr>
          <w:i/>
          <w:iCs/>
        </w:rPr>
      </w:pPr>
      <w:r w:rsidRPr="00CB48EE">
        <w:t>At the individual and interpersonal level</w:t>
      </w:r>
      <w:r>
        <w:t>, spec</w:t>
      </w:r>
      <w:r w:rsidR="009C51E9">
        <w:t>ific factors, such as presenting condition, motivation to change behaviour</w:t>
      </w:r>
      <w:r w:rsidR="00F9033F">
        <w:t xml:space="preserve"> and previous</w:t>
      </w:r>
      <w:r w:rsidR="001A1DE4">
        <w:t xml:space="preserve"> experiences, impacted on the way in which the intervention was ‘received’</w:t>
      </w:r>
      <w:r w:rsidR="005957C8">
        <w:t>.</w:t>
      </w:r>
    </w:p>
    <w:p w14:paraId="0123BCEE" w14:textId="77777777" w:rsidR="00CB48EE" w:rsidRPr="0095405E" w:rsidRDefault="00CB48EE" w:rsidP="00CB4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b/>
          <w:bCs/>
          <w:i/>
          <w:iCs/>
          <w:kern w:val="0"/>
        </w:rPr>
      </w:pPr>
      <w:r w:rsidRPr="0095405E">
        <w:rPr>
          <w:rFonts w:ascii="Calibri" w:hAnsi="Calibri" w:cs="Calibri"/>
          <w:b/>
          <w:bCs/>
          <w:i/>
          <w:iCs/>
          <w:kern w:val="0"/>
        </w:rPr>
        <w:t>‘Right time, right place’</w:t>
      </w:r>
    </w:p>
    <w:p w14:paraId="54D84BF0" w14:textId="3075EBC1" w:rsidR="002B3EF8" w:rsidRDefault="00CB48EE" w:rsidP="00CB4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r>
        <w:rPr>
          <w:rFonts w:ascii="Calibri" w:hAnsi="Calibri" w:cs="Calibri"/>
          <w:kern w:val="0"/>
        </w:rPr>
        <w:t>Although participants were attending the ED for urgent care, perhaps completely unrelated to tobacco smoking, most described being offered smoking cessation support at an opportune time, catching a ‘teachable moment’ where they were amenable to considering changing their smoking behaviour:</w:t>
      </w:r>
    </w:p>
    <w:p w14:paraId="34FF3734" w14:textId="77777777" w:rsidR="00CB48EE" w:rsidRDefault="00CB48EE" w:rsidP="00B2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Calibri" w:hAnsi="Calibri" w:cs="Calibri"/>
          <w:kern w:val="0"/>
        </w:rPr>
      </w:pPr>
      <w:r w:rsidRPr="49AFEFC2">
        <w:rPr>
          <w:rFonts w:ascii="Calibri" w:hAnsi="Calibri" w:cs="Calibri"/>
          <w:i/>
          <w:iCs/>
          <w:kern w:val="0"/>
        </w:rPr>
        <w:t>“I don’t know whether it was just the right place, right time or the way that they said it. It was just, it was different. It made me think more about it</w:t>
      </w:r>
      <w:r>
        <w:rPr>
          <w:rFonts w:ascii="Calibri" w:hAnsi="Calibri" w:cs="Calibri"/>
          <w:kern w:val="0"/>
        </w:rPr>
        <w:t>” [</w:t>
      </w:r>
      <w:r w:rsidRPr="002111B1">
        <w:rPr>
          <w:rFonts w:ascii="Calibri" w:hAnsi="Calibri" w:cs="Calibri"/>
          <w:kern w:val="0"/>
        </w:rPr>
        <w:t>01-0248</w:t>
      </w:r>
      <w:r>
        <w:rPr>
          <w:rFonts w:ascii="Calibri" w:hAnsi="Calibri" w:cs="Calibri"/>
          <w:kern w:val="0"/>
        </w:rPr>
        <w:t>: female, age 22, intervention participant]</w:t>
      </w:r>
    </w:p>
    <w:p w14:paraId="53107095" w14:textId="77777777" w:rsidR="00720540" w:rsidRDefault="00720540" w:rsidP="00B2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Calibri" w:hAnsi="Calibri" w:cs="Calibri"/>
          <w:kern w:val="0"/>
        </w:rPr>
      </w:pPr>
    </w:p>
    <w:p w14:paraId="0B480EB3" w14:textId="0461A14E" w:rsidR="00272AB3" w:rsidRPr="00D07545" w:rsidRDefault="00720540" w:rsidP="00D07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Calibri" w:hAnsi="Calibri" w:cs="Calibri"/>
          <w:kern w:val="0"/>
        </w:rPr>
      </w:pPr>
      <w:r w:rsidRPr="00FC0263">
        <w:rPr>
          <w:rFonts w:ascii="Calibri" w:hAnsi="Calibri" w:cs="Calibri"/>
          <w:i/>
          <w:iCs/>
        </w:rPr>
        <w:t xml:space="preserve">“I was there with a health issue. And it was a case of well, if I’m in here getting one thing sorted, why not get something else sorted at the same </w:t>
      </w:r>
      <w:r w:rsidRPr="00272AB3">
        <w:rPr>
          <w:rFonts w:ascii="Calibri" w:hAnsi="Calibri" w:cs="Calibri"/>
          <w:i/>
          <w:iCs/>
        </w:rPr>
        <w:t>time?</w:t>
      </w:r>
      <w:r w:rsidR="00655341" w:rsidRPr="00272AB3">
        <w:rPr>
          <w:rFonts w:ascii="Calibri" w:hAnsi="Calibri" w:cs="Calibri"/>
          <w:i/>
          <w:iCs/>
        </w:rPr>
        <w:t>”</w:t>
      </w:r>
      <w:r w:rsidRPr="00272AB3">
        <w:rPr>
          <w:rFonts w:ascii="Calibri" w:hAnsi="Calibri" w:cs="Calibri"/>
          <w:i/>
          <w:iCs/>
        </w:rPr>
        <w:t xml:space="preserve">. </w:t>
      </w:r>
      <w:r w:rsidR="00272AB3">
        <w:rPr>
          <w:rFonts w:ascii="Calibri" w:hAnsi="Calibri" w:cs="Calibri"/>
          <w:kern w:val="0"/>
        </w:rPr>
        <w:t>[06-0020: male, age 51, intervention participant]</w:t>
      </w:r>
    </w:p>
    <w:p w14:paraId="2142FD83" w14:textId="18B4043A" w:rsidR="00B22469" w:rsidRDefault="005B7470" w:rsidP="00B2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r>
        <w:rPr>
          <w:rFonts w:ascii="Calibri" w:hAnsi="Calibri" w:cs="Calibri"/>
          <w:kern w:val="0"/>
        </w:rPr>
        <w:t>For some</w:t>
      </w:r>
      <w:r w:rsidR="00A90925">
        <w:rPr>
          <w:rFonts w:ascii="Calibri" w:hAnsi="Calibri" w:cs="Calibri"/>
          <w:kern w:val="0"/>
        </w:rPr>
        <w:t>, the intervention had</w:t>
      </w:r>
      <w:r w:rsidR="00720540">
        <w:rPr>
          <w:rFonts w:ascii="Calibri" w:hAnsi="Calibri" w:cs="Calibri"/>
          <w:kern w:val="0"/>
        </w:rPr>
        <w:t xml:space="preserve"> </w:t>
      </w:r>
      <w:r w:rsidR="00673129">
        <w:rPr>
          <w:rFonts w:ascii="Calibri" w:hAnsi="Calibri" w:cs="Calibri"/>
          <w:kern w:val="0"/>
        </w:rPr>
        <w:t xml:space="preserve">just </w:t>
      </w:r>
      <w:r w:rsidR="00720540">
        <w:rPr>
          <w:rFonts w:ascii="Calibri" w:hAnsi="Calibri" w:cs="Calibri"/>
          <w:kern w:val="0"/>
        </w:rPr>
        <w:t>happened to catch</w:t>
      </w:r>
      <w:r w:rsidR="00A90925">
        <w:rPr>
          <w:rFonts w:ascii="Calibri" w:hAnsi="Calibri" w:cs="Calibri"/>
          <w:kern w:val="0"/>
        </w:rPr>
        <w:t xml:space="preserve"> them at a ‘turning point’ </w:t>
      </w:r>
      <w:r w:rsidR="00F40250">
        <w:rPr>
          <w:rFonts w:ascii="Calibri" w:hAnsi="Calibri" w:cs="Calibri"/>
          <w:kern w:val="0"/>
        </w:rPr>
        <w:t>when they</w:t>
      </w:r>
      <w:r w:rsidR="00A90925">
        <w:rPr>
          <w:rFonts w:ascii="Calibri" w:hAnsi="Calibri" w:cs="Calibri"/>
          <w:kern w:val="0"/>
        </w:rPr>
        <w:t xml:space="preserve"> were motivated to change:</w:t>
      </w:r>
    </w:p>
    <w:p w14:paraId="67BF5C62" w14:textId="77777777" w:rsidR="00D07545" w:rsidRDefault="00D07545" w:rsidP="00B2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p>
    <w:p w14:paraId="11B5777E" w14:textId="77777777" w:rsidR="00975FB8" w:rsidRDefault="00FC0263" w:rsidP="0097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Calibri" w:hAnsi="Calibri" w:cs="Calibri"/>
          <w:kern w:val="0"/>
        </w:rPr>
      </w:pPr>
      <w:r>
        <w:rPr>
          <w:rFonts w:ascii="Calibri" w:hAnsi="Calibri" w:cs="Calibri"/>
          <w:i/>
        </w:rPr>
        <w:lastRenderedPageBreak/>
        <w:t>“</w:t>
      </w:r>
      <w:r w:rsidRPr="00FC0263">
        <w:rPr>
          <w:rFonts w:ascii="Calibri" w:hAnsi="Calibri" w:cs="Calibri"/>
          <w:i/>
        </w:rPr>
        <w:t>I think I’ve always known that I shouldn’t be doing it and in the back of my mind I’ve thought that I need to get that sorted. Maybe it is a good time to approach the subject with people in a different way.</w:t>
      </w:r>
      <w:r>
        <w:rPr>
          <w:rFonts w:ascii="Calibri" w:hAnsi="Calibri" w:cs="Calibri"/>
          <w:i/>
        </w:rPr>
        <w:t>”</w:t>
      </w:r>
      <w:r w:rsidRPr="00FC0263">
        <w:rPr>
          <w:rFonts w:ascii="Calibri" w:hAnsi="Calibri" w:cs="Calibri"/>
          <w:i/>
        </w:rPr>
        <w:t xml:space="preserve"> </w:t>
      </w:r>
      <w:r w:rsidR="00272AB3">
        <w:rPr>
          <w:rFonts w:ascii="Calibri" w:hAnsi="Calibri" w:cs="Calibri"/>
          <w:kern w:val="0"/>
        </w:rPr>
        <w:t>[05-0209: female, age 52, intervention participant]</w:t>
      </w:r>
    </w:p>
    <w:p w14:paraId="3631E7BA" w14:textId="71871B0D" w:rsidR="00A90925" w:rsidRDefault="00975FB8" w:rsidP="0097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kern w:val="0"/>
        </w:rPr>
      </w:pPr>
      <w:r>
        <w:rPr>
          <w:rFonts w:ascii="Calibri" w:hAnsi="Calibri" w:cs="Calibri"/>
          <w:iCs/>
        </w:rPr>
        <w:t>F</w:t>
      </w:r>
      <w:r w:rsidR="005B7470">
        <w:rPr>
          <w:rFonts w:ascii="Calibri" w:hAnsi="Calibri" w:cs="Calibri"/>
          <w:kern w:val="0"/>
        </w:rPr>
        <w:t xml:space="preserve">or </w:t>
      </w:r>
      <w:r w:rsidR="00514F75">
        <w:rPr>
          <w:rFonts w:ascii="Calibri" w:hAnsi="Calibri" w:cs="Calibri"/>
          <w:kern w:val="0"/>
        </w:rPr>
        <w:t xml:space="preserve">others, motivation to quit smoking </w:t>
      </w:r>
      <w:r>
        <w:rPr>
          <w:rFonts w:ascii="Calibri" w:hAnsi="Calibri" w:cs="Calibri"/>
          <w:kern w:val="0"/>
        </w:rPr>
        <w:t>was</w:t>
      </w:r>
      <w:r w:rsidR="00514F75">
        <w:rPr>
          <w:rFonts w:ascii="Calibri" w:hAnsi="Calibri" w:cs="Calibri"/>
          <w:kern w:val="0"/>
        </w:rPr>
        <w:t xml:space="preserve"> less, but the shock of the acute medical situation requiring ED attendance </w:t>
      </w:r>
      <w:r w:rsidR="002B02F7">
        <w:rPr>
          <w:rFonts w:ascii="Calibri" w:hAnsi="Calibri" w:cs="Calibri"/>
          <w:kern w:val="0"/>
        </w:rPr>
        <w:t>prompted</w:t>
      </w:r>
      <w:r w:rsidR="00514F75">
        <w:rPr>
          <w:rFonts w:ascii="Calibri" w:hAnsi="Calibri" w:cs="Calibri"/>
          <w:kern w:val="0"/>
        </w:rPr>
        <w:t xml:space="preserve"> </w:t>
      </w:r>
      <w:r w:rsidR="002B02F7">
        <w:rPr>
          <w:rFonts w:ascii="Calibri" w:hAnsi="Calibri" w:cs="Calibri"/>
          <w:kern w:val="0"/>
        </w:rPr>
        <w:t>reflection and made the opportunity to consider cessation more acceptable:</w:t>
      </w:r>
    </w:p>
    <w:p w14:paraId="3A87AB76" w14:textId="77777777" w:rsidR="00D47C2D" w:rsidRDefault="00D47C2D" w:rsidP="0059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p>
    <w:p w14:paraId="3800A4A1" w14:textId="0095A0C0" w:rsidR="002B02F7" w:rsidRDefault="0095404F" w:rsidP="00B2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Calibri" w:hAnsi="Calibri" w:cs="Calibri"/>
          <w:i/>
          <w:iCs/>
        </w:rPr>
      </w:pPr>
      <w:r w:rsidRPr="005B7470">
        <w:rPr>
          <w:rFonts w:ascii="Calibri" w:hAnsi="Calibri" w:cs="Calibri"/>
          <w:i/>
          <w:iCs/>
          <w:kern w:val="0"/>
        </w:rPr>
        <w:t>“</w:t>
      </w:r>
      <w:r w:rsidRPr="005B7470">
        <w:rPr>
          <w:rFonts w:ascii="Calibri" w:hAnsi="Calibri" w:cs="Calibri"/>
          <w:i/>
          <w:iCs/>
        </w:rPr>
        <w:t xml:space="preserve">I do think that people are feeling just perhaps more vulnerable when they're sitting in A&amp;E. They're more aware of their own mortality, else they wouldn't be there. So, there's that kind of psychological aspect to </w:t>
      </w:r>
      <w:r w:rsidR="00B22469">
        <w:rPr>
          <w:rFonts w:ascii="Calibri" w:hAnsi="Calibri" w:cs="Calibri"/>
          <w:i/>
          <w:iCs/>
        </w:rPr>
        <w:t>it”</w:t>
      </w:r>
      <w:r w:rsidR="00B22469" w:rsidRPr="00B22469">
        <w:rPr>
          <w:rFonts w:ascii="Calibri" w:hAnsi="Calibri" w:cs="Calibri"/>
        </w:rPr>
        <w:t xml:space="preserve"> [03-0127: female, age 61, intervention participant]</w:t>
      </w:r>
    </w:p>
    <w:p w14:paraId="39C2A554" w14:textId="77777777" w:rsidR="005B7470" w:rsidRDefault="005B7470" w:rsidP="005B7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i/>
          <w:iCs/>
        </w:rPr>
      </w:pPr>
    </w:p>
    <w:p w14:paraId="35B9ED30" w14:textId="77777777" w:rsidR="00AF22D1" w:rsidRPr="0094482B" w:rsidRDefault="00AF22D1" w:rsidP="00AF22D1">
      <w:pPr>
        <w:spacing w:after="0" w:line="360" w:lineRule="auto"/>
        <w:rPr>
          <w:b/>
          <w:i/>
          <w:iCs/>
        </w:rPr>
      </w:pPr>
      <w:r w:rsidRPr="0094482B">
        <w:rPr>
          <w:b/>
          <w:i/>
          <w:iCs/>
        </w:rPr>
        <w:t>Reassurance from a ‘credible source’</w:t>
      </w:r>
    </w:p>
    <w:p w14:paraId="38CD2CE5" w14:textId="7F0BEC08" w:rsidR="00AF22D1" w:rsidRPr="006056B0" w:rsidRDefault="00AF22D1" w:rsidP="00AF22D1">
      <w:pPr>
        <w:spacing w:line="360" w:lineRule="auto"/>
        <w:rPr>
          <w:b/>
        </w:rPr>
      </w:pPr>
      <w:r>
        <w:rPr>
          <w:bCs/>
        </w:rPr>
        <w:t>For many of the participants, having the intervention delivered by an advisor, who was deemed to be a clinical professional</w:t>
      </w:r>
      <w:r w:rsidR="007222E7">
        <w:rPr>
          <w:bCs/>
        </w:rPr>
        <w:t xml:space="preserve">, </w:t>
      </w:r>
      <w:r>
        <w:rPr>
          <w:bCs/>
        </w:rPr>
        <w:t xml:space="preserve">gave it credibility, offering reassurance: </w:t>
      </w:r>
    </w:p>
    <w:p w14:paraId="32401A98" w14:textId="77777777" w:rsidR="00AF22D1" w:rsidRDefault="00AF22D1" w:rsidP="00AF2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Calibri" w:hAnsi="Calibri" w:cs="Calibri"/>
          <w:iCs/>
        </w:rPr>
      </w:pPr>
      <w:r w:rsidRPr="0005489E">
        <w:rPr>
          <w:bCs/>
        </w:rPr>
        <w:t>“</w:t>
      </w:r>
      <w:r w:rsidRPr="0005489E">
        <w:rPr>
          <w:rFonts w:ascii="Calibri" w:hAnsi="Calibri" w:cs="Calibri"/>
          <w:i/>
        </w:rPr>
        <w:t xml:space="preserve">I was </w:t>
      </w:r>
      <w:proofErr w:type="gramStart"/>
      <w:r w:rsidRPr="0005489E">
        <w:rPr>
          <w:rFonts w:ascii="Calibri" w:hAnsi="Calibri" w:cs="Calibri"/>
          <w:i/>
        </w:rPr>
        <w:t>really unsure</w:t>
      </w:r>
      <w:proofErr w:type="gramEnd"/>
      <w:r w:rsidRPr="0005489E">
        <w:rPr>
          <w:rFonts w:ascii="Calibri" w:hAnsi="Calibri" w:cs="Calibri"/>
          <w:i/>
        </w:rPr>
        <w:t xml:space="preserve"> about the vape until I was in hospital. When they suggested it, I thought great, maybe it’s not as bad as everyone was suggesting it was. If someone in hospital is offering to put you on that, it’s got to be better than smoking</w:t>
      </w:r>
      <w:r>
        <w:rPr>
          <w:rFonts w:ascii="Calibri" w:hAnsi="Calibri" w:cs="Calibri"/>
          <w:i/>
        </w:rPr>
        <w:t xml:space="preserve">” </w:t>
      </w:r>
      <w:r w:rsidRPr="00981B62">
        <w:rPr>
          <w:rFonts w:ascii="Calibri" w:hAnsi="Calibri" w:cs="Calibri"/>
          <w:iCs/>
        </w:rPr>
        <w:t>[05-0117</w:t>
      </w:r>
      <w:r>
        <w:rPr>
          <w:rFonts w:ascii="Calibri" w:hAnsi="Calibri" w:cs="Calibri"/>
          <w:iCs/>
        </w:rPr>
        <w:t>: female, age 41, intervention participant</w:t>
      </w:r>
      <w:r w:rsidRPr="00981B62">
        <w:rPr>
          <w:rFonts w:ascii="Calibri" w:hAnsi="Calibri" w:cs="Calibri"/>
          <w:iCs/>
        </w:rPr>
        <w:t>]</w:t>
      </w:r>
    </w:p>
    <w:p w14:paraId="421E2AD8" w14:textId="0DEA4D40" w:rsidR="00D87D22" w:rsidRDefault="00D16CBF" w:rsidP="00D16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Calibri" w:hAnsi="Calibri" w:cs="Calibri"/>
          <w:iCs/>
        </w:rPr>
      </w:pPr>
      <w:r>
        <w:rPr>
          <w:rFonts w:ascii="Calibri" w:hAnsi="Calibri" w:cs="Calibri"/>
          <w:iCs/>
        </w:rPr>
        <w:t xml:space="preserve">Specifically, </w:t>
      </w:r>
      <w:r w:rsidR="00D512D5">
        <w:rPr>
          <w:rFonts w:ascii="Calibri" w:hAnsi="Calibri" w:cs="Calibri"/>
          <w:iCs/>
        </w:rPr>
        <w:t>perceiving</w:t>
      </w:r>
      <w:r>
        <w:rPr>
          <w:rFonts w:ascii="Calibri" w:hAnsi="Calibri" w:cs="Calibri"/>
          <w:iCs/>
        </w:rPr>
        <w:t xml:space="preserve"> the advisors to be ‘qualified medical professionals’ seemed </w:t>
      </w:r>
      <w:r w:rsidR="00D938C4">
        <w:rPr>
          <w:rFonts w:ascii="Calibri" w:hAnsi="Calibri" w:cs="Calibri"/>
          <w:iCs/>
        </w:rPr>
        <w:t xml:space="preserve">impactful to </w:t>
      </w:r>
      <w:r w:rsidR="00F81FA6">
        <w:rPr>
          <w:rFonts w:ascii="Calibri" w:hAnsi="Calibri" w:cs="Calibri"/>
          <w:iCs/>
        </w:rPr>
        <w:t>participants</w:t>
      </w:r>
      <w:r w:rsidR="00D938C4">
        <w:rPr>
          <w:rFonts w:ascii="Calibri" w:hAnsi="Calibri" w:cs="Calibri"/>
          <w:iCs/>
        </w:rPr>
        <w:t>:</w:t>
      </w:r>
    </w:p>
    <w:p w14:paraId="573359EF" w14:textId="5A2E781C" w:rsidR="00D87D22" w:rsidRPr="00F81FA6" w:rsidRDefault="00D87D22" w:rsidP="00B2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Calibri" w:hAnsi="Calibri" w:cs="Calibri"/>
          <w:i/>
        </w:rPr>
      </w:pPr>
      <w:r w:rsidRPr="00F81FA6">
        <w:rPr>
          <w:rFonts w:ascii="Calibri" w:hAnsi="Calibri" w:cs="Calibri"/>
          <w:i/>
        </w:rPr>
        <w:t xml:space="preserve">“I was receiving it from qualified professionals…I think it was a very good opportunity that the doctor did inquire about smoking and stuff and asking would I like to be part of this study… I mean these people are qualified, that's why I'm commenting here. I just think, I’ll take their word for it.  </w:t>
      </w:r>
      <w:r w:rsidR="00272AB3" w:rsidRPr="00A01760">
        <w:rPr>
          <w:rStyle w:val="cf01"/>
          <w:rFonts w:asciiTheme="minorHAnsi" w:hAnsiTheme="minorHAnsi" w:cstheme="minorHAnsi"/>
          <w:sz w:val="22"/>
          <w:szCs w:val="22"/>
        </w:rPr>
        <w:t>[0</w:t>
      </w:r>
      <w:r w:rsidR="00272AB3" w:rsidRPr="00652F83">
        <w:rPr>
          <w:rStyle w:val="cf01"/>
          <w:rFonts w:asciiTheme="minorHAnsi" w:hAnsiTheme="minorHAnsi" w:cstheme="minorHAnsi"/>
          <w:sz w:val="22"/>
          <w:szCs w:val="22"/>
        </w:rPr>
        <w:t>2-0520</w:t>
      </w:r>
      <w:r w:rsidR="00272AB3">
        <w:rPr>
          <w:rStyle w:val="cf01"/>
          <w:rFonts w:asciiTheme="minorHAnsi" w:hAnsiTheme="minorHAnsi" w:cstheme="minorHAnsi"/>
          <w:sz w:val="22"/>
          <w:szCs w:val="22"/>
        </w:rPr>
        <w:t>: male, age 31, intervention participant]</w:t>
      </w:r>
    </w:p>
    <w:p w14:paraId="12432A49" w14:textId="77777777" w:rsidR="00AF22D1" w:rsidRPr="005B7470" w:rsidRDefault="00AF22D1" w:rsidP="005B7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hAnsi="Calibri" w:cs="Calibri"/>
          <w:i/>
          <w:iCs/>
        </w:rPr>
      </w:pPr>
    </w:p>
    <w:p w14:paraId="3DF5832F" w14:textId="3A754680" w:rsidR="00CB48EE" w:rsidRPr="0094482B" w:rsidRDefault="00CB48EE" w:rsidP="00CB48EE">
      <w:pPr>
        <w:spacing w:line="360" w:lineRule="auto"/>
        <w:rPr>
          <w:b/>
          <w:i/>
        </w:rPr>
      </w:pPr>
      <w:r w:rsidRPr="0094482B">
        <w:rPr>
          <w:b/>
          <w:i/>
        </w:rPr>
        <w:t xml:space="preserve">Interpretation of the intervention manual and </w:t>
      </w:r>
      <w:r w:rsidR="00C67826" w:rsidRPr="0094482B">
        <w:rPr>
          <w:b/>
          <w:i/>
        </w:rPr>
        <w:t xml:space="preserve">relational </w:t>
      </w:r>
      <w:r w:rsidRPr="0094482B">
        <w:rPr>
          <w:b/>
          <w:i/>
        </w:rPr>
        <w:t>adaptations</w:t>
      </w:r>
    </w:p>
    <w:p w14:paraId="4B72D58B" w14:textId="2FF0F11E" w:rsidR="00FE2801" w:rsidRDefault="00CB48EE" w:rsidP="00CB48EE">
      <w:pPr>
        <w:spacing w:line="360" w:lineRule="auto"/>
      </w:pPr>
      <w:r>
        <w:t>Adaptability and tailoring the intervention manual to the</w:t>
      </w:r>
      <w:r w:rsidR="001F7475">
        <w:t xml:space="preserve"> </w:t>
      </w:r>
      <w:r>
        <w:t>participant and presenting condition</w:t>
      </w:r>
      <w:r w:rsidR="00654A82">
        <w:t xml:space="preserve"> </w:t>
      </w:r>
      <w:r w:rsidR="00C67826">
        <w:t>were key</w:t>
      </w:r>
      <w:r>
        <w:t>. Advisors demonstrated ability to r</w:t>
      </w:r>
      <w:r w:rsidRPr="00A51656">
        <w:t xml:space="preserve">espond sensitively to information </w:t>
      </w:r>
      <w:r w:rsidR="00654A82">
        <w:t>and demeanour of</w:t>
      </w:r>
      <w:r>
        <w:t xml:space="preserve"> individuals,</w:t>
      </w:r>
      <w:r w:rsidRPr="00A51656">
        <w:t xml:space="preserve"> </w:t>
      </w:r>
      <w:r w:rsidR="00654A82">
        <w:t xml:space="preserve">and </w:t>
      </w:r>
      <w:r>
        <w:t>to personalise the intervention</w:t>
      </w:r>
      <w:r w:rsidR="00FE2801">
        <w:t>:</w:t>
      </w:r>
    </w:p>
    <w:p w14:paraId="671ED01C" w14:textId="5CF9C26C" w:rsidR="004329F9" w:rsidRDefault="00A3767D" w:rsidP="00B2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i/>
        </w:rPr>
      </w:pPr>
      <w:r w:rsidRPr="00A3767D">
        <w:t>“</w:t>
      </w:r>
      <w:r w:rsidR="00FE2801" w:rsidRPr="00A3767D">
        <w:rPr>
          <w:i/>
        </w:rPr>
        <w:t xml:space="preserve">You </w:t>
      </w:r>
      <w:proofErr w:type="gramStart"/>
      <w:r w:rsidR="00FE2801" w:rsidRPr="00A3767D">
        <w:rPr>
          <w:i/>
        </w:rPr>
        <w:t>have to</w:t>
      </w:r>
      <w:proofErr w:type="gramEnd"/>
      <w:r w:rsidR="00FE2801" w:rsidRPr="00A3767D">
        <w:rPr>
          <w:i/>
        </w:rPr>
        <w:t xml:space="preserve"> be tactful with it, I think. Not preachy. You </w:t>
      </w:r>
      <w:proofErr w:type="gramStart"/>
      <w:r w:rsidR="00FE2801" w:rsidRPr="00A3767D">
        <w:rPr>
          <w:i/>
        </w:rPr>
        <w:t>have to</w:t>
      </w:r>
      <w:proofErr w:type="gramEnd"/>
      <w:r w:rsidR="00FE2801" w:rsidRPr="00A3767D">
        <w:rPr>
          <w:i/>
        </w:rPr>
        <w:t xml:space="preserve"> try to personalize it to them. But, and a lot of people wanted to talk a lot about why they were there and some of it wasn't </w:t>
      </w:r>
      <w:r w:rsidR="00FE2801" w:rsidRPr="00A3767D">
        <w:rPr>
          <w:i/>
        </w:rPr>
        <w:lastRenderedPageBreak/>
        <w:t>relevant, but they want to talk. But then if you can latch onto something that's pertinent to them, that makes the rest a bit easier.</w:t>
      </w:r>
      <w:r w:rsidRPr="00A3767D">
        <w:rPr>
          <w:i/>
        </w:rPr>
        <w:t>”</w:t>
      </w:r>
      <w:r w:rsidR="00FE2801" w:rsidRPr="00A3767D">
        <w:rPr>
          <w:i/>
        </w:rPr>
        <w:t xml:space="preserve"> </w:t>
      </w:r>
      <w:r w:rsidR="00B22469" w:rsidRPr="00B22469">
        <w:rPr>
          <w:iCs/>
        </w:rPr>
        <w:t>[Advis</w:t>
      </w:r>
      <w:r w:rsidR="00B22469">
        <w:rPr>
          <w:iCs/>
        </w:rPr>
        <w:t>o</w:t>
      </w:r>
      <w:r w:rsidR="00B22469" w:rsidRPr="00B22469">
        <w:rPr>
          <w:iCs/>
        </w:rPr>
        <w:t>r</w:t>
      </w:r>
      <w:r w:rsidR="00FE2801" w:rsidRPr="00B22469">
        <w:rPr>
          <w:iCs/>
        </w:rPr>
        <w:t xml:space="preserve"> 01</w:t>
      </w:r>
      <w:r w:rsidR="00B22469" w:rsidRPr="00B22469">
        <w:rPr>
          <w:iCs/>
        </w:rPr>
        <w:t>-</w:t>
      </w:r>
      <w:r w:rsidR="00FE2801" w:rsidRPr="00B22469">
        <w:rPr>
          <w:iCs/>
        </w:rPr>
        <w:t>06</w:t>
      </w:r>
      <w:r w:rsidR="00B22469" w:rsidRPr="00B22469">
        <w:rPr>
          <w:iCs/>
        </w:rPr>
        <w:t>]</w:t>
      </w:r>
    </w:p>
    <w:p w14:paraId="7AC5863B" w14:textId="64DB70A7" w:rsidR="00D5185D" w:rsidRDefault="00D5185D" w:rsidP="00432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iCs/>
        </w:rPr>
      </w:pPr>
      <w:r>
        <w:rPr>
          <w:iCs/>
        </w:rPr>
        <w:t xml:space="preserve">Critically, </w:t>
      </w:r>
      <w:r w:rsidRPr="00F81FA6">
        <w:rPr>
          <w:i/>
        </w:rPr>
        <w:t>listening</w:t>
      </w:r>
      <w:r>
        <w:rPr>
          <w:iCs/>
        </w:rPr>
        <w:t xml:space="preserve"> and responding appropriately to the individual was a major aspect of adapting the intervention delivery:</w:t>
      </w:r>
    </w:p>
    <w:p w14:paraId="618CE0C6" w14:textId="0A6663D8" w:rsidR="00D5185D" w:rsidRPr="00D5185D" w:rsidRDefault="00D5185D" w:rsidP="00B2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i/>
        </w:rPr>
      </w:pPr>
      <w:r w:rsidRPr="00F81FA6">
        <w:rPr>
          <w:i/>
        </w:rPr>
        <w:t>“I probably tailor it as well. You have to learn, I think, to tailor the intervention to the person that you're talking to rather than the script</w:t>
      </w:r>
      <w:proofErr w:type="gramStart"/>
      <w:r w:rsidR="00530AF3">
        <w:rPr>
          <w:i/>
        </w:rPr>
        <w:t>….</w:t>
      </w:r>
      <w:r w:rsidRPr="00F81FA6">
        <w:rPr>
          <w:i/>
        </w:rPr>
        <w:t>You</w:t>
      </w:r>
      <w:proofErr w:type="gramEnd"/>
      <w:r w:rsidRPr="00F81FA6">
        <w:rPr>
          <w:i/>
        </w:rPr>
        <w:t xml:space="preserve"> have to make that judgment and let people talk to you.”</w:t>
      </w:r>
      <w:r w:rsidR="00E9160A">
        <w:rPr>
          <w:i/>
        </w:rPr>
        <w:t xml:space="preserve"> </w:t>
      </w:r>
      <w:r w:rsidR="00B22469" w:rsidRPr="00B22469">
        <w:rPr>
          <w:iCs/>
        </w:rPr>
        <w:t>[</w:t>
      </w:r>
      <w:r w:rsidRPr="00B22469">
        <w:rPr>
          <w:iCs/>
        </w:rPr>
        <w:t>Adviso</w:t>
      </w:r>
      <w:r w:rsidR="00B22469" w:rsidRPr="00B22469">
        <w:rPr>
          <w:iCs/>
        </w:rPr>
        <w:t>r 01-02]</w:t>
      </w:r>
    </w:p>
    <w:p w14:paraId="07556D5C" w14:textId="334AA99D" w:rsidR="00CB48EE" w:rsidRDefault="00CB48EE" w:rsidP="00CB48EE">
      <w:pPr>
        <w:spacing w:line="360" w:lineRule="auto"/>
      </w:pPr>
      <w:r>
        <w:t>Despite these adaptations</w:t>
      </w:r>
      <w:r w:rsidR="00237FC0">
        <w:t xml:space="preserve"> and ‘in the moment’ tailoring</w:t>
      </w:r>
      <w:r>
        <w:t>, o</w:t>
      </w:r>
      <w:r w:rsidRPr="002D28D2">
        <w:t>bservation and interview data suggest</w:t>
      </w:r>
      <w:r w:rsidR="00142C5E">
        <w:t>ed</w:t>
      </w:r>
      <w:r w:rsidRPr="002D28D2">
        <w:t xml:space="preserve"> good </w:t>
      </w:r>
      <w:r>
        <w:t xml:space="preserve">adherence and </w:t>
      </w:r>
      <w:r w:rsidRPr="002D28D2">
        <w:t xml:space="preserve">fidelity </w:t>
      </w:r>
      <w:r>
        <w:t>to the intervention manual</w:t>
      </w:r>
      <w:r w:rsidR="00142C5E">
        <w:t xml:space="preserve"> overall</w:t>
      </w:r>
      <w:r>
        <w:t>. Specifically, observations revealed how staff responded to participants with ra</w:t>
      </w:r>
      <w:r w:rsidRPr="002D28D2">
        <w:t xml:space="preserve">pport and empathy, </w:t>
      </w:r>
      <w:r>
        <w:t xml:space="preserve">being aware of possible stigma around smoking, and therefore </w:t>
      </w:r>
      <w:r w:rsidRPr="002D28D2">
        <w:t>talking ‘wit</w:t>
      </w:r>
      <w:r>
        <w:t xml:space="preserve">h’ rather than ‘at’ participants:  </w:t>
      </w:r>
    </w:p>
    <w:p w14:paraId="735114FF" w14:textId="15D0BFFA" w:rsidR="00CB48EE" w:rsidRPr="006056B0" w:rsidRDefault="00CB48EE" w:rsidP="00CB48EE">
      <w:pPr>
        <w:spacing w:line="360" w:lineRule="auto"/>
        <w:ind w:left="720"/>
      </w:pPr>
      <w:r>
        <w:t>“</w:t>
      </w:r>
      <w:r w:rsidRPr="005C6628">
        <w:rPr>
          <w:i/>
        </w:rPr>
        <w:t>I think the listening and being open minded and adaptable…because everybody is different and try to get them to have a conversation with you rather than jamming information down the throat.</w:t>
      </w:r>
      <w:r>
        <w:rPr>
          <w:i/>
        </w:rPr>
        <w:t>”</w:t>
      </w:r>
      <w:r w:rsidRPr="005C6628">
        <w:rPr>
          <w:i/>
        </w:rPr>
        <w:t xml:space="preserve"> </w:t>
      </w:r>
      <w:r w:rsidRPr="006056B0">
        <w:t>[Advisor 04</w:t>
      </w:r>
      <w:r w:rsidR="00B22469">
        <w:t>-</w:t>
      </w:r>
      <w:r w:rsidRPr="006056B0">
        <w:t>02]</w:t>
      </w:r>
    </w:p>
    <w:p w14:paraId="17C1A31A" w14:textId="63480A3D" w:rsidR="004763D1" w:rsidRDefault="00CB48EE" w:rsidP="00B22469">
      <w:pPr>
        <w:pStyle w:val="NoSpacing"/>
        <w:spacing w:line="360" w:lineRule="auto"/>
      </w:pPr>
      <w:r>
        <w:t>Observations gave confidence that advisors had a good level of u</w:t>
      </w:r>
      <w:r w:rsidRPr="002D28D2">
        <w:t xml:space="preserve">nderstanding of smoking cessation, </w:t>
      </w:r>
      <w:r>
        <w:t xml:space="preserve">the health </w:t>
      </w:r>
      <w:r w:rsidRPr="002D28D2">
        <w:t xml:space="preserve">benefits of switching to vaping, and </w:t>
      </w:r>
      <w:r>
        <w:t xml:space="preserve">detailed </w:t>
      </w:r>
      <w:r w:rsidRPr="002D28D2">
        <w:t>technical knowledge about</w:t>
      </w:r>
      <w:r>
        <w:t xml:space="preserve"> the specific</w:t>
      </w:r>
      <w:r w:rsidRPr="002D28D2">
        <w:t xml:space="preserve"> device provide</w:t>
      </w:r>
      <w:r>
        <w:t xml:space="preserve">d. This demonstrable knowledge ensured that </w:t>
      </w:r>
      <w:r w:rsidRPr="002D28D2">
        <w:t>key intervention components</w:t>
      </w:r>
      <w:r>
        <w:t xml:space="preserve"> were delivered, and fidelity to the manual was high overall. However, some deviations to intervention delivery were noted</w:t>
      </w:r>
      <w:r w:rsidR="005B4166">
        <w:t>:</w:t>
      </w:r>
    </w:p>
    <w:p w14:paraId="43264D88" w14:textId="77777777" w:rsidR="00B22469" w:rsidRDefault="00B22469" w:rsidP="00B22469">
      <w:pPr>
        <w:pStyle w:val="NoSpacing"/>
        <w:spacing w:line="360" w:lineRule="auto"/>
      </w:pPr>
    </w:p>
    <w:p w14:paraId="089F6BC8" w14:textId="2C90DAFF" w:rsidR="00CB48EE" w:rsidRPr="00F81FA6" w:rsidRDefault="004763D1" w:rsidP="00B2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i/>
        </w:rPr>
      </w:pPr>
      <w:r w:rsidRPr="00F81FA6">
        <w:t>“</w:t>
      </w:r>
      <w:r w:rsidRPr="00F81FA6">
        <w:rPr>
          <w:i/>
        </w:rPr>
        <w:t xml:space="preserve">I probably didn’t use the script as much. Just because I didn’t want to come across as though I was just reading to the participant. But having the bullet points, the facts and the FAQs was </w:t>
      </w:r>
      <w:proofErr w:type="gramStart"/>
      <w:r w:rsidRPr="00F81FA6">
        <w:rPr>
          <w:i/>
        </w:rPr>
        <w:t>really helpful</w:t>
      </w:r>
      <w:proofErr w:type="gramEnd"/>
      <w:r w:rsidRPr="00F81FA6">
        <w:rPr>
          <w:i/>
        </w:rPr>
        <w:t>.”</w:t>
      </w:r>
      <w:r w:rsidRPr="00B22469">
        <w:rPr>
          <w:iCs/>
        </w:rPr>
        <w:t xml:space="preserve"> </w:t>
      </w:r>
      <w:r w:rsidR="00B22469" w:rsidRPr="00B22469">
        <w:rPr>
          <w:iCs/>
        </w:rPr>
        <w:t>[</w:t>
      </w:r>
      <w:r w:rsidRPr="00B22469">
        <w:rPr>
          <w:iCs/>
        </w:rPr>
        <w:t>Advisor</w:t>
      </w:r>
      <w:r w:rsidR="00B22469" w:rsidRPr="00B22469">
        <w:rPr>
          <w:iCs/>
        </w:rPr>
        <w:t xml:space="preserve"> </w:t>
      </w:r>
      <w:r w:rsidRPr="00B22469">
        <w:rPr>
          <w:iCs/>
        </w:rPr>
        <w:t>05</w:t>
      </w:r>
      <w:r w:rsidR="00B22469" w:rsidRPr="00B22469">
        <w:rPr>
          <w:iCs/>
        </w:rPr>
        <w:t>-</w:t>
      </w:r>
      <w:r w:rsidRPr="00B22469">
        <w:rPr>
          <w:iCs/>
        </w:rPr>
        <w:t>03</w:t>
      </w:r>
      <w:r w:rsidR="00B22469" w:rsidRPr="00B22469">
        <w:rPr>
          <w:iCs/>
        </w:rPr>
        <w:t>]</w:t>
      </w:r>
    </w:p>
    <w:p w14:paraId="66F695EB" w14:textId="77777777" w:rsidR="00CB48EE" w:rsidRPr="002D28D2" w:rsidRDefault="00CB48EE" w:rsidP="00CB48EE">
      <w:pPr>
        <w:pStyle w:val="NoSpacing"/>
        <w:spacing w:line="360" w:lineRule="auto"/>
        <w:ind w:left="720"/>
      </w:pPr>
    </w:p>
    <w:p w14:paraId="1CE25667" w14:textId="77777777" w:rsidR="00CB48EE" w:rsidRPr="0094482B" w:rsidRDefault="00CB48EE" w:rsidP="00CB48EE">
      <w:pPr>
        <w:spacing w:line="360" w:lineRule="auto"/>
        <w:rPr>
          <w:b/>
          <w:bCs/>
          <w:i/>
          <w:iCs/>
        </w:rPr>
      </w:pPr>
      <w:r w:rsidRPr="0094482B">
        <w:rPr>
          <w:b/>
          <w:bCs/>
          <w:i/>
          <w:iCs/>
        </w:rPr>
        <w:t xml:space="preserve">Advisor ‘buy-in’ </w:t>
      </w:r>
    </w:p>
    <w:p w14:paraId="321974D3" w14:textId="70A25A80" w:rsidR="00CB48EE" w:rsidRDefault="00CB48EE" w:rsidP="00CB48EE">
      <w:pPr>
        <w:spacing w:line="360" w:lineRule="auto"/>
      </w:pPr>
      <w:r>
        <w:rPr>
          <w:bCs/>
        </w:rPr>
        <w:t>The personal view, training and level of understanding of advisors was an immediate contextual factor that had a strong influence on intervention delivery. Generally</w:t>
      </w:r>
      <w:r w:rsidR="00F81FA6">
        <w:rPr>
          <w:bCs/>
        </w:rPr>
        <w:t>,</w:t>
      </w:r>
      <w:r>
        <w:rPr>
          <w:bCs/>
        </w:rPr>
        <w:t xml:space="preserve"> we observed e</w:t>
      </w:r>
      <w:r w:rsidRPr="00521B33">
        <w:rPr>
          <w:bCs/>
        </w:rPr>
        <w:t xml:space="preserve">xtremely good commitment and </w:t>
      </w:r>
      <w:r>
        <w:rPr>
          <w:bCs/>
        </w:rPr>
        <w:t>‘</w:t>
      </w:r>
      <w:r w:rsidRPr="00521B33">
        <w:rPr>
          <w:bCs/>
        </w:rPr>
        <w:t>buy in</w:t>
      </w:r>
      <w:r>
        <w:rPr>
          <w:bCs/>
        </w:rPr>
        <w:t>’ to the importance of the intervention. Feedback on training provided was positive, as advisors viewed it a</w:t>
      </w:r>
      <w:r>
        <w:t xml:space="preserve">s an </w:t>
      </w:r>
      <w:r w:rsidRPr="00A51656">
        <w:t>opportunity to upskill and build knowledge</w:t>
      </w:r>
      <w:r>
        <w:t xml:space="preserve">. Several advisers spoke about how it had changed their perspective and understanding of smoking cessation:  </w:t>
      </w:r>
    </w:p>
    <w:p w14:paraId="15A3A077" w14:textId="11B025DD" w:rsidR="00CB48EE" w:rsidRDefault="00CB48EE" w:rsidP="00CB48EE">
      <w:pPr>
        <w:spacing w:line="360" w:lineRule="auto"/>
        <w:ind w:left="720"/>
      </w:pPr>
      <w:r>
        <w:lastRenderedPageBreak/>
        <w:t>“</w:t>
      </w:r>
      <w:r w:rsidRPr="005C6628">
        <w:rPr>
          <w:i/>
        </w:rPr>
        <w:t>I found it really, personally, really interesting information and when I was sat there doing it, my personal thoughts at the time were that every healthcare professional should get this training</w:t>
      </w:r>
      <w:r w:rsidR="00D07545">
        <w:rPr>
          <w:i/>
        </w:rPr>
        <w:t>.</w:t>
      </w:r>
      <w:r>
        <w:rPr>
          <w:i/>
        </w:rPr>
        <w:t>”</w:t>
      </w:r>
      <w:r>
        <w:t xml:space="preserve"> [Advisor 06-02]</w:t>
      </w:r>
    </w:p>
    <w:p w14:paraId="414FB897" w14:textId="2DA94B28" w:rsidR="00CB48EE" w:rsidRPr="00AF6874" w:rsidRDefault="00CB48EE" w:rsidP="00CB48EE">
      <w:pPr>
        <w:autoSpaceDE w:val="0"/>
        <w:autoSpaceDN w:val="0"/>
        <w:adjustRightInd w:val="0"/>
        <w:spacing w:line="360" w:lineRule="auto"/>
        <w:rPr>
          <w:bCs/>
        </w:rPr>
      </w:pPr>
      <w:r>
        <w:rPr>
          <w:bCs/>
        </w:rPr>
        <w:t>Individual advisors who themselves reported being an e</w:t>
      </w:r>
      <w:r w:rsidRPr="00AF6874">
        <w:rPr>
          <w:bCs/>
        </w:rPr>
        <w:t xml:space="preserve">x-smoker or </w:t>
      </w:r>
      <w:r>
        <w:rPr>
          <w:bCs/>
        </w:rPr>
        <w:t>vaper had a particular level of insight that was</w:t>
      </w:r>
      <w:r w:rsidRPr="00AF6874">
        <w:rPr>
          <w:bCs/>
        </w:rPr>
        <w:t xml:space="preserve"> facilitat</w:t>
      </w:r>
      <w:r>
        <w:rPr>
          <w:bCs/>
        </w:rPr>
        <w:t>ive</w:t>
      </w:r>
      <w:r w:rsidRPr="00AF6874">
        <w:rPr>
          <w:bCs/>
        </w:rPr>
        <w:t xml:space="preserve">: </w:t>
      </w:r>
    </w:p>
    <w:p w14:paraId="2A695E03" w14:textId="5F3A6984" w:rsidR="00CB48EE" w:rsidRPr="00FE42CA" w:rsidRDefault="00CB48EE" w:rsidP="00CB48EE">
      <w:pPr>
        <w:autoSpaceDE w:val="0"/>
        <w:autoSpaceDN w:val="0"/>
        <w:adjustRightInd w:val="0"/>
        <w:spacing w:line="360" w:lineRule="auto"/>
        <w:ind w:left="720"/>
        <w:rPr>
          <w:bCs/>
        </w:rPr>
      </w:pPr>
      <w:r>
        <w:rPr>
          <w:bCs/>
        </w:rPr>
        <w:t>“</w:t>
      </w:r>
      <w:r w:rsidRPr="003F4D81">
        <w:rPr>
          <w:bCs/>
          <w:i/>
          <w:iCs/>
        </w:rPr>
        <w:t xml:space="preserve">I </w:t>
      </w:r>
      <w:r w:rsidRPr="000A5D01">
        <w:rPr>
          <w:bCs/>
          <w:i/>
        </w:rPr>
        <w:t>used to socially smoke when I was like, my early 20s and I really pulled on that. That would really help build a rapport. Even though I haven</w:t>
      </w:r>
      <w:r>
        <w:rPr>
          <w:bCs/>
          <w:i/>
        </w:rPr>
        <w:t>’</w:t>
      </w:r>
      <w:r w:rsidRPr="000A5D01">
        <w:rPr>
          <w:bCs/>
          <w:i/>
        </w:rPr>
        <w:t>t smoked in such a long time. But if I then said, “oh, when I used to smoke, I know it</w:t>
      </w:r>
      <w:r>
        <w:rPr>
          <w:bCs/>
          <w:i/>
        </w:rPr>
        <w:t>’</w:t>
      </w:r>
      <w:r w:rsidRPr="000A5D01">
        <w:rPr>
          <w:bCs/>
          <w:i/>
        </w:rPr>
        <w:t>s very difficult</w:t>
      </w:r>
      <w:proofErr w:type="gramStart"/>
      <w:r w:rsidRPr="000A5D01">
        <w:rPr>
          <w:bCs/>
          <w:i/>
        </w:rPr>
        <w:t>.”</w:t>
      </w:r>
      <w:r>
        <w:rPr>
          <w:bCs/>
        </w:rPr>
        <w:t>[</w:t>
      </w:r>
      <w:proofErr w:type="gramEnd"/>
      <w:r w:rsidRPr="000A5D01">
        <w:rPr>
          <w:bCs/>
        </w:rPr>
        <w:t>Advisor</w:t>
      </w:r>
      <w:r>
        <w:rPr>
          <w:bCs/>
        </w:rPr>
        <w:t xml:space="preserve"> </w:t>
      </w:r>
      <w:r w:rsidRPr="000A5D01">
        <w:rPr>
          <w:bCs/>
        </w:rPr>
        <w:t>02</w:t>
      </w:r>
      <w:r>
        <w:rPr>
          <w:bCs/>
        </w:rPr>
        <w:t>-</w:t>
      </w:r>
      <w:r w:rsidRPr="000A5D01">
        <w:rPr>
          <w:bCs/>
        </w:rPr>
        <w:t>08</w:t>
      </w:r>
      <w:r>
        <w:rPr>
          <w:bCs/>
        </w:rPr>
        <w:t>]</w:t>
      </w:r>
    </w:p>
    <w:p w14:paraId="274854CF" w14:textId="45AE60A4" w:rsidR="00CB48EE" w:rsidRDefault="00CB48EE" w:rsidP="00CB48EE">
      <w:pPr>
        <w:autoSpaceDE w:val="0"/>
        <w:autoSpaceDN w:val="0"/>
        <w:adjustRightInd w:val="0"/>
        <w:spacing w:line="360" w:lineRule="auto"/>
        <w:rPr>
          <w:bCs/>
        </w:rPr>
      </w:pPr>
      <w:r>
        <w:rPr>
          <w:bCs/>
        </w:rPr>
        <w:t xml:space="preserve">Advisors had a variety of professional backgrounds, including </w:t>
      </w:r>
      <w:r w:rsidRPr="006739FD">
        <w:rPr>
          <w:bCs/>
        </w:rPr>
        <w:t>research nurse, E</w:t>
      </w:r>
      <w:r>
        <w:rPr>
          <w:bCs/>
        </w:rPr>
        <w:t>D</w:t>
      </w:r>
      <w:r w:rsidRPr="006739FD">
        <w:rPr>
          <w:bCs/>
        </w:rPr>
        <w:t xml:space="preserve"> nurse, healthcare assistant and peer support worker</w:t>
      </w:r>
      <w:r>
        <w:rPr>
          <w:bCs/>
        </w:rPr>
        <w:t>. Each brought a unique</w:t>
      </w:r>
      <w:r w:rsidRPr="006739FD">
        <w:rPr>
          <w:bCs/>
        </w:rPr>
        <w:t xml:space="preserve"> skill set and </w:t>
      </w:r>
      <w:proofErr w:type="gramStart"/>
      <w:r w:rsidRPr="006739FD">
        <w:rPr>
          <w:bCs/>
        </w:rPr>
        <w:t>experience</w:t>
      </w:r>
      <w:r>
        <w:rPr>
          <w:bCs/>
        </w:rPr>
        <w:t>, but</w:t>
      </w:r>
      <w:proofErr w:type="gramEnd"/>
      <w:r>
        <w:rPr>
          <w:bCs/>
        </w:rPr>
        <w:t xml:space="preserve"> received the standardised COSTED training package</w:t>
      </w:r>
      <w:r w:rsidRPr="006739FD">
        <w:rPr>
          <w:bCs/>
        </w:rPr>
        <w:t xml:space="preserve">.  </w:t>
      </w:r>
      <w:r>
        <w:rPr>
          <w:bCs/>
        </w:rPr>
        <w:t xml:space="preserve">Although different backgrounds played out </w:t>
      </w:r>
      <w:r w:rsidRPr="006739FD">
        <w:rPr>
          <w:bCs/>
        </w:rPr>
        <w:t>in different ways</w:t>
      </w:r>
      <w:r>
        <w:rPr>
          <w:bCs/>
        </w:rPr>
        <w:t>, all managed to successfully recruit and there were no discernible across site differences in smoking cessation outcomes.</w:t>
      </w:r>
      <w:r w:rsidR="002F154D">
        <w:rPr>
          <w:bCs/>
        </w:rPr>
        <w:t xml:space="preserve"> What seemed critical to successful delivery of the intervention was the overall enthusiasm and ‘buy in’ of advisors:</w:t>
      </w:r>
    </w:p>
    <w:p w14:paraId="13CDD6B5" w14:textId="39A52E77" w:rsidR="002F154D" w:rsidRPr="002F154D" w:rsidRDefault="002F154D" w:rsidP="00B22469">
      <w:pPr>
        <w:spacing w:line="360" w:lineRule="auto"/>
        <w:ind w:left="720"/>
        <w:rPr>
          <w:i/>
        </w:rPr>
      </w:pPr>
      <w:r w:rsidRPr="002F154D">
        <w:rPr>
          <w:bCs/>
        </w:rPr>
        <w:t>“</w:t>
      </w:r>
      <w:r w:rsidRPr="002F154D">
        <w:rPr>
          <w:i/>
        </w:rPr>
        <w:t xml:space="preserve">You can't convert everyone, but there's some you really wanted to get the buzz and take it on board and just catch some enthusiasm. And I felt that I was quite enthusiastic about </w:t>
      </w:r>
      <w:proofErr w:type="gramStart"/>
      <w:r w:rsidRPr="002F154D">
        <w:rPr>
          <w:i/>
        </w:rPr>
        <w:t>it</w:t>
      </w:r>
      <w:proofErr w:type="gramEnd"/>
      <w:r w:rsidRPr="002F154D">
        <w:rPr>
          <w:i/>
        </w:rPr>
        <w:t xml:space="preserve"> and you just want everybody to feel it…it was quite an inspiring thing to do really. You just hope that you've touched a few of the lives of the people you </w:t>
      </w:r>
      <w:proofErr w:type="gramStart"/>
      <w:r w:rsidRPr="002F154D">
        <w:rPr>
          <w:i/>
        </w:rPr>
        <w:t>meet”</w:t>
      </w:r>
      <w:r w:rsidR="00B22469">
        <w:rPr>
          <w:i/>
        </w:rPr>
        <w:t xml:space="preserve"> </w:t>
      </w:r>
      <w:r w:rsidRPr="002F154D">
        <w:rPr>
          <w:i/>
        </w:rPr>
        <w:t xml:space="preserve"> </w:t>
      </w:r>
      <w:r w:rsidR="00B22469" w:rsidRPr="00B22469">
        <w:rPr>
          <w:iCs/>
        </w:rPr>
        <w:t>[</w:t>
      </w:r>
      <w:proofErr w:type="gramEnd"/>
      <w:r w:rsidR="00B22469" w:rsidRPr="00B22469">
        <w:rPr>
          <w:iCs/>
        </w:rPr>
        <w:t>Advis</w:t>
      </w:r>
      <w:r w:rsidR="00D07545">
        <w:rPr>
          <w:iCs/>
        </w:rPr>
        <w:t>o</w:t>
      </w:r>
      <w:r w:rsidR="00B22469" w:rsidRPr="00B22469">
        <w:rPr>
          <w:iCs/>
        </w:rPr>
        <w:t>r: 01-08]</w:t>
      </w:r>
      <w:r w:rsidR="00B22469">
        <w:rPr>
          <w:i/>
        </w:rPr>
        <w:t xml:space="preserve"> </w:t>
      </w:r>
      <w:r w:rsidRPr="002F154D">
        <w:rPr>
          <w:i/>
        </w:rPr>
        <w:t xml:space="preserve"> </w:t>
      </w:r>
    </w:p>
    <w:p w14:paraId="1CEA5A20" w14:textId="77777777" w:rsidR="00CB48EE" w:rsidRPr="00EB63F9" w:rsidRDefault="00CB48EE" w:rsidP="00CB48EE">
      <w:pPr>
        <w:pStyle w:val="NoSpacing"/>
        <w:spacing w:line="360" w:lineRule="auto"/>
        <w:rPr>
          <w:b/>
          <w:bCs/>
        </w:rPr>
      </w:pPr>
    </w:p>
    <w:p w14:paraId="659037B1" w14:textId="77777777" w:rsidR="00CB48EE" w:rsidRPr="0094482B" w:rsidRDefault="00CB48EE" w:rsidP="00CB48EE">
      <w:pPr>
        <w:autoSpaceDE w:val="0"/>
        <w:autoSpaceDN w:val="0"/>
        <w:adjustRightInd w:val="0"/>
        <w:spacing w:line="360" w:lineRule="auto"/>
        <w:rPr>
          <w:b/>
          <w:bCs/>
          <w:i/>
        </w:rPr>
      </w:pPr>
      <w:r w:rsidRPr="0094482B">
        <w:rPr>
          <w:b/>
          <w:bCs/>
          <w:i/>
        </w:rPr>
        <w:t>ED staff barriers and facilitators</w:t>
      </w:r>
    </w:p>
    <w:p w14:paraId="3D45F3C3" w14:textId="094E4C47" w:rsidR="00455CE0" w:rsidRDefault="00CB48EE" w:rsidP="00CB48EE">
      <w:pPr>
        <w:autoSpaceDE w:val="0"/>
        <w:autoSpaceDN w:val="0"/>
        <w:adjustRightInd w:val="0"/>
        <w:spacing w:line="360" w:lineRule="auto"/>
        <w:rPr>
          <w:iCs/>
        </w:rPr>
      </w:pPr>
      <w:r>
        <w:rPr>
          <w:iCs/>
        </w:rPr>
        <w:t>In staff interviews it was apparent that some other m</w:t>
      </w:r>
      <w:r w:rsidRPr="00EB63F9">
        <w:rPr>
          <w:iCs/>
        </w:rPr>
        <w:t>embers of ED staff</w:t>
      </w:r>
      <w:r>
        <w:rPr>
          <w:iCs/>
        </w:rPr>
        <w:t xml:space="preserve"> were</w:t>
      </w:r>
      <w:r w:rsidRPr="00EB63F9">
        <w:rPr>
          <w:iCs/>
        </w:rPr>
        <w:t xml:space="preserve"> resistant to the intervention</w:t>
      </w:r>
      <w:r>
        <w:rPr>
          <w:iCs/>
        </w:rPr>
        <w:t xml:space="preserve"> approach, perhaps because they</w:t>
      </w:r>
      <w:r w:rsidRPr="00EB63F9">
        <w:rPr>
          <w:iCs/>
        </w:rPr>
        <w:t xml:space="preserve"> smoke</w:t>
      </w:r>
      <w:r>
        <w:rPr>
          <w:iCs/>
        </w:rPr>
        <w:t>d</w:t>
      </w:r>
      <w:r w:rsidRPr="00EB63F9">
        <w:rPr>
          <w:iCs/>
        </w:rPr>
        <w:t xml:space="preserve"> themselves, or </w:t>
      </w:r>
      <w:r>
        <w:rPr>
          <w:iCs/>
        </w:rPr>
        <w:t xml:space="preserve">more commonly, </w:t>
      </w:r>
      <w:r w:rsidRPr="00EB63F9">
        <w:rPr>
          <w:iCs/>
        </w:rPr>
        <w:t>did not see</w:t>
      </w:r>
      <w:r>
        <w:rPr>
          <w:iCs/>
        </w:rPr>
        <w:t xml:space="preserve"> the intervention </w:t>
      </w:r>
      <w:r w:rsidRPr="00EB63F9">
        <w:rPr>
          <w:iCs/>
        </w:rPr>
        <w:t>as</w:t>
      </w:r>
      <w:r>
        <w:rPr>
          <w:iCs/>
        </w:rPr>
        <w:t xml:space="preserve"> being</w:t>
      </w:r>
      <w:r w:rsidRPr="00EB63F9">
        <w:rPr>
          <w:iCs/>
        </w:rPr>
        <w:t xml:space="preserve"> compatible with </w:t>
      </w:r>
      <w:r>
        <w:rPr>
          <w:iCs/>
        </w:rPr>
        <w:t>the</w:t>
      </w:r>
      <w:r w:rsidRPr="00EB63F9">
        <w:rPr>
          <w:iCs/>
        </w:rPr>
        <w:t xml:space="preserve"> ED setting</w:t>
      </w:r>
      <w:r w:rsidR="00455CE0">
        <w:rPr>
          <w:iCs/>
        </w:rPr>
        <w:t>:</w:t>
      </w:r>
    </w:p>
    <w:p w14:paraId="193D3CC7" w14:textId="26725DFE" w:rsidR="009268D9" w:rsidRPr="00E9160A" w:rsidRDefault="009268D9" w:rsidP="00D07545">
      <w:pPr>
        <w:spacing w:line="360" w:lineRule="auto"/>
        <w:ind w:left="720"/>
        <w:rPr>
          <w:i/>
        </w:rPr>
      </w:pPr>
      <w:r w:rsidRPr="00E9160A">
        <w:rPr>
          <w:i/>
        </w:rPr>
        <w:t>“</w:t>
      </w:r>
      <w:r w:rsidR="00455CE0" w:rsidRPr="00E9160A">
        <w:rPr>
          <w:i/>
        </w:rPr>
        <w:t xml:space="preserve">Because we've got a few smokers ourselves, so it depends very much on </w:t>
      </w:r>
      <w:proofErr w:type="gramStart"/>
      <w:r w:rsidR="00455CE0" w:rsidRPr="00E9160A">
        <w:rPr>
          <w:i/>
        </w:rPr>
        <w:t>whether or not</w:t>
      </w:r>
      <w:proofErr w:type="gramEnd"/>
      <w:r w:rsidR="00455CE0" w:rsidRPr="00E9160A">
        <w:rPr>
          <w:i/>
        </w:rPr>
        <w:t xml:space="preserve"> they were a smoker or non-smoker…it was hard work trying to get them to engage…</w:t>
      </w:r>
      <w:r w:rsidR="00564571" w:rsidRPr="00E9160A">
        <w:rPr>
          <w:i/>
        </w:rPr>
        <w:t xml:space="preserve"> I think people and staff wouldn't necessarily associate quitting smoking in an ED setting.</w:t>
      </w:r>
      <w:r w:rsidRPr="00E9160A">
        <w:rPr>
          <w:i/>
        </w:rPr>
        <w:t>”</w:t>
      </w:r>
      <w:r w:rsidR="00B22469">
        <w:rPr>
          <w:i/>
        </w:rPr>
        <w:t xml:space="preserve">  </w:t>
      </w:r>
      <w:r w:rsidR="00B22469" w:rsidRPr="00B22469">
        <w:rPr>
          <w:iCs/>
        </w:rPr>
        <w:t>[Advis</w:t>
      </w:r>
      <w:r w:rsidR="00B22469">
        <w:rPr>
          <w:iCs/>
        </w:rPr>
        <w:t>o</w:t>
      </w:r>
      <w:r w:rsidR="00B22469" w:rsidRPr="00B22469">
        <w:rPr>
          <w:iCs/>
        </w:rPr>
        <w:t>r 06-02]</w:t>
      </w:r>
      <w:r w:rsidR="00B22469">
        <w:rPr>
          <w:i/>
        </w:rPr>
        <w:t xml:space="preserve"> </w:t>
      </w:r>
      <w:r w:rsidR="00564571" w:rsidRPr="00E9160A">
        <w:rPr>
          <w:i/>
        </w:rPr>
        <w:t xml:space="preserve"> </w:t>
      </w:r>
    </w:p>
    <w:p w14:paraId="4382AFFF" w14:textId="5D51707D" w:rsidR="00455CE0" w:rsidRPr="00564571" w:rsidRDefault="00455CE0" w:rsidP="00564571">
      <w:pPr>
        <w:rPr>
          <w:i/>
          <w:sz w:val="18"/>
          <w:szCs w:val="18"/>
        </w:rPr>
      </w:pPr>
    </w:p>
    <w:p w14:paraId="68B578BC" w14:textId="3FA54CDE" w:rsidR="00CB48EE" w:rsidRPr="00EB63F9" w:rsidRDefault="00CB48EE" w:rsidP="00CB48EE">
      <w:pPr>
        <w:autoSpaceDE w:val="0"/>
        <w:autoSpaceDN w:val="0"/>
        <w:adjustRightInd w:val="0"/>
        <w:spacing w:line="360" w:lineRule="auto"/>
        <w:rPr>
          <w:iCs/>
        </w:rPr>
      </w:pPr>
      <w:r w:rsidRPr="00EB63F9">
        <w:rPr>
          <w:iCs/>
        </w:rPr>
        <w:t xml:space="preserve">  Advisers reported that they sometimes perceived being viewed as an obstruction:</w:t>
      </w:r>
    </w:p>
    <w:p w14:paraId="61B77E1A" w14:textId="415DB97C" w:rsidR="004B7640" w:rsidRDefault="00CB48EE" w:rsidP="002F154D">
      <w:pPr>
        <w:autoSpaceDE w:val="0"/>
        <w:autoSpaceDN w:val="0"/>
        <w:adjustRightInd w:val="0"/>
        <w:spacing w:line="360" w:lineRule="auto"/>
        <w:ind w:left="720"/>
        <w:rPr>
          <w:iCs/>
        </w:rPr>
      </w:pPr>
      <w:r>
        <w:rPr>
          <w:i/>
          <w:iCs/>
        </w:rPr>
        <w:t>“I</w:t>
      </w:r>
      <w:r w:rsidRPr="00432686">
        <w:rPr>
          <w:i/>
          <w:iCs/>
        </w:rPr>
        <w:t>nput from the ED staff was minimal. I think it was just another thing that they didn't have time to do</w:t>
      </w:r>
      <w:r>
        <w:rPr>
          <w:i/>
          <w:iCs/>
        </w:rPr>
        <w:t>.</w:t>
      </w:r>
      <w:r w:rsidRPr="00432686">
        <w:rPr>
          <w:i/>
          <w:iCs/>
        </w:rPr>
        <w:t xml:space="preserve"> </w:t>
      </w:r>
      <w:proofErr w:type="gramStart"/>
      <w:r>
        <w:rPr>
          <w:i/>
          <w:iCs/>
        </w:rPr>
        <w:t xml:space="preserve">“  </w:t>
      </w:r>
      <w:r>
        <w:t>[</w:t>
      </w:r>
      <w:proofErr w:type="gramEnd"/>
      <w:r>
        <w:rPr>
          <w:iCs/>
        </w:rPr>
        <w:t xml:space="preserve">Advisor </w:t>
      </w:r>
      <w:r w:rsidRPr="00432686">
        <w:rPr>
          <w:iCs/>
        </w:rPr>
        <w:t>04</w:t>
      </w:r>
      <w:r>
        <w:rPr>
          <w:iCs/>
        </w:rPr>
        <w:t>-</w:t>
      </w:r>
      <w:r w:rsidRPr="00432686">
        <w:rPr>
          <w:iCs/>
        </w:rPr>
        <w:t>02</w:t>
      </w:r>
      <w:r>
        <w:rPr>
          <w:iCs/>
        </w:rPr>
        <w:t>]</w:t>
      </w:r>
    </w:p>
    <w:p w14:paraId="583F8C76" w14:textId="72A60B67" w:rsidR="0084205B" w:rsidRDefault="0084205B" w:rsidP="0084205B">
      <w:pPr>
        <w:autoSpaceDE w:val="0"/>
        <w:autoSpaceDN w:val="0"/>
        <w:adjustRightInd w:val="0"/>
        <w:spacing w:line="360" w:lineRule="auto"/>
      </w:pPr>
      <w:r>
        <w:lastRenderedPageBreak/>
        <w:t xml:space="preserve">Conversely, individual medical staff with personal interest could be very supportive, which was highly </w:t>
      </w:r>
      <w:r w:rsidR="004763D1">
        <w:t>facilitative</w:t>
      </w:r>
      <w:r>
        <w:t xml:space="preserve"> to the r</w:t>
      </w:r>
      <w:r w:rsidR="004763D1">
        <w:t>esearc</w:t>
      </w:r>
      <w:r>
        <w:t>h generally and intervention delivery specifically:</w:t>
      </w:r>
    </w:p>
    <w:p w14:paraId="25E9C2D7" w14:textId="0795ECB3" w:rsidR="0084205B" w:rsidRPr="00E9160A" w:rsidRDefault="0037125A" w:rsidP="00D07545">
      <w:pPr>
        <w:spacing w:line="360" w:lineRule="auto"/>
        <w:ind w:left="720"/>
        <w:rPr>
          <w:i/>
        </w:rPr>
      </w:pPr>
      <w:r w:rsidRPr="00E9160A">
        <w:rPr>
          <w:i/>
        </w:rPr>
        <w:t>“</w:t>
      </w:r>
      <w:r w:rsidR="0084205B" w:rsidRPr="00E9160A">
        <w:rPr>
          <w:i/>
        </w:rPr>
        <w:t>Some actively sought us out and said, oh, I've got smoker and stuff like that…you'd get some of the other doctors come out and say I've got somebody for you. It was completely mixed. We had a lot of staff who were very interested in what we were doing</w:t>
      </w:r>
      <w:r w:rsidRPr="00E9160A">
        <w:rPr>
          <w:i/>
        </w:rPr>
        <w:t>”</w:t>
      </w:r>
      <w:r w:rsidR="0084205B" w:rsidRPr="00E9160A">
        <w:rPr>
          <w:i/>
        </w:rPr>
        <w:t xml:space="preserve"> </w:t>
      </w:r>
      <w:r w:rsidR="00B22469" w:rsidRPr="00B22469">
        <w:rPr>
          <w:iCs/>
        </w:rPr>
        <w:t>[Advis</w:t>
      </w:r>
      <w:r w:rsidR="00B22469">
        <w:rPr>
          <w:iCs/>
        </w:rPr>
        <w:t>o</w:t>
      </w:r>
      <w:r w:rsidR="00B22469" w:rsidRPr="00B22469">
        <w:rPr>
          <w:iCs/>
        </w:rPr>
        <w:t>r</w:t>
      </w:r>
      <w:r w:rsidR="0084205B" w:rsidRPr="00B22469">
        <w:rPr>
          <w:iCs/>
        </w:rPr>
        <w:t xml:space="preserve"> 01</w:t>
      </w:r>
      <w:r w:rsidR="00B22469" w:rsidRPr="00B22469">
        <w:rPr>
          <w:iCs/>
        </w:rPr>
        <w:t>-</w:t>
      </w:r>
      <w:r w:rsidR="0084205B" w:rsidRPr="00B22469">
        <w:rPr>
          <w:iCs/>
        </w:rPr>
        <w:t>06</w:t>
      </w:r>
      <w:r w:rsidR="00B22469" w:rsidRPr="00B22469">
        <w:rPr>
          <w:iCs/>
        </w:rPr>
        <w:t xml:space="preserve">] </w:t>
      </w:r>
    </w:p>
    <w:p w14:paraId="3E262449" w14:textId="77777777" w:rsidR="0037125A" w:rsidRPr="0084205B" w:rsidRDefault="0037125A" w:rsidP="0037125A">
      <w:pPr>
        <w:ind w:firstLine="720"/>
        <w:rPr>
          <w:i/>
          <w:sz w:val="18"/>
          <w:szCs w:val="18"/>
        </w:rPr>
      </w:pPr>
    </w:p>
    <w:p w14:paraId="0F088781" w14:textId="77777777" w:rsidR="00F97D78" w:rsidRPr="0094482B" w:rsidRDefault="00F97D78" w:rsidP="00F97D78">
      <w:pPr>
        <w:spacing w:line="360" w:lineRule="auto"/>
        <w:rPr>
          <w:b/>
          <w:bCs/>
        </w:rPr>
      </w:pPr>
      <w:r w:rsidRPr="0094482B">
        <w:rPr>
          <w:b/>
          <w:bCs/>
        </w:rPr>
        <w:t>Mesosystem contextual influences</w:t>
      </w:r>
    </w:p>
    <w:p w14:paraId="2013977C" w14:textId="0FB6BA2B" w:rsidR="0084205B" w:rsidRPr="0084205B" w:rsidRDefault="0084205B" w:rsidP="00F97D78">
      <w:pPr>
        <w:spacing w:line="360" w:lineRule="auto"/>
      </w:pPr>
      <w:r>
        <w:t xml:space="preserve">At the mesosystem level </w:t>
      </w:r>
      <w:r w:rsidR="00B043F2">
        <w:t xml:space="preserve">aspects of intervention delivery </w:t>
      </w:r>
      <w:r w:rsidR="00A17203">
        <w:t xml:space="preserve">specifically </w:t>
      </w:r>
      <w:r w:rsidR="00B043F2">
        <w:t>within the setting of a hospital</w:t>
      </w:r>
      <w:r w:rsidR="00A17203">
        <w:t xml:space="preserve"> appeared to be highly important in terms of how the intervention was both delivered and received.</w:t>
      </w:r>
    </w:p>
    <w:p w14:paraId="7B996C29" w14:textId="77777777" w:rsidR="004B7640" w:rsidRPr="0094482B" w:rsidRDefault="004B7640" w:rsidP="004B7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b/>
          <w:bCs/>
          <w:i/>
          <w:iCs/>
          <w:kern w:val="0"/>
        </w:rPr>
      </w:pPr>
      <w:r w:rsidRPr="0094482B">
        <w:rPr>
          <w:rFonts w:ascii="Calibri" w:hAnsi="Calibri" w:cs="Calibri"/>
          <w:b/>
          <w:bCs/>
          <w:i/>
          <w:iCs/>
          <w:kern w:val="0"/>
        </w:rPr>
        <w:t>Legitimisation of vaping</w:t>
      </w:r>
    </w:p>
    <w:p w14:paraId="602D5ECE" w14:textId="40939C73" w:rsidR="005D1039" w:rsidRDefault="004B7640" w:rsidP="004B7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r w:rsidRPr="00A0189D">
        <w:rPr>
          <w:rFonts w:ascii="Calibri" w:hAnsi="Calibri" w:cs="Calibri"/>
          <w:kern w:val="0"/>
        </w:rPr>
        <w:t>Many participants talked about having tried vaping previously, unsuccessfully as part of a quit attempt, or experimentally, and not finding it enjoyable</w:t>
      </w:r>
      <w:r w:rsidR="00A17203">
        <w:rPr>
          <w:rFonts w:ascii="Calibri" w:hAnsi="Calibri" w:cs="Calibri"/>
          <w:kern w:val="0"/>
        </w:rPr>
        <w:t xml:space="preserve">, satisfying </w:t>
      </w:r>
      <w:r w:rsidR="00263E34">
        <w:rPr>
          <w:rFonts w:ascii="Calibri" w:hAnsi="Calibri" w:cs="Calibri"/>
          <w:kern w:val="0"/>
        </w:rPr>
        <w:t>or effective as a smoking replacement</w:t>
      </w:r>
      <w:r w:rsidRPr="00A0189D">
        <w:rPr>
          <w:rFonts w:ascii="Calibri" w:hAnsi="Calibri" w:cs="Calibri"/>
          <w:kern w:val="0"/>
        </w:rPr>
        <w:t>. These previous experiences coloured views and expectations</w:t>
      </w:r>
      <w:r w:rsidR="00322129">
        <w:rPr>
          <w:rFonts w:ascii="Calibri" w:hAnsi="Calibri" w:cs="Calibri"/>
          <w:kern w:val="0"/>
        </w:rPr>
        <w:t>, but the offer of the vape within the ED facilitated</w:t>
      </w:r>
      <w:r w:rsidR="008730BF">
        <w:rPr>
          <w:rFonts w:ascii="Calibri" w:hAnsi="Calibri" w:cs="Calibri"/>
          <w:kern w:val="0"/>
        </w:rPr>
        <w:t>, for some</w:t>
      </w:r>
      <w:r w:rsidR="00B518C5">
        <w:rPr>
          <w:rFonts w:ascii="Calibri" w:hAnsi="Calibri" w:cs="Calibri"/>
          <w:kern w:val="0"/>
        </w:rPr>
        <w:t>,</w:t>
      </w:r>
      <w:r w:rsidR="00322129">
        <w:rPr>
          <w:rFonts w:ascii="Calibri" w:hAnsi="Calibri" w:cs="Calibri"/>
          <w:kern w:val="0"/>
        </w:rPr>
        <w:t xml:space="preserve"> a re-think about </w:t>
      </w:r>
      <w:r w:rsidR="005D1039">
        <w:rPr>
          <w:rFonts w:ascii="Calibri" w:hAnsi="Calibri" w:cs="Calibri"/>
          <w:kern w:val="0"/>
        </w:rPr>
        <w:t xml:space="preserve">considering vaping as a way of supporting smoking </w:t>
      </w:r>
      <w:r w:rsidR="001A31D5">
        <w:rPr>
          <w:rFonts w:ascii="Calibri" w:hAnsi="Calibri" w:cs="Calibri"/>
          <w:kern w:val="0"/>
        </w:rPr>
        <w:t>cessation</w:t>
      </w:r>
      <w:r w:rsidR="00B518C5">
        <w:rPr>
          <w:rFonts w:ascii="Calibri" w:hAnsi="Calibri" w:cs="Calibri"/>
          <w:kern w:val="0"/>
        </w:rPr>
        <w:t>.</w:t>
      </w:r>
    </w:p>
    <w:p w14:paraId="640FA9F6" w14:textId="77777777" w:rsidR="00AA5CD0" w:rsidRDefault="00AA5CD0" w:rsidP="004B7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p>
    <w:p w14:paraId="2305D6F1" w14:textId="19D93FA5" w:rsidR="00F404A4" w:rsidRDefault="00AA5CD0" w:rsidP="00F40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r>
        <w:rPr>
          <w:rFonts w:ascii="Calibri" w:hAnsi="Calibri" w:cs="Calibri"/>
          <w:kern w:val="0"/>
        </w:rPr>
        <w:t>Others had never tried vaping before, but had concerns about safety</w:t>
      </w:r>
      <w:r w:rsidR="00FA50F5">
        <w:rPr>
          <w:rFonts w:ascii="Calibri" w:hAnsi="Calibri" w:cs="Calibri"/>
          <w:kern w:val="0"/>
        </w:rPr>
        <w:t>, perhaps</w:t>
      </w:r>
      <w:r>
        <w:rPr>
          <w:rFonts w:ascii="Calibri" w:hAnsi="Calibri" w:cs="Calibri"/>
          <w:kern w:val="0"/>
        </w:rPr>
        <w:t xml:space="preserve"> due to media stories they had read</w:t>
      </w:r>
      <w:r w:rsidR="00F404A4">
        <w:rPr>
          <w:rFonts w:ascii="Calibri" w:hAnsi="Calibri" w:cs="Calibri"/>
          <w:kern w:val="0"/>
        </w:rPr>
        <w:t xml:space="preserve">. The offer of the vape within a medical setting </w:t>
      </w:r>
      <w:r w:rsidR="0020311B">
        <w:rPr>
          <w:rFonts w:ascii="Calibri" w:hAnsi="Calibri" w:cs="Calibri"/>
          <w:kern w:val="0"/>
        </w:rPr>
        <w:t>legitimised it as an acceptable and ‘approved’ method of smoking cessation:</w:t>
      </w:r>
    </w:p>
    <w:p w14:paraId="136DB2D4" w14:textId="77777777" w:rsidR="00FA50F5" w:rsidRDefault="00FA50F5" w:rsidP="00D07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p>
    <w:p w14:paraId="78347E66" w14:textId="5B5BE731" w:rsidR="00FA50F5" w:rsidRPr="008718B2" w:rsidRDefault="00FA50F5" w:rsidP="00D07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Calibri" w:hAnsi="Calibri" w:cs="Calibri"/>
          <w:i/>
        </w:rPr>
      </w:pPr>
      <w:r w:rsidRPr="008718B2">
        <w:rPr>
          <w:rFonts w:ascii="Calibri" w:hAnsi="Calibri" w:cs="Calibri"/>
          <w:i/>
        </w:rPr>
        <w:t xml:space="preserve">“I was </w:t>
      </w:r>
      <w:proofErr w:type="gramStart"/>
      <w:r w:rsidRPr="008718B2">
        <w:rPr>
          <w:rFonts w:ascii="Calibri" w:hAnsi="Calibri" w:cs="Calibri"/>
          <w:i/>
        </w:rPr>
        <w:t>really unsure</w:t>
      </w:r>
      <w:proofErr w:type="gramEnd"/>
      <w:r w:rsidRPr="008718B2">
        <w:rPr>
          <w:rFonts w:ascii="Calibri" w:hAnsi="Calibri" w:cs="Calibri"/>
          <w:i/>
        </w:rPr>
        <w:t xml:space="preserve"> about the vape until I was in hospital. When they suggested it, I thought great, maybe it’s not as bad as everyone was suggesting it was. If someone in hospital is offering to put you on that, it’s got to be better than smoking</w:t>
      </w:r>
      <w:r w:rsidR="0015546B">
        <w:rPr>
          <w:rFonts w:ascii="Calibri" w:hAnsi="Calibri" w:cs="Calibri"/>
          <w:i/>
        </w:rPr>
        <w:t>”</w:t>
      </w:r>
      <w:r w:rsidRPr="00B22469">
        <w:rPr>
          <w:rFonts w:ascii="Calibri" w:hAnsi="Calibri" w:cs="Calibri"/>
          <w:iCs/>
        </w:rPr>
        <w:t xml:space="preserve"> [05-01</w:t>
      </w:r>
      <w:r w:rsidR="004D6DB1" w:rsidRPr="00B22469">
        <w:rPr>
          <w:rFonts w:ascii="Calibri" w:hAnsi="Calibri" w:cs="Calibri"/>
          <w:iCs/>
        </w:rPr>
        <w:t>77</w:t>
      </w:r>
      <w:r w:rsidR="00B22469">
        <w:rPr>
          <w:rFonts w:ascii="Calibri" w:hAnsi="Calibri" w:cs="Calibri"/>
          <w:iCs/>
        </w:rPr>
        <w:t>:</w:t>
      </w:r>
      <w:r w:rsidR="00D90DAB" w:rsidRPr="00B22469">
        <w:rPr>
          <w:rFonts w:ascii="Calibri" w:hAnsi="Calibri" w:cs="Calibri"/>
          <w:iCs/>
        </w:rPr>
        <w:t xml:space="preserve"> female, age 4</w:t>
      </w:r>
      <w:r w:rsidR="00B64B68" w:rsidRPr="00B22469">
        <w:rPr>
          <w:rFonts w:ascii="Calibri" w:hAnsi="Calibri" w:cs="Calibri"/>
          <w:iCs/>
        </w:rPr>
        <w:t>1</w:t>
      </w:r>
      <w:r w:rsidR="00D90DAB" w:rsidRPr="00B22469">
        <w:rPr>
          <w:rFonts w:ascii="Calibri" w:hAnsi="Calibri" w:cs="Calibri"/>
          <w:iCs/>
        </w:rPr>
        <w:t>, usual care</w:t>
      </w:r>
      <w:r w:rsidRPr="00B22469">
        <w:rPr>
          <w:rFonts w:ascii="Calibri" w:hAnsi="Calibri" w:cs="Calibri"/>
          <w:iCs/>
        </w:rPr>
        <w:t>]</w:t>
      </w:r>
    </w:p>
    <w:p w14:paraId="1C462891" w14:textId="77777777" w:rsidR="00DD5B63" w:rsidRDefault="00DD5B63" w:rsidP="004B7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p>
    <w:p w14:paraId="47D766CB" w14:textId="6234BD11" w:rsidR="004B7640" w:rsidRDefault="004B7640" w:rsidP="004B7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r w:rsidRPr="00A0189D">
        <w:rPr>
          <w:rFonts w:ascii="Calibri" w:hAnsi="Calibri" w:cs="Calibri"/>
          <w:kern w:val="0"/>
        </w:rPr>
        <w:t>For some, perceptions of vapers, or what might be perceived as a ‘vaping identity’, were negative. However, being offered a vape in the context of the ED legitimised the vape as a smoking cessation intervention:</w:t>
      </w:r>
    </w:p>
    <w:p w14:paraId="50E8052B" w14:textId="77777777" w:rsidR="005D1039" w:rsidRPr="006056B0" w:rsidRDefault="005D1039" w:rsidP="004B7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p>
    <w:p w14:paraId="2D8F4400" w14:textId="4881EA23" w:rsidR="004B7640" w:rsidRPr="00652F83" w:rsidRDefault="004B7640" w:rsidP="004B7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cstheme="minorHAnsi"/>
          <w:b/>
          <w:bCs/>
          <w:kern w:val="0"/>
        </w:rPr>
      </w:pPr>
      <w:r w:rsidRPr="00426DD4">
        <w:rPr>
          <w:rStyle w:val="cf01"/>
          <w:rFonts w:asciiTheme="minorHAnsi" w:hAnsiTheme="minorHAnsi" w:cstheme="minorHAnsi"/>
          <w:i/>
          <w:iCs/>
          <w:sz w:val="22"/>
          <w:szCs w:val="22"/>
        </w:rPr>
        <w:t>“It was my first-time in my life vaping literally, because I've always been so sceptical about it. Like I said, I've seen friends, I've seen people around it and I would just</w:t>
      </w:r>
      <w:r>
        <w:rPr>
          <w:rStyle w:val="cf01"/>
          <w:rFonts w:asciiTheme="minorHAnsi" w:hAnsiTheme="minorHAnsi" w:cstheme="minorHAnsi"/>
          <w:i/>
          <w:iCs/>
          <w:sz w:val="22"/>
          <w:szCs w:val="22"/>
        </w:rPr>
        <w:t xml:space="preserve"> be that stupid thought like, “Y</w:t>
      </w:r>
      <w:r w:rsidRPr="00426DD4">
        <w:rPr>
          <w:rStyle w:val="cf01"/>
          <w:rFonts w:asciiTheme="minorHAnsi" w:hAnsiTheme="minorHAnsi" w:cstheme="minorHAnsi"/>
          <w:i/>
          <w:iCs/>
          <w:sz w:val="22"/>
          <w:szCs w:val="22"/>
        </w:rPr>
        <w:t xml:space="preserve">eah, you know, you're a sissy, you're not smoking.” You understand that? It was the </w:t>
      </w:r>
      <w:r w:rsidRPr="00426DD4">
        <w:rPr>
          <w:rStyle w:val="cf01"/>
          <w:rFonts w:asciiTheme="minorHAnsi" w:hAnsiTheme="minorHAnsi" w:cstheme="minorHAnsi"/>
          <w:i/>
          <w:iCs/>
          <w:sz w:val="22"/>
          <w:szCs w:val="22"/>
        </w:rPr>
        <w:lastRenderedPageBreak/>
        <w:t>mindset I had; due to the place I grew up in unfortunately</w:t>
      </w:r>
      <w:r w:rsidR="0015546B">
        <w:rPr>
          <w:rStyle w:val="cf01"/>
          <w:rFonts w:asciiTheme="minorHAnsi" w:hAnsiTheme="minorHAnsi" w:cstheme="minorHAnsi"/>
          <w:i/>
          <w:iCs/>
          <w:sz w:val="22"/>
          <w:szCs w:val="22"/>
        </w:rPr>
        <w:t>”</w:t>
      </w:r>
      <w:r w:rsidRPr="00426DD4">
        <w:rPr>
          <w:rStyle w:val="cf01"/>
          <w:rFonts w:asciiTheme="minorHAnsi" w:hAnsiTheme="minorHAnsi" w:cstheme="minorHAnsi"/>
          <w:i/>
          <w:iCs/>
          <w:sz w:val="22"/>
          <w:szCs w:val="22"/>
        </w:rPr>
        <w:t xml:space="preserve"> </w:t>
      </w:r>
      <w:r w:rsidRPr="00A01760">
        <w:rPr>
          <w:rStyle w:val="cf01"/>
          <w:rFonts w:asciiTheme="minorHAnsi" w:hAnsiTheme="minorHAnsi" w:cstheme="minorHAnsi"/>
          <w:sz w:val="22"/>
          <w:szCs w:val="22"/>
        </w:rPr>
        <w:t>[0</w:t>
      </w:r>
      <w:r w:rsidRPr="00652F83">
        <w:rPr>
          <w:rStyle w:val="cf01"/>
          <w:rFonts w:asciiTheme="minorHAnsi" w:hAnsiTheme="minorHAnsi" w:cstheme="minorHAnsi"/>
          <w:sz w:val="22"/>
          <w:szCs w:val="22"/>
        </w:rPr>
        <w:t>2-0520</w:t>
      </w:r>
      <w:r>
        <w:rPr>
          <w:rStyle w:val="cf01"/>
          <w:rFonts w:asciiTheme="minorHAnsi" w:hAnsiTheme="minorHAnsi" w:cstheme="minorHAnsi"/>
          <w:sz w:val="22"/>
          <w:szCs w:val="22"/>
        </w:rPr>
        <w:t>: male, age 31, intervention participant]</w:t>
      </w:r>
    </w:p>
    <w:p w14:paraId="2E1BCD22" w14:textId="77777777" w:rsidR="004B7640" w:rsidRDefault="004B7640" w:rsidP="00F97D78">
      <w:pPr>
        <w:spacing w:line="360" w:lineRule="auto"/>
        <w:rPr>
          <w:u w:val="single"/>
        </w:rPr>
      </w:pPr>
    </w:p>
    <w:p w14:paraId="381B58DA" w14:textId="77777777" w:rsidR="004B7640" w:rsidRPr="0094482B" w:rsidRDefault="004B7640" w:rsidP="004B7640">
      <w:pPr>
        <w:spacing w:line="360" w:lineRule="auto"/>
        <w:rPr>
          <w:b/>
          <w:bCs/>
          <w:i/>
          <w:iCs/>
        </w:rPr>
      </w:pPr>
      <w:r w:rsidRPr="0094482B">
        <w:rPr>
          <w:b/>
          <w:bCs/>
          <w:i/>
          <w:iCs/>
        </w:rPr>
        <w:t>The nature of the ED and waiting times</w:t>
      </w:r>
    </w:p>
    <w:p w14:paraId="0C2C826F" w14:textId="2322D0CE" w:rsidR="004B7640" w:rsidRDefault="004B7640" w:rsidP="004B7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Lengthy</w:t>
      </w:r>
      <w:r>
        <w:rPr>
          <w:rFonts w:ascii="Calibri" w:hAnsi="Calibri" w:cs="Calibri"/>
          <w:kern w:val="0"/>
        </w:rPr>
        <w:t xml:space="preserve"> ED waiting times seemed to</w:t>
      </w:r>
      <w:r w:rsidR="00B518C5">
        <w:rPr>
          <w:rFonts w:ascii="Calibri" w:hAnsi="Calibri" w:cs="Calibri"/>
          <w:kern w:val="0"/>
        </w:rPr>
        <w:t xml:space="preserve"> play a positive role in</w:t>
      </w:r>
      <w:r>
        <w:rPr>
          <w:rFonts w:ascii="Calibri" w:hAnsi="Calibri" w:cs="Calibri"/>
          <w:kern w:val="0"/>
        </w:rPr>
        <w:t xml:space="preserve"> facilitat</w:t>
      </w:r>
      <w:r w:rsidR="00B518C5">
        <w:rPr>
          <w:rFonts w:ascii="Calibri" w:hAnsi="Calibri" w:cs="Calibri"/>
          <w:kern w:val="0"/>
        </w:rPr>
        <w:t>ing</w:t>
      </w:r>
      <w:r>
        <w:rPr>
          <w:rFonts w:ascii="Calibri" w:hAnsi="Calibri" w:cs="Calibri"/>
          <w:kern w:val="0"/>
        </w:rPr>
        <w:t xml:space="preserve"> acceptability. </w:t>
      </w:r>
      <w:r>
        <w:t xml:space="preserve"> From the perspectives of participants, waiting acted as a positive incentive to take part in </w:t>
      </w:r>
      <w:r w:rsidR="00F12029">
        <w:t>the</w:t>
      </w:r>
      <w:r>
        <w:t xml:space="preserve"> study, since they were resigned to ‘passing the time’:</w:t>
      </w:r>
    </w:p>
    <w:p w14:paraId="22BAD57A" w14:textId="77777777" w:rsidR="001B55B1" w:rsidRPr="006056B0" w:rsidRDefault="001B55B1" w:rsidP="004B7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14:paraId="22948AA2" w14:textId="2B330DD3" w:rsidR="004B7640" w:rsidRDefault="004B7640" w:rsidP="004B7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Calibri" w:hAnsi="Calibri" w:cs="Calibri"/>
          <w:kern w:val="0"/>
        </w:rPr>
      </w:pPr>
      <w:r w:rsidRPr="00B463C5">
        <w:rPr>
          <w:i/>
        </w:rPr>
        <w:t>“</w:t>
      </w:r>
      <w:r>
        <w:rPr>
          <w:rFonts w:ascii="Calibri" w:hAnsi="Calibri" w:cs="Calibri"/>
          <w:i/>
          <w:kern w:val="0"/>
        </w:rPr>
        <w:t>I</w:t>
      </w:r>
      <w:r w:rsidRPr="00B463C5">
        <w:rPr>
          <w:rFonts w:ascii="Calibri" w:hAnsi="Calibri" w:cs="Calibri"/>
          <w:i/>
          <w:kern w:val="0"/>
        </w:rPr>
        <w:t>n A&amp;E, I was stuck there so, I was there for a couple of hours as it was so, it probably increased my likelihood to actually enrol</w:t>
      </w:r>
      <w:r w:rsidR="00D07545">
        <w:rPr>
          <w:rFonts w:ascii="Calibri" w:hAnsi="Calibri" w:cs="Calibri"/>
          <w:i/>
          <w:kern w:val="0"/>
        </w:rPr>
        <w:t>.</w:t>
      </w:r>
      <w:r w:rsidRPr="00B463C5">
        <w:rPr>
          <w:rFonts w:ascii="Calibri" w:hAnsi="Calibri" w:cs="Calibri"/>
          <w:i/>
          <w:kern w:val="0"/>
        </w:rPr>
        <w:t>”</w:t>
      </w:r>
      <w:r>
        <w:rPr>
          <w:rFonts w:ascii="Calibri" w:hAnsi="Calibri" w:cs="Calibri"/>
          <w:kern w:val="0"/>
        </w:rPr>
        <w:t xml:space="preserve"> [</w:t>
      </w:r>
      <w:r w:rsidRPr="00017913">
        <w:rPr>
          <w:rFonts w:ascii="Calibri" w:hAnsi="Calibri" w:cs="Calibri"/>
          <w:kern w:val="0"/>
        </w:rPr>
        <w:t>01-0841</w:t>
      </w:r>
      <w:r>
        <w:rPr>
          <w:rFonts w:ascii="Calibri" w:hAnsi="Calibri" w:cs="Calibri"/>
          <w:kern w:val="0"/>
        </w:rPr>
        <w:t>: male, age 28, intervention participant]</w:t>
      </w:r>
    </w:p>
    <w:p w14:paraId="2CF7E358" w14:textId="77777777" w:rsidR="000C0510" w:rsidRDefault="000C0510" w:rsidP="000C05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p>
    <w:p w14:paraId="4DBEEF9B" w14:textId="714495B9" w:rsidR="000C0510" w:rsidRDefault="000C0510" w:rsidP="000C05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r>
        <w:rPr>
          <w:rFonts w:ascii="Calibri" w:hAnsi="Calibri" w:cs="Calibri"/>
          <w:kern w:val="0"/>
        </w:rPr>
        <w:t>Advisors were able to turn the lo</w:t>
      </w:r>
      <w:r w:rsidR="00D70A48">
        <w:rPr>
          <w:rFonts w:ascii="Calibri" w:hAnsi="Calibri" w:cs="Calibri"/>
          <w:kern w:val="0"/>
        </w:rPr>
        <w:t>n</w:t>
      </w:r>
      <w:r>
        <w:rPr>
          <w:rFonts w:ascii="Calibri" w:hAnsi="Calibri" w:cs="Calibri"/>
          <w:kern w:val="0"/>
        </w:rPr>
        <w:t xml:space="preserve">g waiting times around to positively intervene with </w:t>
      </w:r>
      <w:r w:rsidR="00D70A48">
        <w:rPr>
          <w:rFonts w:ascii="Calibri" w:hAnsi="Calibri" w:cs="Calibri"/>
          <w:kern w:val="0"/>
        </w:rPr>
        <w:t>patients</w:t>
      </w:r>
      <w:r>
        <w:rPr>
          <w:rFonts w:ascii="Calibri" w:hAnsi="Calibri" w:cs="Calibri"/>
          <w:kern w:val="0"/>
        </w:rPr>
        <w:t>:</w:t>
      </w:r>
    </w:p>
    <w:p w14:paraId="3CD28A39" w14:textId="77777777" w:rsidR="00CD3DE4" w:rsidRPr="00182D44" w:rsidRDefault="00CD3DE4" w:rsidP="00D07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p>
    <w:p w14:paraId="4D4A6DB5" w14:textId="1D24E35C" w:rsidR="00182D44" w:rsidRPr="00182D44" w:rsidRDefault="00D70A48" w:rsidP="00D07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Calibri" w:hAnsi="Calibri" w:cs="Calibri"/>
          <w:i/>
        </w:rPr>
      </w:pPr>
      <w:r w:rsidRPr="00182D44">
        <w:rPr>
          <w:rFonts w:ascii="Calibri" w:hAnsi="Calibri" w:cs="Calibri"/>
          <w:i/>
        </w:rPr>
        <w:t>“</w:t>
      </w:r>
      <w:r w:rsidR="00B22469">
        <w:rPr>
          <w:rFonts w:ascii="Calibri" w:hAnsi="Calibri" w:cs="Calibri"/>
          <w:i/>
        </w:rPr>
        <w:t>W</w:t>
      </w:r>
      <w:r w:rsidR="00004073" w:rsidRPr="00182D44">
        <w:rPr>
          <w:rFonts w:ascii="Calibri" w:hAnsi="Calibri" w:cs="Calibri"/>
          <w:i/>
        </w:rPr>
        <w:t>hen they were all queuing in there and they were fed up waiting, we’d say to them you've got a long wait, would you like to come and speak to us while waiting? It'll help pass the time. That worked quite well</w:t>
      </w:r>
      <w:r w:rsidR="00D07545">
        <w:rPr>
          <w:rFonts w:ascii="Calibri" w:hAnsi="Calibri" w:cs="Calibri"/>
          <w:i/>
        </w:rPr>
        <w:t>.</w:t>
      </w:r>
      <w:r w:rsidR="00A211E8">
        <w:rPr>
          <w:rFonts w:ascii="Calibri" w:hAnsi="Calibri" w:cs="Calibri"/>
          <w:i/>
        </w:rPr>
        <w:t>”</w:t>
      </w:r>
      <w:r w:rsidR="00004073" w:rsidRPr="00182D44">
        <w:rPr>
          <w:rFonts w:ascii="Calibri" w:hAnsi="Calibri" w:cs="Calibri"/>
          <w:i/>
        </w:rPr>
        <w:t xml:space="preserve">  </w:t>
      </w:r>
      <w:r w:rsidR="00004073" w:rsidRPr="00B22469">
        <w:rPr>
          <w:rFonts w:ascii="Calibri" w:hAnsi="Calibri" w:cs="Calibri"/>
          <w:iCs/>
        </w:rPr>
        <w:t>[Advis</w:t>
      </w:r>
      <w:r w:rsidR="00B22469">
        <w:rPr>
          <w:rFonts w:ascii="Calibri" w:hAnsi="Calibri" w:cs="Calibri"/>
          <w:iCs/>
        </w:rPr>
        <w:t>o</w:t>
      </w:r>
      <w:r w:rsidR="00004073" w:rsidRPr="00B22469">
        <w:rPr>
          <w:rFonts w:ascii="Calibri" w:hAnsi="Calibri" w:cs="Calibri"/>
          <w:iCs/>
        </w:rPr>
        <w:t>r 01</w:t>
      </w:r>
      <w:r w:rsidR="00B22469">
        <w:rPr>
          <w:rFonts w:ascii="Calibri" w:hAnsi="Calibri" w:cs="Calibri"/>
          <w:iCs/>
        </w:rPr>
        <w:t>-</w:t>
      </w:r>
      <w:r w:rsidR="00004073" w:rsidRPr="00B22469">
        <w:rPr>
          <w:rFonts w:ascii="Calibri" w:hAnsi="Calibri" w:cs="Calibri"/>
          <w:iCs/>
        </w:rPr>
        <w:t>06]</w:t>
      </w:r>
    </w:p>
    <w:p w14:paraId="06514318" w14:textId="37AC046B" w:rsidR="00E658E8" w:rsidRDefault="00E658E8" w:rsidP="00D07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r>
        <w:rPr>
          <w:rFonts w:ascii="Calibri" w:hAnsi="Calibri" w:cs="Calibri"/>
          <w:kern w:val="0"/>
        </w:rPr>
        <w:t>Others were glad o</w:t>
      </w:r>
      <w:r w:rsidR="00182D44">
        <w:rPr>
          <w:rFonts w:ascii="Calibri" w:hAnsi="Calibri" w:cs="Calibri"/>
          <w:kern w:val="0"/>
        </w:rPr>
        <w:t>f</w:t>
      </w:r>
      <w:r>
        <w:rPr>
          <w:rFonts w:ascii="Calibri" w:hAnsi="Calibri" w:cs="Calibri"/>
          <w:kern w:val="0"/>
        </w:rPr>
        <w:t xml:space="preserve"> </w:t>
      </w:r>
      <w:r w:rsidR="00FB7E46">
        <w:rPr>
          <w:rFonts w:ascii="Calibri" w:hAnsi="Calibri" w:cs="Calibri"/>
          <w:kern w:val="0"/>
        </w:rPr>
        <w:t>distraction</w:t>
      </w:r>
      <w:r>
        <w:rPr>
          <w:rFonts w:ascii="Calibri" w:hAnsi="Calibri" w:cs="Calibri"/>
          <w:kern w:val="0"/>
        </w:rPr>
        <w:t xml:space="preserve"> from pain or worry</w:t>
      </w:r>
      <w:r w:rsidR="00FB7E46">
        <w:rPr>
          <w:rFonts w:ascii="Calibri" w:hAnsi="Calibri" w:cs="Calibri"/>
          <w:kern w:val="0"/>
        </w:rPr>
        <w:t>:</w:t>
      </w:r>
    </w:p>
    <w:p w14:paraId="35849AD4" w14:textId="77777777" w:rsidR="00FB7E46" w:rsidRDefault="00FB7E46" w:rsidP="00D07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p>
    <w:p w14:paraId="67A0B604" w14:textId="00C1C6C6" w:rsidR="00FB7E46" w:rsidRPr="00182D44" w:rsidRDefault="00FB7E46" w:rsidP="00D075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Calibri" w:hAnsi="Calibri" w:cs="Calibri"/>
          <w:kern w:val="0"/>
        </w:rPr>
      </w:pPr>
      <w:r w:rsidRPr="00182D44">
        <w:rPr>
          <w:rFonts w:ascii="Calibri" w:hAnsi="Calibri" w:cs="Calibri"/>
          <w:i/>
        </w:rPr>
        <w:t xml:space="preserve">“I was kind of focused on like the pain in my knee and it kind of helped to distract me when I was there, because I could talk about this instead.”  </w:t>
      </w:r>
      <w:r w:rsidR="004D6DB1" w:rsidRPr="004D6DB1">
        <w:rPr>
          <w:rFonts w:ascii="Calibri" w:hAnsi="Calibri" w:cs="Calibri"/>
          <w:iCs/>
        </w:rPr>
        <w:t>[</w:t>
      </w:r>
      <w:r w:rsidRPr="004D6DB1">
        <w:rPr>
          <w:rFonts w:ascii="Calibri" w:hAnsi="Calibri" w:cs="Calibri"/>
          <w:iCs/>
        </w:rPr>
        <w:t>03-0065</w:t>
      </w:r>
      <w:r w:rsidR="004D6DB1">
        <w:rPr>
          <w:rFonts w:ascii="Calibri" w:hAnsi="Calibri" w:cs="Calibri"/>
          <w:iCs/>
        </w:rPr>
        <w:t>: female, age 28, intervention participant]</w:t>
      </w:r>
    </w:p>
    <w:p w14:paraId="49CF7DD6" w14:textId="77777777" w:rsidR="004B7640" w:rsidRDefault="004B7640" w:rsidP="00F97D78">
      <w:pPr>
        <w:spacing w:line="360" w:lineRule="auto"/>
        <w:rPr>
          <w:u w:val="single"/>
        </w:rPr>
      </w:pPr>
    </w:p>
    <w:p w14:paraId="23A233AE" w14:textId="77777777" w:rsidR="00CB48EE" w:rsidRPr="0094482B" w:rsidRDefault="00CB48EE" w:rsidP="00CB48EE">
      <w:pPr>
        <w:spacing w:line="360" w:lineRule="auto"/>
        <w:rPr>
          <w:i/>
          <w:iCs/>
        </w:rPr>
      </w:pPr>
      <w:r w:rsidRPr="0094482B">
        <w:rPr>
          <w:b/>
          <w:i/>
          <w:iCs/>
        </w:rPr>
        <w:t>Working within ED clinical care pathways</w:t>
      </w:r>
    </w:p>
    <w:p w14:paraId="20A5599A" w14:textId="19BA37F5" w:rsidR="00CB48EE" w:rsidRDefault="00CB48EE" w:rsidP="00CB4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rsidRPr="00EC128A">
        <w:rPr>
          <w:rFonts w:ascii="Calibri" w:hAnsi="Calibri" w:cs="Calibri"/>
          <w:kern w:val="0"/>
        </w:rPr>
        <w:t xml:space="preserve">A </w:t>
      </w:r>
      <w:r>
        <w:rPr>
          <w:rFonts w:ascii="Calibri" w:hAnsi="Calibri" w:cs="Calibri"/>
          <w:kern w:val="0"/>
        </w:rPr>
        <w:t>core concern of staff delivering the intervention was awareness of the ED context</w:t>
      </w:r>
      <w:r w:rsidR="00D70A48">
        <w:rPr>
          <w:rFonts w:ascii="Calibri" w:hAnsi="Calibri" w:cs="Calibri"/>
          <w:kern w:val="0"/>
        </w:rPr>
        <w:t>,</w:t>
      </w:r>
      <w:r>
        <w:rPr>
          <w:rFonts w:ascii="Calibri" w:hAnsi="Calibri" w:cs="Calibri"/>
          <w:kern w:val="0"/>
        </w:rPr>
        <w:t xml:space="preserve"> where immediate </w:t>
      </w:r>
      <w:r w:rsidRPr="00FF5F11">
        <w:t xml:space="preserve">medical care </w:t>
      </w:r>
      <w:r w:rsidR="00F435C6">
        <w:t>took</w:t>
      </w:r>
      <w:r w:rsidRPr="00FF5F11">
        <w:t xml:space="preserve"> precedence</w:t>
      </w:r>
      <w:r>
        <w:t>. This meant dealing with interruptions for clinical care and the possibility of participants moving on or being ‘lost’:</w:t>
      </w:r>
    </w:p>
    <w:p w14:paraId="73344B6F" w14:textId="77777777" w:rsidR="00D70A48" w:rsidRDefault="00D70A48" w:rsidP="00CB4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14:paraId="026B360D" w14:textId="50E585A1" w:rsidR="00CB48EE" w:rsidRDefault="00CB48EE" w:rsidP="00D07545">
      <w:pPr>
        <w:spacing w:line="360" w:lineRule="auto"/>
        <w:ind w:left="709"/>
        <w:rPr>
          <w:iCs/>
        </w:rPr>
      </w:pPr>
      <w:r>
        <w:rPr>
          <w:i/>
        </w:rPr>
        <w:t>“We did lose a couple</w:t>
      </w:r>
      <w:proofErr w:type="gramStart"/>
      <w:r w:rsidRPr="000C77DF">
        <w:rPr>
          <w:i/>
        </w:rPr>
        <w:t>….because</w:t>
      </w:r>
      <w:proofErr w:type="gramEnd"/>
      <w:r w:rsidRPr="000C77DF">
        <w:rPr>
          <w:i/>
        </w:rPr>
        <w:t xml:space="preserve"> once they are called to the doctors and they've had the treatment, you won't get them later… they've had enough</w:t>
      </w:r>
      <w:r w:rsidR="00D07545">
        <w:rPr>
          <w:i/>
        </w:rPr>
        <w:t>.</w:t>
      </w:r>
      <w:r w:rsidRPr="008E0F3F">
        <w:rPr>
          <w:i/>
        </w:rPr>
        <w:t>”</w:t>
      </w:r>
      <w:r w:rsidR="00D07545">
        <w:rPr>
          <w:i/>
        </w:rPr>
        <w:t xml:space="preserve"> </w:t>
      </w:r>
      <w:r w:rsidRPr="008E0F3F">
        <w:rPr>
          <w:iCs/>
        </w:rPr>
        <w:t>[Advisor 01-06]</w:t>
      </w:r>
    </w:p>
    <w:p w14:paraId="5D1EA830" w14:textId="47F8DCF4" w:rsidR="00752E32" w:rsidRPr="00F0196D" w:rsidRDefault="00830681" w:rsidP="00830681">
      <w:pPr>
        <w:spacing w:line="360" w:lineRule="auto"/>
        <w:rPr>
          <w:iCs/>
        </w:rPr>
      </w:pPr>
      <w:r>
        <w:rPr>
          <w:iCs/>
        </w:rPr>
        <w:t>For some advisors it was</w:t>
      </w:r>
      <w:r w:rsidR="00752E32">
        <w:rPr>
          <w:iCs/>
        </w:rPr>
        <w:t xml:space="preserve"> </w:t>
      </w:r>
      <w:r>
        <w:rPr>
          <w:iCs/>
        </w:rPr>
        <w:t>also a challenge to deliver the intervention</w:t>
      </w:r>
      <w:r w:rsidR="00752E32">
        <w:rPr>
          <w:iCs/>
        </w:rPr>
        <w:t xml:space="preserve">, as patients could be anxious </w:t>
      </w:r>
      <w:r w:rsidR="00752E32" w:rsidRPr="00F0196D">
        <w:rPr>
          <w:iCs/>
        </w:rPr>
        <w:t xml:space="preserve">about missing clinical </w:t>
      </w:r>
      <w:r w:rsidR="00D70A48" w:rsidRPr="00F0196D">
        <w:rPr>
          <w:iCs/>
        </w:rPr>
        <w:t>interventions</w:t>
      </w:r>
      <w:r w:rsidR="00752E32" w:rsidRPr="00F0196D">
        <w:rPr>
          <w:iCs/>
        </w:rPr>
        <w:t>:</w:t>
      </w:r>
    </w:p>
    <w:p w14:paraId="065FAB53" w14:textId="4D2F1690" w:rsidR="00752E32" w:rsidRPr="00F0196D" w:rsidRDefault="00D70A48" w:rsidP="00B22469">
      <w:pPr>
        <w:spacing w:line="360" w:lineRule="auto"/>
        <w:ind w:left="720"/>
        <w:rPr>
          <w:iCs/>
        </w:rPr>
      </w:pPr>
      <w:r w:rsidRPr="00F0196D">
        <w:rPr>
          <w:rFonts w:ascii="Calibri" w:hAnsi="Calibri" w:cs="Calibri"/>
          <w:i/>
        </w:rPr>
        <w:lastRenderedPageBreak/>
        <w:t>“</w:t>
      </w:r>
      <w:r w:rsidR="00752E32" w:rsidRPr="00F0196D">
        <w:rPr>
          <w:rFonts w:ascii="Calibri" w:hAnsi="Calibri" w:cs="Calibri"/>
          <w:i/>
        </w:rPr>
        <w:t xml:space="preserve">I felt like for some patients they were the ones rushing me to finish because perhaps they were anxious that they were missing something …some of those were really rushed, so I had to sort of like cherry pick what was </w:t>
      </w:r>
      <w:proofErr w:type="spellStart"/>
      <w:r w:rsidR="00752E32" w:rsidRPr="00F0196D">
        <w:rPr>
          <w:rFonts w:ascii="Calibri" w:hAnsi="Calibri" w:cs="Calibri"/>
          <w:i/>
        </w:rPr>
        <w:t>gonna</w:t>
      </w:r>
      <w:proofErr w:type="spellEnd"/>
      <w:r w:rsidR="00752E32" w:rsidRPr="00F0196D">
        <w:rPr>
          <w:rFonts w:ascii="Calibri" w:hAnsi="Calibri" w:cs="Calibri"/>
          <w:i/>
        </w:rPr>
        <w:t xml:space="preserve"> be most important</w:t>
      </w:r>
      <w:r w:rsidR="00D07545">
        <w:rPr>
          <w:rFonts w:ascii="Calibri" w:hAnsi="Calibri" w:cs="Calibri"/>
          <w:i/>
        </w:rPr>
        <w:t>.</w:t>
      </w:r>
      <w:r w:rsidRPr="00F0196D">
        <w:rPr>
          <w:rFonts w:ascii="Calibri" w:hAnsi="Calibri" w:cs="Calibri"/>
          <w:i/>
        </w:rPr>
        <w:t>”</w:t>
      </w:r>
      <w:r w:rsidR="00752E32" w:rsidRPr="00F0196D">
        <w:rPr>
          <w:rFonts w:ascii="Calibri" w:hAnsi="Calibri" w:cs="Calibri"/>
          <w:i/>
        </w:rPr>
        <w:t xml:space="preserve"> </w:t>
      </w:r>
      <w:r w:rsidR="004D6DB1" w:rsidRPr="004D6DB1">
        <w:rPr>
          <w:rFonts w:ascii="Calibri" w:hAnsi="Calibri" w:cs="Calibri"/>
          <w:iCs/>
        </w:rPr>
        <w:t>[Advisor 04-02]</w:t>
      </w:r>
    </w:p>
    <w:p w14:paraId="660540AD" w14:textId="54FC515B" w:rsidR="00CB48EE" w:rsidRDefault="00CB48EE" w:rsidP="00CB48EE">
      <w:pPr>
        <w:pStyle w:val="NoSpacing"/>
        <w:spacing w:line="360" w:lineRule="auto"/>
      </w:pPr>
      <w:r>
        <w:t>However, despite challenges, advisers generally found patients accepting of interruptions and adaptations to fit the intervention around their clinical care. Within the sample we recorded instances of the intervention being delivered before, during and after clinical investigations, and even immediately following patient discharge, demonstrating high levels of flexibility in the intervention delivery</w:t>
      </w:r>
      <w:r w:rsidR="00D70A48">
        <w:t>:</w:t>
      </w:r>
    </w:p>
    <w:p w14:paraId="69EA0E30" w14:textId="77777777" w:rsidR="00D70A48" w:rsidRDefault="00D70A48" w:rsidP="00CB48EE">
      <w:pPr>
        <w:pStyle w:val="NoSpacing"/>
        <w:spacing w:line="360" w:lineRule="auto"/>
      </w:pPr>
    </w:p>
    <w:p w14:paraId="7570660E" w14:textId="66AE2CC9" w:rsidR="00CB48EE" w:rsidRDefault="00CB48EE" w:rsidP="00D70A48">
      <w:pPr>
        <w:pStyle w:val="NoSpacing"/>
        <w:spacing w:line="360" w:lineRule="auto"/>
        <w:ind w:left="720"/>
      </w:pPr>
      <w:r>
        <w:rPr>
          <w:i/>
        </w:rPr>
        <w:t>“</w:t>
      </w:r>
      <w:r w:rsidRPr="000C77DF">
        <w:rPr>
          <w:i/>
        </w:rPr>
        <w:t xml:space="preserve">You </w:t>
      </w:r>
      <w:proofErr w:type="gramStart"/>
      <w:r w:rsidRPr="000C77DF">
        <w:rPr>
          <w:i/>
        </w:rPr>
        <w:t>have to</w:t>
      </w:r>
      <w:proofErr w:type="gramEnd"/>
      <w:r w:rsidRPr="000C77DF">
        <w:rPr>
          <w:i/>
        </w:rPr>
        <w:t xml:space="preserve"> accept that you need to be flexible with where you’re going to do it. The needs of the department always take precedence. You adapt to suit that</w:t>
      </w:r>
      <w:r w:rsidR="000E402B">
        <w:rPr>
          <w:i/>
        </w:rPr>
        <w:t>…</w:t>
      </w:r>
      <w:r w:rsidRPr="000C77DF">
        <w:rPr>
          <w:i/>
        </w:rPr>
        <w:t xml:space="preserve"> People are quite accepting of starting here but moving to here to finish things</w:t>
      </w:r>
      <w:r>
        <w:t>.” [Advisor 05-09]</w:t>
      </w:r>
    </w:p>
    <w:p w14:paraId="35348E89" w14:textId="77777777" w:rsidR="00D70A48" w:rsidRDefault="00D70A48" w:rsidP="00D70A48">
      <w:pPr>
        <w:pStyle w:val="NoSpacing"/>
        <w:spacing w:line="360" w:lineRule="auto"/>
        <w:ind w:left="720"/>
      </w:pPr>
    </w:p>
    <w:p w14:paraId="7408276F" w14:textId="77777777" w:rsidR="00CB48EE" w:rsidRPr="0094482B" w:rsidRDefault="00CB48EE" w:rsidP="00CB48EE">
      <w:pPr>
        <w:spacing w:line="360" w:lineRule="auto"/>
        <w:rPr>
          <w:i/>
        </w:rPr>
      </w:pPr>
      <w:r w:rsidRPr="0094482B">
        <w:rPr>
          <w:b/>
          <w:bCs/>
          <w:i/>
        </w:rPr>
        <w:t>Availability of appropriate space for delivery</w:t>
      </w:r>
    </w:p>
    <w:p w14:paraId="643F285D" w14:textId="119E21AF" w:rsidR="00B10ADD" w:rsidRDefault="00CB48EE" w:rsidP="00D70A48">
      <w:pPr>
        <w:spacing w:line="360" w:lineRule="auto"/>
      </w:pPr>
      <w:r w:rsidRPr="00B463C5">
        <w:rPr>
          <w:iCs/>
        </w:rPr>
        <w:t>Availability of space</w:t>
      </w:r>
      <w:r>
        <w:rPr>
          <w:iCs/>
        </w:rPr>
        <w:t xml:space="preserve"> to deliver the intervention varied</w:t>
      </w:r>
      <w:r w:rsidRPr="00B463C5">
        <w:rPr>
          <w:iCs/>
        </w:rPr>
        <w:t xml:space="preserve"> across sites.  </w:t>
      </w:r>
      <w:r w:rsidR="00D70A48">
        <w:rPr>
          <w:iCs/>
        </w:rPr>
        <w:t>Our observations revealed f</w:t>
      </w:r>
      <w:r>
        <w:rPr>
          <w:iCs/>
        </w:rPr>
        <w:t>lexibility</w:t>
      </w:r>
      <w:r w:rsidRPr="00B463C5">
        <w:rPr>
          <w:iCs/>
        </w:rPr>
        <w:t xml:space="preserve"> in use of locations, including </w:t>
      </w:r>
      <w:r>
        <w:rPr>
          <w:iCs/>
        </w:rPr>
        <w:t>the waiting room, trolley space, consulting rooms and</w:t>
      </w:r>
      <w:r w:rsidRPr="00B463C5">
        <w:rPr>
          <w:iCs/>
        </w:rPr>
        <w:t xml:space="preserve"> outside (where </w:t>
      </w:r>
      <w:r>
        <w:rPr>
          <w:iCs/>
        </w:rPr>
        <w:t xml:space="preserve">a </w:t>
      </w:r>
      <w:r w:rsidRPr="00B463C5">
        <w:rPr>
          <w:iCs/>
        </w:rPr>
        <w:t xml:space="preserve">participant wanted to try the vape).  </w:t>
      </w:r>
      <w:r w:rsidR="00D70A48" w:rsidRPr="00D70A48">
        <w:t>Advisors demonstrated a pragmatic approach in where they delivered the intervention, clearly making adaptations as necessary.</w:t>
      </w:r>
      <w:r w:rsidR="00D70A48">
        <w:t xml:space="preserve"> </w:t>
      </w:r>
    </w:p>
    <w:p w14:paraId="1402BBB5" w14:textId="4818F970" w:rsidR="00CB48EE" w:rsidRDefault="00D70A48" w:rsidP="00CB48EE">
      <w:pPr>
        <w:spacing w:line="360" w:lineRule="auto"/>
        <w:rPr>
          <w:bCs/>
          <w:iCs/>
        </w:rPr>
      </w:pPr>
      <w:r>
        <w:rPr>
          <w:iCs/>
        </w:rPr>
        <w:t>However, d</w:t>
      </w:r>
      <w:r w:rsidR="00CB48EE" w:rsidRPr="00B463C5">
        <w:rPr>
          <w:bCs/>
          <w:iCs/>
        </w:rPr>
        <w:t xml:space="preserve">istraction and noise in </w:t>
      </w:r>
      <w:r w:rsidR="00CB48EE">
        <w:rPr>
          <w:bCs/>
          <w:iCs/>
        </w:rPr>
        <w:t>the</w:t>
      </w:r>
      <w:r w:rsidR="00CB48EE" w:rsidRPr="00B463C5">
        <w:rPr>
          <w:bCs/>
          <w:iCs/>
        </w:rPr>
        <w:t xml:space="preserve"> ED environment was reported as a </w:t>
      </w:r>
      <w:r w:rsidR="00CB48EE">
        <w:rPr>
          <w:bCs/>
          <w:iCs/>
        </w:rPr>
        <w:t>barrier to intervention delivery, although this seemed more of a staff concern relating to privacy than a patient concern:</w:t>
      </w:r>
    </w:p>
    <w:p w14:paraId="47E7BA49" w14:textId="22816F27" w:rsidR="00CB48EE" w:rsidRPr="00AB345D" w:rsidRDefault="00CB48EE" w:rsidP="00CB48EE">
      <w:pPr>
        <w:spacing w:line="360" w:lineRule="auto"/>
        <w:ind w:left="720"/>
        <w:rPr>
          <w:bCs/>
          <w:iCs/>
        </w:rPr>
      </w:pPr>
      <w:r>
        <w:rPr>
          <w:bCs/>
          <w:i/>
          <w:iCs/>
        </w:rPr>
        <w:t>“A</w:t>
      </w:r>
      <w:r w:rsidRPr="00AB345D">
        <w:rPr>
          <w:bCs/>
          <w:i/>
          <w:iCs/>
        </w:rPr>
        <w:t xml:space="preserve"> lot of the time, the patients were happy to just sit where they were and do the intervention although that impacted how much they would want to open up</w:t>
      </w:r>
      <w:r w:rsidR="00D07545">
        <w:rPr>
          <w:bCs/>
          <w:i/>
          <w:iCs/>
        </w:rPr>
        <w:t>.</w:t>
      </w:r>
      <w:r w:rsidRPr="00AB345D">
        <w:rPr>
          <w:bCs/>
          <w:i/>
          <w:iCs/>
        </w:rPr>
        <w:t xml:space="preserve">” </w:t>
      </w:r>
      <w:r w:rsidRPr="008E0F3F">
        <w:rPr>
          <w:bCs/>
        </w:rPr>
        <w:t>[</w:t>
      </w:r>
      <w:proofErr w:type="gramStart"/>
      <w:r>
        <w:t>Advisor</w:t>
      </w:r>
      <w:r w:rsidRPr="008E0F3F">
        <w:t xml:space="preserve">  04</w:t>
      </w:r>
      <w:proofErr w:type="gramEnd"/>
      <w:r>
        <w:t>-</w:t>
      </w:r>
      <w:r w:rsidRPr="008E0F3F">
        <w:t>02]</w:t>
      </w:r>
    </w:p>
    <w:p w14:paraId="1FE270D1" w14:textId="77777777" w:rsidR="00CB48EE" w:rsidRPr="00802CB4" w:rsidRDefault="00CB48EE" w:rsidP="00CB48EE">
      <w:pPr>
        <w:autoSpaceDE w:val="0"/>
        <w:autoSpaceDN w:val="0"/>
        <w:adjustRightInd w:val="0"/>
        <w:spacing w:line="360" w:lineRule="auto"/>
        <w:rPr>
          <w:iCs/>
        </w:rPr>
      </w:pPr>
      <w:r>
        <w:rPr>
          <w:iCs/>
        </w:rPr>
        <w:t xml:space="preserve">Despite being less than ideal, pressures on space for intervention delivery did not appear to act negatively, overall, on participant experience: </w:t>
      </w:r>
    </w:p>
    <w:p w14:paraId="4D0EC3CA" w14:textId="46D466C4" w:rsidR="00CB48EE" w:rsidRDefault="00CB48EE" w:rsidP="00CB48EE">
      <w:pPr>
        <w:autoSpaceDE w:val="0"/>
        <w:autoSpaceDN w:val="0"/>
        <w:adjustRightInd w:val="0"/>
        <w:spacing w:line="360" w:lineRule="auto"/>
        <w:ind w:left="720"/>
        <w:rPr>
          <w:iCs/>
        </w:rPr>
      </w:pPr>
      <w:r w:rsidRPr="00C85FBB">
        <w:rPr>
          <w:iCs/>
        </w:rPr>
        <w:t>“</w:t>
      </w:r>
      <w:r w:rsidRPr="00C85FBB">
        <w:rPr>
          <w:i/>
          <w:iCs/>
        </w:rPr>
        <w:t>Delivering the intervention was never a problem</w:t>
      </w:r>
      <w:proofErr w:type="gramStart"/>
      <w:r w:rsidRPr="00C85FBB">
        <w:rPr>
          <w:i/>
          <w:iCs/>
        </w:rPr>
        <w:t>….Most</w:t>
      </w:r>
      <w:proofErr w:type="gramEnd"/>
      <w:r w:rsidRPr="00C85FBB">
        <w:rPr>
          <w:i/>
          <w:iCs/>
        </w:rPr>
        <w:t xml:space="preserve"> of the time it was delivered in the waiting room. That was fine. Delivered in majors, even better. They've got their own cubicle.</w:t>
      </w:r>
      <w:r w:rsidR="004367C4">
        <w:rPr>
          <w:i/>
          <w:iCs/>
        </w:rPr>
        <w:t xml:space="preserve">” </w:t>
      </w:r>
      <w:r>
        <w:rPr>
          <w:iCs/>
        </w:rPr>
        <w:t>[</w:t>
      </w:r>
      <w:r w:rsidRPr="00C85FBB">
        <w:rPr>
          <w:iCs/>
        </w:rPr>
        <w:t>Advisor</w:t>
      </w:r>
      <w:r>
        <w:rPr>
          <w:iCs/>
        </w:rPr>
        <w:t xml:space="preserve"> 0</w:t>
      </w:r>
      <w:r w:rsidRPr="00C85FBB">
        <w:rPr>
          <w:iCs/>
        </w:rPr>
        <w:t>3</w:t>
      </w:r>
      <w:r>
        <w:rPr>
          <w:iCs/>
        </w:rPr>
        <w:t>-</w:t>
      </w:r>
      <w:r w:rsidRPr="00C85FBB">
        <w:rPr>
          <w:iCs/>
        </w:rPr>
        <w:t>02</w:t>
      </w:r>
      <w:r>
        <w:rPr>
          <w:iCs/>
        </w:rPr>
        <w:t>]</w:t>
      </w:r>
      <w:r w:rsidRPr="00C85FBB">
        <w:rPr>
          <w:iCs/>
        </w:rPr>
        <w:t xml:space="preserve"> </w:t>
      </w:r>
    </w:p>
    <w:p w14:paraId="74FF22B3" w14:textId="77777777" w:rsidR="00B10ADD" w:rsidRPr="00C85FBB" w:rsidRDefault="00B10ADD" w:rsidP="00CB48EE">
      <w:pPr>
        <w:autoSpaceDE w:val="0"/>
        <w:autoSpaceDN w:val="0"/>
        <w:adjustRightInd w:val="0"/>
        <w:spacing w:line="360" w:lineRule="auto"/>
        <w:ind w:left="720"/>
        <w:rPr>
          <w:iCs/>
        </w:rPr>
      </w:pPr>
    </w:p>
    <w:p w14:paraId="3A50101F" w14:textId="77777777" w:rsidR="00CB48EE" w:rsidRPr="0094482B" w:rsidRDefault="00CB48EE" w:rsidP="00CB48EE">
      <w:pPr>
        <w:spacing w:line="360" w:lineRule="auto"/>
        <w:rPr>
          <w:b/>
          <w:bCs/>
        </w:rPr>
      </w:pPr>
      <w:r w:rsidRPr="0094482B">
        <w:rPr>
          <w:b/>
          <w:bCs/>
        </w:rPr>
        <w:t xml:space="preserve">Macrosystem contextual influences </w:t>
      </w:r>
    </w:p>
    <w:p w14:paraId="5C8DFA27" w14:textId="5CCF2A90" w:rsidR="00CB48EE" w:rsidRDefault="00B10ADD" w:rsidP="00C7238C">
      <w:pPr>
        <w:spacing w:line="360" w:lineRule="auto"/>
      </w:pPr>
      <w:r>
        <w:lastRenderedPageBreak/>
        <w:t xml:space="preserve">In consideration of the wider policy and environmental context, </w:t>
      </w:r>
      <w:r w:rsidR="00C7238C">
        <w:t xml:space="preserve">hospital vaping policies and practices, which varied between sites, were extremely important to legitimising the intervention approach. </w:t>
      </w:r>
      <w:r w:rsidR="00CB48EE" w:rsidRPr="00726CC6">
        <w:t>From the participant perspective, site policies wer</w:t>
      </w:r>
      <w:r w:rsidR="00CB48EE">
        <w:t>e noticed</w:t>
      </w:r>
      <w:r w:rsidR="00D427A1">
        <w:t xml:space="preserve">. </w:t>
      </w:r>
      <w:r w:rsidR="00CB48EE">
        <w:t>At some sites smoking was banned on the premises but vaping was permitted. Particularly in contexts where ‘smoke-free’ signage was combined with ‘vape friendly’ site policies, the environment was felt to further legitimise and support vaping as part of a smoking quit attempt:</w:t>
      </w:r>
    </w:p>
    <w:p w14:paraId="03BEC531" w14:textId="412F24C4" w:rsidR="00B939D7" w:rsidRDefault="00B939D7" w:rsidP="00B93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ascii="Calibri" w:hAnsi="Calibri" w:cs="Calibri"/>
          <w:kern w:val="0"/>
        </w:rPr>
      </w:pPr>
      <w:r w:rsidRPr="00B463C5">
        <w:rPr>
          <w:i/>
        </w:rPr>
        <w:t>“</w:t>
      </w:r>
      <w:r w:rsidRPr="00B463C5">
        <w:rPr>
          <w:rFonts w:ascii="Calibri" w:hAnsi="Calibri" w:cs="Calibri"/>
          <w:i/>
          <w:kern w:val="0"/>
        </w:rPr>
        <w:t>It would influence me because even if I wasn</w:t>
      </w:r>
      <w:r>
        <w:rPr>
          <w:rFonts w:ascii="Calibri" w:hAnsi="Calibri" w:cs="Calibri"/>
          <w:i/>
          <w:kern w:val="0"/>
        </w:rPr>
        <w:t>’</w:t>
      </w:r>
      <w:r w:rsidRPr="00B463C5">
        <w:rPr>
          <w:rFonts w:ascii="Calibri" w:hAnsi="Calibri" w:cs="Calibri"/>
          <w:i/>
          <w:kern w:val="0"/>
        </w:rPr>
        <w:t>t leaving to smoke, I’d think hold on, smoking is not allowed, but they think vaping allowed. This is in a hospita</w:t>
      </w:r>
      <w:r w:rsidR="00F0196D">
        <w:rPr>
          <w:rFonts w:ascii="Calibri" w:hAnsi="Calibri" w:cs="Calibri"/>
          <w:i/>
          <w:kern w:val="0"/>
        </w:rPr>
        <w:t>l..</w:t>
      </w:r>
      <w:r w:rsidRPr="00B463C5">
        <w:rPr>
          <w:rFonts w:ascii="Calibri" w:hAnsi="Calibri" w:cs="Calibri"/>
          <w:i/>
          <w:kern w:val="0"/>
        </w:rPr>
        <w:t>.”</w:t>
      </w:r>
      <w:r>
        <w:rPr>
          <w:rFonts w:ascii="Calibri" w:hAnsi="Calibri" w:cs="Calibri"/>
          <w:kern w:val="0"/>
        </w:rPr>
        <w:t xml:space="preserve"> [</w:t>
      </w:r>
      <w:r w:rsidRPr="006324CF">
        <w:rPr>
          <w:rFonts w:ascii="Calibri" w:hAnsi="Calibri" w:cs="Calibri"/>
          <w:kern w:val="0"/>
        </w:rPr>
        <w:t>02-0520</w:t>
      </w:r>
      <w:r>
        <w:rPr>
          <w:rFonts w:ascii="Calibri" w:hAnsi="Calibri" w:cs="Calibri"/>
          <w:kern w:val="0"/>
        </w:rPr>
        <w:t>: male, age 31, intervention participant]</w:t>
      </w:r>
    </w:p>
    <w:p w14:paraId="3C153DF7" w14:textId="77777777" w:rsidR="00CB48EE" w:rsidRDefault="00CB48EE" w:rsidP="00CB4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Calibri" w:hAnsi="Calibri" w:cs="Calibri"/>
          <w:kern w:val="0"/>
        </w:rPr>
      </w:pPr>
    </w:p>
    <w:p w14:paraId="15F7072C" w14:textId="77777777" w:rsidR="00CB48EE" w:rsidRDefault="00CB48EE" w:rsidP="00CB48EE">
      <w:pPr>
        <w:spacing w:line="360" w:lineRule="auto"/>
        <w:rPr>
          <w:bCs/>
        </w:rPr>
      </w:pPr>
      <w:r>
        <w:t>For staff delivering the intervention, sites that had a ‘v</w:t>
      </w:r>
      <w:r w:rsidRPr="007F4739">
        <w:rPr>
          <w:bCs/>
        </w:rPr>
        <w:t>ape friendly policy</w:t>
      </w:r>
      <w:r>
        <w:rPr>
          <w:bCs/>
        </w:rPr>
        <w:t>’</w:t>
      </w:r>
      <w:r w:rsidRPr="007F4739">
        <w:rPr>
          <w:b/>
          <w:bCs/>
        </w:rPr>
        <w:t xml:space="preserve"> </w:t>
      </w:r>
      <w:r w:rsidRPr="007F4739">
        <w:rPr>
          <w:bCs/>
        </w:rPr>
        <w:t>gave advisers confidence</w:t>
      </w:r>
      <w:r>
        <w:rPr>
          <w:bCs/>
        </w:rPr>
        <w:t xml:space="preserve"> to suggest trying the vape there and then, on site: </w:t>
      </w:r>
    </w:p>
    <w:p w14:paraId="40DADFAD" w14:textId="22D0F8C5" w:rsidR="00CB48EE" w:rsidRPr="009C514E" w:rsidRDefault="00CB48EE" w:rsidP="00CB48EE">
      <w:pPr>
        <w:spacing w:line="360" w:lineRule="auto"/>
        <w:ind w:left="720"/>
      </w:pPr>
      <w:r>
        <w:rPr>
          <w:bCs/>
        </w:rPr>
        <w:t>“</w:t>
      </w:r>
      <w:r w:rsidRPr="00AB345D">
        <w:rPr>
          <w:i/>
        </w:rPr>
        <w:t xml:space="preserve">I think it was quite helpful that people were absolutely gasping for a cigarette, so we could say to them well you can take this outside or if we take you outside to ambulatory, you can have a quick puff on it now and hopefully you'll find that helpful. So that was quite good that we could actually say you can have a </w:t>
      </w:r>
      <w:proofErr w:type="gramStart"/>
      <w:r w:rsidRPr="00AB345D">
        <w:rPr>
          <w:i/>
        </w:rPr>
        <w:t>vape</w:t>
      </w:r>
      <w:r>
        <w:rPr>
          <w:i/>
        </w:rPr>
        <w:t xml:space="preserve">” </w:t>
      </w:r>
      <w:r w:rsidRPr="00AB345D">
        <w:rPr>
          <w:i/>
        </w:rPr>
        <w:t xml:space="preserve"> </w:t>
      </w:r>
      <w:r>
        <w:t>[</w:t>
      </w:r>
      <w:proofErr w:type="gramEnd"/>
      <w:r>
        <w:t>Advisor 01</w:t>
      </w:r>
      <w:r w:rsidR="00B22469">
        <w:t>-</w:t>
      </w:r>
      <w:r>
        <w:t>06]</w:t>
      </w:r>
    </w:p>
    <w:p w14:paraId="441E65FC" w14:textId="0A806FA1" w:rsidR="00732B06" w:rsidRDefault="00B939D7" w:rsidP="002D3701">
      <w:pPr>
        <w:pStyle w:val="NoSpacing"/>
        <w:spacing w:line="360" w:lineRule="auto"/>
      </w:pPr>
      <w:r>
        <w:t>It was more difficult to gain medical staff buy in at sites where va</w:t>
      </w:r>
      <w:r w:rsidR="008E3E6D">
        <w:t>p</w:t>
      </w:r>
      <w:r>
        <w:t>ing policies aligned with smoking policies (i.e. being banned on NHS premises)</w:t>
      </w:r>
      <w:r w:rsidR="002D3701">
        <w:t>.</w:t>
      </w:r>
    </w:p>
    <w:p w14:paraId="0754D3AE" w14:textId="749748B0" w:rsidR="006D70C8" w:rsidRPr="002C6C8A" w:rsidRDefault="002D3701" w:rsidP="002D3701">
      <w:pPr>
        <w:tabs>
          <w:tab w:val="left" w:pos="3730"/>
        </w:tabs>
        <w:rPr>
          <w:bCs/>
        </w:rPr>
      </w:pPr>
      <w:r>
        <w:rPr>
          <w:bCs/>
        </w:rPr>
        <w:tab/>
      </w:r>
    </w:p>
    <w:p w14:paraId="15340E15" w14:textId="4BA95A49" w:rsidR="006E2399" w:rsidRPr="0094482B" w:rsidRDefault="0094482B" w:rsidP="006E2399">
      <w:pPr>
        <w:rPr>
          <w:rStyle w:val="Strong"/>
          <w:rFonts w:cstheme="minorHAnsi"/>
          <w:iCs/>
          <w:color w:val="333333"/>
          <w:sz w:val="28"/>
          <w:szCs w:val="28"/>
          <w:bdr w:val="single" w:sz="2" w:space="0" w:color="E5E7EB" w:frame="1"/>
        </w:rPr>
      </w:pPr>
      <w:r w:rsidRPr="0094482B">
        <w:rPr>
          <w:rStyle w:val="Strong"/>
          <w:rFonts w:cstheme="minorHAnsi"/>
          <w:iCs/>
          <w:color w:val="333333"/>
          <w:sz w:val="28"/>
          <w:szCs w:val="28"/>
          <w:bdr w:val="single" w:sz="2" w:space="0" w:color="E5E7EB" w:frame="1"/>
        </w:rPr>
        <w:t>DISCUSSION</w:t>
      </w:r>
    </w:p>
    <w:p w14:paraId="0E1C4955" w14:textId="0F9F4755" w:rsidR="008A7856" w:rsidRDefault="000342F3" w:rsidP="00A11F61">
      <w:pPr>
        <w:spacing w:line="360" w:lineRule="auto"/>
      </w:pPr>
      <w:r>
        <w:t xml:space="preserve">This is the first process evaluation study of a smoking cessation </w:t>
      </w:r>
      <w:r w:rsidR="00650B0E">
        <w:t>intervention evaluation in a UK ED. Findings demonstrated that d</w:t>
      </w:r>
      <w:r w:rsidR="0019158C">
        <w:t xml:space="preserve">espite contextual and implementation differences observed across sites as part of the COSTED trial, process evaluation data collected from </w:t>
      </w:r>
      <w:r w:rsidR="006B58C8">
        <w:t>participants</w:t>
      </w:r>
      <w:r w:rsidR="0019158C">
        <w:t xml:space="preserve">, </w:t>
      </w:r>
      <w:r w:rsidR="002D3701">
        <w:t>advisors, clinical s</w:t>
      </w:r>
      <w:r w:rsidR="0019158C">
        <w:t xml:space="preserve">taff and researcher observations </w:t>
      </w:r>
      <w:r w:rsidR="006B58C8">
        <w:t xml:space="preserve">demonstrated that differences did not impact on the outcome overall of smoking cessation. </w:t>
      </w:r>
    </w:p>
    <w:p w14:paraId="13D42257" w14:textId="57E04BC9" w:rsidR="00475231" w:rsidRPr="008D3520" w:rsidRDefault="00500B80" w:rsidP="00A11F61">
      <w:pPr>
        <w:spacing w:line="360" w:lineRule="auto"/>
      </w:pPr>
      <w:r>
        <w:t>Participant, staff and observational data revealed contextual influences to act primarily as facilitators to intervention deliver</w:t>
      </w:r>
      <w:r w:rsidR="006547BE">
        <w:t>y</w:t>
      </w:r>
      <w:r>
        <w:t xml:space="preserve">, </w:t>
      </w:r>
      <w:r w:rsidR="00342951">
        <w:t xml:space="preserve">that have been shown to operate at the micro, </w:t>
      </w:r>
      <w:proofErr w:type="spellStart"/>
      <w:r w:rsidR="00342951">
        <w:t>meso</w:t>
      </w:r>
      <w:proofErr w:type="spellEnd"/>
      <w:r w:rsidR="00342951">
        <w:t xml:space="preserve"> and macro levels of influence</w:t>
      </w:r>
      <w:r w:rsidR="006B5779">
        <w:t>, despite what may be assumed about the busy ED environment being unsuitable for delivery of a smoking cessation intervention</w:t>
      </w:r>
      <w:r>
        <w:t>.</w:t>
      </w:r>
      <w:r w:rsidR="00342FF2">
        <w:t xml:space="preserve"> </w:t>
      </w:r>
      <w:r w:rsidR="009A375B">
        <w:t>Similar concerns have been expressed in other clinical contexts</w:t>
      </w:r>
      <w:r w:rsidR="00FE42CA">
        <w:t xml:space="preserve"> </w:t>
      </w:r>
      <w:r w:rsidR="004349C2">
        <w:fldChar w:fldCharType="begin"/>
      </w:r>
      <w:r w:rsidR="00F735FA">
        <w:instrText xml:space="preserve"> ADDIN ZOTERO_ITEM CSL_CITATION {"citationID":"JI59eMot","properties":{"formattedCitation":"(17,18)","plainCitation":"(17,18)","noteIndex":0},"citationItems":[{"id":1600,"uris":["http://zotero.org/users/4082933/items/WKZIM5K7"],"itemData":{"id":1600,"type":"article-journal","abstract":"Introduction\n Evidence-based smoking cessation and temporary abstinence interventions to address smoking in mental health settings are available, but the impact of these interventions is limited.\n\nAims and Methods\nWe aimed to identify and synthesize the perceived barriers and enablers to supporting smoking cessation in mental health settings. Six databases were searched for articles reporting the investigation of perceived barriers and enablers to supporting smoking cessation in mental health settings. Data were extracted and coded using a mixed inductive/deductive method to the theoretical domains framework, key barriers and enablers were identified through the combining of coding frequency, elaboration, and expressed importance.\n\nResults\nOf 31 included articles, 56 barriers/enablers were reported from the perspectives of mental healthcare professionals (MHPs), 48 from patient perspectives, 21 from mixed perspectives, and 0 from relatives/carers. Barriers to supporting smoking cessation or temporary abstinence in mental health settings mainly fell within the domains: environmental context and resources (eg, MHPs lack of time); knowledge (eg, interactions around smoking that did occur were ill informed); social influences (eg, smoking norms within social network); and intentions (eg, MHPs lack positive intentions to deliver support). Enablers mainly fell within the domains: environmental context and resources (eg, use of appropriate support materials) and social influences (eg, pro-quitting social norms).\n\nConclusions\nThe importance of overcoming competing demands on staff time and resources, the inclusion of tailored, personalized support, the exploitation of patients wider social support networks, and enhancing knowledge and awareness around the benefits smoking cessation is highlighted.\n\nImplications\nIdentified barriers and enablers represent targets for future interventions to improve the support of smoking cessation in mental health settings. Future research needs to examine the perceptions of the carers and family/friends of patients in relation to the smoking behavior change support delivered to patients.","container-title":"Nicotine &amp; Tobacco Research","DOI":"10.1093/ntr/ntac004","ISSN":"1462-2203","issue":"7","journalAbbreviation":"Nicotine Tob Res","note":"PMID: 35018458\nPMCID: PMC9199941","page":"945-954","source":"PubMed Central","title":"A Systematic Review of Mental Health Professionals, Patients, and Carers’ Perceived Barriers and Enablers to Supporting Smoking Cessation in Mental Health Settings","volume":"24","author":[{"family":"Huddlestone","given":"Lisa"},{"family":"Shoesmith","given":"Emily"},{"family":"Pervin","given":"Jodi"},{"family":"Lorencatto","given":"Fabiana"},{"family":"Watson","given":"Jude"},{"family":"Ratschen","given":"Elena"}],"issued":{"date-parts":[["2022",1,8]]}}},{"id":1599,"uris":["http://zotero.org/users/4082933/items/DC428DFI"],"itemData":{"id":1599,"type":"article-journal","abstract":"Continued smoking after cancer adversely affects quality of life and survival, but one fifth of cancer survivors still smoke. Despite its demands, cancer presents an opportunity for positive behaviour change. Smoking often occurs in social groups, therefore interventions which target families and individuals may be more successful. This qualitative study explored patients, family members and health professionals’ views and experiences of smoking and smoking cessation after cancer, in order to inform future interventions.","container-title":"BMC Cancer","DOI":"10.1186/s12885-017-3344-z","ISSN":"1471-2407","issue":"1","journalAbbreviation":"BMC Cancer","page":"348","source":"BioMed Central","title":"Barriers and facilitators to smoking cessation in a cancer context: A qualitative study of patient, family and professional views","title-short":"Barriers and facilitators to smoking cessation in a cancer context","volume":"17","author":[{"family":"Wells","given":"Mary"},{"family":"Aitchison","given":"Patricia"},{"family":"Harris","given":"Fiona"},{"family":"Ozakinci","given":"Gozde"},{"family":"Radley","given":"Andrew"},{"family":"Bauld","given":"Linda"},{"family":"Entwistle","given":"Vikki"},{"family":"Munro","given":"Alastair"},{"family":"Haw","given":"Sally"},{"family":"Culbard","given":"Bill"},{"family":"Williams","given":"Brian"}],"issued":{"date-parts":[["2017",5,19]]}}}],"schema":"https://github.com/citation-style-language/schema/raw/master/csl-citation.json"} </w:instrText>
      </w:r>
      <w:r w:rsidR="004349C2">
        <w:fldChar w:fldCharType="separate"/>
      </w:r>
      <w:r w:rsidR="00F735FA" w:rsidRPr="00F735FA">
        <w:rPr>
          <w:rFonts w:ascii="Calibri" w:hAnsi="Calibri" w:cs="Calibri"/>
        </w:rPr>
        <w:t>(17,18)</w:t>
      </w:r>
      <w:r w:rsidR="004349C2">
        <w:fldChar w:fldCharType="end"/>
      </w:r>
      <w:r w:rsidR="009A375B">
        <w:t xml:space="preserve">, where </w:t>
      </w:r>
      <w:r w:rsidR="00413F3A">
        <w:t xml:space="preserve">studies have similarly found that barriers are linked to staff capacity and training, </w:t>
      </w:r>
      <w:r w:rsidR="00E84E66">
        <w:t>resources and norms</w:t>
      </w:r>
      <w:r w:rsidR="004349C2">
        <w:t xml:space="preserve">, </w:t>
      </w:r>
      <w:r w:rsidR="00413F3A">
        <w:t xml:space="preserve">rather than </w:t>
      </w:r>
      <w:r w:rsidR="00266D50">
        <w:t xml:space="preserve">participant acceptability concerns or </w:t>
      </w:r>
      <w:r w:rsidR="00413F3A">
        <w:t>the suitability of the context itself</w:t>
      </w:r>
      <w:r w:rsidR="004D100D">
        <w:t>.</w:t>
      </w:r>
      <w:r>
        <w:t xml:space="preserve"> In fact</w:t>
      </w:r>
      <w:r w:rsidR="00FE42CA">
        <w:t>,</w:t>
      </w:r>
      <w:r>
        <w:t xml:space="preserve"> participants often reported that the </w:t>
      </w:r>
      <w:r w:rsidR="004D100D">
        <w:t xml:space="preserve">ED </w:t>
      </w:r>
      <w:r>
        <w:t xml:space="preserve">context was facilitative – the long wait </w:t>
      </w:r>
      <w:r>
        <w:lastRenderedPageBreak/>
        <w:t>times meant that there was time to receiv</w:t>
      </w:r>
      <w:r w:rsidR="00FE42CA">
        <w:t>e the intervention, and that it</w:t>
      </w:r>
      <w:r>
        <w:t>s focus on improving health outcomes was bought sharply into focus for participants</w:t>
      </w:r>
      <w:r w:rsidR="003D7C2D">
        <w:t xml:space="preserve"> by the acute health condition</w:t>
      </w:r>
      <w:r>
        <w:t xml:space="preserve"> (a ‘teachable moment’). </w:t>
      </w:r>
      <w:r w:rsidR="001C493A">
        <w:t>Furthermore, h</w:t>
      </w:r>
      <w:r>
        <w:t xml:space="preserve">aving the intervention delivered by a </w:t>
      </w:r>
      <w:r w:rsidR="00D23048">
        <w:t xml:space="preserve">stop smoking advisor who was perceived to be a </w:t>
      </w:r>
      <w:r>
        <w:t>member of staff within the ED was</w:t>
      </w:r>
      <w:r w:rsidR="001767F6">
        <w:t xml:space="preserve"> actively</w:t>
      </w:r>
      <w:r>
        <w:t xml:space="preserve"> reassuring, legitimising trying vaping for </w:t>
      </w:r>
      <w:r w:rsidR="002435C6">
        <w:t xml:space="preserve">smoking cessation for </w:t>
      </w:r>
      <w:r>
        <w:t xml:space="preserve">some people who perhaps had been cautious. Similarly, where environmental prompts were clear, such as ‘no-smoking’ but ‘vape friendly’ signage supported by site policies, the environment was conducive to supporting smoking cessation by </w:t>
      </w:r>
      <w:r w:rsidR="00F619E7">
        <w:t xml:space="preserve">switching to </w:t>
      </w:r>
      <w:r>
        <w:t xml:space="preserve">vaping. </w:t>
      </w:r>
      <w:r w:rsidR="00F619E7">
        <w:t>Advisors</w:t>
      </w:r>
      <w:r>
        <w:t xml:space="preserve"> demonstrated flexibility in delivering the intervention across varying times, places, and adapting the intervention manual to tailor to patient presenting factors. </w:t>
      </w:r>
      <w:r w:rsidR="008533F1">
        <w:t xml:space="preserve">Advisors </w:t>
      </w:r>
      <w:r w:rsidR="00922E34">
        <w:t xml:space="preserve">came from varied </w:t>
      </w:r>
      <w:r>
        <w:t xml:space="preserve">professional backgrounds, demonstrating that the intervention could be delivered by a range of trained </w:t>
      </w:r>
      <w:r w:rsidR="00297814">
        <w:t>advisors, with or without prior smoking cessation expertise</w:t>
      </w:r>
      <w:r>
        <w:t xml:space="preserve">. This suggests that different staffing models would be feasible for implementing this intervention more widely but having dedicated </w:t>
      </w:r>
      <w:r w:rsidR="00140B02">
        <w:t>Advisors</w:t>
      </w:r>
      <w:r>
        <w:t xml:space="preserve"> to focus on delivering the </w:t>
      </w:r>
      <w:r w:rsidR="00710A6C">
        <w:t xml:space="preserve">intervention was critical, as clearly ED </w:t>
      </w:r>
      <w:r w:rsidR="00140B02">
        <w:t xml:space="preserve">clinical </w:t>
      </w:r>
      <w:r w:rsidR="00710A6C">
        <w:t xml:space="preserve">staff would not have the capacity to focus on intervention delivery </w:t>
      </w:r>
      <w:r w:rsidR="00CE3CD7">
        <w:t>alongside</w:t>
      </w:r>
      <w:r w:rsidR="00710A6C">
        <w:t xml:space="preserve"> existing clinical roles. </w:t>
      </w:r>
    </w:p>
    <w:p w14:paraId="5C3A3706" w14:textId="083FF892" w:rsidR="00B70607" w:rsidRDefault="005F4478" w:rsidP="00210BC7">
      <w:pPr>
        <w:spacing w:line="360" w:lineRule="auto"/>
      </w:pPr>
      <w:r>
        <w:t>To successfully implement the COSTED intervention consideration of context</w:t>
      </w:r>
      <w:r w:rsidR="00AD6BEC">
        <w:t>ual influences</w:t>
      </w:r>
      <w:r>
        <w:t xml:space="preserve"> is </w:t>
      </w:r>
      <w:r w:rsidR="00664BCA">
        <w:t>important</w:t>
      </w:r>
      <w:r w:rsidR="00E433A0">
        <w:t xml:space="preserve">. Crucially, </w:t>
      </w:r>
      <w:r w:rsidR="00884252">
        <w:t>policies supportive of vaping</w:t>
      </w:r>
      <w:r w:rsidR="00E433A0">
        <w:t xml:space="preserve"> and environmental cues such as signage were seen as facilitative. Although having space for</w:t>
      </w:r>
      <w:r w:rsidR="007D261C">
        <w:t xml:space="preserve"> delivery of the</w:t>
      </w:r>
      <w:r w:rsidR="00884252">
        <w:t xml:space="preserve"> </w:t>
      </w:r>
      <w:r w:rsidR="008A7856">
        <w:t>intervention</w:t>
      </w:r>
      <w:r w:rsidR="00884252">
        <w:t xml:space="preserve"> bot</w:t>
      </w:r>
      <w:r w:rsidR="008A7856">
        <w:t>h</w:t>
      </w:r>
      <w:r w:rsidR="00884252">
        <w:t xml:space="preserve"> physically an</w:t>
      </w:r>
      <w:r w:rsidR="00B70607">
        <w:t>d</w:t>
      </w:r>
      <w:r w:rsidR="00884252">
        <w:t xml:space="preserve"> </w:t>
      </w:r>
      <w:r w:rsidR="007D261C">
        <w:t>with</w:t>
      </w:r>
      <w:r w:rsidR="00884252">
        <w:t>in patient care pathways</w:t>
      </w:r>
      <w:r w:rsidR="007D261C">
        <w:t xml:space="preserve"> might be optimal, what appears to be more important </w:t>
      </w:r>
      <w:r w:rsidR="002C1B87">
        <w:t xml:space="preserve">is advisor flexibility and adaptability to the changing busy context of the ED. </w:t>
      </w:r>
      <w:r w:rsidR="00ED02CF">
        <w:t>Clearly</w:t>
      </w:r>
      <w:r w:rsidR="002C1B87">
        <w:t xml:space="preserve">, patients are accepting of the challenges and </w:t>
      </w:r>
      <w:r w:rsidR="00ED02CF">
        <w:t xml:space="preserve">limitations. Advisor sensitivity to these challenges </w:t>
      </w:r>
      <w:r w:rsidR="00616943">
        <w:t xml:space="preserve">appeared to mitigate any negative impact, ensuring that the intervention could be delivered either in private or semi-public, </w:t>
      </w:r>
      <w:r w:rsidR="00157191">
        <w:t xml:space="preserve">and at different points as necessary in the patient care pathway. These flexible adaptations were fundamental to ensuring successful intervention delivery, which appeared to play out in the remarkably similar </w:t>
      </w:r>
      <w:r w:rsidR="00101049">
        <w:t>rates of cessation observed across sites.</w:t>
      </w:r>
      <w:r w:rsidR="002C1B87">
        <w:t xml:space="preserve"> </w:t>
      </w:r>
      <w:r w:rsidR="00210BC7">
        <w:t>A</w:t>
      </w:r>
      <w:r w:rsidR="00BA2D02">
        <w:t xml:space="preserve">lthough the trial itself was not </w:t>
      </w:r>
      <w:r w:rsidR="00210BC7">
        <w:t xml:space="preserve">statistically </w:t>
      </w:r>
      <w:r w:rsidR="00BA2D02">
        <w:t xml:space="preserve">powered to address </w:t>
      </w:r>
      <w:r w:rsidR="00210BC7">
        <w:t>contextual variation, the qualitative process evaluation data clearly demonstrates</w:t>
      </w:r>
      <w:r w:rsidR="00B70607">
        <w:t xml:space="preserve"> adaptability of the intervention, and the way in which context could be moderated</w:t>
      </w:r>
      <w:r w:rsidR="00A11F61">
        <w:t>.</w:t>
      </w:r>
    </w:p>
    <w:p w14:paraId="75089C6C" w14:textId="6802BADB" w:rsidR="008A7856" w:rsidRDefault="0043038C" w:rsidP="00020599">
      <w:pPr>
        <w:spacing w:line="360" w:lineRule="auto"/>
      </w:pPr>
      <w:r>
        <w:t>This</w:t>
      </w:r>
      <w:r w:rsidR="000956E2">
        <w:t xml:space="preserve"> study</w:t>
      </w:r>
      <w:r>
        <w:t xml:space="preserve"> i</w:t>
      </w:r>
      <w:r w:rsidR="00107D02">
        <w:t xml:space="preserve">s a </w:t>
      </w:r>
      <w:r>
        <w:t>critical</w:t>
      </w:r>
      <w:r w:rsidR="00107D02">
        <w:t xml:space="preserve"> contribution</w:t>
      </w:r>
      <w:r>
        <w:t xml:space="preserve"> </w:t>
      </w:r>
      <w:r w:rsidR="00107D02">
        <w:t>in understanding how the</w:t>
      </w:r>
      <w:r w:rsidR="000956E2">
        <w:t xml:space="preserve"> ED</w:t>
      </w:r>
      <w:r w:rsidR="00FE42CA">
        <w:t xml:space="preserve"> context may have influenced </w:t>
      </w:r>
      <w:r w:rsidR="00107D02">
        <w:t>observed outcomes.</w:t>
      </w:r>
      <w:r>
        <w:t xml:space="preserve"> </w:t>
      </w:r>
      <w:r w:rsidR="00AF6474">
        <w:t xml:space="preserve">A </w:t>
      </w:r>
      <w:r w:rsidR="00435A18">
        <w:t>limitation</w:t>
      </w:r>
      <w:r w:rsidR="00AF6474">
        <w:t xml:space="preserve"> of this study </w:t>
      </w:r>
      <w:r w:rsidR="00435A18">
        <w:t>is that d</w:t>
      </w:r>
      <w:r w:rsidR="00020599">
        <w:t>ata were drawn f</w:t>
      </w:r>
      <w:r w:rsidR="00AF6474">
        <w:t>rom a selected q</w:t>
      </w:r>
      <w:r w:rsidR="00CA40A7">
        <w:t>ualitative</w:t>
      </w:r>
      <w:r w:rsidR="00415D64">
        <w:t xml:space="preserve"> sample </w:t>
      </w:r>
      <w:r w:rsidR="00AF6474">
        <w:t xml:space="preserve">and are </w:t>
      </w:r>
      <w:r w:rsidR="00415D64">
        <w:t xml:space="preserve">not </w:t>
      </w:r>
      <w:r w:rsidR="00AF6474">
        <w:t xml:space="preserve">necessarily </w:t>
      </w:r>
      <w:r w:rsidR="00415D64">
        <w:t>representative</w:t>
      </w:r>
      <w:r w:rsidR="00AF6474" w:rsidRPr="00523B02">
        <w:t xml:space="preserve">. </w:t>
      </w:r>
      <w:r w:rsidR="0017789E" w:rsidRPr="00523B02">
        <w:t>Specifically, we were not able to gather the views of those not consenting to a further qualitative interview, who may overly-represent those for whom the intervention did not work well.</w:t>
      </w:r>
      <w:r w:rsidR="0017789E" w:rsidRPr="0017789E">
        <w:t xml:space="preserve"> </w:t>
      </w:r>
      <w:r w:rsidR="00435A18">
        <w:t>However,</w:t>
      </w:r>
      <w:r w:rsidR="00415D64">
        <w:t xml:space="preserve"> triangulation of data sources</w:t>
      </w:r>
      <w:r w:rsidR="00435A18">
        <w:t>, combining site observations</w:t>
      </w:r>
      <w:r w:rsidR="00FC3215">
        <w:t xml:space="preserve"> with</w:t>
      </w:r>
      <w:r w:rsidR="00435A18">
        <w:t xml:space="preserve"> interviews with </w:t>
      </w:r>
      <w:r w:rsidR="00CE3CD7">
        <w:t>participants</w:t>
      </w:r>
      <w:r w:rsidR="00435A18">
        <w:t xml:space="preserve"> and staff</w:t>
      </w:r>
      <w:r w:rsidR="00FC3215">
        <w:t>, has</w:t>
      </w:r>
      <w:r w:rsidR="00435A18">
        <w:t xml:space="preserve"> enabled an explanatory conte</w:t>
      </w:r>
      <w:r w:rsidR="004975AE">
        <w:t xml:space="preserve">xt for the trial outcome. Analysis of </w:t>
      </w:r>
      <w:r w:rsidR="00CE3CD7">
        <w:t>qualitative</w:t>
      </w:r>
      <w:r w:rsidR="004975AE">
        <w:t xml:space="preserve"> data was undertaken </w:t>
      </w:r>
      <w:r w:rsidR="00CE3CD7">
        <w:t>independently, with PPI input to facilitate interpretation.</w:t>
      </w:r>
      <w:r w:rsidR="004975AE">
        <w:t xml:space="preserve"> </w:t>
      </w:r>
    </w:p>
    <w:p w14:paraId="0EB6B5F0" w14:textId="22F0D2F1" w:rsidR="00A6726A" w:rsidRDefault="00886C93" w:rsidP="0018404B">
      <w:pPr>
        <w:spacing w:line="360" w:lineRule="auto"/>
      </w:pPr>
      <w:r>
        <w:lastRenderedPageBreak/>
        <w:t>The ED c</w:t>
      </w:r>
      <w:r w:rsidR="0018404B">
        <w:t>ontext</w:t>
      </w:r>
      <w:r>
        <w:t xml:space="preserve"> was shown to clearly impact </w:t>
      </w:r>
      <w:r w:rsidR="0018404B">
        <w:t>intervention delivery and receipt of smoking cessation interventions ‘in the moment’</w:t>
      </w:r>
      <w:r w:rsidR="00243F53">
        <w:t xml:space="preserve">. Although context may be a barrier to intervention implementation, flexibility and adaptiveness of staff, and </w:t>
      </w:r>
      <w:r w:rsidR="00065DA6">
        <w:t xml:space="preserve">acceptability </w:t>
      </w:r>
      <w:r w:rsidR="00243F53">
        <w:t xml:space="preserve">by participants, were critically facilitative factors. </w:t>
      </w:r>
      <w:r w:rsidR="0018404B">
        <w:t xml:space="preserve"> </w:t>
      </w:r>
      <w:r w:rsidR="00243F53">
        <w:t xml:space="preserve">The </w:t>
      </w:r>
      <w:r w:rsidR="000B7BEF">
        <w:t xml:space="preserve">time, place and ‘moment’ were powerfully experienced by </w:t>
      </w:r>
      <w:r w:rsidR="00F13844">
        <w:t>participants</w:t>
      </w:r>
      <w:r w:rsidR="000B7BEF">
        <w:t xml:space="preserve"> who were amenable to </w:t>
      </w:r>
      <w:r w:rsidR="00FA7BDC">
        <w:t xml:space="preserve">the </w:t>
      </w:r>
      <w:r w:rsidR="005E4B70">
        <w:t>long-term</w:t>
      </w:r>
      <w:r w:rsidR="00FA7BDC">
        <w:t xml:space="preserve"> behaviour change of smoking cessation. This suggests that the ED is an opportune location to support smoking cessation</w:t>
      </w:r>
      <w:r w:rsidR="00F13844">
        <w:t xml:space="preserve"> to improve long term health.</w:t>
      </w:r>
    </w:p>
    <w:p w14:paraId="7925E4D0" w14:textId="1C011BA2" w:rsidR="0084777D" w:rsidRDefault="0084777D" w:rsidP="00A6726A">
      <w:pPr>
        <w:rPr>
          <w:rFonts w:cstheme="minorHAnsi"/>
          <w:b/>
          <w:bCs/>
          <w:color w:val="333333"/>
          <w:shd w:val="clear" w:color="auto" w:fill="FFFFFF"/>
        </w:rPr>
      </w:pPr>
      <w:r>
        <w:rPr>
          <w:rFonts w:cstheme="minorHAnsi"/>
          <w:b/>
          <w:bCs/>
          <w:color w:val="333333"/>
          <w:shd w:val="clear" w:color="auto" w:fill="FFFFFF"/>
        </w:rPr>
        <w:t>Data availability statement</w:t>
      </w:r>
    </w:p>
    <w:p w14:paraId="5C7B0A6A" w14:textId="413468EC" w:rsidR="0084777D" w:rsidRPr="0084777D" w:rsidRDefault="0084777D" w:rsidP="00A6726A">
      <w:pPr>
        <w:rPr>
          <w:color w:val="2E2E2E"/>
        </w:rPr>
      </w:pPr>
      <w:r>
        <w:rPr>
          <w:rFonts w:cstheme="minorHAnsi"/>
          <w:color w:val="333333"/>
          <w:shd w:val="clear" w:color="auto" w:fill="FFFFFF"/>
        </w:rPr>
        <w:t>Qualitative data is available on request to the corresponding author</w:t>
      </w:r>
    </w:p>
    <w:p w14:paraId="2A7851C1" w14:textId="5B07410D" w:rsidR="00533D95" w:rsidRPr="00EA7B2D" w:rsidRDefault="00533D95" w:rsidP="00EA7B2D">
      <w:pPr>
        <w:spacing w:line="360" w:lineRule="auto"/>
        <w:rPr>
          <w:b/>
          <w:bCs/>
        </w:rPr>
      </w:pPr>
      <w:r w:rsidRPr="00EA7B2D">
        <w:rPr>
          <w:b/>
          <w:bCs/>
        </w:rPr>
        <w:t>References:</w:t>
      </w:r>
    </w:p>
    <w:p w14:paraId="2CA128D9" w14:textId="77777777" w:rsidR="00845B5A" w:rsidRPr="00845B5A" w:rsidRDefault="00D84CFA" w:rsidP="00845B5A">
      <w:pPr>
        <w:pStyle w:val="Bibliography"/>
        <w:rPr>
          <w:rFonts w:ascii="Calibri" w:hAnsi="Calibri" w:cs="Calibri"/>
        </w:rPr>
      </w:pPr>
      <w:r>
        <w:fldChar w:fldCharType="begin"/>
      </w:r>
      <w:r w:rsidR="005730F2">
        <w:instrText xml:space="preserve"> ADDIN ZOTERO_BIBL {"uncited":[],"omitted":[],"custom":[]} CSL_BIBLIOGRAPHY </w:instrText>
      </w:r>
      <w:r>
        <w:fldChar w:fldCharType="separate"/>
      </w:r>
      <w:r w:rsidR="00845B5A" w:rsidRPr="00845B5A">
        <w:rPr>
          <w:rFonts w:ascii="Calibri" w:hAnsi="Calibri" w:cs="Calibri"/>
        </w:rPr>
        <w:t>1.</w:t>
      </w:r>
      <w:r w:rsidR="00845B5A" w:rsidRPr="00845B5A">
        <w:rPr>
          <w:rFonts w:ascii="Calibri" w:hAnsi="Calibri" w:cs="Calibri"/>
        </w:rPr>
        <w:tab/>
        <w:t>Deprivation and the impact on smoking prevalence, England and Wales - Office for National Statistics [Internet]. [cited 2024 May 24]. Available from: https://www.ons.gov.uk/peoplepopulationandcommunity/healthandsocialcare/drugusealcoholandsmoking/bulletins/deprivationandtheimpactonsmokingprevalenceenglandandwales/2017to2021</w:t>
      </w:r>
    </w:p>
    <w:p w14:paraId="3DA8CA93" w14:textId="732FE9E9" w:rsidR="00845B5A" w:rsidRPr="00845B5A" w:rsidRDefault="00845B5A" w:rsidP="00845B5A">
      <w:pPr>
        <w:pStyle w:val="Bibliography"/>
        <w:rPr>
          <w:rFonts w:ascii="Calibri" w:hAnsi="Calibri" w:cs="Calibri"/>
        </w:rPr>
      </w:pPr>
      <w:r w:rsidRPr="00845B5A">
        <w:rPr>
          <w:rFonts w:ascii="Calibri" w:hAnsi="Calibri" w:cs="Calibri"/>
        </w:rPr>
        <w:t>2.</w:t>
      </w:r>
      <w:r w:rsidRPr="00845B5A">
        <w:rPr>
          <w:rFonts w:ascii="Calibri" w:hAnsi="Calibri" w:cs="Calibri"/>
        </w:rPr>
        <w:tab/>
        <w:t>Mangera Z, Lewis A, Hutchinson J, Searle L, Agrawal S. Smoking prevalence in UK hospital admissions from a national observational study</w:t>
      </w:r>
      <w:r w:rsidRPr="00523B02">
        <w:rPr>
          <w:rFonts w:ascii="Calibri" w:hAnsi="Calibri" w:cs="Calibri"/>
        </w:rPr>
        <w:t xml:space="preserve">. </w:t>
      </w:r>
      <w:proofErr w:type="spellStart"/>
      <w:r w:rsidR="00AC5586" w:rsidRPr="00523B02">
        <w:rPr>
          <w:rFonts w:ascii="Calibri" w:hAnsi="Calibri" w:cs="Calibri"/>
        </w:rPr>
        <w:t>Eur</w:t>
      </w:r>
      <w:proofErr w:type="spellEnd"/>
      <w:r w:rsidR="00AC5586" w:rsidRPr="00523B02">
        <w:rPr>
          <w:rFonts w:ascii="Calibri" w:hAnsi="Calibri" w:cs="Calibri"/>
        </w:rPr>
        <w:t xml:space="preserve"> Respir J</w:t>
      </w:r>
      <w:r w:rsidRPr="00845B5A">
        <w:rPr>
          <w:rFonts w:ascii="Calibri" w:hAnsi="Calibri" w:cs="Calibri"/>
        </w:rPr>
        <w:t xml:space="preserve"> [Internet]. 2017 Sep 1 [cited 2024 Mar 23];50(suppl 61). Available from: https://erj.ersjournals.com/content/50/suppl_61/PA1268</w:t>
      </w:r>
    </w:p>
    <w:p w14:paraId="0F7036A8" w14:textId="77777777" w:rsidR="00845B5A" w:rsidRPr="00845B5A" w:rsidRDefault="00845B5A" w:rsidP="00845B5A">
      <w:pPr>
        <w:pStyle w:val="Bibliography"/>
        <w:rPr>
          <w:rFonts w:ascii="Calibri" w:hAnsi="Calibri" w:cs="Calibri"/>
        </w:rPr>
      </w:pPr>
      <w:r w:rsidRPr="00845B5A">
        <w:rPr>
          <w:rFonts w:ascii="Calibri" w:hAnsi="Calibri" w:cs="Calibri"/>
        </w:rPr>
        <w:t>3.</w:t>
      </w:r>
      <w:r w:rsidRPr="00845B5A">
        <w:rPr>
          <w:rFonts w:ascii="Calibri" w:hAnsi="Calibri" w:cs="Calibri"/>
        </w:rPr>
        <w:tab/>
        <w:t>Inequalities in Accident and Emergency department attendance, England - Office for National Statistics [Internet]. [cited 2024 May 24]. Available from: https://www.ons.gov.uk/peoplepopulationandcommunity/healthandsocialcare/healthcaresystem/articles/inequalitiesinaccidentandemergencydepartmentattendanceengland/march2021tomarch2022</w:t>
      </w:r>
    </w:p>
    <w:p w14:paraId="5EED88EC" w14:textId="12E24346" w:rsidR="00845B5A" w:rsidRPr="00845B5A" w:rsidRDefault="00845B5A" w:rsidP="00845B5A">
      <w:pPr>
        <w:pStyle w:val="Bibliography"/>
        <w:rPr>
          <w:rFonts w:ascii="Calibri" w:hAnsi="Calibri" w:cs="Calibri"/>
        </w:rPr>
      </w:pPr>
      <w:r w:rsidRPr="00845B5A">
        <w:rPr>
          <w:rFonts w:ascii="Calibri" w:hAnsi="Calibri" w:cs="Calibri"/>
        </w:rPr>
        <w:t>4.</w:t>
      </w:r>
      <w:r w:rsidRPr="00845B5A">
        <w:rPr>
          <w:rFonts w:ascii="Calibri" w:hAnsi="Calibri" w:cs="Calibri"/>
        </w:rPr>
        <w:tab/>
        <w:t xml:space="preserve">Adams EJ, Morris L, Marshall G, </w:t>
      </w:r>
      <w:r w:rsidR="00A72F9F">
        <w:rPr>
          <w:rFonts w:ascii="Calibri" w:hAnsi="Calibri" w:cs="Calibri"/>
        </w:rPr>
        <w:t>et al</w:t>
      </w:r>
      <w:r w:rsidRPr="00845B5A">
        <w:rPr>
          <w:rFonts w:ascii="Calibri" w:hAnsi="Calibri" w:cs="Calibri"/>
        </w:rPr>
        <w:t xml:space="preserve">. Effectiveness and implementation of interventions for health promotion in urgent and emergency care settings: an umbrella review. BMC </w:t>
      </w:r>
      <w:r w:rsidR="00DB0933" w:rsidRPr="00523B02">
        <w:rPr>
          <w:rFonts w:ascii="Calibri" w:hAnsi="Calibri" w:cs="Calibri"/>
        </w:rPr>
        <w:t>Emerg. Med</w:t>
      </w:r>
      <w:r w:rsidRPr="00523B02">
        <w:rPr>
          <w:rFonts w:ascii="Calibri" w:hAnsi="Calibri" w:cs="Calibri"/>
        </w:rPr>
        <w:t>.</w:t>
      </w:r>
      <w:r w:rsidRPr="00845B5A">
        <w:rPr>
          <w:rFonts w:ascii="Calibri" w:hAnsi="Calibri" w:cs="Calibri"/>
        </w:rPr>
        <w:t xml:space="preserve"> 2023 Apr 6;23(1):41. </w:t>
      </w:r>
    </w:p>
    <w:p w14:paraId="59AAA0EC" w14:textId="77777777" w:rsidR="00845B5A" w:rsidRPr="00845B5A" w:rsidRDefault="00845B5A" w:rsidP="00845B5A">
      <w:pPr>
        <w:pStyle w:val="Bibliography"/>
        <w:rPr>
          <w:rFonts w:ascii="Calibri" w:hAnsi="Calibri" w:cs="Calibri"/>
        </w:rPr>
      </w:pPr>
      <w:r w:rsidRPr="00845B5A">
        <w:rPr>
          <w:rFonts w:ascii="Calibri" w:hAnsi="Calibri" w:cs="Calibri"/>
        </w:rPr>
        <w:t>5.</w:t>
      </w:r>
      <w:r w:rsidRPr="00845B5A">
        <w:rPr>
          <w:rFonts w:ascii="Calibri" w:hAnsi="Calibri" w:cs="Calibri"/>
        </w:rPr>
        <w:tab/>
        <w:t xml:space="preserve">Pettit N, Pope I, Neuner B, Lash R, Bernstein SL. A selective review of smoking cessation interventions in the emergency department. Emergency Cancer Care. 2022 Jun 15;1(1):5. </w:t>
      </w:r>
    </w:p>
    <w:p w14:paraId="01EC59C0" w14:textId="0D3B9AB7" w:rsidR="00845B5A" w:rsidRPr="00845B5A" w:rsidRDefault="00845B5A" w:rsidP="00845B5A">
      <w:pPr>
        <w:pStyle w:val="Bibliography"/>
        <w:rPr>
          <w:rFonts w:ascii="Calibri" w:hAnsi="Calibri" w:cs="Calibri"/>
        </w:rPr>
      </w:pPr>
      <w:r w:rsidRPr="00845B5A">
        <w:rPr>
          <w:rFonts w:ascii="Calibri" w:hAnsi="Calibri" w:cs="Calibri"/>
        </w:rPr>
        <w:t>6.</w:t>
      </w:r>
      <w:r w:rsidRPr="00845B5A">
        <w:rPr>
          <w:rFonts w:ascii="Calibri" w:hAnsi="Calibri" w:cs="Calibri"/>
        </w:rPr>
        <w:tab/>
        <w:t xml:space="preserve">Notley C, Clark L, Belderson P, et al. Cessation of smoking trial in the emergency department (CoSTED): protocol for a multicentre randomised controlled trial. BMJ Open. 2023 Jan 1;13(1):e064585. </w:t>
      </w:r>
    </w:p>
    <w:p w14:paraId="633BD052" w14:textId="42AB207E" w:rsidR="00845B5A" w:rsidRPr="00845B5A" w:rsidRDefault="00845B5A" w:rsidP="00845B5A">
      <w:pPr>
        <w:pStyle w:val="Bibliography"/>
        <w:rPr>
          <w:rFonts w:ascii="Calibri" w:hAnsi="Calibri" w:cs="Calibri"/>
        </w:rPr>
      </w:pPr>
      <w:r w:rsidRPr="00845B5A">
        <w:rPr>
          <w:rFonts w:ascii="Calibri" w:hAnsi="Calibri" w:cs="Calibri"/>
        </w:rPr>
        <w:t>7.</w:t>
      </w:r>
      <w:r w:rsidRPr="00845B5A">
        <w:rPr>
          <w:rFonts w:ascii="Calibri" w:hAnsi="Calibri" w:cs="Calibri"/>
        </w:rPr>
        <w:tab/>
        <w:t xml:space="preserve">Pope I, Clark LV, Clark A, et al. Cessation of Smoking Trial in the Emergency Department (COSTED): a multicentre randomised controlled trial. Emerg Med J. 2024 Apr 22;41(5):276–82. </w:t>
      </w:r>
    </w:p>
    <w:p w14:paraId="08B3D521" w14:textId="3A0A5C96" w:rsidR="00845B5A" w:rsidRPr="00845B5A" w:rsidRDefault="00845B5A" w:rsidP="00845B5A">
      <w:pPr>
        <w:pStyle w:val="Bibliography"/>
        <w:rPr>
          <w:rFonts w:ascii="Calibri" w:hAnsi="Calibri" w:cs="Calibri"/>
        </w:rPr>
      </w:pPr>
      <w:r w:rsidRPr="00845B5A">
        <w:rPr>
          <w:rFonts w:ascii="Calibri" w:hAnsi="Calibri" w:cs="Calibri"/>
        </w:rPr>
        <w:t>8.</w:t>
      </w:r>
      <w:r w:rsidRPr="00845B5A">
        <w:rPr>
          <w:rFonts w:ascii="Calibri" w:hAnsi="Calibri" w:cs="Calibri"/>
        </w:rPr>
        <w:tab/>
        <w:t xml:space="preserve">Presseau J, Byrne-Davis LMT, Hotham S, et al. Enhancing the translation of health behaviour change research into practice: a selective conceptual review of the synergy between implementation science and health psychology. </w:t>
      </w:r>
      <w:r w:rsidR="00320FA7" w:rsidRPr="00523B02">
        <w:rPr>
          <w:rFonts w:ascii="Calibri" w:hAnsi="Calibri" w:cs="Calibri"/>
        </w:rPr>
        <w:t>Health Psychol. Rev</w:t>
      </w:r>
      <w:r w:rsidRPr="00845B5A">
        <w:rPr>
          <w:rFonts w:ascii="Calibri" w:hAnsi="Calibri" w:cs="Calibri"/>
        </w:rPr>
        <w:t xml:space="preserve">. 2022 Jan 2;16(1):22–49. </w:t>
      </w:r>
    </w:p>
    <w:p w14:paraId="7603F65A" w14:textId="7EC5C620" w:rsidR="00845B5A" w:rsidRPr="00845B5A" w:rsidRDefault="00845B5A" w:rsidP="00845B5A">
      <w:pPr>
        <w:pStyle w:val="Bibliography"/>
        <w:rPr>
          <w:rFonts w:ascii="Calibri" w:hAnsi="Calibri" w:cs="Calibri"/>
        </w:rPr>
      </w:pPr>
      <w:r w:rsidRPr="00845B5A">
        <w:rPr>
          <w:rFonts w:ascii="Calibri" w:hAnsi="Calibri" w:cs="Calibri"/>
        </w:rPr>
        <w:t>9.</w:t>
      </w:r>
      <w:r w:rsidRPr="00845B5A">
        <w:rPr>
          <w:rFonts w:ascii="Calibri" w:hAnsi="Calibri" w:cs="Calibri"/>
        </w:rPr>
        <w:tab/>
        <w:t xml:space="preserve">Skivington K, Matthews L, Simpson SA, et al. A new framework for developing and evaluating complex interventions: update of Medical Research Council guidance. BMJ. 2021 Sep 30;374:n2061. </w:t>
      </w:r>
    </w:p>
    <w:p w14:paraId="110ED0B6" w14:textId="77777777" w:rsidR="00845B5A" w:rsidRPr="00845B5A" w:rsidRDefault="00845B5A" w:rsidP="00845B5A">
      <w:pPr>
        <w:pStyle w:val="Bibliography"/>
        <w:rPr>
          <w:rFonts w:ascii="Calibri" w:hAnsi="Calibri" w:cs="Calibri"/>
        </w:rPr>
      </w:pPr>
      <w:r w:rsidRPr="00845B5A">
        <w:rPr>
          <w:rFonts w:ascii="Calibri" w:hAnsi="Calibri" w:cs="Calibri"/>
        </w:rPr>
        <w:lastRenderedPageBreak/>
        <w:t>10.</w:t>
      </w:r>
      <w:r w:rsidRPr="00845B5A">
        <w:rPr>
          <w:rFonts w:ascii="Calibri" w:hAnsi="Calibri" w:cs="Calibri"/>
        </w:rPr>
        <w:tab/>
        <w:t xml:space="preserve">McKay MP, Vaca FE, Field C, Rhodes K. Public Health in the Emergency Department: Overcoming Barriers to Implementation and Dissemination. Acad Emerg Med. 2009 Nov;16(11):1132–7. </w:t>
      </w:r>
    </w:p>
    <w:p w14:paraId="00698CE5" w14:textId="3EB5A050" w:rsidR="00845B5A" w:rsidRPr="00845B5A" w:rsidRDefault="00845B5A" w:rsidP="00845B5A">
      <w:pPr>
        <w:pStyle w:val="Bibliography"/>
        <w:rPr>
          <w:rFonts w:ascii="Calibri" w:hAnsi="Calibri" w:cs="Calibri"/>
        </w:rPr>
      </w:pPr>
      <w:r w:rsidRPr="00845B5A">
        <w:rPr>
          <w:rFonts w:ascii="Calibri" w:hAnsi="Calibri" w:cs="Calibri"/>
        </w:rPr>
        <w:t>11.</w:t>
      </w:r>
      <w:r w:rsidRPr="00845B5A">
        <w:rPr>
          <w:rFonts w:ascii="Calibri" w:hAnsi="Calibri" w:cs="Calibri"/>
        </w:rPr>
        <w:tab/>
        <w:t xml:space="preserve">Deaton A, Cartwright N. Understanding and misunderstanding randomized controlled trials. </w:t>
      </w:r>
      <w:r w:rsidR="00ED624E" w:rsidRPr="00523B02">
        <w:rPr>
          <w:rFonts w:ascii="Calibri" w:hAnsi="Calibri" w:cs="Calibri"/>
        </w:rPr>
        <w:t>Soc. Sci. Med</w:t>
      </w:r>
      <w:r w:rsidRPr="00845B5A">
        <w:rPr>
          <w:rFonts w:ascii="Calibri" w:hAnsi="Calibri" w:cs="Calibri"/>
        </w:rPr>
        <w:t xml:space="preserve">. 2018 Aug </w:t>
      </w:r>
      <w:proofErr w:type="gramStart"/>
      <w:r w:rsidRPr="00845B5A">
        <w:rPr>
          <w:rFonts w:ascii="Calibri" w:hAnsi="Calibri" w:cs="Calibri"/>
        </w:rPr>
        <w:t>1;210:2</w:t>
      </w:r>
      <w:proofErr w:type="gramEnd"/>
      <w:r w:rsidRPr="00845B5A">
        <w:rPr>
          <w:rFonts w:ascii="Calibri" w:hAnsi="Calibri" w:cs="Calibri"/>
        </w:rPr>
        <w:t xml:space="preserve">–21. </w:t>
      </w:r>
    </w:p>
    <w:p w14:paraId="6C4ED833" w14:textId="044EBDBA" w:rsidR="00845B5A" w:rsidRPr="00845B5A" w:rsidRDefault="00845B5A" w:rsidP="00845B5A">
      <w:pPr>
        <w:pStyle w:val="Bibliography"/>
        <w:rPr>
          <w:rFonts w:ascii="Calibri" w:hAnsi="Calibri" w:cs="Calibri"/>
        </w:rPr>
      </w:pPr>
      <w:r w:rsidRPr="00845B5A">
        <w:rPr>
          <w:rFonts w:ascii="Calibri" w:hAnsi="Calibri" w:cs="Calibri"/>
        </w:rPr>
        <w:t>12.</w:t>
      </w:r>
      <w:r w:rsidRPr="00845B5A">
        <w:rPr>
          <w:rFonts w:ascii="Calibri" w:hAnsi="Calibri" w:cs="Calibri"/>
        </w:rPr>
        <w:tab/>
        <w:t xml:space="preserve">Moore GF, Audrey S, Barker M, et al. Process evaluation of complex interventions: Medical Research Council guidance. BMJ. 2015 Mar 19;350:h1258. </w:t>
      </w:r>
    </w:p>
    <w:p w14:paraId="27C90069" w14:textId="77777777" w:rsidR="00845B5A" w:rsidRPr="00845B5A" w:rsidRDefault="00845B5A" w:rsidP="00845B5A">
      <w:pPr>
        <w:pStyle w:val="Bibliography"/>
        <w:rPr>
          <w:rFonts w:ascii="Calibri" w:hAnsi="Calibri" w:cs="Calibri"/>
        </w:rPr>
      </w:pPr>
      <w:r w:rsidRPr="00845B5A">
        <w:rPr>
          <w:rFonts w:ascii="Calibri" w:hAnsi="Calibri" w:cs="Calibri"/>
        </w:rPr>
        <w:t>13.</w:t>
      </w:r>
      <w:r w:rsidRPr="00845B5A">
        <w:rPr>
          <w:rFonts w:ascii="Calibri" w:hAnsi="Calibri" w:cs="Calibri"/>
        </w:rPr>
        <w:tab/>
        <w:t xml:space="preserve">Tong A, Sainsbury P, Craig J. Consolidated criteria for reporting qualitative research (COREQ): a 32-item checklist for interviews and focus groups. Int J Qual Health Care. 2007 Dec 1;19(6):349–57. </w:t>
      </w:r>
    </w:p>
    <w:p w14:paraId="652182F3" w14:textId="77777777" w:rsidR="00845B5A" w:rsidRPr="00845B5A" w:rsidRDefault="00845B5A" w:rsidP="00845B5A">
      <w:pPr>
        <w:pStyle w:val="Bibliography"/>
        <w:rPr>
          <w:rFonts w:ascii="Calibri" w:hAnsi="Calibri" w:cs="Calibri"/>
        </w:rPr>
      </w:pPr>
      <w:r w:rsidRPr="00845B5A">
        <w:rPr>
          <w:rFonts w:ascii="Calibri" w:hAnsi="Calibri" w:cs="Calibri"/>
        </w:rPr>
        <w:t>14.</w:t>
      </w:r>
      <w:r w:rsidRPr="00845B5A">
        <w:rPr>
          <w:rFonts w:ascii="Calibri" w:hAnsi="Calibri" w:cs="Calibri"/>
        </w:rPr>
        <w:tab/>
        <w:t>Bronfenbrenner U, ebrary I. The ecology of human development [electronic resource] : experiments by nature and design [Internet]. Cambridge, MA : Harvard University Press; 1996 [cited 2022 Feb 5]. 358 p. Available from: http://archive.org/details/ecologyofhumande00urie</w:t>
      </w:r>
    </w:p>
    <w:p w14:paraId="51A99711" w14:textId="77777777" w:rsidR="00845B5A" w:rsidRPr="00845B5A" w:rsidRDefault="00845B5A" w:rsidP="00845B5A">
      <w:pPr>
        <w:pStyle w:val="Bibliography"/>
        <w:rPr>
          <w:rFonts w:ascii="Calibri" w:hAnsi="Calibri" w:cs="Calibri"/>
        </w:rPr>
      </w:pPr>
      <w:r w:rsidRPr="00845B5A">
        <w:rPr>
          <w:rFonts w:ascii="Calibri" w:hAnsi="Calibri" w:cs="Calibri"/>
        </w:rPr>
        <w:t>15.</w:t>
      </w:r>
      <w:r w:rsidRPr="00845B5A">
        <w:rPr>
          <w:rFonts w:ascii="Calibri" w:hAnsi="Calibri" w:cs="Calibri"/>
        </w:rPr>
        <w:tab/>
        <w:t xml:space="preserve">Braun V, Clarke V. Using thematic analysis in psychology. Qualitative Research in Psychology. 2006 Jan 1;3(2):77–101. </w:t>
      </w:r>
    </w:p>
    <w:p w14:paraId="72154B81" w14:textId="7510A2E8" w:rsidR="00845B5A" w:rsidRPr="00845B5A" w:rsidRDefault="00845B5A" w:rsidP="00845B5A">
      <w:pPr>
        <w:pStyle w:val="Bibliography"/>
        <w:rPr>
          <w:rFonts w:ascii="Calibri" w:hAnsi="Calibri" w:cs="Calibri"/>
        </w:rPr>
      </w:pPr>
      <w:r w:rsidRPr="00845B5A">
        <w:rPr>
          <w:rFonts w:ascii="Calibri" w:hAnsi="Calibri" w:cs="Calibri"/>
        </w:rPr>
        <w:t>16.</w:t>
      </w:r>
      <w:r w:rsidRPr="00845B5A">
        <w:rPr>
          <w:rFonts w:ascii="Calibri" w:hAnsi="Calibri" w:cs="Calibri"/>
        </w:rPr>
        <w:tab/>
        <w:t xml:space="preserve">LaDonna KA, Artino AR Jr, Balmer DF. Beyond the Guise of Saturation: Rigor and Qualitative Interview Data. </w:t>
      </w:r>
      <w:r w:rsidR="00A30352" w:rsidRPr="00523B02">
        <w:rPr>
          <w:rFonts w:ascii="Calibri" w:hAnsi="Calibri" w:cs="Calibri"/>
        </w:rPr>
        <w:t>J. Grad. Med. </w:t>
      </w:r>
      <w:proofErr w:type="gramStart"/>
      <w:r w:rsidR="00A30352" w:rsidRPr="00523B02">
        <w:rPr>
          <w:rFonts w:ascii="Calibri" w:hAnsi="Calibri" w:cs="Calibri"/>
        </w:rPr>
        <w:t>Educ.</w:t>
      </w:r>
      <w:r w:rsidRPr="00845B5A">
        <w:rPr>
          <w:rFonts w:ascii="Calibri" w:hAnsi="Calibri" w:cs="Calibri"/>
        </w:rPr>
        <w:t>.</w:t>
      </w:r>
      <w:proofErr w:type="gramEnd"/>
      <w:r w:rsidRPr="00845B5A">
        <w:rPr>
          <w:rFonts w:ascii="Calibri" w:hAnsi="Calibri" w:cs="Calibri"/>
        </w:rPr>
        <w:t xml:space="preserve"> 2021 Oct 15;13(5):607–11. </w:t>
      </w:r>
    </w:p>
    <w:p w14:paraId="35FE7605" w14:textId="77777777" w:rsidR="00845B5A" w:rsidRPr="00845B5A" w:rsidRDefault="00845B5A" w:rsidP="00845B5A">
      <w:pPr>
        <w:pStyle w:val="Bibliography"/>
        <w:rPr>
          <w:rFonts w:ascii="Calibri" w:hAnsi="Calibri" w:cs="Calibri"/>
        </w:rPr>
      </w:pPr>
      <w:r w:rsidRPr="00845B5A">
        <w:rPr>
          <w:rFonts w:ascii="Calibri" w:hAnsi="Calibri" w:cs="Calibri"/>
        </w:rPr>
        <w:t>17.</w:t>
      </w:r>
      <w:r w:rsidRPr="00845B5A">
        <w:rPr>
          <w:rFonts w:ascii="Calibri" w:hAnsi="Calibri" w:cs="Calibri"/>
        </w:rPr>
        <w:tab/>
        <w:t xml:space="preserve">Huddlestone L, Shoesmith E, Pervin J, Lorencatto F, Watson J, Ratschen E. A Systematic Review of Mental Health Professionals, Patients, and Carers’ Perceived Barriers and Enablers to Supporting Smoking Cessation in Mental Health Settings. Nicotine Tob Res. 2022 Jan 8;24(7):945–54. </w:t>
      </w:r>
    </w:p>
    <w:p w14:paraId="7E0275DB" w14:textId="5BD14509" w:rsidR="00845B5A" w:rsidRPr="00845B5A" w:rsidRDefault="00845B5A" w:rsidP="00845B5A">
      <w:pPr>
        <w:pStyle w:val="Bibliography"/>
        <w:rPr>
          <w:rFonts w:ascii="Calibri" w:hAnsi="Calibri" w:cs="Calibri"/>
        </w:rPr>
      </w:pPr>
      <w:r w:rsidRPr="00845B5A">
        <w:rPr>
          <w:rFonts w:ascii="Calibri" w:hAnsi="Calibri" w:cs="Calibri"/>
        </w:rPr>
        <w:t>18.</w:t>
      </w:r>
      <w:r w:rsidRPr="00845B5A">
        <w:rPr>
          <w:rFonts w:ascii="Calibri" w:hAnsi="Calibri" w:cs="Calibri"/>
        </w:rPr>
        <w:tab/>
        <w:t xml:space="preserve">Wells M, Aitchison P, Harris F, et al. Barriers and facilitators to smoking cessation in a cancer context: A qualitative study of patient, family and professional views. BMC Cancer. 2017 May 19;17(1):348. </w:t>
      </w:r>
    </w:p>
    <w:p w14:paraId="1B9D7DB9" w14:textId="4FD99A8E" w:rsidR="00D84CFA" w:rsidRPr="00F551A5" w:rsidRDefault="00D84CFA" w:rsidP="00533D95">
      <w:pPr>
        <w:pStyle w:val="ListParagraph"/>
        <w:spacing w:line="360" w:lineRule="auto"/>
      </w:pPr>
      <w:r>
        <w:fldChar w:fldCharType="end"/>
      </w:r>
    </w:p>
    <w:p w14:paraId="4460FD92" w14:textId="77777777" w:rsidR="00F31FFB" w:rsidRPr="00D74E40" w:rsidRDefault="00F31FFB" w:rsidP="00F31FFB">
      <w:pPr>
        <w:rPr>
          <w:b/>
          <w:i/>
          <w:iCs/>
        </w:rPr>
      </w:pPr>
      <w:r w:rsidRPr="00D74E40">
        <w:rPr>
          <w:b/>
          <w:i/>
          <w:iCs/>
        </w:rPr>
        <w:t>Table 1: Participant interview sample</w:t>
      </w:r>
    </w:p>
    <w:tbl>
      <w:tblPr>
        <w:tblStyle w:val="TableGrid"/>
        <w:tblW w:w="9351" w:type="dxa"/>
        <w:tblLook w:val="04A0" w:firstRow="1" w:lastRow="0" w:firstColumn="1" w:lastColumn="0" w:noHBand="0" w:noVBand="1"/>
      </w:tblPr>
      <w:tblGrid>
        <w:gridCol w:w="6795"/>
        <w:gridCol w:w="2556"/>
      </w:tblGrid>
      <w:tr w:rsidR="00F31FFB" w:rsidRPr="00822FBF" w14:paraId="31786B9E" w14:textId="77777777" w:rsidTr="006E5A0C">
        <w:tc>
          <w:tcPr>
            <w:tcW w:w="6795" w:type="dxa"/>
          </w:tcPr>
          <w:p w14:paraId="57ECAC0B" w14:textId="77777777" w:rsidR="00F31FFB" w:rsidRPr="0016056B" w:rsidRDefault="00F31FFB" w:rsidP="006E5A0C">
            <w:pPr>
              <w:rPr>
                <w:sz w:val="20"/>
                <w:szCs w:val="20"/>
              </w:rPr>
            </w:pPr>
          </w:p>
        </w:tc>
        <w:tc>
          <w:tcPr>
            <w:tcW w:w="2556" w:type="dxa"/>
          </w:tcPr>
          <w:p w14:paraId="2D911251" w14:textId="77777777" w:rsidR="00F31FFB" w:rsidRPr="0016056B" w:rsidRDefault="00F31FFB" w:rsidP="006E5A0C">
            <w:pPr>
              <w:rPr>
                <w:sz w:val="20"/>
                <w:szCs w:val="20"/>
              </w:rPr>
            </w:pPr>
            <w:r w:rsidRPr="0016056B">
              <w:rPr>
                <w:sz w:val="20"/>
                <w:szCs w:val="20"/>
              </w:rPr>
              <w:t>Trial participants (interview subsample n=34)</w:t>
            </w:r>
          </w:p>
        </w:tc>
      </w:tr>
      <w:tr w:rsidR="00F31FFB" w:rsidRPr="00822FBF" w14:paraId="58393230" w14:textId="77777777" w:rsidTr="006E5A0C">
        <w:tc>
          <w:tcPr>
            <w:tcW w:w="6795" w:type="dxa"/>
          </w:tcPr>
          <w:p w14:paraId="73C55D18" w14:textId="77777777" w:rsidR="00F31FFB" w:rsidRPr="0016056B" w:rsidRDefault="00F31FFB" w:rsidP="006E5A0C">
            <w:pPr>
              <w:rPr>
                <w:b/>
                <w:bCs/>
                <w:sz w:val="20"/>
                <w:szCs w:val="20"/>
              </w:rPr>
            </w:pPr>
            <w:r w:rsidRPr="0016056B">
              <w:rPr>
                <w:b/>
                <w:bCs/>
                <w:sz w:val="20"/>
                <w:szCs w:val="20"/>
              </w:rPr>
              <w:t>Site</w:t>
            </w:r>
          </w:p>
          <w:p w14:paraId="7591539B" w14:textId="77777777" w:rsidR="00F31FFB" w:rsidRPr="0016056B" w:rsidRDefault="00F31FFB" w:rsidP="006E5A0C">
            <w:pPr>
              <w:rPr>
                <w:sz w:val="20"/>
                <w:szCs w:val="20"/>
              </w:rPr>
            </w:pPr>
            <w:r w:rsidRPr="0016056B">
              <w:rPr>
                <w:sz w:val="20"/>
                <w:szCs w:val="20"/>
              </w:rPr>
              <w:t>Site 1</w:t>
            </w:r>
          </w:p>
          <w:p w14:paraId="6341651B" w14:textId="77777777" w:rsidR="00F31FFB" w:rsidRPr="0016056B" w:rsidRDefault="00F31FFB" w:rsidP="006E5A0C">
            <w:pPr>
              <w:rPr>
                <w:sz w:val="20"/>
                <w:szCs w:val="20"/>
              </w:rPr>
            </w:pPr>
            <w:r w:rsidRPr="0016056B">
              <w:rPr>
                <w:sz w:val="20"/>
                <w:szCs w:val="20"/>
              </w:rPr>
              <w:t>Site 2</w:t>
            </w:r>
          </w:p>
          <w:p w14:paraId="5ED0AA21" w14:textId="77777777" w:rsidR="00F31FFB" w:rsidRPr="0016056B" w:rsidRDefault="00F31FFB" w:rsidP="006E5A0C">
            <w:pPr>
              <w:rPr>
                <w:sz w:val="20"/>
                <w:szCs w:val="20"/>
              </w:rPr>
            </w:pPr>
            <w:r w:rsidRPr="0016056B">
              <w:rPr>
                <w:sz w:val="20"/>
                <w:szCs w:val="20"/>
              </w:rPr>
              <w:t>Site 3</w:t>
            </w:r>
          </w:p>
          <w:p w14:paraId="061B8E5B" w14:textId="77777777" w:rsidR="00F31FFB" w:rsidRPr="0016056B" w:rsidRDefault="00F31FFB" w:rsidP="006E5A0C">
            <w:pPr>
              <w:rPr>
                <w:sz w:val="20"/>
                <w:szCs w:val="20"/>
              </w:rPr>
            </w:pPr>
            <w:r w:rsidRPr="0016056B">
              <w:rPr>
                <w:sz w:val="20"/>
                <w:szCs w:val="20"/>
              </w:rPr>
              <w:t>Site 4</w:t>
            </w:r>
          </w:p>
          <w:p w14:paraId="6A30EEC8" w14:textId="77777777" w:rsidR="00F31FFB" w:rsidRPr="0016056B" w:rsidRDefault="00F31FFB" w:rsidP="006E5A0C">
            <w:pPr>
              <w:rPr>
                <w:sz w:val="20"/>
                <w:szCs w:val="20"/>
              </w:rPr>
            </w:pPr>
            <w:r w:rsidRPr="0016056B">
              <w:rPr>
                <w:sz w:val="20"/>
                <w:szCs w:val="20"/>
              </w:rPr>
              <w:t>Site 5</w:t>
            </w:r>
          </w:p>
          <w:p w14:paraId="7245518F" w14:textId="77777777" w:rsidR="00F31FFB" w:rsidRPr="0016056B" w:rsidRDefault="00F31FFB" w:rsidP="006E5A0C">
            <w:pPr>
              <w:rPr>
                <w:sz w:val="20"/>
                <w:szCs w:val="20"/>
              </w:rPr>
            </w:pPr>
            <w:r w:rsidRPr="0016056B">
              <w:rPr>
                <w:sz w:val="20"/>
                <w:szCs w:val="20"/>
              </w:rPr>
              <w:t>Site 6</w:t>
            </w:r>
          </w:p>
        </w:tc>
        <w:tc>
          <w:tcPr>
            <w:tcW w:w="2556" w:type="dxa"/>
          </w:tcPr>
          <w:p w14:paraId="6856D228" w14:textId="77777777" w:rsidR="00F31FFB" w:rsidRPr="0016056B" w:rsidRDefault="00F31FFB" w:rsidP="006E5A0C">
            <w:pPr>
              <w:rPr>
                <w:sz w:val="20"/>
                <w:szCs w:val="20"/>
              </w:rPr>
            </w:pPr>
          </w:p>
          <w:p w14:paraId="65C9486F" w14:textId="77777777" w:rsidR="00F31FFB" w:rsidRPr="0016056B" w:rsidRDefault="00F31FFB" w:rsidP="006E5A0C">
            <w:pPr>
              <w:rPr>
                <w:sz w:val="20"/>
                <w:szCs w:val="20"/>
              </w:rPr>
            </w:pPr>
            <w:r w:rsidRPr="0016056B">
              <w:rPr>
                <w:sz w:val="20"/>
                <w:szCs w:val="20"/>
              </w:rPr>
              <w:t>12</w:t>
            </w:r>
          </w:p>
          <w:p w14:paraId="75ECA67C" w14:textId="77777777" w:rsidR="00F31FFB" w:rsidRPr="0016056B" w:rsidRDefault="00F31FFB" w:rsidP="006E5A0C">
            <w:pPr>
              <w:rPr>
                <w:sz w:val="20"/>
                <w:szCs w:val="20"/>
              </w:rPr>
            </w:pPr>
            <w:r w:rsidRPr="0016056B">
              <w:rPr>
                <w:sz w:val="20"/>
                <w:szCs w:val="20"/>
              </w:rPr>
              <w:t>6</w:t>
            </w:r>
          </w:p>
          <w:p w14:paraId="12BBCCEC" w14:textId="77777777" w:rsidR="00F31FFB" w:rsidRPr="0016056B" w:rsidRDefault="00F31FFB" w:rsidP="006E5A0C">
            <w:pPr>
              <w:rPr>
                <w:sz w:val="20"/>
                <w:szCs w:val="20"/>
              </w:rPr>
            </w:pPr>
            <w:r w:rsidRPr="0016056B">
              <w:rPr>
                <w:sz w:val="20"/>
                <w:szCs w:val="20"/>
              </w:rPr>
              <w:t>6</w:t>
            </w:r>
          </w:p>
          <w:p w14:paraId="49B14689" w14:textId="77777777" w:rsidR="00F31FFB" w:rsidRPr="0016056B" w:rsidRDefault="00F31FFB" w:rsidP="006E5A0C">
            <w:pPr>
              <w:rPr>
                <w:sz w:val="20"/>
                <w:szCs w:val="20"/>
              </w:rPr>
            </w:pPr>
            <w:r w:rsidRPr="0016056B">
              <w:rPr>
                <w:sz w:val="20"/>
                <w:szCs w:val="20"/>
              </w:rPr>
              <w:t>3</w:t>
            </w:r>
          </w:p>
          <w:p w14:paraId="30EBD694" w14:textId="77777777" w:rsidR="00F31FFB" w:rsidRPr="0016056B" w:rsidRDefault="00F31FFB" w:rsidP="006E5A0C">
            <w:pPr>
              <w:rPr>
                <w:sz w:val="20"/>
                <w:szCs w:val="20"/>
              </w:rPr>
            </w:pPr>
            <w:r w:rsidRPr="0016056B">
              <w:rPr>
                <w:sz w:val="20"/>
                <w:szCs w:val="20"/>
              </w:rPr>
              <w:t>5</w:t>
            </w:r>
          </w:p>
          <w:p w14:paraId="6293B951" w14:textId="77777777" w:rsidR="00F31FFB" w:rsidRPr="0016056B" w:rsidRDefault="00F31FFB" w:rsidP="006E5A0C">
            <w:pPr>
              <w:rPr>
                <w:sz w:val="20"/>
                <w:szCs w:val="20"/>
              </w:rPr>
            </w:pPr>
            <w:r w:rsidRPr="0016056B">
              <w:rPr>
                <w:sz w:val="20"/>
                <w:szCs w:val="20"/>
              </w:rPr>
              <w:t>2</w:t>
            </w:r>
          </w:p>
        </w:tc>
      </w:tr>
      <w:tr w:rsidR="00F31FFB" w:rsidRPr="00822FBF" w14:paraId="506CFEA8" w14:textId="77777777" w:rsidTr="006E5A0C">
        <w:tc>
          <w:tcPr>
            <w:tcW w:w="6795" w:type="dxa"/>
          </w:tcPr>
          <w:p w14:paraId="25474C82" w14:textId="77777777" w:rsidR="00F31FFB" w:rsidRPr="00002672" w:rsidRDefault="00F31FFB" w:rsidP="006E5A0C">
            <w:pPr>
              <w:rPr>
                <w:b/>
                <w:bCs/>
                <w:sz w:val="20"/>
                <w:szCs w:val="20"/>
              </w:rPr>
            </w:pPr>
            <w:r w:rsidRPr="00002672">
              <w:rPr>
                <w:b/>
                <w:bCs/>
                <w:sz w:val="20"/>
                <w:szCs w:val="20"/>
              </w:rPr>
              <w:t>Sample group</w:t>
            </w:r>
          </w:p>
          <w:p w14:paraId="3B4ECE60" w14:textId="77777777" w:rsidR="00F31FFB" w:rsidRPr="00002672" w:rsidRDefault="00F31FFB" w:rsidP="006E5A0C">
            <w:pPr>
              <w:rPr>
                <w:sz w:val="20"/>
                <w:szCs w:val="20"/>
              </w:rPr>
            </w:pPr>
            <w:r w:rsidRPr="36B95825">
              <w:rPr>
                <w:sz w:val="20"/>
                <w:szCs w:val="20"/>
              </w:rPr>
              <w:t>Intervention - Quit</w:t>
            </w:r>
          </w:p>
          <w:p w14:paraId="595006B9" w14:textId="77777777" w:rsidR="00F31FFB" w:rsidRPr="00002672" w:rsidRDefault="00F31FFB" w:rsidP="006E5A0C">
            <w:pPr>
              <w:rPr>
                <w:sz w:val="20"/>
                <w:szCs w:val="20"/>
              </w:rPr>
            </w:pPr>
            <w:r w:rsidRPr="17E87B99">
              <w:rPr>
                <w:sz w:val="20"/>
                <w:szCs w:val="20"/>
              </w:rPr>
              <w:t>Intervention - Harm reduction (reduced cigarettes per day by at least 50%)</w:t>
            </w:r>
          </w:p>
          <w:p w14:paraId="6E1EDCD8" w14:textId="77777777" w:rsidR="00F31FFB" w:rsidRPr="00002672" w:rsidRDefault="00F31FFB" w:rsidP="006E5A0C">
            <w:pPr>
              <w:rPr>
                <w:sz w:val="20"/>
                <w:szCs w:val="20"/>
              </w:rPr>
            </w:pPr>
            <w:r w:rsidRPr="36B95825">
              <w:rPr>
                <w:sz w:val="20"/>
                <w:szCs w:val="20"/>
              </w:rPr>
              <w:t>Intervention - No/ limited change</w:t>
            </w:r>
          </w:p>
          <w:p w14:paraId="310B2B0D" w14:textId="77777777" w:rsidR="00F31FFB" w:rsidRPr="00002672" w:rsidRDefault="00F31FFB" w:rsidP="006E5A0C">
            <w:pPr>
              <w:rPr>
                <w:sz w:val="20"/>
                <w:szCs w:val="20"/>
              </w:rPr>
            </w:pPr>
            <w:r w:rsidRPr="00002672">
              <w:rPr>
                <w:sz w:val="20"/>
                <w:szCs w:val="20"/>
              </w:rPr>
              <w:t>Usual Care</w:t>
            </w:r>
          </w:p>
        </w:tc>
        <w:tc>
          <w:tcPr>
            <w:tcW w:w="2556" w:type="dxa"/>
          </w:tcPr>
          <w:p w14:paraId="147F70CF" w14:textId="77777777" w:rsidR="00F31FFB" w:rsidRDefault="00F31FFB" w:rsidP="006E5A0C">
            <w:pPr>
              <w:rPr>
                <w:sz w:val="20"/>
                <w:szCs w:val="20"/>
              </w:rPr>
            </w:pPr>
          </w:p>
          <w:p w14:paraId="78177BEE" w14:textId="77777777" w:rsidR="00F31FFB" w:rsidRPr="00002672" w:rsidRDefault="00F31FFB" w:rsidP="006E5A0C">
            <w:pPr>
              <w:rPr>
                <w:sz w:val="20"/>
                <w:szCs w:val="20"/>
              </w:rPr>
            </w:pPr>
            <w:r w:rsidRPr="36B95825">
              <w:rPr>
                <w:sz w:val="20"/>
                <w:szCs w:val="20"/>
              </w:rPr>
              <w:t>7</w:t>
            </w:r>
          </w:p>
          <w:p w14:paraId="37FA4549" w14:textId="77777777" w:rsidR="00F31FFB" w:rsidRPr="00002672" w:rsidRDefault="00F31FFB" w:rsidP="006E5A0C">
            <w:pPr>
              <w:rPr>
                <w:sz w:val="20"/>
                <w:szCs w:val="20"/>
              </w:rPr>
            </w:pPr>
            <w:r w:rsidRPr="00002672">
              <w:rPr>
                <w:sz w:val="20"/>
                <w:szCs w:val="20"/>
              </w:rPr>
              <w:t>1</w:t>
            </w:r>
            <w:r>
              <w:rPr>
                <w:sz w:val="20"/>
                <w:szCs w:val="20"/>
              </w:rPr>
              <w:t>2</w:t>
            </w:r>
          </w:p>
          <w:p w14:paraId="1740C3AF" w14:textId="77777777" w:rsidR="00F31FFB" w:rsidRPr="00002672" w:rsidRDefault="00F31FFB" w:rsidP="006E5A0C">
            <w:pPr>
              <w:rPr>
                <w:sz w:val="20"/>
                <w:szCs w:val="20"/>
              </w:rPr>
            </w:pPr>
            <w:r w:rsidRPr="36B95825">
              <w:rPr>
                <w:sz w:val="20"/>
                <w:szCs w:val="20"/>
              </w:rPr>
              <w:t>5</w:t>
            </w:r>
          </w:p>
          <w:p w14:paraId="2A9FD2F6" w14:textId="77777777" w:rsidR="00F31FFB" w:rsidRPr="00002672" w:rsidRDefault="00F31FFB" w:rsidP="006E5A0C">
            <w:pPr>
              <w:rPr>
                <w:sz w:val="20"/>
                <w:szCs w:val="20"/>
              </w:rPr>
            </w:pPr>
            <w:r w:rsidRPr="36B95825">
              <w:rPr>
                <w:sz w:val="20"/>
                <w:szCs w:val="20"/>
              </w:rPr>
              <w:t>10</w:t>
            </w:r>
          </w:p>
        </w:tc>
      </w:tr>
      <w:tr w:rsidR="00F31FFB" w:rsidRPr="00822FBF" w14:paraId="2E4A7943" w14:textId="77777777" w:rsidTr="006E5A0C">
        <w:tc>
          <w:tcPr>
            <w:tcW w:w="6795" w:type="dxa"/>
          </w:tcPr>
          <w:p w14:paraId="00726454" w14:textId="77777777" w:rsidR="00F31FFB" w:rsidRPr="00002672" w:rsidRDefault="00F31FFB" w:rsidP="006E5A0C">
            <w:pPr>
              <w:rPr>
                <w:b/>
                <w:bCs/>
                <w:sz w:val="20"/>
                <w:szCs w:val="20"/>
              </w:rPr>
            </w:pPr>
            <w:r w:rsidRPr="00002672">
              <w:rPr>
                <w:b/>
                <w:bCs/>
                <w:sz w:val="20"/>
                <w:szCs w:val="20"/>
              </w:rPr>
              <w:t>Gender</w:t>
            </w:r>
          </w:p>
          <w:p w14:paraId="3F7F9034" w14:textId="77777777" w:rsidR="00F31FFB" w:rsidRPr="00002672" w:rsidRDefault="00F31FFB" w:rsidP="006E5A0C">
            <w:pPr>
              <w:rPr>
                <w:sz w:val="20"/>
                <w:szCs w:val="20"/>
              </w:rPr>
            </w:pPr>
            <w:r w:rsidRPr="00002672">
              <w:rPr>
                <w:sz w:val="20"/>
                <w:szCs w:val="20"/>
              </w:rPr>
              <w:t>Male</w:t>
            </w:r>
          </w:p>
          <w:p w14:paraId="1BCC02BF" w14:textId="77777777" w:rsidR="00F31FFB" w:rsidRPr="00002672" w:rsidRDefault="00F31FFB" w:rsidP="006E5A0C">
            <w:pPr>
              <w:rPr>
                <w:sz w:val="20"/>
                <w:szCs w:val="20"/>
              </w:rPr>
            </w:pPr>
            <w:r w:rsidRPr="00002672">
              <w:rPr>
                <w:sz w:val="20"/>
                <w:szCs w:val="20"/>
              </w:rPr>
              <w:t>Female</w:t>
            </w:r>
          </w:p>
        </w:tc>
        <w:tc>
          <w:tcPr>
            <w:tcW w:w="2556" w:type="dxa"/>
          </w:tcPr>
          <w:p w14:paraId="7C920EE2" w14:textId="77777777" w:rsidR="00F31FFB" w:rsidRPr="00002672" w:rsidRDefault="00F31FFB" w:rsidP="006E5A0C">
            <w:pPr>
              <w:rPr>
                <w:sz w:val="20"/>
                <w:szCs w:val="20"/>
              </w:rPr>
            </w:pPr>
          </w:p>
          <w:p w14:paraId="0A51E878" w14:textId="77777777" w:rsidR="00F31FFB" w:rsidRPr="00002672" w:rsidRDefault="00F31FFB" w:rsidP="006E5A0C">
            <w:pPr>
              <w:rPr>
                <w:sz w:val="20"/>
                <w:szCs w:val="20"/>
              </w:rPr>
            </w:pPr>
            <w:r w:rsidRPr="00002672">
              <w:rPr>
                <w:sz w:val="20"/>
                <w:szCs w:val="20"/>
              </w:rPr>
              <w:t>20</w:t>
            </w:r>
          </w:p>
          <w:p w14:paraId="034FFA85" w14:textId="77777777" w:rsidR="00F31FFB" w:rsidRPr="00002672" w:rsidRDefault="00F31FFB" w:rsidP="006E5A0C">
            <w:pPr>
              <w:rPr>
                <w:sz w:val="20"/>
                <w:szCs w:val="20"/>
              </w:rPr>
            </w:pPr>
            <w:r w:rsidRPr="00002672">
              <w:rPr>
                <w:sz w:val="20"/>
                <w:szCs w:val="20"/>
              </w:rPr>
              <w:t>14</w:t>
            </w:r>
          </w:p>
        </w:tc>
      </w:tr>
      <w:tr w:rsidR="00F31FFB" w:rsidRPr="00822FBF" w14:paraId="02F5C950" w14:textId="77777777" w:rsidTr="006E5A0C">
        <w:trPr>
          <w:trHeight w:val="1935"/>
        </w:trPr>
        <w:tc>
          <w:tcPr>
            <w:tcW w:w="6795" w:type="dxa"/>
          </w:tcPr>
          <w:p w14:paraId="7A1ADAFA" w14:textId="77777777" w:rsidR="00F31FFB" w:rsidRPr="00002672" w:rsidRDefault="00F31FFB" w:rsidP="006E5A0C">
            <w:pPr>
              <w:rPr>
                <w:b/>
                <w:bCs/>
                <w:sz w:val="20"/>
                <w:szCs w:val="20"/>
              </w:rPr>
            </w:pPr>
            <w:r w:rsidRPr="00002672">
              <w:rPr>
                <w:b/>
                <w:bCs/>
                <w:sz w:val="20"/>
                <w:szCs w:val="20"/>
              </w:rPr>
              <w:lastRenderedPageBreak/>
              <w:t>Age (years)</w:t>
            </w:r>
          </w:p>
          <w:p w14:paraId="734F9F47" w14:textId="77777777" w:rsidR="00F31FFB" w:rsidRPr="00002672" w:rsidRDefault="00F31FFB" w:rsidP="006E5A0C">
            <w:pPr>
              <w:rPr>
                <w:sz w:val="20"/>
                <w:szCs w:val="20"/>
              </w:rPr>
            </w:pPr>
            <w:r w:rsidRPr="00002672">
              <w:rPr>
                <w:sz w:val="20"/>
                <w:szCs w:val="20"/>
              </w:rPr>
              <w:t>Mean (range)</w:t>
            </w:r>
          </w:p>
          <w:p w14:paraId="509E6DBD" w14:textId="77777777" w:rsidR="00F31FFB" w:rsidRPr="00002672" w:rsidRDefault="00F31FFB" w:rsidP="006E5A0C">
            <w:pPr>
              <w:rPr>
                <w:sz w:val="20"/>
                <w:szCs w:val="20"/>
              </w:rPr>
            </w:pPr>
            <w:r>
              <w:rPr>
                <w:sz w:val="20"/>
                <w:szCs w:val="20"/>
              </w:rPr>
              <w:t>20</w:t>
            </w:r>
            <w:r w:rsidRPr="00002672">
              <w:rPr>
                <w:sz w:val="20"/>
                <w:szCs w:val="20"/>
              </w:rPr>
              <w:t>-29</w:t>
            </w:r>
          </w:p>
          <w:p w14:paraId="68E4CABE" w14:textId="77777777" w:rsidR="00F31FFB" w:rsidRPr="00002672" w:rsidRDefault="00F31FFB" w:rsidP="006E5A0C">
            <w:pPr>
              <w:rPr>
                <w:sz w:val="20"/>
                <w:szCs w:val="20"/>
              </w:rPr>
            </w:pPr>
            <w:r w:rsidRPr="00002672">
              <w:rPr>
                <w:sz w:val="20"/>
                <w:szCs w:val="20"/>
              </w:rPr>
              <w:t>30-39</w:t>
            </w:r>
          </w:p>
          <w:p w14:paraId="2C42C81F" w14:textId="77777777" w:rsidR="00F31FFB" w:rsidRPr="00002672" w:rsidRDefault="00F31FFB" w:rsidP="006E5A0C">
            <w:pPr>
              <w:rPr>
                <w:sz w:val="20"/>
                <w:szCs w:val="20"/>
              </w:rPr>
            </w:pPr>
            <w:r w:rsidRPr="00002672">
              <w:rPr>
                <w:sz w:val="20"/>
                <w:szCs w:val="20"/>
              </w:rPr>
              <w:t>40-49</w:t>
            </w:r>
          </w:p>
          <w:p w14:paraId="190412B9" w14:textId="77777777" w:rsidR="00F31FFB" w:rsidRPr="00002672" w:rsidRDefault="00F31FFB" w:rsidP="006E5A0C">
            <w:pPr>
              <w:rPr>
                <w:sz w:val="20"/>
                <w:szCs w:val="20"/>
              </w:rPr>
            </w:pPr>
            <w:r w:rsidRPr="00002672">
              <w:rPr>
                <w:sz w:val="20"/>
                <w:szCs w:val="20"/>
              </w:rPr>
              <w:t>50-59</w:t>
            </w:r>
          </w:p>
          <w:p w14:paraId="4C4F054B" w14:textId="77777777" w:rsidR="00F31FFB" w:rsidRPr="00002672" w:rsidRDefault="00F31FFB" w:rsidP="006E5A0C">
            <w:pPr>
              <w:rPr>
                <w:sz w:val="20"/>
                <w:szCs w:val="20"/>
              </w:rPr>
            </w:pPr>
            <w:r w:rsidRPr="00002672">
              <w:rPr>
                <w:sz w:val="20"/>
                <w:szCs w:val="20"/>
              </w:rPr>
              <w:t>60+</w:t>
            </w:r>
          </w:p>
        </w:tc>
        <w:tc>
          <w:tcPr>
            <w:tcW w:w="2556" w:type="dxa"/>
          </w:tcPr>
          <w:p w14:paraId="0E8AF008" w14:textId="77777777" w:rsidR="00F31FFB" w:rsidRPr="00002672" w:rsidRDefault="00F31FFB" w:rsidP="006E5A0C">
            <w:pPr>
              <w:rPr>
                <w:sz w:val="20"/>
                <w:szCs w:val="20"/>
              </w:rPr>
            </w:pPr>
          </w:p>
          <w:p w14:paraId="032717F6" w14:textId="77777777" w:rsidR="00F31FFB" w:rsidRPr="00002672" w:rsidRDefault="00F31FFB" w:rsidP="006E5A0C">
            <w:pPr>
              <w:rPr>
                <w:sz w:val="20"/>
                <w:szCs w:val="20"/>
              </w:rPr>
            </w:pPr>
            <w:r w:rsidRPr="00002672">
              <w:rPr>
                <w:sz w:val="20"/>
                <w:szCs w:val="20"/>
              </w:rPr>
              <w:t>44 (20-70)</w:t>
            </w:r>
          </w:p>
          <w:p w14:paraId="0DCEDC90" w14:textId="77777777" w:rsidR="00F31FFB" w:rsidRPr="00002672" w:rsidRDefault="00F31FFB" w:rsidP="006E5A0C">
            <w:pPr>
              <w:rPr>
                <w:sz w:val="20"/>
                <w:szCs w:val="20"/>
              </w:rPr>
            </w:pPr>
            <w:r w:rsidRPr="00002672">
              <w:rPr>
                <w:sz w:val="20"/>
                <w:szCs w:val="20"/>
              </w:rPr>
              <w:t>6</w:t>
            </w:r>
          </w:p>
          <w:p w14:paraId="53F02986" w14:textId="77777777" w:rsidR="00F31FFB" w:rsidRPr="00002672" w:rsidRDefault="00F31FFB" w:rsidP="006E5A0C">
            <w:pPr>
              <w:rPr>
                <w:sz w:val="20"/>
                <w:szCs w:val="20"/>
              </w:rPr>
            </w:pPr>
            <w:r w:rsidRPr="00002672">
              <w:rPr>
                <w:sz w:val="20"/>
                <w:szCs w:val="20"/>
              </w:rPr>
              <w:t>8</w:t>
            </w:r>
          </w:p>
          <w:p w14:paraId="3F75E6C7" w14:textId="77777777" w:rsidR="00F31FFB" w:rsidRPr="00002672" w:rsidRDefault="00F31FFB" w:rsidP="006E5A0C">
            <w:pPr>
              <w:rPr>
                <w:sz w:val="20"/>
                <w:szCs w:val="20"/>
              </w:rPr>
            </w:pPr>
            <w:r w:rsidRPr="00002672">
              <w:rPr>
                <w:sz w:val="20"/>
                <w:szCs w:val="20"/>
              </w:rPr>
              <w:t>5</w:t>
            </w:r>
          </w:p>
          <w:p w14:paraId="292325C1" w14:textId="77777777" w:rsidR="00F31FFB" w:rsidRPr="00002672" w:rsidRDefault="00F31FFB" w:rsidP="006E5A0C">
            <w:pPr>
              <w:rPr>
                <w:sz w:val="20"/>
                <w:szCs w:val="20"/>
              </w:rPr>
            </w:pPr>
            <w:r w:rsidRPr="00002672">
              <w:rPr>
                <w:sz w:val="20"/>
                <w:szCs w:val="20"/>
              </w:rPr>
              <w:t>10</w:t>
            </w:r>
          </w:p>
          <w:p w14:paraId="446C1F33" w14:textId="77777777" w:rsidR="00F31FFB" w:rsidRPr="00002672" w:rsidRDefault="00F31FFB" w:rsidP="006E5A0C">
            <w:pPr>
              <w:rPr>
                <w:sz w:val="20"/>
                <w:szCs w:val="20"/>
              </w:rPr>
            </w:pPr>
            <w:r w:rsidRPr="00002672">
              <w:rPr>
                <w:sz w:val="20"/>
                <w:szCs w:val="20"/>
              </w:rPr>
              <w:t>5</w:t>
            </w:r>
          </w:p>
        </w:tc>
      </w:tr>
      <w:tr w:rsidR="00F31FFB" w:rsidRPr="00822FBF" w14:paraId="2635884A" w14:textId="77777777" w:rsidTr="006E5A0C">
        <w:tc>
          <w:tcPr>
            <w:tcW w:w="6795" w:type="dxa"/>
          </w:tcPr>
          <w:p w14:paraId="2A38B71D" w14:textId="77777777" w:rsidR="00F31FFB" w:rsidRPr="00002672" w:rsidRDefault="00F31FFB" w:rsidP="006E5A0C">
            <w:pPr>
              <w:rPr>
                <w:b/>
                <w:bCs/>
                <w:sz w:val="20"/>
                <w:szCs w:val="20"/>
              </w:rPr>
            </w:pPr>
            <w:r w:rsidRPr="00002672">
              <w:rPr>
                <w:b/>
                <w:bCs/>
                <w:sz w:val="20"/>
                <w:szCs w:val="20"/>
              </w:rPr>
              <w:t>Ethnicity</w:t>
            </w:r>
          </w:p>
          <w:p w14:paraId="5CD59E17" w14:textId="77777777" w:rsidR="00F31FFB" w:rsidRPr="00002672" w:rsidRDefault="00F31FFB" w:rsidP="006E5A0C">
            <w:pPr>
              <w:rPr>
                <w:sz w:val="20"/>
                <w:szCs w:val="20"/>
              </w:rPr>
            </w:pPr>
            <w:r w:rsidRPr="00002672">
              <w:rPr>
                <w:sz w:val="20"/>
                <w:szCs w:val="20"/>
              </w:rPr>
              <w:t>Asian Bangladeshi</w:t>
            </w:r>
          </w:p>
          <w:p w14:paraId="0A1EBEF0" w14:textId="77777777" w:rsidR="00F31FFB" w:rsidRPr="00002672" w:rsidRDefault="00F31FFB" w:rsidP="006E5A0C">
            <w:pPr>
              <w:rPr>
                <w:sz w:val="20"/>
                <w:szCs w:val="20"/>
              </w:rPr>
            </w:pPr>
            <w:r w:rsidRPr="00002672">
              <w:rPr>
                <w:sz w:val="20"/>
                <w:szCs w:val="20"/>
              </w:rPr>
              <w:t>Asian Other</w:t>
            </w:r>
          </w:p>
          <w:p w14:paraId="588FA3D9" w14:textId="77777777" w:rsidR="00F31FFB" w:rsidRPr="00002672" w:rsidRDefault="00F31FFB" w:rsidP="006E5A0C">
            <w:pPr>
              <w:rPr>
                <w:sz w:val="20"/>
                <w:szCs w:val="20"/>
              </w:rPr>
            </w:pPr>
            <w:r w:rsidRPr="00002672">
              <w:rPr>
                <w:sz w:val="20"/>
                <w:szCs w:val="20"/>
              </w:rPr>
              <w:t>Black British</w:t>
            </w:r>
          </w:p>
          <w:p w14:paraId="198DB18C" w14:textId="77777777" w:rsidR="00F31FFB" w:rsidRPr="00002672" w:rsidRDefault="00F31FFB" w:rsidP="006E5A0C">
            <w:pPr>
              <w:rPr>
                <w:sz w:val="20"/>
                <w:szCs w:val="20"/>
              </w:rPr>
            </w:pPr>
            <w:r w:rsidRPr="00002672">
              <w:rPr>
                <w:sz w:val="20"/>
                <w:szCs w:val="20"/>
              </w:rPr>
              <w:t>Black Caribbean</w:t>
            </w:r>
          </w:p>
          <w:p w14:paraId="6BE1090B" w14:textId="77777777" w:rsidR="00F31FFB" w:rsidRPr="00002672" w:rsidRDefault="00F31FFB" w:rsidP="006E5A0C">
            <w:pPr>
              <w:rPr>
                <w:sz w:val="20"/>
                <w:szCs w:val="20"/>
              </w:rPr>
            </w:pPr>
            <w:r w:rsidRPr="00002672">
              <w:rPr>
                <w:sz w:val="20"/>
                <w:szCs w:val="20"/>
              </w:rPr>
              <w:t>White British</w:t>
            </w:r>
          </w:p>
          <w:p w14:paraId="3324EC40" w14:textId="77777777" w:rsidR="00F31FFB" w:rsidRPr="00002672" w:rsidRDefault="00F31FFB" w:rsidP="006E5A0C">
            <w:pPr>
              <w:rPr>
                <w:sz w:val="20"/>
                <w:szCs w:val="20"/>
              </w:rPr>
            </w:pPr>
            <w:r w:rsidRPr="36B95825">
              <w:rPr>
                <w:sz w:val="20"/>
                <w:szCs w:val="20"/>
              </w:rPr>
              <w:t>White Eastern European</w:t>
            </w:r>
          </w:p>
          <w:p w14:paraId="2A881377" w14:textId="77777777" w:rsidR="00F31FFB" w:rsidRDefault="00F31FFB" w:rsidP="006E5A0C">
            <w:pPr>
              <w:rPr>
                <w:sz w:val="20"/>
                <w:szCs w:val="20"/>
              </w:rPr>
            </w:pPr>
            <w:r w:rsidRPr="36B95825">
              <w:rPr>
                <w:sz w:val="20"/>
                <w:szCs w:val="20"/>
              </w:rPr>
              <w:t>White Irish</w:t>
            </w:r>
          </w:p>
          <w:p w14:paraId="415F8942" w14:textId="77777777" w:rsidR="00F31FFB" w:rsidRPr="00002672" w:rsidRDefault="00F31FFB" w:rsidP="006E5A0C">
            <w:pPr>
              <w:rPr>
                <w:sz w:val="20"/>
                <w:szCs w:val="20"/>
              </w:rPr>
            </w:pPr>
            <w:r w:rsidRPr="00002672">
              <w:rPr>
                <w:sz w:val="20"/>
                <w:szCs w:val="20"/>
              </w:rPr>
              <w:t>White Other</w:t>
            </w:r>
          </w:p>
        </w:tc>
        <w:tc>
          <w:tcPr>
            <w:tcW w:w="2556" w:type="dxa"/>
          </w:tcPr>
          <w:p w14:paraId="09217854" w14:textId="77777777" w:rsidR="00F31FFB" w:rsidRPr="00002672" w:rsidRDefault="00F31FFB" w:rsidP="006E5A0C">
            <w:pPr>
              <w:rPr>
                <w:sz w:val="20"/>
                <w:szCs w:val="20"/>
              </w:rPr>
            </w:pPr>
          </w:p>
          <w:p w14:paraId="6411EFB4" w14:textId="77777777" w:rsidR="00F31FFB" w:rsidRPr="00002672" w:rsidRDefault="00F31FFB" w:rsidP="006E5A0C">
            <w:pPr>
              <w:rPr>
                <w:sz w:val="20"/>
                <w:szCs w:val="20"/>
              </w:rPr>
            </w:pPr>
            <w:r w:rsidRPr="00002672">
              <w:rPr>
                <w:sz w:val="20"/>
                <w:szCs w:val="20"/>
              </w:rPr>
              <w:t>2</w:t>
            </w:r>
          </w:p>
          <w:p w14:paraId="1F25A748" w14:textId="77777777" w:rsidR="00F31FFB" w:rsidRPr="00002672" w:rsidRDefault="00F31FFB" w:rsidP="006E5A0C">
            <w:pPr>
              <w:rPr>
                <w:sz w:val="20"/>
                <w:szCs w:val="20"/>
              </w:rPr>
            </w:pPr>
            <w:r w:rsidRPr="00002672">
              <w:rPr>
                <w:sz w:val="20"/>
                <w:szCs w:val="20"/>
              </w:rPr>
              <w:t>1</w:t>
            </w:r>
          </w:p>
          <w:p w14:paraId="028F354D" w14:textId="77777777" w:rsidR="00F31FFB" w:rsidRPr="00002672" w:rsidRDefault="00F31FFB" w:rsidP="006E5A0C">
            <w:pPr>
              <w:rPr>
                <w:sz w:val="20"/>
                <w:szCs w:val="20"/>
              </w:rPr>
            </w:pPr>
            <w:r w:rsidRPr="00002672">
              <w:rPr>
                <w:sz w:val="20"/>
                <w:szCs w:val="20"/>
              </w:rPr>
              <w:t>1</w:t>
            </w:r>
          </w:p>
          <w:p w14:paraId="4AFC6AAB" w14:textId="77777777" w:rsidR="00F31FFB" w:rsidRPr="00002672" w:rsidRDefault="00F31FFB" w:rsidP="006E5A0C">
            <w:pPr>
              <w:rPr>
                <w:sz w:val="20"/>
                <w:szCs w:val="20"/>
              </w:rPr>
            </w:pPr>
            <w:r w:rsidRPr="00002672">
              <w:rPr>
                <w:sz w:val="20"/>
                <w:szCs w:val="20"/>
              </w:rPr>
              <w:t>2</w:t>
            </w:r>
          </w:p>
          <w:p w14:paraId="5094F598" w14:textId="77777777" w:rsidR="00F31FFB" w:rsidRPr="00002672" w:rsidRDefault="00F31FFB" w:rsidP="006E5A0C">
            <w:pPr>
              <w:rPr>
                <w:sz w:val="20"/>
                <w:szCs w:val="20"/>
              </w:rPr>
            </w:pPr>
            <w:r w:rsidRPr="00002672">
              <w:rPr>
                <w:sz w:val="20"/>
                <w:szCs w:val="20"/>
              </w:rPr>
              <w:t>23</w:t>
            </w:r>
          </w:p>
          <w:p w14:paraId="7D9EA008" w14:textId="77777777" w:rsidR="00F31FFB" w:rsidRPr="00002672" w:rsidRDefault="00F31FFB" w:rsidP="006E5A0C">
            <w:pPr>
              <w:rPr>
                <w:sz w:val="20"/>
                <w:szCs w:val="20"/>
              </w:rPr>
            </w:pPr>
            <w:r w:rsidRPr="36B95825">
              <w:rPr>
                <w:sz w:val="20"/>
                <w:szCs w:val="20"/>
              </w:rPr>
              <w:t>2</w:t>
            </w:r>
          </w:p>
          <w:p w14:paraId="496E4E9D" w14:textId="77777777" w:rsidR="00F31FFB" w:rsidRDefault="00F31FFB" w:rsidP="006E5A0C">
            <w:pPr>
              <w:rPr>
                <w:sz w:val="20"/>
                <w:szCs w:val="20"/>
              </w:rPr>
            </w:pPr>
            <w:r w:rsidRPr="36B95825">
              <w:rPr>
                <w:sz w:val="20"/>
                <w:szCs w:val="20"/>
              </w:rPr>
              <w:t>2</w:t>
            </w:r>
          </w:p>
          <w:p w14:paraId="27CAB2AE" w14:textId="77777777" w:rsidR="00F31FFB" w:rsidRPr="00002672" w:rsidRDefault="00F31FFB" w:rsidP="006E5A0C">
            <w:pPr>
              <w:rPr>
                <w:sz w:val="20"/>
                <w:szCs w:val="20"/>
              </w:rPr>
            </w:pPr>
            <w:r w:rsidRPr="36B95825">
              <w:rPr>
                <w:sz w:val="20"/>
                <w:szCs w:val="20"/>
              </w:rPr>
              <w:t>1</w:t>
            </w:r>
          </w:p>
        </w:tc>
      </w:tr>
      <w:tr w:rsidR="00F31FFB" w:rsidRPr="00822FBF" w14:paraId="01136812" w14:textId="77777777" w:rsidTr="006E5A0C">
        <w:tc>
          <w:tcPr>
            <w:tcW w:w="6795" w:type="dxa"/>
          </w:tcPr>
          <w:p w14:paraId="6EBA58DF" w14:textId="77777777" w:rsidR="00F31FFB" w:rsidRPr="009857C9" w:rsidRDefault="00F31FFB" w:rsidP="006E5A0C">
            <w:pPr>
              <w:rPr>
                <w:b/>
                <w:bCs/>
                <w:sz w:val="20"/>
                <w:szCs w:val="20"/>
              </w:rPr>
            </w:pPr>
            <w:r w:rsidRPr="746C1C7B">
              <w:rPr>
                <w:b/>
                <w:bCs/>
                <w:sz w:val="20"/>
                <w:szCs w:val="20"/>
              </w:rPr>
              <w:t>Employment status</w:t>
            </w:r>
          </w:p>
          <w:p w14:paraId="7DF0429E" w14:textId="77777777" w:rsidR="00F31FFB" w:rsidRPr="00465D8A" w:rsidRDefault="00F31FFB" w:rsidP="006E5A0C">
            <w:pPr>
              <w:rPr>
                <w:sz w:val="20"/>
                <w:szCs w:val="20"/>
              </w:rPr>
            </w:pPr>
            <w:r w:rsidRPr="00465D8A">
              <w:rPr>
                <w:sz w:val="20"/>
                <w:szCs w:val="20"/>
              </w:rPr>
              <w:t>Employed full-time</w:t>
            </w:r>
          </w:p>
          <w:p w14:paraId="05389EEA" w14:textId="77777777" w:rsidR="00F31FFB" w:rsidRPr="00465D8A" w:rsidRDefault="00F31FFB" w:rsidP="006E5A0C">
            <w:pPr>
              <w:rPr>
                <w:sz w:val="20"/>
                <w:szCs w:val="20"/>
              </w:rPr>
            </w:pPr>
            <w:r w:rsidRPr="00465D8A">
              <w:rPr>
                <w:sz w:val="20"/>
                <w:szCs w:val="20"/>
              </w:rPr>
              <w:t>Employed part-time</w:t>
            </w:r>
          </w:p>
          <w:p w14:paraId="68351FB1" w14:textId="77777777" w:rsidR="00F31FFB" w:rsidRPr="00465D8A" w:rsidRDefault="00F31FFB" w:rsidP="006E5A0C">
            <w:pPr>
              <w:rPr>
                <w:sz w:val="20"/>
                <w:szCs w:val="20"/>
              </w:rPr>
            </w:pPr>
            <w:r w:rsidRPr="00465D8A">
              <w:rPr>
                <w:sz w:val="20"/>
                <w:szCs w:val="20"/>
              </w:rPr>
              <w:t xml:space="preserve">Full-time </w:t>
            </w:r>
            <w:proofErr w:type="spellStart"/>
            <w:r w:rsidRPr="00465D8A">
              <w:rPr>
                <w:sz w:val="20"/>
                <w:szCs w:val="20"/>
              </w:rPr>
              <w:t>carer</w:t>
            </w:r>
            <w:proofErr w:type="spellEnd"/>
            <w:r w:rsidRPr="00465D8A">
              <w:rPr>
                <w:sz w:val="20"/>
                <w:szCs w:val="20"/>
              </w:rPr>
              <w:t xml:space="preserve"> (e.g. of children or other family members)</w:t>
            </w:r>
          </w:p>
          <w:p w14:paraId="590DBB57" w14:textId="77777777" w:rsidR="00F31FFB" w:rsidRPr="00465D8A" w:rsidRDefault="00F31FFB" w:rsidP="006E5A0C">
            <w:pPr>
              <w:rPr>
                <w:sz w:val="20"/>
                <w:szCs w:val="20"/>
              </w:rPr>
            </w:pPr>
            <w:r w:rsidRPr="00465D8A">
              <w:rPr>
                <w:sz w:val="20"/>
                <w:szCs w:val="20"/>
              </w:rPr>
              <w:t>Retired</w:t>
            </w:r>
          </w:p>
          <w:p w14:paraId="7ED8E3F9" w14:textId="77777777" w:rsidR="00F31FFB" w:rsidRPr="00465D8A" w:rsidRDefault="00F31FFB" w:rsidP="006E5A0C">
            <w:pPr>
              <w:rPr>
                <w:sz w:val="20"/>
                <w:szCs w:val="20"/>
              </w:rPr>
            </w:pPr>
            <w:r w:rsidRPr="00465D8A">
              <w:rPr>
                <w:sz w:val="20"/>
                <w:szCs w:val="20"/>
              </w:rPr>
              <w:t>Self-employed or freelance</w:t>
            </w:r>
          </w:p>
          <w:p w14:paraId="61AED2D2" w14:textId="77777777" w:rsidR="00F31FFB" w:rsidRPr="00465D8A" w:rsidRDefault="00F31FFB" w:rsidP="006E5A0C">
            <w:pPr>
              <w:rPr>
                <w:sz w:val="20"/>
                <w:szCs w:val="20"/>
              </w:rPr>
            </w:pPr>
            <w:r w:rsidRPr="00465D8A">
              <w:rPr>
                <w:sz w:val="20"/>
                <w:szCs w:val="20"/>
              </w:rPr>
              <w:t>Unable to work due to sickness or disability</w:t>
            </w:r>
          </w:p>
          <w:p w14:paraId="0ADABCCD" w14:textId="77777777" w:rsidR="00F31FFB" w:rsidRPr="00002672" w:rsidRDefault="00F31FFB" w:rsidP="006E5A0C">
            <w:pPr>
              <w:rPr>
                <w:b/>
                <w:bCs/>
                <w:sz w:val="20"/>
                <w:szCs w:val="20"/>
              </w:rPr>
            </w:pPr>
            <w:r w:rsidRPr="00465D8A">
              <w:rPr>
                <w:sz w:val="20"/>
                <w:szCs w:val="20"/>
              </w:rPr>
              <w:t>Unemployed and looking for work</w:t>
            </w:r>
          </w:p>
        </w:tc>
        <w:tc>
          <w:tcPr>
            <w:tcW w:w="2556" w:type="dxa"/>
          </w:tcPr>
          <w:p w14:paraId="0489B747" w14:textId="77777777" w:rsidR="00F31FFB" w:rsidRDefault="00F31FFB" w:rsidP="006E5A0C">
            <w:pPr>
              <w:rPr>
                <w:sz w:val="20"/>
                <w:szCs w:val="20"/>
              </w:rPr>
            </w:pPr>
          </w:p>
          <w:p w14:paraId="3248D81D" w14:textId="77777777" w:rsidR="00F31FFB" w:rsidRPr="005D4221" w:rsidRDefault="00F31FFB" w:rsidP="006E5A0C">
            <w:pPr>
              <w:rPr>
                <w:sz w:val="20"/>
                <w:szCs w:val="20"/>
              </w:rPr>
            </w:pPr>
            <w:r w:rsidRPr="005D4221">
              <w:rPr>
                <w:sz w:val="20"/>
                <w:szCs w:val="20"/>
              </w:rPr>
              <w:t>15</w:t>
            </w:r>
          </w:p>
          <w:p w14:paraId="2F97A8A7" w14:textId="77777777" w:rsidR="00F31FFB" w:rsidRPr="005D4221" w:rsidRDefault="00F31FFB" w:rsidP="006E5A0C">
            <w:pPr>
              <w:rPr>
                <w:sz w:val="20"/>
                <w:szCs w:val="20"/>
              </w:rPr>
            </w:pPr>
            <w:r w:rsidRPr="005D4221">
              <w:rPr>
                <w:sz w:val="20"/>
                <w:szCs w:val="20"/>
              </w:rPr>
              <w:t>4</w:t>
            </w:r>
          </w:p>
          <w:p w14:paraId="682DD985" w14:textId="77777777" w:rsidR="00F31FFB" w:rsidRPr="005D4221" w:rsidRDefault="00F31FFB" w:rsidP="006E5A0C">
            <w:pPr>
              <w:rPr>
                <w:sz w:val="20"/>
                <w:szCs w:val="20"/>
              </w:rPr>
            </w:pPr>
            <w:r w:rsidRPr="005D4221">
              <w:rPr>
                <w:sz w:val="20"/>
                <w:szCs w:val="20"/>
              </w:rPr>
              <w:t>1</w:t>
            </w:r>
          </w:p>
          <w:p w14:paraId="41FEAEC4" w14:textId="77777777" w:rsidR="00F31FFB" w:rsidRPr="005D4221" w:rsidRDefault="00F31FFB" w:rsidP="006E5A0C">
            <w:pPr>
              <w:rPr>
                <w:sz w:val="20"/>
                <w:szCs w:val="20"/>
              </w:rPr>
            </w:pPr>
            <w:r w:rsidRPr="005D4221">
              <w:rPr>
                <w:sz w:val="20"/>
                <w:szCs w:val="20"/>
              </w:rPr>
              <w:t>2</w:t>
            </w:r>
          </w:p>
          <w:p w14:paraId="62835ACF" w14:textId="77777777" w:rsidR="00F31FFB" w:rsidRPr="005D4221" w:rsidRDefault="00F31FFB" w:rsidP="006E5A0C">
            <w:pPr>
              <w:rPr>
                <w:sz w:val="20"/>
                <w:szCs w:val="20"/>
              </w:rPr>
            </w:pPr>
            <w:r w:rsidRPr="005D4221">
              <w:rPr>
                <w:sz w:val="20"/>
                <w:szCs w:val="20"/>
              </w:rPr>
              <w:t>6</w:t>
            </w:r>
          </w:p>
          <w:p w14:paraId="643FAD96" w14:textId="77777777" w:rsidR="00F31FFB" w:rsidRPr="005D4221" w:rsidRDefault="00F31FFB" w:rsidP="006E5A0C">
            <w:pPr>
              <w:rPr>
                <w:sz w:val="20"/>
                <w:szCs w:val="20"/>
              </w:rPr>
            </w:pPr>
            <w:r w:rsidRPr="005D4221">
              <w:rPr>
                <w:sz w:val="20"/>
                <w:szCs w:val="20"/>
              </w:rPr>
              <w:t>4</w:t>
            </w:r>
          </w:p>
          <w:p w14:paraId="79F32D07" w14:textId="77777777" w:rsidR="00F31FFB" w:rsidRPr="00002672" w:rsidRDefault="00F31FFB" w:rsidP="006E5A0C">
            <w:pPr>
              <w:rPr>
                <w:sz w:val="20"/>
                <w:szCs w:val="20"/>
              </w:rPr>
            </w:pPr>
            <w:r w:rsidRPr="005D4221">
              <w:rPr>
                <w:sz w:val="20"/>
                <w:szCs w:val="20"/>
              </w:rPr>
              <w:t>2</w:t>
            </w:r>
          </w:p>
        </w:tc>
      </w:tr>
    </w:tbl>
    <w:p w14:paraId="608C3E33" w14:textId="77777777" w:rsidR="00F31FFB" w:rsidRPr="00002672" w:rsidRDefault="00F31FFB" w:rsidP="00F31FFB">
      <w:pPr>
        <w:spacing w:after="0" w:line="360" w:lineRule="auto"/>
      </w:pPr>
    </w:p>
    <w:p w14:paraId="73AAFC3D" w14:textId="77777777" w:rsidR="00F31FFB" w:rsidRPr="00D74E40" w:rsidRDefault="00F31FFB" w:rsidP="00F31FFB">
      <w:pPr>
        <w:rPr>
          <w:b/>
          <w:i/>
          <w:iCs/>
        </w:rPr>
      </w:pPr>
      <w:r w:rsidRPr="00D74E40">
        <w:rPr>
          <w:b/>
          <w:i/>
          <w:iCs/>
        </w:rPr>
        <w:t>Table 2: Smoking abstinence at 6 months (biochemically validated by CO reading), by site</w:t>
      </w:r>
    </w:p>
    <w:tbl>
      <w:tblPr>
        <w:tblStyle w:val="TableGrid"/>
        <w:tblW w:w="0" w:type="auto"/>
        <w:tblInd w:w="-289" w:type="dxa"/>
        <w:tblLook w:val="04A0" w:firstRow="1" w:lastRow="0" w:firstColumn="1" w:lastColumn="0" w:noHBand="0" w:noVBand="1"/>
      </w:tblPr>
      <w:tblGrid>
        <w:gridCol w:w="2722"/>
        <w:gridCol w:w="901"/>
        <w:gridCol w:w="1193"/>
        <w:gridCol w:w="1322"/>
        <w:gridCol w:w="760"/>
        <w:gridCol w:w="1549"/>
        <w:gridCol w:w="858"/>
      </w:tblGrid>
      <w:tr w:rsidR="00F31FFB" w:rsidRPr="002576CE" w14:paraId="020620A3" w14:textId="77777777" w:rsidTr="006E5A0C">
        <w:tc>
          <w:tcPr>
            <w:tcW w:w="4820" w:type="dxa"/>
          </w:tcPr>
          <w:p w14:paraId="019BAC9F" w14:textId="77777777" w:rsidR="00F31FFB" w:rsidRPr="002576CE" w:rsidRDefault="00F31FFB" w:rsidP="006E5A0C">
            <w:pPr>
              <w:jc w:val="both"/>
              <w:rPr>
                <w:rFonts w:cstheme="minorHAnsi"/>
                <w:sz w:val="16"/>
                <w:szCs w:val="16"/>
              </w:rPr>
            </w:pPr>
          </w:p>
        </w:tc>
        <w:tc>
          <w:tcPr>
            <w:tcW w:w="2552" w:type="dxa"/>
            <w:gridSpan w:val="2"/>
          </w:tcPr>
          <w:p w14:paraId="4C39F7FF" w14:textId="77777777" w:rsidR="00F31FFB" w:rsidRPr="002576CE" w:rsidRDefault="00F31FFB" w:rsidP="006E5A0C">
            <w:pPr>
              <w:jc w:val="center"/>
              <w:rPr>
                <w:rFonts w:cstheme="minorHAnsi"/>
                <w:sz w:val="16"/>
                <w:szCs w:val="16"/>
              </w:rPr>
            </w:pPr>
            <w:r w:rsidRPr="002576CE">
              <w:rPr>
                <w:rFonts w:cstheme="minorHAnsi"/>
                <w:sz w:val="16"/>
                <w:szCs w:val="16"/>
              </w:rPr>
              <w:t>ITT population</w:t>
            </w:r>
          </w:p>
        </w:tc>
        <w:tc>
          <w:tcPr>
            <w:tcW w:w="6462" w:type="dxa"/>
            <w:gridSpan w:val="4"/>
          </w:tcPr>
          <w:p w14:paraId="66EBE03B" w14:textId="77777777" w:rsidR="00F31FFB" w:rsidRPr="002576CE" w:rsidRDefault="00F31FFB" w:rsidP="006E5A0C">
            <w:pPr>
              <w:jc w:val="center"/>
              <w:rPr>
                <w:rFonts w:cstheme="minorHAnsi"/>
                <w:sz w:val="16"/>
                <w:szCs w:val="16"/>
              </w:rPr>
            </w:pPr>
            <w:r w:rsidRPr="002576CE">
              <w:rPr>
                <w:rFonts w:cstheme="minorHAnsi"/>
                <w:sz w:val="16"/>
                <w:szCs w:val="16"/>
              </w:rPr>
              <w:t>Minimally adjusted</w:t>
            </w:r>
          </w:p>
        </w:tc>
      </w:tr>
      <w:tr w:rsidR="00F31FFB" w:rsidRPr="002576CE" w14:paraId="5EB0EDCF" w14:textId="77777777" w:rsidTr="006E5A0C">
        <w:tc>
          <w:tcPr>
            <w:tcW w:w="4820" w:type="dxa"/>
          </w:tcPr>
          <w:p w14:paraId="401EC197" w14:textId="77777777" w:rsidR="00F31FFB" w:rsidRPr="002576CE" w:rsidRDefault="00F31FFB" w:rsidP="006E5A0C">
            <w:pPr>
              <w:jc w:val="both"/>
              <w:rPr>
                <w:rFonts w:cstheme="minorHAnsi"/>
                <w:sz w:val="16"/>
                <w:szCs w:val="16"/>
              </w:rPr>
            </w:pPr>
            <w:r w:rsidRPr="002576CE">
              <w:rPr>
                <w:rFonts w:cstheme="minorHAnsi"/>
                <w:sz w:val="16"/>
                <w:szCs w:val="16"/>
              </w:rPr>
              <w:t>Outcome</w:t>
            </w:r>
          </w:p>
        </w:tc>
        <w:tc>
          <w:tcPr>
            <w:tcW w:w="1134" w:type="dxa"/>
          </w:tcPr>
          <w:p w14:paraId="76F5966C" w14:textId="77777777" w:rsidR="00F31FFB" w:rsidRPr="002576CE" w:rsidRDefault="00F31FFB" w:rsidP="006E5A0C">
            <w:pPr>
              <w:jc w:val="both"/>
              <w:rPr>
                <w:rFonts w:cstheme="minorHAnsi"/>
                <w:sz w:val="16"/>
                <w:szCs w:val="16"/>
              </w:rPr>
            </w:pPr>
            <w:r w:rsidRPr="002576CE">
              <w:rPr>
                <w:rFonts w:cstheme="minorHAnsi"/>
                <w:sz w:val="16"/>
                <w:szCs w:val="16"/>
              </w:rPr>
              <w:t xml:space="preserve">Control </w:t>
            </w:r>
          </w:p>
          <w:p w14:paraId="4698928A" w14:textId="77777777" w:rsidR="00F31FFB" w:rsidRPr="002576CE" w:rsidRDefault="00F31FFB" w:rsidP="006E5A0C">
            <w:pPr>
              <w:jc w:val="both"/>
              <w:rPr>
                <w:rFonts w:cstheme="minorHAnsi"/>
                <w:sz w:val="16"/>
                <w:szCs w:val="16"/>
              </w:rPr>
            </w:pPr>
            <w:r w:rsidRPr="002576CE">
              <w:rPr>
                <w:rFonts w:cstheme="minorHAnsi"/>
                <w:sz w:val="16"/>
                <w:szCs w:val="16"/>
              </w:rPr>
              <w:t>(n=488)</w:t>
            </w:r>
          </w:p>
        </w:tc>
        <w:tc>
          <w:tcPr>
            <w:tcW w:w="1418" w:type="dxa"/>
          </w:tcPr>
          <w:p w14:paraId="663A81C9" w14:textId="77777777" w:rsidR="00F31FFB" w:rsidRPr="002576CE" w:rsidRDefault="00F31FFB" w:rsidP="006E5A0C">
            <w:pPr>
              <w:jc w:val="center"/>
              <w:rPr>
                <w:rFonts w:cstheme="minorHAnsi"/>
                <w:sz w:val="16"/>
                <w:szCs w:val="16"/>
              </w:rPr>
            </w:pPr>
            <w:r w:rsidRPr="002576CE">
              <w:rPr>
                <w:rFonts w:cstheme="minorHAnsi"/>
                <w:sz w:val="16"/>
                <w:szCs w:val="16"/>
              </w:rPr>
              <w:t>Intervention (n=484)</w:t>
            </w:r>
          </w:p>
        </w:tc>
        <w:tc>
          <w:tcPr>
            <w:tcW w:w="1843" w:type="dxa"/>
          </w:tcPr>
          <w:p w14:paraId="6D91EB10" w14:textId="77777777" w:rsidR="00F31FFB" w:rsidRPr="002576CE" w:rsidRDefault="00F31FFB" w:rsidP="006E5A0C">
            <w:pPr>
              <w:jc w:val="center"/>
              <w:rPr>
                <w:rFonts w:cstheme="minorHAnsi"/>
                <w:sz w:val="16"/>
                <w:szCs w:val="16"/>
              </w:rPr>
            </w:pPr>
            <w:r w:rsidRPr="002576CE">
              <w:rPr>
                <w:rFonts w:cstheme="minorHAnsi"/>
                <w:sz w:val="16"/>
                <w:szCs w:val="16"/>
              </w:rPr>
              <w:t xml:space="preserve">Relative risk </w:t>
            </w:r>
          </w:p>
          <w:p w14:paraId="11F3A5FF" w14:textId="77777777" w:rsidR="00F31FFB" w:rsidRPr="002576CE" w:rsidRDefault="00F31FFB" w:rsidP="006E5A0C">
            <w:pPr>
              <w:jc w:val="center"/>
              <w:rPr>
                <w:rFonts w:cstheme="minorHAnsi"/>
                <w:sz w:val="16"/>
                <w:szCs w:val="16"/>
              </w:rPr>
            </w:pPr>
            <w:r w:rsidRPr="002576CE">
              <w:rPr>
                <w:rFonts w:cstheme="minorHAnsi"/>
                <w:sz w:val="16"/>
                <w:szCs w:val="16"/>
              </w:rPr>
              <w:t>(95% CI)</w:t>
            </w:r>
          </w:p>
        </w:tc>
        <w:tc>
          <w:tcPr>
            <w:tcW w:w="992" w:type="dxa"/>
          </w:tcPr>
          <w:p w14:paraId="4B33F1BE" w14:textId="77777777" w:rsidR="00F31FFB" w:rsidRPr="002576CE" w:rsidRDefault="00F31FFB" w:rsidP="006E5A0C">
            <w:pPr>
              <w:jc w:val="center"/>
              <w:rPr>
                <w:rFonts w:cstheme="minorHAnsi"/>
                <w:sz w:val="16"/>
                <w:szCs w:val="16"/>
              </w:rPr>
            </w:pPr>
            <w:r w:rsidRPr="002576CE">
              <w:rPr>
                <w:rFonts w:cstheme="minorHAnsi"/>
                <w:sz w:val="16"/>
                <w:szCs w:val="16"/>
              </w:rPr>
              <w:t>p-value</w:t>
            </w:r>
          </w:p>
        </w:tc>
        <w:tc>
          <w:tcPr>
            <w:tcW w:w="2410" w:type="dxa"/>
          </w:tcPr>
          <w:p w14:paraId="22CDD227" w14:textId="77777777" w:rsidR="00F31FFB" w:rsidRPr="002576CE" w:rsidRDefault="00F31FFB" w:rsidP="006E5A0C">
            <w:pPr>
              <w:jc w:val="center"/>
              <w:rPr>
                <w:rFonts w:cstheme="minorHAnsi"/>
                <w:sz w:val="16"/>
                <w:szCs w:val="16"/>
              </w:rPr>
            </w:pPr>
            <w:r w:rsidRPr="002576CE">
              <w:rPr>
                <w:rFonts w:cstheme="minorHAnsi"/>
                <w:sz w:val="16"/>
                <w:szCs w:val="16"/>
              </w:rPr>
              <w:t xml:space="preserve">Difference in risk </w:t>
            </w:r>
          </w:p>
          <w:p w14:paraId="4D03EAA0" w14:textId="77777777" w:rsidR="00F31FFB" w:rsidRPr="002576CE" w:rsidRDefault="00F31FFB" w:rsidP="006E5A0C">
            <w:pPr>
              <w:jc w:val="center"/>
              <w:rPr>
                <w:rFonts w:cstheme="minorHAnsi"/>
                <w:sz w:val="16"/>
                <w:szCs w:val="16"/>
              </w:rPr>
            </w:pPr>
            <w:r w:rsidRPr="002576CE">
              <w:rPr>
                <w:rFonts w:cstheme="minorHAnsi"/>
                <w:sz w:val="16"/>
                <w:szCs w:val="16"/>
              </w:rPr>
              <w:t>(95% CI)</w:t>
            </w:r>
          </w:p>
        </w:tc>
        <w:tc>
          <w:tcPr>
            <w:tcW w:w="1217" w:type="dxa"/>
          </w:tcPr>
          <w:p w14:paraId="2A4CC867" w14:textId="77777777" w:rsidR="00F31FFB" w:rsidRPr="002576CE" w:rsidRDefault="00F31FFB" w:rsidP="006E5A0C">
            <w:pPr>
              <w:jc w:val="center"/>
              <w:rPr>
                <w:rFonts w:cstheme="minorHAnsi"/>
                <w:sz w:val="16"/>
                <w:szCs w:val="16"/>
              </w:rPr>
            </w:pPr>
            <w:r w:rsidRPr="002576CE">
              <w:rPr>
                <w:rFonts w:cstheme="minorHAnsi"/>
                <w:sz w:val="16"/>
                <w:szCs w:val="16"/>
              </w:rPr>
              <w:t>p-value</w:t>
            </w:r>
          </w:p>
        </w:tc>
      </w:tr>
      <w:tr w:rsidR="00F31FFB" w:rsidRPr="002576CE" w14:paraId="4422E43C" w14:textId="77777777" w:rsidTr="006E5A0C">
        <w:tc>
          <w:tcPr>
            <w:tcW w:w="4820" w:type="dxa"/>
          </w:tcPr>
          <w:p w14:paraId="44A00899" w14:textId="77777777" w:rsidR="00F31FFB" w:rsidRPr="002576CE" w:rsidRDefault="00F31FFB" w:rsidP="006E5A0C">
            <w:pPr>
              <w:jc w:val="both"/>
              <w:rPr>
                <w:rFonts w:cstheme="minorHAnsi"/>
                <w:sz w:val="16"/>
                <w:szCs w:val="16"/>
              </w:rPr>
            </w:pPr>
            <w:r w:rsidRPr="002576CE">
              <w:rPr>
                <w:rFonts w:cstheme="minorHAnsi"/>
                <w:sz w:val="16"/>
                <w:szCs w:val="16"/>
              </w:rPr>
              <w:t xml:space="preserve">Self-reported continuous smoking abstinence at 6m, biochemically validated (CO reading &lt;= 7), </w:t>
            </w:r>
            <w:proofErr w:type="gramStart"/>
            <w:r w:rsidRPr="002576CE">
              <w:rPr>
                <w:rFonts w:cstheme="minorHAnsi"/>
                <w:sz w:val="16"/>
                <w:szCs w:val="16"/>
              </w:rPr>
              <w:t>n(</w:t>
            </w:r>
            <w:proofErr w:type="gramEnd"/>
            <w:r w:rsidRPr="002576CE">
              <w:rPr>
                <w:rFonts w:cstheme="minorHAnsi"/>
                <w:sz w:val="16"/>
                <w:szCs w:val="16"/>
              </w:rPr>
              <w:t>%)</w:t>
            </w:r>
          </w:p>
        </w:tc>
        <w:tc>
          <w:tcPr>
            <w:tcW w:w="1134" w:type="dxa"/>
          </w:tcPr>
          <w:p w14:paraId="4A76ACB9" w14:textId="77777777" w:rsidR="00F31FFB" w:rsidRPr="002576CE" w:rsidRDefault="00F31FFB" w:rsidP="006E5A0C">
            <w:pPr>
              <w:jc w:val="right"/>
              <w:rPr>
                <w:rFonts w:cstheme="minorHAnsi"/>
                <w:sz w:val="16"/>
                <w:szCs w:val="16"/>
              </w:rPr>
            </w:pPr>
            <w:r w:rsidRPr="002576CE">
              <w:rPr>
                <w:rFonts w:cstheme="minorHAnsi"/>
                <w:sz w:val="16"/>
                <w:szCs w:val="16"/>
              </w:rPr>
              <w:t>20 (4.1%)</w:t>
            </w:r>
          </w:p>
        </w:tc>
        <w:tc>
          <w:tcPr>
            <w:tcW w:w="1418" w:type="dxa"/>
          </w:tcPr>
          <w:p w14:paraId="45CD1890" w14:textId="77777777" w:rsidR="00F31FFB" w:rsidRPr="002576CE" w:rsidRDefault="00F31FFB" w:rsidP="006E5A0C">
            <w:pPr>
              <w:jc w:val="right"/>
              <w:rPr>
                <w:rFonts w:cstheme="minorHAnsi"/>
                <w:sz w:val="16"/>
                <w:szCs w:val="16"/>
              </w:rPr>
            </w:pPr>
            <w:r w:rsidRPr="002576CE">
              <w:rPr>
                <w:rFonts w:cstheme="minorHAnsi"/>
                <w:sz w:val="16"/>
                <w:szCs w:val="16"/>
              </w:rPr>
              <w:t>35 (7.2%)</w:t>
            </w:r>
          </w:p>
        </w:tc>
        <w:tc>
          <w:tcPr>
            <w:tcW w:w="1843" w:type="dxa"/>
          </w:tcPr>
          <w:p w14:paraId="6834209B" w14:textId="77777777" w:rsidR="00F31FFB" w:rsidRPr="002576CE" w:rsidRDefault="00F31FFB" w:rsidP="006E5A0C">
            <w:pPr>
              <w:jc w:val="center"/>
              <w:rPr>
                <w:rFonts w:cstheme="minorHAnsi"/>
                <w:sz w:val="16"/>
                <w:szCs w:val="16"/>
              </w:rPr>
            </w:pPr>
            <w:r w:rsidRPr="002576CE">
              <w:rPr>
                <w:rFonts w:cstheme="minorHAnsi"/>
                <w:sz w:val="16"/>
                <w:szCs w:val="16"/>
              </w:rPr>
              <w:t>1.76 (1.03, 3.01)</w:t>
            </w:r>
          </w:p>
        </w:tc>
        <w:tc>
          <w:tcPr>
            <w:tcW w:w="992" w:type="dxa"/>
          </w:tcPr>
          <w:p w14:paraId="32D3C169" w14:textId="77777777" w:rsidR="00F31FFB" w:rsidRPr="002576CE" w:rsidRDefault="00F31FFB" w:rsidP="006E5A0C">
            <w:pPr>
              <w:jc w:val="center"/>
              <w:rPr>
                <w:rFonts w:cstheme="minorHAnsi"/>
                <w:sz w:val="16"/>
                <w:szCs w:val="16"/>
              </w:rPr>
            </w:pPr>
            <w:r w:rsidRPr="002576CE">
              <w:rPr>
                <w:rFonts w:cstheme="minorHAnsi"/>
                <w:sz w:val="16"/>
                <w:szCs w:val="16"/>
              </w:rPr>
              <w:t>0.042</w:t>
            </w:r>
          </w:p>
        </w:tc>
        <w:tc>
          <w:tcPr>
            <w:tcW w:w="2410" w:type="dxa"/>
          </w:tcPr>
          <w:p w14:paraId="00AFB097" w14:textId="77777777" w:rsidR="00F31FFB" w:rsidRPr="002576CE" w:rsidRDefault="00F31FFB" w:rsidP="006E5A0C">
            <w:pPr>
              <w:jc w:val="center"/>
              <w:rPr>
                <w:rFonts w:cstheme="minorHAnsi"/>
                <w:sz w:val="16"/>
                <w:szCs w:val="16"/>
              </w:rPr>
            </w:pPr>
            <w:r w:rsidRPr="002576CE">
              <w:rPr>
                <w:rFonts w:cstheme="minorHAnsi"/>
                <w:sz w:val="16"/>
                <w:szCs w:val="16"/>
              </w:rPr>
              <w:t>0.031 (0.002, 0.060)</w:t>
            </w:r>
          </w:p>
        </w:tc>
        <w:tc>
          <w:tcPr>
            <w:tcW w:w="1217" w:type="dxa"/>
          </w:tcPr>
          <w:p w14:paraId="6F16435B" w14:textId="77777777" w:rsidR="00F31FFB" w:rsidRPr="002576CE" w:rsidRDefault="00F31FFB" w:rsidP="006E5A0C">
            <w:pPr>
              <w:jc w:val="center"/>
              <w:rPr>
                <w:rFonts w:cstheme="minorHAnsi"/>
                <w:sz w:val="16"/>
                <w:szCs w:val="16"/>
              </w:rPr>
            </w:pPr>
            <w:r w:rsidRPr="002576CE">
              <w:rPr>
                <w:rFonts w:cstheme="minorHAnsi"/>
                <w:sz w:val="16"/>
                <w:szCs w:val="16"/>
              </w:rPr>
              <w:t>0.035</w:t>
            </w:r>
          </w:p>
        </w:tc>
      </w:tr>
      <w:tr w:rsidR="00F31FFB" w:rsidRPr="002576CE" w14:paraId="0BEB7295" w14:textId="77777777" w:rsidTr="006E5A0C">
        <w:tc>
          <w:tcPr>
            <w:tcW w:w="13834" w:type="dxa"/>
            <w:gridSpan w:val="7"/>
          </w:tcPr>
          <w:p w14:paraId="099A9FA7" w14:textId="77777777" w:rsidR="00F31FFB" w:rsidRPr="002576CE" w:rsidRDefault="00F31FFB" w:rsidP="006E5A0C">
            <w:pPr>
              <w:rPr>
                <w:rFonts w:cstheme="minorHAnsi"/>
                <w:b/>
                <w:bCs/>
                <w:sz w:val="16"/>
                <w:szCs w:val="16"/>
              </w:rPr>
            </w:pPr>
            <w:r w:rsidRPr="002576CE">
              <w:rPr>
                <w:rFonts w:cstheme="minorHAnsi"/>
                <w:b/>
                <w:bCs/>
                <w:sz w:val="16"/>
                <w:szCs w:val="16"/>
              </w:rPr>
              <w:t>By site*:</w:t>
            </w:r>
          </w:p>
        </w:tc>
      </w:tr>
      <w:tr w:rsidR="00F31FFB" w:rsidRPr="002576CE" w14:paraId="71B3B825" w14:textId="77777777" w:rsidTr="006E5A0C">
        <w:tc>
          <w:tcPr>
            <w:tcW w:w="4820" w:type="dxa"/>
          </w:tcPr>
          <w:p w14:paraId="62977859" w14:textId="77777777" w:rsidR="00F31FFB" w:rsidRPr="002576CE" w:rsidRDefault="00F31FFB" w:rsidP="006E5A0C">
            <w:pPr>
              <w:jc w:val="both"/>
              <w:rPr>
                <w:rFonts w:cstheme="minorHAnsi"/>
                <w:sz w:val="16"/>
                <w:szCs w:val="16"/>
              </w:rPr>
            </w:pPr>
            <w:r w:rsidRPr="002576CE">
              <w:rPr>
                <w:rFonts w:cstheme="minorHAnsi"/>
                <w:sz w:val="16"/>
                <w:szCs w:val="16"/>
              </w:rPr>
              <w:t>Site 1</w:t>
            </w:r>
          </w:p>
        </w:tc>
        <w:tc>
          <w:tcPr>
            <w:tcW w:w="1134" w:type="dxa"/>
          </w:tcPr>
          <w:p w14:paraId="67F0CD57" w14:textId="77777777" w:rsidR="00F31FFB" w:rsidRPr="002576CE" w:rsidRDefault="00F31FFB" w:rsidP="006E5A0C">
            <w:pPr>
              <w:jc w:val="right"/>
              <w:rPr>
                <w:rFonts w:cstheme="minorHAnsi"/>
                <w:sz w:val="16"/>
                <w:szCs w:val="16"/>
              </w:rPr>
            </w:pPr>
            <w:r w:rsidRPr="002576CE">
              <w:rPr>
                <w:rFonts w:cstheme="minorHAnsi"/>
                <w:sz w:val="16"/>
                <w:szCs w:val="16"/>
              </w:rPr>
              <w:t>10 (5.0%)</w:t>
            </w:r>
          </w:p>
          <w:p w14:paraId="1C0268BC" w14:textId="77777777" w:rsidR="00F31FFB" w:rsidRPr="002576CE" w:rsidRDefault="00F31FFB" w:rsidP="006E5A0C">
            <w:pPr>
              <w:jc w:val="right"/>
              <w:rPr>
                <w:rFonts w:cstheme="minorHAnsi"/>
                <w:sz w:val="16"/>
                <w:szCs w:val="16"/>
              </w:rPr>
            </w:pPr>
            <w:r w:rsidRPr="002576CE">
              <w:rPr>
                <w:rFonts w:cstheme="minorHAnsi"/>
                <w:sz w:val="16"/>
                <w:szCs w:val="16"/>
              </w:rPr>
              <w:t>(n=201)</w:t>
            </w:r>
          </w:p>
        </w:tc>
        <w:tc>
          <w:tcPr>
            <w:tcW w:w="1418" w:type="dxa"/>
          </w:tcPr>
          <w:p w14:paraId="2378BDE1" w14:textId="77777777" w:rsidR="00F31FFB" w:rsidRPr="002576CE" w:rsidRDefault="00F31FFB" w:rsidP="006E5A0C">
            <w:pPr>
              <w:jc w:val="right"/>
              <w:rPr>
                <w:rFonts w:cstheme="minorHAnsi"/>
                <w:sz w:val="16"/>
                <w:szCs w:val="16"/>
              </w:rPr>
            </w:pPr>
            <w:r w:rsidRPr="002576CE">
              <w:rPr>
                <w:rFonts w:cstheme="minorHAnsi"/>
                <w:sz w:val="16"/>
                <w:szCs w:val="16"/>
              </w:rPr>
              <w:t>14 (7.0%)</w:t>
            </w:r>
          </w:p>
          <w:p w14:paraId="6A192273" w14:textId="77777777" w:rsidR="00F31FFB" w:rsidRPr="002576CE" w:rsidRDefault="00F31FFB" w:rsidP="006E5A0C">
            <w:pPr>
              <w:jc w:val="right"/>
              <w:rPr>
                <w:rFonts w:cstheme="minorHAnsi"/>
                <w:sz w:val="16"/>
                <w:szCs w:val="16"/>
              </w:rPr>
            </w:pPr>
            <w:r w:rsidRPr="002576CE">
              <w:rPr>
                <w:rFonts w:cstheme="minorHAnsi"/>
                <w:sz w:val="16"/>
                <w:szCs w:val="16"/>
              </w:rPr>
              <w:t>(n=199)</w:t>
            </w:r>
          </w:p>
        </w:tc>
        <w:tc>
          <w:tcPr>
            <w:tcW w:w="1843" w:type="dxa"/>
          </w:tcPr>
          <w:p w14:paraId="614B7B14" w14:textId="77777777" w:rsidR="00F31FFB" w:rsidRPr="002576CE" w:rsidRDefault="00F31FFB" w:rsidP="006E5A0C">
            <w:pPr>
              <w:jc w:val="center"/>
              <w:rPr>
                <w:rFonts w:cstheme="minorHAnsi"/>
                <w:sz w:val="16"/>
                <w:szCs w:val="16"/>
              </w:rPr>
            </w:pPr>
            <w:r w:rsidRPr="002576CE">
              <w:rPr>
                <w:rFonts w:cstheme="minorHAnsi"/>
                <w:sz w:val="16"/>
                <w:szCs w:val="16"/>
              </w:rPr>
              <w:t>1.41 (0.64,3.11)</w:t>
            </w:r>
          </w:p>
        </w:tc>
        <w:tc>
          <w:tcPr>
            <w:tcW w:w="992" w:type="dxa"/>
          </w:tcPr>
          <w:p w14:paraId="27BD9E49" w14:textId="77777777" w:rsidR="00F31FFB" w:rsidRPr="002576CE" w:rsidRDefault="00F31FFB" w:rsidP="006E5A0C">
            <w:pPr>
              <w:jc w:val="center"/>
              <w:rPr>
                <w:rFonts w:cstheme="minorHAnsi"/>
                <w:sz w:val="16"/>
                <w:szCs w:val="16"/>
              </w:rPr>
            </w:pPr>
            <w:r w:rsidRPr="002576CE">
              <w:rPr>
                <w:rFonts w:cstheme="minorHAnsi"/>
                <w:sz w:val="16"/>
                <w:szCs w:val="16"/>
              </w:rPr>
              <w:t>0.389</w:t>
            </w:r>
          </w:p>
        </w:tc>
        <w:tc>
          <w:tcPr>
            <w:tcW w:w="2410" w:type="dxa"/>
          </w:tcPr>
          <w:p w14:paraId="306E1F34" w14:textId="77777777" w:rsidR="00F31FFB" w:rsidRPr="002576CE" w:rsidRDefault="00F31FFB" w:rsidP="006E5A0C">
            <w:pPr>
              <w:jc w:val="center"/>
              <w:rPr>
                <w:rFonts w:cstheme="minorHAnsi"/>
                <w:sz w:val="16"/>
                <w:szCs w:val="16"/>
              </w:rPr>
            </w:pPr>
            <w:r w:rsidRPr="002576CE">
              <w:rPr>
                <w:rFonts w:cstheme="minorHAnsi"/>
                <w:sz w:val="16"/>
                <w:szCs w:val="16"/>
              </w:rPr>
              <w:t>0.02 (-0.03, 0.07)</w:t>
            </w:r>
          </w:p>
        </w:tc>
        <w:tc>
          <w:tcPr>
            <w:tcW w:w="1217" w:type="dxa"/>
          </w:tcPr>
          <w:p w14:paraId="0BAFC8B6" w14:textId="77777777" w:rsidR="00F31FFB" w:rsidRPr="002576CE" w:rsidRDefault="00F31FFB" w:rsidP="006E5A0C">
            <w:pPr>
              <w:jc w:val="center"/>
              <w:rPr>
                <w:rFonts w:cstheme="minorHAnsi"/>
                <w:sz w:val="16"/>
                <w:szCs w:val="16"/>
              </w:rPr>
            </w:pPr>
            <w:r w:rsidRPr="002576CE">
              <w:rPr>
                <w:rFonts w:cstheme="minorHAnsi"/>
                <w:sz w:val="16"/>
                <w:szCs w:val="16"/>
              </w:rPr>
              <w:t>0.386</w:t>
            </w:r>
          </w:p>
        </w:tc>
      </w:tr>
      <w:tr w:rsidR="00F31FFB" w:rsidRPr="002576CE" w14:paraId="41D9E723" w14:textId="77777777" w:rsidTr="006E5A0C">
        <w:tc>
          <w:tcPr>
            <w:tcW w:w="4820" w:type="dxa"/>
          </w:tcPr>
          <w:p w14:paraId="16AC4EF7" w14:textId="77777777" w:rsidR="00F31FFB" w:rsidRPr="002576CE" w:rsidRDefault="00F31FFB" w:rsidP="006E5A0C">
            <w:pPr>
              <w:jc w:val="both"/>
              <w:rPr>
                <w:rFonts w:cstheme="minorHAnsi"/>
                <w:sz w:val="16"/>
                <w:szCs w:val="16"/>
              </w:rPr>
            </w:pPr>
            <w:r w:rsidRPr="002576CE">
              <w:rPr>
                <w:rFonts w:cstheme="minorHAnsi"/>
                <w:sz w:val="16"/>
                <w:szCs w:val="16"/>
              </w:rPr>
              <w:t>Site 2</w:t>
            </w:r>
          </w:p>
        </w:tc>
        <w:tc>
          <w:tcPr>
            <w:tcW w:w="1134" w:type="dxa"/>
          </w:tcPr>
          <w:p w14:paraId="6B5E2661" w14:textId="77777777" w:rsidR="00F31FFB" w:rsidRPr="002576CE" w:rsidRDefault="00F31FFB" w:rsidP="006E5A0C">
            <w:pPr>
              <w:jc w:val="right"/>
              <w:rPr>
                <w:rFonts w:cstheme="minorHAnsi"/>
                <w:sz w:val="16"/>
                <w:szCs w:val="16"/>
              </w:rPr>
            </w:pPr>
            <w:r w:rsidRPr="002576CE">
              <w:rPr>
                <w:rFonts w:cstheme="minorHAnsi"/>
                <w:sz w:val="16"/>
                <w:szCs w:val="16"/>
              </w:rPr>
              <w:t>3 (3.6%)</w:t>
            </w:r>
          </w:p>
          <w:p w14:paraId="15F3507A" w14:textId="77777777" w:rsidR="00F31FFB" w:rsidRPr="002576CE" w:rsidRDefault="00F31FFB" w:rsidP="006E5A0C">
            <w:pPr>
              <w:jc w:val="right"/>
              <w:rPr>
                <w:rFonts w:cstheme="minorHAnsi"/>
                <w:sz w:val="16"/>
                <w:szCs w:val="16"/>
              </w:rPr>
            </w:pPr>
            <w:r w:rsidRPr="002576CE">
              <w:rPr>
                <w:rFonts w:cstheme="minorHAnsi"/>
                <w:sz w:val="16"/>
                <w:szCs w:val="16"/>
              </w:rPr>
              <w:t>(n=84)</w:t>
            </w:r>
          </w:p>
        </w:tc>
        <w:tc>
          <w:tcPr>
            <w:tcW w:w="1418" w:type="dxa"/>
          </w:tcPr>
          <w:p w14:paraId="326307E7" w14:textId="77777777" w:rsidR="00F31FFB" w:rsidRPr="002576CE" w:rsidRDefault="00F31FFB" w:rsidP="006E5A0C">
            <w:pPr>
              <w:jc w:val="right"/>
              <w:rPr>
                <w:rFonts w:cstheme="minorHAnsi"/>
                <w:sz w:val="16"/>
                <w:szCs w:val="16"/>
              </w:rPr>
            </w:pPr>
            <w:r w:rsidRPr="002576CE">
              <w:rPr>
                <w:rFonts w:cstheme="minorHAnsi"/>
                <w:sz w:val="16"/>
                <w:szCs w:val="16"/>
              </w:rPr>
              <w:t>5 (6.0%)</w:t>
            </w:r>
          </w:p>
          <w:p w14:paraId="1C32E982" w14:textId="77777777" w:rsidR="00F31FFB" w:rsidRPr="002576CE" w:rsidRDefault="00F31FFB" w:rsidP="006E5A0C">
            <w:pPr>
              <w:jc w:val="right"/>
              <w:rPr>
                <w:rFonts w:cstheme="minorHAnsi"/>
                <w:sz w:val="16"/>
                <w:szCs w:val="16"/>
              </w:rPr>
            </w:pPr>
            <w:r w:rsidRPr="002576CE">
              <w:rPr>
                <w:rFonts w:cstheme="minorHAnsi"/>
                <w:sz w:val="16"/>
                <w:szCs w:val="16"/>
              </w:rPr>
              <w:t>(n=84)</w:t>
            </w:r>
          </w:p>
        </w:tc>
        <w:tc>
          <w:tcPr>
            <w:tcW w:w="1843" w:type="dxa"/>
          </w:tcPr>
          <w:p w14:paraId="6834E9BB" w14:textId="77777777" w:rsidR="00F31FFB" w:rsidRPr="002576CE" w:rsidRDefault="00F31FFB" w:rsidP="006E5A0C">
            <w:pPr>
              <w:jc w:val="center"/>
              <w:rPr>
                <w:rFonts w:cstheme="minorHAnsi"/>
                <w:sz w:val="16"/>
                <w:szCs w:val="16"/>
              </w:rPr>
            </w:pPr>
            <w:r w:rsidRPr="002576CE">
              <w:rPr>
                <w:rFonts w:cstheme="minorHAnsi"/>
                <w:sz w:val="16"/>
                <w:szCs w:val="16"/>
              </w:rPr>
              <w:t>1.67 (0.41, 6.75)</w:t>
            </w:r>
          </w:p>
        </w:tc>
        <w:tc>
          <w:tcPr>
            <w:tcW w:w="992" w:type="dxa"/>
          </w:tcPr>
          <w:p w14:paraId="50F78C0A" w14:textId="77777777" w:rsidR="00F31FFB" w:rsidRPr="002576CE" w:rsidRDefault="00F31FFB" w:rsidP="006E5A0C">
            <w:pPr>
              <w:jc w:val="center"/>
              <w:rPr>
                <w:rFonts w:cstheme="minorHAnsi"/>
                <w:sz w:val="16"/>
                <w:szCs w:val="16"/>
              </w:rPr>
            </w:pPr>
            <w:r w:rsidRPr="002576CE">
              <w:rPr>
                <w:rFonts w:cstheme="minorHAnsi"/>
                <w:sz w:val="16"/>
                <w:szCs w:val="16"/>
              </w:rPr>
              <w:t>0.474</w:t>
            </w:r>
          </w:p>
        </w:tc>
        <w:tc>
          <w:tcPr>
            <w:tcW w:w="2410" w:type="dxa"/>
          </w:tcPr>
          <w:p w14:paraId="43C4450F" w14:textId="77777777" w:rsidR="00F31FFB" w:rsidRPr="002576CE" w:rsidRDefault="00F31FFB" w:rsidP="006E5A0C">
            <w:pPr>
              <w:jc w:val="center"/>
              <w:rPr>
                <w:rFonts w:cstheme="minorHAnsi"/>
                <w:sz w:val="16"/>
                <w:szCs w:val="16"/>
              </w:rPr>
            </w:pPr>
            <w:r w:rsidRPr="002576CE">
              <w:rPr>
                <w:rFonts w:cstheme="minorHAnsi"/>
                <w:sz w:val="16"/>
                <w:szCs w:val="16"/>
              </w:rPr>
              <w:t>0.02 (-0.04, 0.09)</w:t>
            </w:r>
          </w:p>
        </w:tc>
        <w:tc>
          <w:tcPr>
            <w:tcW w:w="1217" w:type="dxa"/>
          </w:tcPr>
          <w:p w14:paraId="5B9A19BA" w14:textId="77777777" w:rsidR="00F31FFB" w:rsidRPr="002576CE" w:rsidRDefault="00F31FFB" w:rsidP="006E5A0C">
            <w:pPr>
              <w:jc w:val="center"/>
              <w:rPr>
                <w:rFonts w:cstheme="minorHAnsi"/>
                <w:sz w:val="16"/>
                <w:szCs w:val="16"/>
              </w:rPr>
            </w:pPr>
            <w:r w:rsidRPr="002576CE">
              <w:rPr>
                <w:rFonts w:cstheme="minorHAnsi"/>
                <w:sz w:val="16"/>
                <w:szCs w:val="16"/>
              </w:rPr>
              <w:t>0.468</w:t>
            </w:r>
          </w:p>
        </w:tc>
      </w:tr>
      <w:tr w:rsidR="00F31FFB" w:rsidRPr="002576CE" w14:paraId="436F5AEE" w14:textId="77777777" w:rsidTr="006E5A0C">
        <w:tc>
          <w:tcPr>
            <w:tcW w:w="4820" w:type="dxa"/>
          </w:tcPr>
          <w:p w14:paraId="5F84F923" w14:textId="77777777" w:rsidR="00F31FFB" w:rsidRPr="002576CE" w:rsidRDefault="00F31FFB" w:rsidP="006E5A0C">
            <w:pPr>
              <w:jc w:val="both"/>
              <w:rPr>
                <w:rFonts w:cstheme="minorHAnsi"/>
                <w:sz w:val="16"/>
                <w:szCs w:val="16"/>
              </w:rPr>
            </w:pPr>
            <w:r w:rsidRPr="002576CE">
              <w:rPr>
                <w:rFonts w:cstheme="minorHAnsi"/>
                <w:sz w:val="16"/>
                <w:szCs w:val="16"/>
              </w:rPr>
              <w:t>Site 3</w:t>
            </w:r>
          </w:p>
        </w:tc>
        <w:tc>
          <w:tcPr>
            <w:tcW w:w="1134" w:type="dxa"/>
          </w:tcPr>
          <w:p w14:paraId="0B56A23D" w14:textId="77777777" w:rsidR="00F31FFB" w:rsidRPr="002576CE" w:rsidRDefault="00F31FFB" w:rsidP="006E5A0C">
            <w:pPr>
              <w:jc w:val="right"/>
              <w:rPr>
                <w:rFonts w:cstheme="minorHAnsi"/>
                <w:sz w:val="16"/>
                <w:szCs w:val="16"/>
              </w:rPr>
            </w:pPr>
            <w:r w:rsidRPr="002576CE">
              <w:rPr>
                <w:rFonts w:cstheme="minorHAnsi"/>
                <w:sz w:val="16"/>
                <w:szCs w:val="16"/>
              </w:rPr>
              <w:t>2 (3.8%)</w:t>
            </w:r>
          </w:p>
          <w:p w14:paraId="159AAE91" w14:textId="77777777" w:rsidR="00F31FFB" w:rsidRPr="002576CE" w:rsidRDefault="00F31FFB" w:rsidP="006E5A0C">
            <w:pPr>
              <w:jc w:val="right"/>
              <w:rPr>
                <w:rFonts w:cstheme="minorHAnsi"/>
                <w:sz w:val="16"/>
                <w:szCs w:val="16"/>
              </w:rPr>
            </w:pPr>
            <w:r w:rsidRPr="002576CE">
              <w:rPr>
                <w:rFonts w:cstheme="minorHAnsi"/>
                <w:sz w:val="16"/>
                <w:szCs w:val="16"/>
              </w:rPr>
              <w:t>(n=53)</w:t>
            </w:r>
          </w:p>
        </w:tc>
        <w:tc>
          <w:tcPr>
            <w:tcW w:w="1418" w:type="dxa"/>
          </w:tcPr>
          <w:p w14:paraId="6A27B130" w14:textId="77777777" w:rsidR="00F31FFB" w:rsidRPr="002576CE" w:rsidRDefault="00F31FFB" w:rsidP="006E5A0C">
            <w:pPr>
              <w:jc w:val="right"/>
              <w:rPr>
                <w:rFonts w:cstheme="minorHAnsi"/>
                <w:sz w:val="16"/>
                <w:szCs w:val="16"/>
              </w:rPr>
            </w:pPr>
            <w:r w:rsidRPr="002576CE">
              <w:rPr>
                <w:rFonts w:cstheme="minorHAnsi"/>
                <w:sz w:val="16"/>
                <w:szCs w:val="16"/>
              </w:rPr>
              <w:t>6 (11.1%)</w:t>
            </w:r>
          </w:p>
          <w:p w14:paraId="0FC56757" w14:textId="77777777" w:rsidR="00F31FFB" w:rsidRPr="002576CE" w:rsidRDefault="00F31FFB" w:rsidP="006E5A0C">
            <w:pPr>
              <w:jc w:val="right"/>
              <w:rPr>
                <w:rFonts w:cstheme="minorHAnsi"/>
                <w:sz w:val="16"/>
                <w:szCs w:val="16"/>
              </w:rPr>
            </w:pPr>
            <w:r w:rsidRPr="002576CE">
              <w:rPr>
                <w:rFonts w:cstheme="minorHAnsi"/>
                <w:sz w:val="16"/>
                <w:szCs w:val="16"/>
              </w:rPr>
              <w:t>(n=54)</w:t>
            </w:r>
          </w:p>
        </w:tc>
        <w:tc>
          <w:tcPr>
            <w:tcW w:w="1843" w:type="dxa"/>
          </w:tcPr>
          <w:p w14:paraId="231A3379" w14:textId="77777777" w:rsidR="00F31FFB" w:rsidRPr="002576CE" w:rsidRDefault="00F31FFB" w:rsidP="006E5A0C">
            <w:pPr>
              <w:jc w:val="center"/>
              <w:rPr>
                <w:rFonts w:cstheme="minorHAnsi"/>
                <w:sz w:val="16"/>
                <w:szCs w:val="16"/>
              </w:rPr>
            </w:pPr>
            <w:r w:rsidRPr="002576CE">
              <w:rPr>
                <w:rFonts w:cstheme="minorHAnsi"/>
                <w:sz w:val="16"/>
                <w:szCs w:val="16"/>
              </w:rPr>
              <w:t>2.94 (0.62, 13.94)</w:t>
            </w:r>
          </w:p>
        </w:tc>
        <w:tc>
          <w:tcPr>
            <w:tcW w:w="992" w:type="dxa"/>
          </w:tcPr>
          <w:p w14:paraId="3F356BA5" w14:textId="77777777" w:rsidR="00F31FFB" w:rsidRPr="002576CE" w:rsidRDefault="00F31FFB" w:rsidP="006E5A0C">
            <w:pPr>
              <w:jc w:val="center"/>
              <w:rPr>
                <w:rFonts w:cstheme="minorHAnsi"/>
                <w:sz w:val="16"/>
                <w:szCs w:val="16"/>
              </w:rPr>
            </w:pPr>
            <w:r w:rsidRPr="002576CE">
              <w:rPr>
                <w:rFonts w:cstheme="minorHAnsi"/>
                <w:sz w:val="16"/>
                <w:szCs w:val="16"/>
              </w:rPr>
              <w:t>0.173</w:t>
            </w:r>
          </w:p>
        </w:tc>
        <w:tc>
          <w:tcPr>
            <w:tcW w:w="2410" w:type="dxa"/>
          </w:tcPr>
          <w:p w14:paraId="7F6F65BD" w14:textId="77777777" w:rsidR="00F31FFB" w:rsidRPr="002576CE" w:rsidRDefault="00F31FFB" w:rsidP="006E5A0C">
            <w:pPr>
              <w:jc w:val="center"/>
              <w:rPr>
                <w:rFonts w:cstheme="minorHAnsi"/>
                <w:sz w:val="16"/>
                <w:szCs w:val="16"/>
              </w:rPr>
            </w:pPr>
            <w:r w:rsidRPr="002576CE">
              <w:rPr>
                <w:rFonts w:cstheme="minorHAnsi"/>
                <w:sz w:val="16"/>
                <w:szCs w:val="16"/>
              </w:rPr>
              <w:t>0.07 (-0.02, 0.17)</w:t>
            </w:r>
          </w:p>
        </w:tc>
        <w:tc>
          <w:tcPr>
            <w:tcW w:w="1217" w:type="dxa"/>
          </w:tcPr>
          <w:p w14:paraId="6F9F0AD4" w14:textId="77777777" w:rsidR="00F31FFB" w:rsidRPr="002576CE" w:rsidRDefault="00F31FFB" w:rsidP="006E5A0C">
            <w:pPr>
              <w:jc w:val="center"/>
              <w:rPr>
                <w:rFonts w:cstheme="minorHAnsi"/>
                <w:sz w:val="16"/>
                <w:szCs w:val="16"/>
              </w:rPr>
            </w:pPr>
            <w:r w:rsidRPr="002576CE">
              <w:rPr>
                <w:rFonts w:cstheme="minorHAnsi"/>
                <w:sz w:val="16"/>
                <w:szCs w:val="16"/>
              </w:rPr>
              <w:t>0.143</w:t>
            </w:r>
          </w:p>
        </w:tc>
      </w:tr>
      <w:tr w:rsidR="00F31FFB" w:rsidRPr="002576CE" w14:paraId="179A506E" w14:textId="77777777" w:rsidTr="006E5A0C">
        <w:tc>
          <w:tcPr>
            <w:tcW w:w="4820" w:type="dxa"/>
          </w:tcPr>
          <w:p w14:paraId="2200364D" w14:textId="77777777" w:rsidR="00F31FFB" w:rsidRPr="002576CE" w:rsidRDefault="00F31FFB" w:rsidP="006E5A0C">
            <w:pPr>
              <w:jc w:val="both"/>
              <w:rPr>
                <w:rFonts w:cstheme="minorHAnsi"/>
                <w:sz w:val="16"/>
                <w:szCs w:val="16"/>
              </w:rPr>
            </w:pPr>
            <w:r w:rsidRPr="002576CE">
              <w:rPr>
                <w:rFonts w:cstheme="minorHAnsi"/>
                <w:sz w:val="16"/>
                <w:szCs w:val="16"/>
              </w:rPr>
              <w:t>Site 4</w:t>
            </w:r>
          </w:p>
        </w:tc>
        <w:tc>
          <w:tcPr>
            <w:tcW w:w="1134" w:type="dxa"/>
          </w:tcPr>
          <w:p w14:paraId="7D2FF9A4" w14:textId="77777777" w:rsidR="00F31FFB" w:rsidRPr="002576CE" w:rsidRDefault="00F31FFB" w:rsidP="006E5A0C">
            <w:pPr>
              <w:jc w:val="right"/>
              <w:rPr>
                <w:rFonts w:cstheme="minorHAnsi"/>
                <w:sz w:val="16"/>
                <w:szCs w:val="16"/>
              </w:rPr>
            </w:pPr>
            <w:r w:rsidRPr="002576CE">
              <w:rPr>
                <w:rFonts w:cstheme="minorHAnsi"/>
                <w:sz w:val="16"/>
                <w:szCs w:val="16"/>
              </w:rPr>
              <w:t>3 (4.0%)</w:t>
            </w:r>
          </w:p>
          <w:p w14:paraId="34890855" w14:textId="77777777" w:rsidR="00F31FFB" w:rsidRPr="002576CE" w:rsidRDefault="00F31FFB" w:rsidP="006E5A0C">
            <w:pPr>
              <w:jc w:val="right"/>
              <w:rPr>
                <w:rFonts w:cstheme="minorHAnsi"/>
                <w:sz w:val="16"/>
                <w:szCs w:val="16"/>
              </w:rPr>
            </w:pPr>
            <w:r w:rsidRPr="002576CE">
              <w:rPr>
                <w:rFonts w:cstheme="minorHAnsi"/>
                <w:sz w:val="16"/>
                <w:szCs w:val="16"/>
              </w:rPr>
              <w:t>(n=76)</w:t>
            </w:r>
          </w:p>
        </w:tc>
        <w:tc>
          <w:tcPr>
            <w:tcW w:w="1418" w:type="dxa"/>
          </w:tcPr>
          <w:p w14:paraId="0811732F" w14:textId="77777777" w:rsidR="00F31FFB" w:rsidRPr="002576CE" w:rsidRDefault="00F31FFB" w:rsidP="006E5A0C">
            <w:pPr>
              <w:jc w:val="right"/>
              <w:rPr>
                <w:rFonts w:cstheme="minorHAnsi"/>
                <w:sz w:val="16"/>
                <w:szCs w:val="16"/>
              </w:rPr>
            </w:pPr>
            <w:r w:rsidRPr="002576CE">
              <w:rPr>
                <w:rFonts w:cstheme="minorHAnsi"/>
                <w:sz w:val="16"/>
                <w:szCs w:val="16"/>
              </w:rPr>
              <w:t>5 (6.8%)</w:t>
            </w:r>
          </w:p>
          <w:p w14:paraId="207C7E6F" w14:textId="77777777" w:rsidR="00F31FFB" w:rsidRPr="002576CE" w:rsidRDefault="00F31FFB" w:rsidP="006E5A0C">
            <w:pPr>
              <w:jc w:val="right"/>
              <w:rPr>
                <w:rFonts w:cstheme="minorHAnsi"/>
                <w:sz w:val="16"/>
                <w:szCs w:val="16"/>
              </w:rPr>
            </w:pPr>
            <w:r w:rsidRPr="002576CE">
              <w:rPr>
                <w:rFonts w:cstheme="minorHAnsi"/>
                <w:sz w:val="16"/>
                <w:szCs w:val="16"/>
              </w:rPr>
              <w:t>(n=74)</w:t>
            </w:r>
          </w:p>
        </w:tc>
        <w:tc>
          <w:tcPr>
            <w:tcW w:w="1843" w:type="dxa"/>
          </w:tcPr>
          <w:p w14:paraId="630B302E" w14:textId="77777777" w:rsidR="00F31FFB" w:rsidRPr="002576CE" w:rsidRDefault="00F31FFB" w:rsidP="006E5A0C">
            <w:pPr>
              <w:jc w:val="center"/>
              <w:rPr>
                <w:rFonts w:cstheme="minorHAnsi"/>
                <w:sz w:val="16"/>
                <w:szCs w:val="16"/>
              </w:rPr>
            </w:pPr>
            <w:r w:rsidRPr="002576CE">
              <w:rPr>
                <w:rFonts w:cstheme="minorHAnsi"/>
                <w:sz w:val="16"/>
                <w:szCs w:val="16"/>
              </w:rPr>
              <w:t>1.71 (0.42, 6.91)</w:t>
            </w:r>
          </w:p>
        </w:tc>
        <w:tc>
          <w:tcPr>
            <w:tcW w:w="992" w:type="dxa"/>
          </w:tcPr>
          <w:p w14:paraId="3F4435F8" w14:textId="77777777" w:rsidR="00F31FFB" w:rsidRPr="002576CE" w:rsidRDefault="00F31FFB" w:rsidP="006E5A0C">
            <w:pPr>
              <w:jc w:val="center"/>
              <w:rPr>
                <w:rFonts w:cstheme="minorHAnsi"/>
                <w:sz w:val="16"/>
                <w:szCs w:val="16"/>
              </w:rPr>
            </w:pPr>
            <w:r w:rsidRPr="002576CE">
              <w:rPr>
                <w:rFonts w:cstheme="minorHAnsi"/>
                <w:sz w:val="16"/>
                <w:szCs w:val="16"/>
              </w:rPr>
              <w:t>0.450</w:t>
            </w:r>
          </w:p>
        </w:tc>
        <w:tc>
          <w:tcPr>
            <w:tcW w:w="2410" w:type="dxa"/>
          </w:tcPr>
          <w:p w14:paraId="36D73C18" w14:textId="77777777" w:rsidR="00F31FFB" w:rsidRPr="002576CE" w:rsidRDefault="00F31FFB" w:rsidP="006E5A0C">
            <w:pPr>
              <w:jc w:val="center"/>
              <w:rPr>
                <w:rFonts w:cstheme="minorHAnsi"/>
                <w:sz w:val="16"/>
                <w:szCs w:val="16"/>
              </w:rPr>
            </w:pPr>
            <w:r w:rsidRPr="002576CE">
              <w:rPr>
                <w:rFonts w:cstheme="minorHAnsi"/>
                <w:sz w:val="16"/>
                <w:szCs w:val="16"/>
              </w:rPr>
              <w:t>0.03 (-0.04, 0.10)</w:t>
            </w:r>
          </w:p>
        </w:tc>
        <w:tc>
          <w:tcPr>
            <w:tcW w:w="1217" w:type="dxa"/>
          </w:tcPr>
          <w:p w14:paraId="7A2925C1" w14:textId="77777777" w:rsidR="00F31FFB" w:rsidRPr="002576CE" w:rsidRDefault="00F31FFB" w:rsidP="006E5A0C">
            <w:pPr>
              <w:jc w:val="center"/>
              <w:rPr>
                <w:rFonts w:cstheme="minorHAnsi"/>
                <w:sz w:val="16"/>
                <w:szCs w:val="16"/>
              </w:rPr>
            </w:pPr>
            <w:r w:rsidRPr="002576CE">
              <w:rPr>
                <w:rFonts w:cstheme="minorHAnsi"/>
                <w:sz w:val="16"/>
                <w:szCs w:val="16"/>
              </w:rPr>
              <w:t>0.445</w:t>
            </w:r>
          </w:p>
        </w:tc>
      </w:tr>
      <w:tr w:rsidR="00F31FFB" w:rsidRPr="002576CE" w14:paraId="1AA2EDBB" w14:textId="77777777" w:rsidTr="006E5A0C">
        <w:tc>
          <w:tcPr>
            <w:tcW w:w="4820" w:type="dxa"/>
          </w:tcPr>
          <w:p w14:paraId="160C546B" w14:textId="77777777" w:rsidR="00F31FFB" w:rsidRPr="002576CE" w:rsidRDefault="00F31FFB" w:rsidP="006E5A0C">
            <w:pPr>
              <w:jc w:val="both"/>
              <w:rPr>
                <w:rFonts w:cstheme="minorHAnsi"/>
                <w:sz w:val="16"/>
                <w:szCs w:val="16"/>
              </w:rPr>
            </w:pPr>
            <w:r w:rsidRPr="002576CE">
              <w:rPr>
                <w:rFonts w:cstheme="minorHAnsi"/>
                <w:sz w:val="16"/>
                <w:szCs w:val="16"/>
              </w:rPr>
              <w:t>Site 5</w:t>
            </w:r>
          </w:p>
        </w:tc>
        <w:tc>
          <w:tcPr>
            <w:tcW w:w="1134" w:type="dxa"/>
          </w:tcPr>
          <w:p w14:paraId="720F5925" w14:textId="77777777" w:rsidR="00F31FFB" w:rsidRPr="002576CE" w:rsidRDefault="00F31FFB" w:rsidP="006E5A0C">
            <w:pPr>
              <w:jc w:val="right"/>
              <w:rPr>
                <w:rFonts w:cstheme="minorHAnsi"/>
                <w:sz w:val="16"/>
                <w:szCs w:val="16"/>
              </w:rPr>
            </w:pPr>
            <w:r w:rsidRPr="002576CE">
              <w:rPr>
                <w:rFonts w:cstheme="minorHAnsi"/>
                <w:sz w:val="16"/>
                <w:szCs w:val="16"/>
              </w:rPr>
              <w:t>2 (4.0%)</w:t>
            </w:r>
          </w:p>
          <w:p w14:paraId="51DBDD32" w14:textId="77777777" w:rsidR="00F31FFB" w:rsidRPr="002576CE" w:rsidRDefault="00F31FFB" w:rsidP="006E5A0C">
            <w:pPr>
              <w:jc w:val="right"/>
              <w:rPr>
                <w:rFonts w:cstheme="minorHAnsi"/>
                <w:sz w:val="16"/>
                <w:szCs w:val="16"/>
              </w:rPr>
            </w:pPr>
            <w:r w:rsidRPr="002576CE">
              <w:rPr>
                <w:rFonts w:cstheme="minorHAnsi"/>
                <w:sz w:val="16"/>
                <w:szCs w:val="16"/>
              </w:rPr>
              <w:t>(n=50)</w:t>
            </w:r>
          </w:p>
        </w:tc>
        <w:tc>
          <w:tcPr>
            <w:tcW w:w="1418" w:type="dxa"/>
          </w:tcPr>
          <w:p w14:paraId="7AC1B1A2" w14:textId="77777777" w:rsidR="00F31FFB" w:rsidRPr="002576CE" w:rsidRDefault="00F31FFB" w:rsidP="006E5A0C">
            <w:pPr>
              <w:jc w:val="right"/>
              <w:rPr>
                <w:rFonts w:cstheme="minorHAnsi"/>
                <w:sz w:val="16"/>
                <w:szCs w:val="16"/>
              </w:rPr>
            </w:pPr>
            <w:r w:rsidRPr="002576CE">
              <w:rPr>
                <w:rFonts w:cstheme="minorHAnsi"/>
                <w:sz w:val="16"/>
                <w:szCs w:val="16"/>
              </w:rPr>
              <w:t>3 (6.0%)</w:t>
            </w:r>
          </w:p>
          <w:p w14:paraId="73C89852" w14:textId="77777777" w:rsidR="00F31FFB" w:rsidRPr="002576CE" w:rsidRDefault="00F31FFB" w:rsidP="006E5A0C">
            <w:pPr>
              <w:jc w:val="right"/>
              <w:rPr>
                <w:rFonts w:cstheme="minorHAnsi"/>
                <w:sz w:val="16"/>
                <w:szCs w:val="16"/>
              </w:rPr>
            </w:pPr>
            <w:r w:rsidRPr="002576CE">
              <w:rPr>
                <w:rFonts w:cstheme="minorHAnsi"/>
                <w:sz w:val="16"/>
                <w:szCs w:val="16"/>
              </w:rPr>
              <w:t>(n=50)</w:t>
            </w:r>
          </w:p>
        </w:tc>
        <w:tc>
          <w:tcPr>
            <w:tcW w:w="1843" w:type="dxa"/>
          </w:tcPr>
          <w:p w14:paraId="71888762" w14:textId="77777777" w:rsidR="00F31FFB" w:rsidRPr="002576CE" w:rsidRDefault="00F31FFB" w:rsidP="006E5A0C">
            <w:pPr>
              <w:jc w:val="center"/>
              <w:rPr>
                <w:rFonts w:cstheme="minorHAnsi"/>
                <w:sz w:val="16"/>
                <w:szCs w:val="16"/>
              </w:rPr>
            </w:pPr>
            <w:r w:rsidRPr="002576CE">
              <w:rPr>
                <w:rFonts w:cstheme="minorHAnsi"/>
                <w:sz w:val="16"/>
                <w:szCs w:val="16"/>
              </w:rPr>
              <w:t>1.5 (0.26, 8.60)</w:t>
            </w:r>
          </w:p>
        </w:tc>
        <w:tc>
          <w:tcPr>
            <w:tcW w:w="992" w:type="dxa"/>
          </w:tcPr>
          <w:p w14:paraId="1DBEB5B6" w14:textId="77777777" w:rsidR="00F31FFB" w:rsidRPr="002576CE" w:rsidRDefault="00F31FFB" w:rsidP="006E5A0C">
            <w:pPr>
              <w:jc w:val="center"/>
              <w:rPr>
                <w:rFonts w:cstheme="minorHAnsi"/>
                <w:sz w:val="16"/>
                <w:szCs w:val="16"/>
              </w:rPr>
            </w:pPr>
            <w:r w:rsidRPr="002576CE">
              <w:rPr>
                <w:rFonts w:cstheme="minorHAnsi"/>
                <w:sz w:val="16"/>
                <w:szCs w:val="16"/>
              </w:rPr>
              <w:t>0.649</w:t>
            </w:r>
          </w:p>
        </w:tc>
        <w:tc>
          <w:tcPr>
            <w:tcW w:w="2410" w:type="dxa"/>
          </w:tcPr>
          <w:p w14:paraId="384DCB61" w14:textId="77777777" w:rsidR="00F31FFB" w:rsidRPr="002576CE" w:rsidRDefault="00F31FFB" w:rsidP="006E5A0C">
            <w:pPr>
              <w:jc w:val="center"/>
              <w:rPr>
                <w:rFonts w:cstheme="minorHAnsi"/>
                <w:sz w:val="16"/>
                <w:szCs w:val="16"/>
              </w:rPr>
            </w:pPr>
            <w:r w:rsidRPr="002576CE">
              <w:rPr>
                <w:rFonts w:cstheme="minorHAnsi"/>
                <w:sz w:val="16"/>
                <w:szCs w:val="16"/>
              </w:rPr>
              <w:t>0.02 (-0.07, 0.11)</w:t>
            </w:r>
          </w:p>
        </w:tc>
        <w:tc>
          <w:tcPr>
            <w:tcW w:w="1217" w:type="dxa"/>
          </w:tcPr>
          <w:p w14:paraId="1B800DED" w14:textId="77777777" w:rsidR="00F31FFB" w:rsidRPr="002576CE" w:rsidRDefault="00F31FFB" w:rsidP="006E5A0C">
            <w:pPr>
              <w:jc w:val="center"/>
              <w:rPr>
                <w:rFonts w:cstheme="minorHAnsi"/>
                <w:sz w:val="16"/>
                <w:szCs w:val="16"/>
              </w:rPr>
            </w:pPr>
            <w:r w:rsidRPr="002576CE">
              <w:rPr>
                <w:rFonts w:cstheme="minorHAnsi"/>
                <w:sz w:val="16"/>
                <w:szCs w:val="16"/>
              </w:rPr>
              <w:t>0.646</w:t>
            </w:r>
          </w:p>
        </w:tc>
      </w:tr>
      <w:tr w:rsidR="00F31FFB" w:rsidRPr="002576CE" w14:paraId="598BF6D1" w14:textId="77777777" w:rsidTr="006E5A0C">
        <w:tc>
          <w:tcPr>
            <w:tcW w:w="4820" w:type="dxa"/>
          </w:tcPr>
          <w:p w14:paraId="7786CDFC" w14:textId="77777777" w:rsidR="00F31FFB" w:rsidRPr="002576CE" w:rsidRDefault="00F31FFB" w:rsidP="006E5A0C">
            <w:pPr>
              <w:jc w:val="both"/>
              <w:rPr>
                <w:rFonts w:cstheme="minorHAnsi"/>
                <w:sz w:val="16"/>
                <w:szCs w:val="16"/>
              </w:rPr>
            </w:pPr>
            <w:r w:rsidRPr="002576CE">
              <w:rPr>
                <w:rFonts w:cstheme="minorHAnsi"/>
                <w:sz w:val="16"/>
                <w:szCs w:val="16"/>
              </w:rPr>
              <w:t>Site 6</w:t>
            </w:r>
          </w:p>
        </w:tc>
        <w:tc>
          <w:tcPr>
            <w:tcW w:w="1134" w:type="dxa"/>
          </w:tcPr>
          <w:p w14:paraId="09993F73" w14:textId="77777777" w:rsidR="00F31FFB" w:rsidRPr="002576CE" w:rsidRDefault="00F31FFB" w:rsidP="006E5A0C">
            <w:pPr>
              <w:jc w:val="right"/>
              <w:rPr>
                <w:rFonts w:cstheme="minorHAnsi"/>
                <w:sz w:val="16"/>
                <w:szCs w:val="16"/>
              </w:rPr>
            </w:pPr>
            <w:r w:rsidRPr="002576CE">
              <w:rPr>
                <w:rFonts w:cstheme="minorHAnsi"/>
                <w:sz w:val="16"/>
                <w:szCs w:val="16"/>
              </w:rPr>
              <w:t>0</w:t>
            </w:r>
          </w:p>
          <w:p w14:paraId="5723DED7" w14:textId="77777777" w:rsidR="00F31FFB" w:rsidRPr="002576CE" w:rsidRDefault="00F31FFB" w:rsidP="006E5A0C">
            <w:pPr>
              <w:jc w:val="right"/>
              <w:rPr>
                <w:rFonts w:cstheme="minorHAnsi"/>
                <w:sz w:val="16"/>
                <w:szCs w:val="16"/>
              </w:rPr>
            </w:pPr>
            <w:r w:rsidRPr="002576CE">
              <w:rPr>
                <w:rFonts w:cstheme="minorHAnsi"/>
                <w:sz w:val="16"/>
                <w:szCs w:val="16"/>
              </w:rPr>
              <w:t>(n=24)</w:t>
            </w:r>
          </w:p>
        </w:tc>
        <w:tc>
          <w:tcPr>
            <w:tcW w:w="1418" w:type="dxa"/>
          </w:tcPr>
          <w:p w14:paraId="1628C390" w14:textId="77777777" w:rsidR="00F31FFB" w:rsidRPr="002576CE" w:rsidRDefault="00F31FFB" w:rsidP="006E5A0C">
            <w:pPr>
              <w:jc w:val="right"/>
              <w:rPr>
                <w:rFonts w:cstheme="minorHAnsi"/>
                <w:sz w:val="16"/>
                <w:szCs w:val="16"/>
              </w:rPr>
            </w:pPr>
            <w:r w:rsidRPr="002576CE">
              <w:rPr>
                <w:rFonts w:cstheme="minorHAnsi"/>
                <w:sz w:val="16"/>
                <w:szCs w:val="16"/>
              </w:rPr>
              <w:t>2 (8.7%)</w:t>
            </w:r>
          </w:p>
          <w:p w14:paraId="34E31C8B" w14:textId="77777777" w:rsidR="00F31FFB" w:rsidRPr="002576CE" w:rsidRDefault="00F31FFB" w:rsidP="006E5A0C">
            <w:pPr>
              <w:jc w:val="right"/>
              <w:rPr>
                <w:rFonts w:cstheme="minorHAnsi"/>
                <w:sz w:val="16"/>
                <w:szCs w:val="16"/>
              </w:rPr>
            </w:pPr>
            <w:r w:rsidRPr="002576CE">
              <w:rPr>
                <w:rFonts w:cstheme="minorHAnsi"/>
                <w:sz w:val="16"/>
                <w:szCs w:val="16"/>
              </w:rPr>
              <w:t>(n=23)</w:t>
            </w:r>
          </w:p>
        </w:tc>
        <w:tc>
          <w:tcPr>
            <w:tcW w:w="1843" w:type="dxa"/>
          </w:tcPr>
          <w:p w14:paraId="07CAC0F0" w14:textId="77777777" w:rsidR="00F31FFB" w:rsidRPr="002576CE" w:rsidRDefault="00F31FFB" w:rsidP="006E5A0C">
            <w:pPr>
              <w:jc w:val="center"/>
              <w:rPr>
                <w:rFonts w:cstheme="minorHAnsi"/>
                <w:sz w:val="16"/>
                <w:szCs w:val="16"/>
              </w:rPr>
            </w:pPr>
            <w:r w:rsidRPr="002576CE">
              <w:rPr>
                <w:rFonts w:cstheme="minorHAnsi"/>
                <w:sz w:val="16"/>
                <w:szCs w:val="16"/>
              </w:rPr>
              <w:t>NA</w:t>
            </w:r>
          </w:p>
        </w:tc>
        <w:tc>
          <w:tcPr>
            <w:tcW w:w="992" w:type="dxa"/>
          </w:tcPr>
          <w:p w14:paraId="085872C2" w14:textId="77777777" w:rsidR="00F31FFB" w:rsidRPr="002576CE" w:rsidRDefault="00F31FFB" w:rsidP="006E5A0C">
            <w:pPr>
              <w:jc w:val="center"/>
              <w:rPr>
                <w:rFonts w:cstheme="minorHAnsi"/>
                <w:sz w:val="16"/>
                <w:szCs w:val="16"/>
              </w:rPr>
            </w:pPr>
          </w:p>
        </w:tc>
        <w:tc>
          <w:tcPr>
            <w:tcW w:w="2410" w:type="dxa"/>
          </w:tcPr>
          <w:p w14:paraId="44373F76" w14:textId="77777777" w:rsidR="00F31FFB" w:rsidRPr="002576CE" w:rsidRDefault="00F31FFB" w:rsidP="006E5A0C">
            <w:pPr>
              <w:jc w:val="center"/>
              <w:rPr>
                <w:rFonts w:cstheme="minorHAnsi"/>
                <w:sz w:val="16"/>
                <w:szCs w:val="16"/>
              </w:rPr>
            </w:pPr>
            <w:r w:rsidRPr="002576CE">
              <w:rPr>
                <w:rFonts w:cstheme="minorHAnsi"/>
                <w:sz w:val="16"/>
                <w:szCs w:val="16"/>
              </w:rPr>
              <w:t>NA</w:t>
            </w:r>
          </w:p>
        </w:tc>
        <w:tc>
          <w:tcPr>
            <w:tcW w:w="1217" w:type="dxa"/>
          </w:tcPr>
          <w:p w14:paraId="168A7A8B" w14:textId="77777777" w:rsidR="00F31FFB" w:rsidRPr="002576CE" w:rsidRDefault="00F31FFB" w:rsidP="006E5A0C">
            <w:pPr>
              <w:jc w:val="center"/>
              <w:rPr>
                <w:rFonts w:cstheme="minorHAnsi"/>
                <w:sz w:val="16"/>
                <w:szCs w:val="16"/>
              </w:rPr>
            </w:pPr>
          </w:p>
        </w:tc>
      </w:tr>
    </w:tbl>
    <w:p w14:paraId="6988A556" w14:textId="77777777" w:rsidR="00F31FFB" w:rsidRDefault="00F31FFB" w:rsidP="00F31FFB">
      <w:pPr>
        <w:rPr>
          <w:sz w:val="16"/>
          <w:szCs w:val="16"/>
        </w:rPr>
      </w:pPr>
      <w:r w:rsidRPr="0084509E">
        <w:rPr>
          <w:sz w:val="16"/>
          <w:szCs w:val="16"/>
        </w:rPr>
        <w:t>* Test for interaction: p = 0.9454</w:t>
      </w:r>
    </w:p>
    <w:p w14:paraId="3A3BC649" w14:textId="77777777" w:rsidR="00F31FFB" w:rsidRDefault="00F31FFB" w:rsidP="00F31FFB">
      <w:pPr>
        <w:rPr>
          <w:sz w:val="16"/>
          <w:szCs w:val="16"/>
        </w:rPr>
      </w:pPr>
    </w:p>
    <w:p w14:paraId="2232A388" w14:textId="77777777" w:rsidR="00F31FFB" w:rsidRPr="00D74E40" w:rsidRDefault="00F31FFB" w:rsidP="00F31FFB">
      <w:pPr>
        <w:rPr>
          <w:b/>
          <w:i/>
          <w:iCs/>
        </w:rPr>
      </w:pPr>
      <w:r w:rsidRPr="00D74E40">
        <w:rPr>
          <w:b/>
          <w:i/>
          <w:iCs/>
        </w:rPr>
        <w:t>Table 3 Self-reported smoking abstinence at 6 months (not biochemically validated), by site</w:t>
      </w:r>
    </w:p>
    <w:tbl>
      <w:tblPr>
        <w:tblStyle w:val="TableGrid"/>
        <w:tblW w:w="0" w:type="auto"/>
        <w:tblInd w:w="-289" w:type="dxa"/>
        <w:tblLook w:val="04A0" w:firstRow="1" w:lastRow="0" w:firstColumn="1" w:lastColumn="0" w:noHBand="0" w:noVBand="1"/>
      </w:tblPr>
      <w:tblGrid>
        <w:gridCol w:w="2636"/>
        <w:gridCol w:w="988"/>
        <w:gridCol w:w="1194"/>
        <w:gridCol w:w="1366"/>
        <w:gridCol w:w="661"/>
        <w:gridCol w:w="1555"/>
        <w:gridCol w:w="905"/>
      </w:tblGrid>
      <w:tr w:rsidR="00F31FFB" w:rsidRPr="002F12ED" w14:paraId="1ABFF53B" w14:textId="77777777" w:rsidTr="006E5A0C">
        <w:tc>
          <w:tcPr>
            <w:tcW w:w="2636" w:type="dxa"/>
          </w:tcPr>
          <w:p w14:paraId="0BB8570D" w14:textId="77777777" w:rsidR="00F31FFB" w:rsidRPr="002F12ED" w:rsidRDefault="00F31FFB" w:rsidP="006E5A0C">
            <w:pPr>
              <w:jc w:val="both"/>
              <w:rPr>
                <w:rFonts w:cstheme="minorHAnsi"/>
                <w:sz w:val="16"/>
                <w:szCs w:val="16"/>
              </w:rPr>
            </w:pPr>
          </w:p>
        </w:tc>
        <w:tc>
          <w:tcPr>
            <w:tcW w:w="2182" w:type="dxa"/>
            <w:gridSpan w:val="2"/>
          </w:tcPr>
          <w:p w14:paraId="39F03B81" w14:textId="77777777" w:rsidR="00F31FFB" w:rsidRPr="002F12ED" w:rsidRDefault="00F31FFB" w:rsidP="006E5A0C">
            <w:pPr>
              <w:jc w:val="center"/>
              <w:rPr>
                <w:rFonts w:cstheme="minorHAnsi"/>
                <w:sz w:val="16"/>
                <w:szCs w:val="16"/>
              </w:rPr>
            </w:pPr>
            <w:r w:rsidRPr="002F12ED">
              <w:rPr>
                <w:rFonts w:cstheme="minorHAnsi"/>
                <w:sz w:val="16"/>
                <w:szCs w:val="16"/>
              </w:rPr>
              <w:t>ITT population</w:t>
            </w:r>
          </w:p>
        </w:tc>
        <w:tc>
          <w:tcPr>
            <w:tcW w:w="4487" w:type="dxa"/>
            <w:gridSpan w:val="4"/>
          </w:tcPr>
          <w:p w14:paraId="50279D07" w14:textId="77777777" w:rsidR="00F31FFB" w:rsidRPr="002F12ED" w:rsidRDefault="00F31FFB" w:rsidP="006E5A0C">
            <w:pPr>
              <w:jc w:val="center"/>
              <w:rPr>
                <w:rFonts w:cstheme="minorHAnsi"/>
                <w:sz w:val="16"/>
                <w:szCs w:val="16"/>
              </w:rPr>
            </w:pPr>
            <w:r w:rsidRPr="002F12ED">
              <w:rPr>
                <w:rFonts w:cstheme="minorHAnsi"/>
                <w:sz w:val="16"/>
                <w:szCs w:val="16"/>
              </w:rPr>
              <w:t>Minimally adjusted</w:t>
            </w:r>
          </w:p>
        </w:tc>
      </w:tr>
      <w:tr w:rsidR="00F31FFB" w:rsidRPr="002F12ED" w14:paraId="598F1F8B" w14:textId="77777777" w:rsidTr="006E5A0C">
        <w:tc>
          <w:tcPr>
            <w:tcW w:w="2636" w:type="dxa"/>
          </w:tcPr>
          <w:p w14:paraId="512F8A2F" w14:textId="77777777" w:rsidR="00F31FFB" w:rsidRPr="002F12ED" w:rsidRDefault="00F31FFB" w:rsidP="006E5A0C">
            <w:pPr>
              <w:jc w:val="both"/>
              <w:rPr>
                <w:rFonts w:cstheme="minorHAnsi"/>
                <w:sz w:val="16"/>
                <w:szCs w:val="16"/>
              </w:rPr>
            </w:pPr>
            <w:r w:rsidRPr="002F12ED">
              <w:rPr>
                <w:rFonts w:cstheme="minorHAnsi"/>
                <w:sz w:val="16"/>
                <w:szCs w:val="16"/>
              </w:rPr>
              <w:t>Outcome</w:t>
            </w:r>
          </w:p>
        </w:tc>
        <w:tc>
          <w:tcPr>
            <w:tcW w:w="988" w:type="dxa"/>
          </w:tcPr>
          <w:p w14:paraId="27D51E4B" w14:textId="77777777" w:rsidR="00F31FFB" w:rsidRPr="002F12ED" w:rsidRDefault="00F31FFB" w:rsidP="006E5A0C">
            <w:pPr>
              <w:jc w:val="both"/>
              <w:rPr>
                <w:rFonts w:cstheme="minorHAnsi"/>
                <w:sz w:val="16"/>
                <w:szCs w:val="16"/>
              </w:rPr>
            </w:pPr>
            <w:r w:rsidRPr="002F12ED">
              <w:rPr>
                <w:rFonts w:cstheme="minorHAnsi"/>
                <w:sz w:val="16"/>
                <w:szCs w:val="16"/>
              </w:rPr>
              <w:t xml:space="preserve">Control </w:t>
            </w:r>
          </w:p>
          <w:p w14:paraId="35F7E855" w14:textId="77777777" w:rsidR="00F31FFB" w:rsidRPr="002F12ED" w:rsidRDefault="00F31FFB" w:rsidP="006E5A0C">
            <w:pPr>
              <w:jc w:val="both"/>
              <w:rPr>
                <w:rFonts w:cstheme="minorHAnsi"/>
                <w:sz w:val="16"/>
                <w:szCs w:val="16"/>
              </w:rPr>
            </w:pPr>
            <w:r w:rsidRPr="002F12ED">
              <w:rPr>
                <w:rFonts w:cstheme="minorHAnsi"/>
                <w:sz w:val="16"/>
                <w:szCs w:val="16"/>
              </w:rPr>
              <w:t>(n=488)</w:t>
            </w:r>
          </w:p>
        </w:tc>
        <w:tc>
          <w:tcPr>
            <w:tcW w:w="1194" w:type="dxa"/>
          </w:tcPr>
          <w:p w14:paraId="0298CA7E" w14:textId="77777777" w:rsidR="00F31FFB" w:rsidRPr="002F12ED" w:rsidRDefault="00F31FFB" w:rsidP="006E5A0C">
            <w:pPr>
              <w:jc w:val="center"/>
              <w:rPr>
                <w:rFonts w:cstheme="minorHAnsi"/>
                <w:sz w:val="16"/>
                <w:szCs w:val="16"/>
              </w:rPr>
            </w:pPr>
            <w:r w:rsidRPr="002F12ED">
              <w:rPr>
                <w:rFonts w:cstheme="minorHAnsi"/>
                <w:sz w:val="16"/>
                <w:szCs w:val="16"/>
              </w:rPr>
              <w:t>Intervention (n=484)</w:t>
            </w:r>
          </w:p>
        </w:tc>
        <w:tc>
          <w:tcPr>
            <w:tcW w:w="1366" w:type="dxa"/>
          </w:tcPr>
          <w:p w14:paraId="3A9CED6F" w14:textId="77777777" w:rsidR="00F31FFB" w:rsidRPr="002F12ED" w:rsidRDefault="00F31FFB" w:rsidP="006E5A0C">
            <w:pPr>
              <w:jc w:val="center"/>
              <w:rPr>
                <w:rFonts w:cstheme="minorHAnsi"/>
                <w:sz w:val="16"/>
                <w:szCs w:val="16"/>
              </w:rPr>
            </w:pPr>
            <w:r w:rsidRPr="002F12ED">
              <w:rPr>
                <w:rFonts w:cstheme="minorHAnsi"/>
                <w:sz w:val="16"/>
                <w:szCs w:val="16"/>
              </w:rPr>
              <w:t xml:space="preserve">Relative risk </w:t>
            </w:r>
          </w:p>
          <w:p w14:paraId="314D94DE" w14:textId="77777777" w:rsidR="00F31FFB" w:rsidRPr="002F12ED" w:rsidRDefault="00F31FFB" w:rsidP="006E5A0C">
            <w:pPr>
              <w:jc w:val="center"/>
              <w:rPr>
                <w:rFonts w:cstheme="minorHAnsi"/>
                <w:sz w:val="16"/>
                <w:szCs w:val="16"/>
              </w:rPr>
            </w:pPr>
            <w:r w:rsidRPr="002F12ED">
              <w:rPr>
                <w:rFonts w:cstheme="minorHAnsi"/>
                <w:sz w:val="16"/>
                <w:szCs w:val="16"/>
              </w:rPr>
              <w:t>(95% CI)</w:t>
            </w:r>
          </w:p>
        </w:tc>
        <w:tc>
          <w:tcPr>
            <w:tcW w:w="661" w:type="dxa"/>
          </w:tcPr>
          <w:p w14:paraId="0854D574" w14:textId="77777777" w:rsidR="00F31FFB" w:rsidRPr="002F12ED" w:rsidRDefault="00F31FFB" w:rsidP="006E5A0C">
            <w:pPr>
              <w:jc w:val="center"/>
              <w:rPr>
                <w:rFonts w:cstheme="minorHAnsi"/>
                <w:sz w:val="16"/>
                <w:szCs w:val="16"/>
              </w:rPr>
            </w:pPr>
            <w:r w:rsidRPr="002F12ED">
              <w:rPr>
                <w:rFonts w:cstheme="minorHAnsi"/>
                <w:sz w:val="16"/>
                <w:szCs w:val="16"/>
              </w:rPr>
              <w:t>p-value</w:t>
            </w:r>
          </w:p>
        </w:tc>
        <w:tc>
          <w:tcPr>
            <w:tcW w:w="1555" w:type="dxa"/>
          </w:tcPr>
          <w:p w14:paraId="398D7D96" w14:textId="77777777" w:rsidR="00F31FFB" w:rsidRPr="002F12ED" w:rsidRDefault="00F31FFB" w:rsidP="006E5A0C">
            <w:pPr>
              <w:jc w:val="center"/>
              <w:rPr>
                <w:rFonts w:cstheme="minorHAnsi"/>
                <w:sz w:val="16"/>
                <w:szCs w:val="16"/>
              </w:rPr>
            </w:pPr>
            <w:r w:rsidRPr="002F12ED">
              <w:rPr>
                <w:rFonts w:cstheme="minorHAnsi"/>
                <w:sz w:val="16"/>
                <w:szCs w:val="16"/>
              </w:rPr>
              <w:t xml:space="preserve">Difference in risk </w:t>
            </w:r>
          </w:p>
          <w:p w14:paraId="0417B10C" w14:textId="77777777" w:rsidR="00F31FFB" w:rsidRPr="002F12ED" w:rsidRDefault="00F31FFB" w:rsidP="006E5A0C">
            <w:pPr>
              <w:jc w:val="center"/>
              <w:rPr>
                <w:rFonts w:cstheme="minorHAnsi"/>
                <w:sz w:val="16"/>
                <w:szCs w:val="16"/>
              </w:rPr>
            </w:pPr>
            <w:r w:rsidRPr="002F12ED">
              <w:rPr>
                <w:rFonts w:cstheme="minorHAnsi"/>
                <w:sz w:val="16"/>
                <w:szCs w:val="16"/>
              </w:rPr>
              <w:t>(95% CI)</w:t>
            </w:r>
          </w:p>
        </w:tc>
        <w:tc>
          <w:tcPr>
            <w:tcW w:w="905" w:type="dxa"/>
          </w:tcPr>
          <w:p w14:paraId="1BEFCCC3" w14:textId="77777777" w:rsidR="00F31FFB" w:rsidRPr="002F12ED" w:rsidRDefault="00F31FFB" w:rsidP="006E5A0C">
            <w:pPr>
              <w:jc w:val="center"/>
              <w:rPr>
                <w:rFonts w:cstheme="minorHAnsi"/>
                <w:sz w:val="16"/>
                <w:szCs w:val="16"/>
              </w:rPr>
            </w:pPr>
            <w:r w:rsidRPr="002F12ED">
              <w:rPr>
                <w:rFonts w:cstheme="minorHAnsi"/>
                <w:sz w:val="16"/>
                <w:szCs w:val="16"/>
              </w:rPr>
              <w:t>p-value</w:t>
            </w:r>
          </w:p>
        </w:tc>
      </w:tr>
      <w:tr w:rsidR="00F31FFB" w:rsidRPr="002F12ED" w14:paraId="26F6ECE6" w14:textId="77777777" w:rsidTr="006E5A0C">
        <w:tc>
          <w:tcPr>
            <w:tcW w:w="2636" w:type="dxa"/>
          </w:tcPr>
          <w:p w14:paraId="62B9F501" w14:textId="77777777" w:rsidR="00F31FFB" w:rsidRPr="002F12ED" w:rsidRDefault="00F31FFB" w:rsidP="006E5A0C">
            <w:pPr>
              <w:jc w:val="both"/>
              <w:rPr>
                <w:rFonts w:cstheme="minorHAnsi"/>
                <w:sz w:val="16"/>
                <w:szCs w:val="16"/>
              </w:rPr>
            </w:pPr>
            <w:r w:rsidRPr="002F12ED">
              <w:rPr>
                <w:rFonts w:cstheme="minorHAnsi"/>
                <w:sz w:val="16"/>
                <w:szCs w:val="16"/>
              </w:rPr>
              <w:t>Self-reported smoking abstinence at 6m</w:t>
            </w:r>
          </w:p>
        </w:tc>
        <w:tc>
          <w:tcPr>
            <w:tcW w:w="988" w:type="dxa"/>
          </w:tcPr>
          <w:p w14:paraId="12F91B95" w14:textId="77777777" w:rsidR="00F31FFB" w:rsidRPr="002F12ED" w:rsidRDefault="00F31FFB" w:rsidP="006E5A0C">
            <w:pPr>
              <w:jc w:val="right"/>
              <w:rPr>
                <w:rFonts w:cstheme="minorHAnsi"/>
                <w:sz w:val="16"/>
                <w:szCs w:val="16"/>
              </w:rPr>
            </w:pPr>
            <w:r w:rsidRPr="002F12ED">
              <w:rPr>
                <w:rFonts w:cstheme="minorHAnsi"/>
                <w:sz w:val="16"/>
                <w:szCs w:val="16"/>
              </w:rPr>
              <w:t>64 (13.1%)</w:t>
            </w:r>
          </w:p>
        </w:tc>
        <w:tc>
          <w:tcPr>
            <w:tcW w:w="1194" w:type="dxa"/>
          </w:tcPr>
          <w:p w14:paraId="79A3CC09" w14:textId="77777777" w:rsidR="00F31FFB" w:rsidRPr="002F12ED" w:rsidRDefault="00F31FFB" w:rsidP="006E5A0C">
            <w:pPr>
              <w:jc w:val="right"/>
              <w:rPr>
                <w:rFonts w:cstheme="minorHAnsi"/>
                <w:sz w:val="16"/>
                <w:szCs w:val="16"/>
              </w:rPr>
            </w:pPr>
            <w:r w:rsidRPr="002F12ED">
              <w:rPr>
                <w:rFonts w:cstheme="minorHAnsi"/>
                <w:sz w:val="16"/>
                <w:szCs w:val="16"/>
              </w:rPr>
              <w:t>122 (25.2%)</w:t>
            </w:r>
          </w:p>
        </w:tc>
        <w:tc>
          <w:tcPr>
            <w:tcW w:w="1366" w:type="dxa"/>
          </w:tcPr>
          <w:p w14:paraId="1BD77C38" w14:textId="77777777" w:rsidR="00F31FFB" w:rsidRPr="002F12ED" w:rsidRDefault="00F31FFB" w:rsidP="006E5A0C">
            <w:pPr>
              <w:jc w:val="center"/>
              <w:rPr>
                <w:rFonts w:cstheme="minorHAnsi"/>
                <w:sz w:val="16"/>
                <w:szCs w:val="16"/>
              </w:rPr>
            </w:pPr>
            <w:r w:rsidRPr="002F12ED">
              <w:rPr>
                <w:rFonts w:cstheme="minorHAnsi"/>
                <w:sz w:val="16"/>
                <w:szCs w:val="16"/>
              </w:rPr>
              <w:t>1.92 (1.46, 2.53)</w:t>
            </w:r>
          </w:p>
        </w:tc>
        <w:tc>
          <w:tcPr>
            <w:tcW w:w="661" w:type="dxa"/>
          </w:tcPr>
          <w:p w14:paraId="34C52911" w14:textId="77777777" w:rsidR="00F31FFB" w:rsidRPr="002F12ED" w:rsidRDefault="00F31FFB" w:rsidP="006E5A0C">
            <w:pPr>
              <w:jc w:val="center"/>
              <w:rPr>
                <w:rFonts w:cstheme="minorHAnsi"/>
                <w:sz w:val="16"/>
                <w:szCs w:val="16"/>
              </w:rPr>
            </w:pPr>
            <w:r w:rsidRPr="002F12ED">
              <w:rPr>
                <w:rFonts w:cstheme="minorHAnsi"/>
                <w:sz w:val="16"/>
                <w:szCs w:val="16"/>
              </w:rPr>
              <w:t>&lt;0.001</w:t>
            </w:r>
          </w:p>
        </w:tc>
        <w:tc>
          <w:tcPr>
            <w:tcW w:w="1555" w:type="dxa"/>
          </w:tcPr>
          <w:p w14:paraId="0AC537E9" w14:textId="77777777" w:rsidR="00F31FFB" w:rsidRPr="002F12ED" w:rsidRDefault="00F31FFB" w:rsidP="006E5A0C">
            <w:pPr>
              <w:jc w:val="center"/>
              <w:rPr>
                <w:rFonts w:cstheme="minorHAnsi"/>
                <w:sz w:val="16"/>
                <w:szCs w:val="16"/>
              </w:rPr>
            </w:pPr>
            <w:r w:rsidRPr="002F12ED">
              <w:rPr>
                <w:rFonts w:cstheme="minorHAnsi"/>
                <w:sz w:val="16"/>
                <w:szCs w:val="16"/>
              </w:rPr>
              <w:t>0.12 (0.07, 0.17)</w:t>
            </w:r>
          </w:p>
        </w:tc>
        <w:tc>
          <w:tcPr>
            <w:tcW w:w="905" w:type="dxa"/>
          </w:tcPr>
          <w:p w14:paraId="4AFEAB1A" w14:textId="77777777" w:rsidR="00F31FFB" w:rsidRPr="002F12ED" w:rsidRDefault="00F31FFB" w:rsidP="006E5A0C">
            <w:pPr>
              <w:jc w:val="center"/>
              <w:rPr>
                <w:rFonts w:cstheme="minorHAnsi"/>
                <w:sz w:val="16"/>
                <w:szCs w:val="16"/>
              </w:rPr>
            </w:pPr>
            <w:r w:rsidRPr="002F12ED">
              <w:rPr>
                <w:rFonts w:cstheme="minorHAnsi"/>
                <w:sz w:val="16"/>
                <w:szCs w:val="16"/>
              </w:rPr>
              <w:t>&lt;0.001</w:t>
            </w:r>
          </w:p>
        </w:tc>
      </w:tr>
      <w:tr w:rsidR="00F31FFB" w:rsidRPr="002F12ED" w14:paraId="74DEA1DE" w14:textId="77777777" w:rsidTr="006E5A0C">
        <w:tc>
          <w:tcPr>
            <w:tcW w:w="9305" w:type="dxa"/>
            <w:gridSpan w:val="7"/>
          </w:tcPr>
          <w:p w14:paraId="69EAEEF8" w14:textId="77777777" w:rsidR="00F31FFB" w:rsidRPr="002F12ED" w:rsidRDefault="00F31FFB" w:rsidP="006E5A0C">
            <w:pPr>
              <w:rPr>
                <w:rFonts w:cstheme="minorHAnsi"/>
                <w:b/>
                <w:bCs/>
                <w:sz w:val="16"/>
                <w:szCs w:val="16"/>
              </w:rPr>
            </w:pPr>
            <w:r w:rsidRPr="002F12ED">
              <w:rPr>
                <w:rFonts w:cstheme="minorHAnsi"/>
                <w:b/>
                <w:bCs/>
                <w:sz w:val="16"/>
                <w:szCs w:val="16"/>
              </w:rPr>
              <w:t>By site*:</w:t>
            </w:r>
          </w:p>
        </w:tc>
      </w:tr>
      <w:tr w:rsidR="00F31FFB" w:rsidRPr="002F12ED" w14:paraId="257B0DBC" w14:textId="77777777" w:rsidTr="006E5A0C">
        <w:tc>
          <w:tcPr>
            <w:tcW w:w="2636" w:type="dxa"/>
          </w:tcPr>
          <w:p w14:paraId="1BF4B291" w14:textId="77777777" w:rsidR="00F31FFB" w:rsidRPr="002F12ED" w:rsidRDefault="00F31FFB" w:rsidP="006E5A0C">
            <w:pPr>
              <w:jc w:val="both"/>
              <w:rPr>
                <w:rFonts w:cstheme="minorHAnsi"/>
                <w:sz w:val="16"/>
                <w:szCs w:val="16"/>
              </w:rPr>
            </w:pPr>
            <w:r w:rsidRPr="002F12ED">
              <w:rPr>
                <w:rFonts w:cstheme="minorHAnsi"/>
                <w:sz w:val="16"/>
                <w:szCs w:val="16"/>
              </w:rPr>
              <w:t>Site 1</w:t>
            </w:r>
          </w:p>
        </w:tc>
        <w:tc>
          <w:tcPr>
            <w:tcW w:w="988" w:type="dxa"/>
          </w:tcPr>
          <w:p w14:paraId="15733454" w14:textId="77777777" w:rsidR="00F31FFB" w:rsidRPr="002F12ED" w:rsidRDefault="00F31FFB" w:rsidP="006E5A0C">
            <w:pPr>
              <w:jc w:val="right"/>
              <w:rPr>
                <w:rFonts w:cstheme="minorHAnsi"/>
                <w:sz w:val="16"/>
                <w:szCs w:val="16"/>
              </w:rPr>
            </w:pPr>
            <w:r w:rsidRPr="002F12ED">
              <w:rPr>
                <w:rFonts w:cstheme="minorHAnsi"/>
                <w:sz w:val="16"/>
                <w:szCs w:val="16"/>
              </w:rPr>
              <w:t>24(11.9%)</w:t>
            </w:r>
          </w:p>
          <w:p w14:paraId="7FAB3136" w14:textId="77777777" w:rsidR="00F31FFB" w:rsidRPr="002F12ED" w:rsidRDefault="00F31FFB" w:rsidP="006E5A0C">
            <w:pPr>
              <w:jc w:val="right"/>
              <w:rPr>
                <w:rFonts w:cstheme="minorHAnsi"/>
                <w:sz w:val="16"/>
                <w:szCs w:val="16"/>
              </w:rPr>
            </w:pPr>
            <w:r w:rsidRPr="002F12ED">
              <w:rPr>
                <w:rFonts w:cstheme="minorHAnsi"/>
                <w:sz w:val="16"/>
                <w:szCs w:val="16"/>
              </w:rPr>
              <w:t>(n=201)</w:t>
            </w:r>
          </w:p>
        </w:tc>
        <w:tc>
          <w:tcPr>
            <w:tcW w:w="1194" w:type="dxa"/>
          </w:tcPr>
          <w:p w14:paraId="658BD562" w14:textId="77777777" w:rsidR="00F31FFB" w:rsidRPr="002F12ED" w:rsidRDefault="00F31FFB" w:rsidP="006E5A0C">
            <w:pPr>
              <w:jc w:val="right"/>
              <w:rPr>
                <w:rFonts w:cstheme="minorHAnsi"/>
                <w:sz w:val="16"/>
                <w:szCs w:val="16"/>
              </w:rPr>
            </w:pPr>
            <w:r w:rsidRPr="002F12ED">
              <w:rPr>
                <w:rFonts w:cstheme="minorHAnsi"/>
                <w:sz w:val="16"/>
                <w:szCs w:val="16"/>
              </w:rPr>
              <w:t>48 (24.1%)</w:t>
            </w:r>
          </w:p>
          <w:p w14:paraId="4085F8AD" w14:textId="77777777" w:rsidR="00F31FFB" w:rsidRPr="002F12ED" w:rsidRDefault="00F31FFB" w:rsidP="006E5A0C">
            <w:pPr>
              <w:jc w:val="right"/>
              <w:rPr>
                <w:rFonts w:cstheme="minorHAnsi"/>
                <w:sz w:val="16"/>
                <w:szCs w:val="16"/>
              </w:rPr>
            </w:pPr>
            <w:r w:rsidRPr="002F12ED">
              <w:rPr>
                <w:rFonts w:cstheme="minorHAnsi"/>
                <w:sz w:val="16"/>
                <w:szCs w:val="16"/>
              </w:rPr>
              <w:t>(n=199)</w:t>
            </w:r>
          </w:p>
        </w:tc>
        <w:tc>
          <w:tcPr>
            <w:tcW w:w="1366" w:type="dxa"/>
          </w:tcPr>
          <w:p w14:paraId="6EA1EA26" w14:textId="77777777" w:rsidR="00F31FFB" w:rsidRPr="002F12ED" w:rsidRDefault="00F31FFB" w:rsidP="006E5A0C">
            <w:pPr>
              <w:jc w:val="center"/>
              <w:rPr>
                <w:rFonts w:cstheme="minorHAnsi"/>
                <w:sz w:val="16"/>
                <w:szCs w:val="16"/>
              </w:rPr>
            </w:pPr>
            <w:r w:rsidRPr="002F12ED">
              <w:rPr>
                <w:rFonts w:cstheme="minorHAnsi"/>
                <w:sz w:val="16"/>
                <w:szCs w:val="16"/>
              </w:rPr>
              <w:t>2.02 (1.29, 3.17)</w:t>
            </w:r>
          </w:p>
        </w:tc>
        <w:tc>
          <w:tcPr>
            <w:tcW w:w="661" w:type="dxa"/>
          </w:tcPr>
          <w:p w14:paraId="54A0A3D2" w14:textId="77777777" w:rsidR="00F31FFB" w:rsidRPr="002F12ED" w:rsidRDefault="00F31FFB" w:rsidP="006E5A0C">
            <w:pPr>
              <w:jc w:val="center"/>
              <w:rPr>
                <w:rFonts w:cstheme="minorHAnsi"/>
                <w:sz w:val="16"/>
                <w:szCs w:val="16"/>
              </w:rPr>
            </w:pPr>
            <w:r w:rsidRPr="002F12ED">
              <w:rPr>
                <w:rFonts w:cstheme="minorHAnsi"/>
                <w:sz w:val="16"/>
                <w:szCs w:val="16"/>
              </w:rPr>
              <w:t>0.002</w:t>
            </w:r>
          </w:p>
        </w:tc>
        <w:tc>
          <w:tcPr>
            <w:tcW w:w="1555" w:type="dxa"/>
          </w:tcPr>
          <w:p w14:paraId="31B99E69" w14:textId="77777777" w:rsidR="00F31FFB" w:rsidRPr="002F12ED" w:rsidRDefault="00F31FFB" w:rsidP="006E5A0C">
            <w:pPr>
              <w:jc w:val="center"/>
              <w:rPr>
                <w:rFonts w:cstheme="minorHAnsi"/>
                <w:sz w:val="16"/>
                <w:szCs w:val="16"/>
              </w:rPr>
            </w:pPr>
            <w:r w:rsidRPr="002F12ED">
              <w:rPr>
                <w:rFonts w:cstheme="minorHAnsi"/>
                <w:sz w:val="16"/>
                <w:szCs w:val="16"/>
              </w:rPr>
              <w:t>0.12 (0.05, 0.20)</w:t>
            </w:r>
          </w:p>
        </w:tc>
        <w:tc>
          <w:tcPr>
            <w:tcW w:w="905" w:type="dxa"/>
          </w:tcPr>
          <w:p w14:paraId="38FEE3EF" w14:textId="77777777" w:rsidR="00F31FFB" w:rsidRPr="002F12ED" w:rsidRDefault="00F31FFB" w:rsidP="006E5A0C">
            <w:pPr>
              <w:jc w:val="center"/>
              <w:rPr>
                <w:rFonts w:cstheme="minorHAnsi"/>
                <w:sz w:val="16"/>
                <w:szCs w:val="16"/>
              </w:rPr>
            </w:pPr>
            <w:r w:rsidRPr="002F12ED">
              <w:rPr>
                <w:rFonts w:cstheme="minorHAnsi"/>
                <w:sz w:val="16"/>
                <w:szCs w:val="16"/>
              </w:rPr>
              <w:t>0.001</w:t>
            </w:r>
          </w:p>
        </w:tc>
      </w:tr>
      <w:tr w:rsidR="00F31FFB" w:rsidRPr="002F12ED" w14:paraId="1E0412BF" w14:textId="77777777" w:rsidTr="006E5A0C">
        <w:tc>
          <w:tcPr>
            <w:tcW w:w="2636" w:type="dxa"/>
          </w:tcPr>
          <w:p w14:paraId="7CCAAAD4" w14:textId="77777777" w:rsidR="00F31FFB" w:rsidRPr="002F12ED" w:rsidRDefault="00F31FFB" w:rsidP="006E5A0C">
            <w:pPr>
              <w:jc w:val="both"/>
              <w:rPr>
                <w:rFonts w:cstheme="minorHAnsi"/>
                <w:sz w:val="16"/>
                <w:szCs w:val="16"/>
              </w:rPr>
            </w:pPr>
            <w:r w:rsidRPr="002F12ED">
              <w:rPr>
                <w:rFonts w:cstheme="minorHAnsi"/>
                <w:sz w:val="16"/>
                <w:szCs w:val="16"/>
              </w:rPr>
              <w:t>Site 2</w:t>
            </w:r>
          </w:p>
        </w:tc>
        <w:tc>
          <w:tcPr>
            <w:tcW w:w="988" w:type="dxa"/>
          </w:tcPr>
          <w:p w14:paraId="06087670" w14:textId="77777777" w:rsidR="00F31FFB" w:rsidRPr="002F12ED" w:rsidRDefault="00F31FFB" w:rsidP="006E5A0C">
            <w:pPr>
              <w:jc w:val="right"/>
              <w:rPr>
                <w:rFonts w:cstheme="minorHAnsi"/>
                <w:sz w:val="16"/>
                <w:szCs w:val="16"/>
              </w:rPr>
            </w:pPr>
            <w:r w:rsidRPr="002F12ED">
              <w:rPr>
                <w:rFonts w:cstheme="minorHAnsi"/>
                <w:sz w:val="16"/>
                <w:szCs w:val="16"/>
              </w:rPr>
              <w:t>13(15.5%)</w:t>
            </w:r>
          </w:p>
          <w:p w14:paraId="0DB45E10" w14:textId="77777777" w:rsidR="00F31FFB" w:rsidRPr="002F12ED" w:rsidRDefault="00F31FFB" w:rsidP="006E5A0C">
            <w:pPr>
              <w:jc w:val="right"/>
              <w:rPr>
                <w:rFonts w:cstheme="minorHAnsi"/>
                <w:sz w:val="16"/>
                <w:szCs w:val="16"/>
              </w:rPr>
            </w:pPr>
            <w:r w:rsidRPr="002F12ED">
              <w:rPr>
                <w:rFonts w:cstheme="minorHAnsi"/>
                <w:sz w:val="16"/>
                <w:szCs w:val="16"/>
              </w:rPr>
              <w:lastRenderedPageBreak/>
              <w:t>(n=84)</w:t>
            </w:r>
          </w:p>
        </w:tc>
        <w:tc>
          <w:tcPr>
            <w:tcW w:w="1194" w:type="dxa"/>
          </w:tcPr>
          <w:p w14:paraId="5B894834" w14:textId="77777777" w:rsidR="00F31FFB" w:rsidRPr="002F12ED" w:rsidRDefault="00F31FFB" w:rsidP="006E5A0C">
            <w:pPr>
              <w:jc w:val="right"/>
              <w:rPr>
                <w:rFonts w:cstheme="minorHAnsi"/>
                <w:sz w:val="16"/>
                <w:szCs w:val="16"/>
              </w:rPr>
            </w:pPr>
            <w:r w:rsidRPr="002F12ED">
              <w:rPr>
                <w:rFonts w:cstheme="minorHAnsi"/>
                <w:sz w:val="16"/>
                <w:szCs w:val="16"/>
              </w:rPr>
              <w:lastRenderedPageBreak/>
              <w:t>22 (26.2%)</w:t>
            </w:r>
          </w:p>
          <w:p w14:paraId="3CA3DC2A" w14:textId="77777777" w:rsidR="00F31FFB" w:rsidRPr="002F12ED" w:rsidRDefault="00F31FFB" w:rsidP="006E5A0C">
            <w:pPr>
              <w:jc w:val="right"/>
              <w:rPr>
                <w:rFonts w:cstheme="minorHAnsi"/>
                <w:sz w:val="16"/>
                <w:szCs w:val="16"/>
              </w:rPr>
            </w:pPr>
            <w:r w:rsidRPr="002F12ED">
              <w:rPr>
                <w:rFonts w:cstheme="minorHAnsi"/>
                <w:sz w:val="16"/>
                <w:szCs w:val="16"/>
              </w:rPr>
              <w:lastRenderedPageBreak/>
              <w:t>(n=84)</w:t>
            </w:r>
          </w:p>
        </w:tc>
        <w:tc>
          <w:tcPr>
            <w:tcW w:w="1366" w:type="dxa"/>
          </w:tcPr>
          <w:p w14:paraId="754218F6" w14:textId="77777777" w:rsidR="00F31FFB" w:rsidRPr="002F12ED" w:rsidRDefault="00F31FFB" w:rsidP="006E5A0C">
            <w:pPr>
              <w:jc w:val="center"/>
              <w:rPr>
                <w:rFonts w:cstheme="minorHAnsi"/>
                <w:sz w:val="16"/>
                <w:szCs w:val="16"/>
              </w:rPr>
            </w:pPr>
            <w:r w:rsidRPr="002F12ED">
              <w:rPr>
                <w:rFonts w:cstheme="minorHAnsi"/>
                <w:sz w:val="16"/>
                <w:szCs w:val="16"/>
              </w:rPr>
              <w:lastRenderedPageBreak/>
              <w:t>1.69 (0.91, 3.13)</w:t>
            </w:r>
          </w:p>
        </w:tc>
        <w:tc>
          <w:tcPr>
            <w:tcW w:w="661" w:type="dxa"/>
          </w:tcPr>
          <w:p w14:paraId="03C4902E" w14:textId="77777777" w:rsidR="00F31FFB" w:rsidRPr="002F12ED" w:rsidRDefault="00F31FFB" w:rsidP="006E5A0C">
            <w:pPr>
              <w:jc w:val="center"/>
              <w:rPr>
                <w:rFonts w:cstheme="minorHAnsi"/>
                <w:sz w:val="16"/>
                <w:szCs w:val="16"/>
              </w:rPr>
            </w:pPr>
            <w:r w:rsidRPr="002F12ED">
              <w:rPr>
                <w:rFonts w:cstheme="minorHAnsi"/>
                <w:sz w:val="16"/>
                <w:szCs w:val="16"/>
              </w:rPr>
              <w:t>0.094</w:t>
            </w:r>
          </w:p>
        </w:tc>
        <w:tc>
          <w:tcPr>
            <w:tcW w:w="1555" w:type="dxa"/>
          </w:tcPr>
          <w:p w14:paraId="26DBDD19" w14:textId="77777777" w:rsidR="00F31FFB" w:rsidRPr="002F12ED" w:rsidRDefault="00F31FFB" w:rsidP="006E5A0C">
            <w:pPr>
              <w:jc w:val="center"/>
              <w:rPr>
                <w:rFonts w:cstheme="minorHAnsi"/>
                <w:sz w:val="16"/>
                <w:szCs w:val="16"/>
              </w:rPr>
            </w:pPr>
            <w:r w:rsidRPr="002F12ED">
              <w:rPr>
                <w:rFonts w:cstheme="minorHAnsi"/>
                <w:sz w:val="16"/>
                <w:szCs w:val="16"/>
              </w:rPr>
              <w:t>0.11 (-0.01, 0.23)</w:t>
            </w:r>
          </w:p>
        </w:tc>
        <w:tc>
          <w:tcPr>
            <w:tcW w:w="905" w:type="dxa"/>
          </w:tcPr>
          <w:p w14:paraId="5BBDDE40" w14:textId="77777777" w:rsidR="00F31FFB" w:rsidRPr="002F12ED" w:rsidRDefault="00F31FFB" w:rsidP="006E5A0C">
            <w:pPr>
              <w:jc w:val="center"/>
              <w:rPr>
                <w:rFonts w:cstheme="minorHAnsi"/>
                <w:sz w:val="16"/>
                <w:szCs w:val="16"/>
              </w:rPr>
            </w:pPr>
            <w:r w:rsidRPr="002F12ED">
              <w:rPr>
                <w:rFonts w:cstheme="minorHAnsi"/>
                <w:sz w:val="16"/>
                <w:szCs w:val="16"/>
              </w:rPr>
              <w:t>0.085</w:t>
            </w:r>
          </w:p>
        </w:tc>
      </w:tr>
      <w:tr w:rsidR="00F31FFB" w:rsidRPr="002F12ED" w14:paraId="1BA7B0D3" w14:textId="77777777" w:rsidTr="006E5A0C">
        <w:tc>
          <w:tcPr>
            <w:tcW w:w="2636" w:type="dxa"/>
          </w:tcPr>
          <w:p w14:paraId="1D4FE688" w14:textId="77777777" w:rsidR="00F31FFB" w:rsidRPr="002F12ED" w:rsidRDefault="00F31FFB" w:rsidP="006E5A0C">
            <w:pPr>
              <w:jc w:val="both"/>
              <w:rPr>
                <w:rFonts w:cstheme="minorHAnsi"/>
                <w:sz w:val="16"/>
                <w:szCs w:val="16"/>
              </w:rPr>
            </w:pPr>
            <w:r w:rsidRPr="002F12ED">
              <w:rPr>
                <w:rFonts w:cstheme="minorHAnsi"/>
                <w:sz w:val="16"/>
                <w:szCs w:val="16"/>
              </w:rPr>
              <w:t>Site 3</w:t>
            </w:r>
          </w:p>
        </w:tc>
        <w:tc>
          <w:tcPr>
            <w:tcW w:w="988" w:type="dxa"/>
          </w:tcPr>
          <w:p w14:paraId="1D4BAB47" w14:textId="77777777" w:rsidR="00F31FFB" w:rsidRPr="002F12ED" w:rsidRDefault="00F31FFB" w:rsidP="006E5A0C">
            <w:pPr>
              <w:jc w:val="right"/>
              <w:rPr>
                <w:rFonts w:cstheme="minorHAnsi"/>
                <w:sz w:val="16"/>
                <w:szCs w:val="16"/>
              </w:rPr>
            </w:pPr>
            <w:r w:rsidRPr="002F12ED">
              <w:rPr>
                <w:rFonts w:cstheme="minorHAnsi"/>
                <w:sz w:val="16"/>
                <w:szCs w:val="16"/>
              </w:rPr>
              <w:t>9 (17.0%)</w:t>
            </w:r>
          </w:p>
          <w:p w14:paraId="7AF67B49" w14:textId="77777777" w:rsidR="00F31FFB" w:rsidRPr="002F12ED" w:rsidRDefault="00F31FFB" w:rsidP="006E5A0C">
            <w:pPr>
              <w:jc w:val="right"/>
              <w:rPr>
                <w:rFonts w:cstheme="minorHAnsi"/>
                <w:sz w:val="16"/>
                <w:szCs w:val="16"/>
              </w:rPr>
            </w:pPr>
            <w:r w:rsidRPr="002F12ED">
              <w:rPr>
                <w:rFonts w:cstheme="minorHAnsi"/>
                <w:sz w:val="16"/>
                <w:szCs w:val="16"/>
              </w:rPr>
              <w:t>(n=53)</w:t>
            </w:r>
          </w:p>
        </w:tc>
        <w:tc>
          <w:tcPr>
            <w:tcW w:w="1194" w:type="dxa"/>
          </w:tcPr>
          <w:p w14:paraId="5CE49E12" w14:textId="77777777" w:rsidR="00F31FFB" w:rsidRPr="002F12ED" w:rsidRDefault="00F31FFB" w:rsidP="006E5A0C">
            <w:pPr>
              <w:jc w:val="right"/>
              <w:rPr>
                <w:rFonts w:cstheme="minorHAnsi"/>
                <w:sz w:val="16"/>
                <w:szCs w:val="16"/>
              </w:rPr>
            </w:pPr>
            <w:r w:rsidRPr="002F12ED">
              <w:rPr>
                <w:rFonts w:cstheme="minorHAnsi"/>
                <w:sz w:val="16"/>
                <w:szCs w:val="16"/>
              </w:rPr>
              <w:t>13 (24.1%)</w:t>
            </w:r>
          </w:p>
          <w:p w14:paraId="499110CC" w14:textId="77777777" w:rsidR="00F31FFB" w:rsidRPr="002F12ED" w:rsidRDefault="00F31FFB" w:rsidP="006E5A0C">
            <w:pPr>
              <w:jc w:val="right"/>
              <w:rPr>
                <w:rFonts w:cstheme="minorHAnsi"/>
                <w:sz w:val="16"/>
                <w:szCs w:val="16"/>
              </w:rPr>
            </w:pPr>
            <w:r w:rsidRPr="002F12ED">
              <w:rPr>
                <w:rFonts w:cstheme="minorHAnsi"/>
                <w:sz w:val="16"/>
                <w:szCs w:val="16"/>
              </w:rPr>
              <w:t>(n=54)</w:t>
            </w:r>
          </w:p>
        </w:tc>
        <w:tc>
          <w:tcPr>
            <w:tcW w:w="1366" w:type="dxa"/>
          </w:tcPr>
          <w:p w14:paraId="5D3E5067" w14:textId="77777777" w:rsidR="00F31FFB" w:rsidRPr="002F12ED" w:rsidRDefault="00F31FFB" w:rsidP="006E5A0C">
            <w:pPr>
              <w:jc w:val="center"/>
              <w:rPr>
                <w:rFonts w:cstheme="minorHAnsi"/>
                <w:sz w:val="16"/>
                <w:szCs w:val="16"/>
              </w:rPr>
            </w:pPr>
            <w:r w:rsidRPr="002F12ED">
              <w:rPr>
                <w:rFonts w:cstheme="minorHAnsi"/>
                <w:sz w:val="16"/>
                <w:szCs w:val="16"/>
              </w:rPr>
              <w:t>1.42 (0.67, 3.03)</w:t>
            </w:r>
          </w:p>
        </w:tc>
        <w:tc>
          <w:tcPr>
            <w:tcW w:w="661" w:type="dxa"/>
          </w:tcPr>
          <w:p w14:paraId="3A9F67A5" w14:textId="77777777" w:rsidR="00F31FFB" w:rsidRPr="002F12ED" w:rsidRDefault="00F31FFB" w:rsidP="006E5A0C">
            <w:pPr>
              <w:jc w:val="center"/>
              <w:rPr>
                <w:rFonts w:cstheme="minorHAnsi"/>
                <w:sz w:val="16"/>
                <w:szCs w:val="16"/>
              </w:rPr>
            </w:pPr>
            <w:r w:rsidRPr="002F12ED">
              <w:rPr>
                <w:rFonts w:cstheme="minorHAnsi"/>
                <w:sz w:val="16"/>
                <w:szCs w:val="16"/>
              </w:rPr>
              <w:t>0.369</w:t>
            </w:r>
          </w:p>
        </w:tc>
        <w:tc>
          <w:tcPr>
            <w:tcW w:w="1555" w:type="dxa"/>
          </w:tcPr>
          <w:p w14:paraId="1057F1D2" w14:textId="77777777" w:rsidR="00F31FFB" w:rsidRPr="002F12ED" w:rsidRDefault="00F31FFB" w:rsidP="006E5A0C">
            <w:pPr>
              <w:jc w:val="center"/>
              <w:rPr>
                <w:rFonts w:cstheme="minorHAnsi"/>
                <w:sz w:val="16"/>
                <w:szCs w:val="16"/>
              </w:rPr>
            </w:pPr>
            <w:r w:rsidRPr="002F12ED">
              <w:rPr>
                <w:rFonts w:cstheme="minorHAnsi"/>
                <w:sz w:val="16"/>
                <w:szCs w:val="16"/>
              </w:rPr>
              <w:t>0.07 (-0.08, 0.22)</w:t>
            </w:r>
          </w:p>
        </w:tc>
        <w:tc>
          <w:tcPr>
            <w:tcW w:w="905" w:type="dxa"/>
          </w:tcPr>
          <w:p w14:paraId="18E4C6B4" w14:textId="77777777" w:rsidR="00F31FFB" w:rsidRPr="002F12ED" w:rsidRDefault="00F31FFB" w:rsidP="006E5A0C">
            <w:pPr>
              <w:jc w:val="center"/>
              <w:rPr>
                <w:rFonts w:cstheme="minorHAnsi"/>
                <w:sz w:val="16"/>
                <w:szCs w:val="16"/>
              </w:rPr>
            </w:pPr>
            <w:r w:rsidRPr="002F12ED">
              <w:rPr>
                <w:rFonts w:cstheme="minorHAnsi"/>
                <w:sz w:val="16"/>
                <w:szCs w:val="16"/>
              </w:rPr>
              <w:t>0.362</w:t>
            </w:r>
          </w:p>
        </w:tc>
      </w:tr>
      <w:tr w:rsidR="00F31FFB" w:rsidRPr="002F12ED" w14:paraId="4FF768B1" w14:textId="77777777" w:rsidTr="006E5A0C">
        <w:tc>
          <w:tcPr>
            <w:tcW w:w="2636" w:type="dxa"/>
          </w:tcPr>
          <w:p w14:paraId="0B37426E" w14:textId="77777777" w:rsidR="00F31FFB" w:rsidRPr="002F12ED" w:rsidRDefault="00F31FFB" w:rsidP="006E5A0C">
            <w:pPr>
              <w:jc w:val="both"/>
              <w:rPr>
                <w:rFonts w:cstheme="minorHAnsi"/>
                <w:sz w:val="16"/>
                <w:szCs w:val="16"/>
              </w:rPr>
            </w:pPr>
            <w:r w:rsidRPr="002F12ED">
              <w:rPr>
                <w:rFonts w:cstheme="minorHAnsi"/>
                <w:sz w:val="16"/>
                <w:szCs w:val="16"/>
              </w:rPr>
              <w:t>Site 4</w:t>
            </w:r>
          </w:p>
        </w:tc>
        <w:tc>
          <w:tcPr>
            <w:tcW w:w="988" w:type="dxa"/>
          </w:tcPr>
          <w:p w14:paraId="61FC3D24" w14:textId="77777777" w:rsidR="00F31FFB" w:rsidRPr="002F12ED" w:rsidRDefault="00F31FFB" w:rsidP="006E5A0C">
            <w:pPr>
              <w:jc w:val="right"/>
              <w:rPr>
                <w:rFonts w:cstheme="minorHAnsi"/>
                <w:sz w:val="16"/>
                <w:szCs w:val="16"/>
              </w:rPr>
            </w:pPr>
            <w:r w:rsidRPr="002F12ED">
              <w:rPr>
                <w:rFonts w:cstheme="minorHAnsi"/>
                <w:sz w:val="16"/>
                <w:szCs w:val="16"/>
              </w:rPr>
              <w:t>8 (10.5%)</w:t>
            </w:r>
          </w:p>
          <w:p w14:paraId="24C27D59" w14:textId="77777777" w:rsidR="00F31FFB" w:rsidRPr="002F12ED" w:rsidRDefault="00F31FFB" w:rsidP="006E5A0C">
            <w:pPr>
              <w:jc w:val="right"/>
              <w:rPr>
                <w:rFonts w:cstheme="minorHAnsi"/>
                <w:sz w:val="16"/>
                <w:szCs w:val="16"/>
              </w:rPr>
            </w:pPr>
            <w:r w:rsidRPr="002F12ED">
              <w:rPr>
                <w:rFonts w:cstheme="minorHAnsi"/>
                <w:sz w:val="16"/>
                <w:szCs w:val="16"/>
              </w:rPr>
              <w:t>(n=76)</w:t>
            </w:r>
          </w:p>
        </w:tc>
        <w:tc>
          <w:tcPr>
            <w:tcW w:w="1194" w:type="dxa"/>
          </w:tcPr>
          <w:p w14:paraId="544F8F0E" w14:textId="77777777" w:rsidR="00F31FFB" w:rsidRPr="002F12ED" w:rsidRDefault="00F31FFB" w:rsidP="006E5A0C">
            <w:pPr>
              <w:jc w:val="right"/>
              <w:rPr>
                <w:rFonts w:cstheme="minorHAnsi"/>
                <w:sz w:val="16"/>
                <w:szCs w:val="16"/>
              </w:rPr>
            </w:pPr>
            <w:r w:rsidRPr="002F12ED">
              <w:rPr>
                <w:rFonts w:cstheme="minorHAnsi"/>
                <w:sz w:val="16"/>
                <w:szCs w:val="16"/>
              </w:rPr>
              <w:t>18 (24.3%)</w:t>
            </w:r>
          </w:p>
          <w:p w14:paraId="0B2FF01E" w14:textId="77777777" w:rsidR="00F31FFB" w:rsidRPr="002F12ED" w:rsidRDefault="00F31FFB" w:rsidP="006E5A0C">
            <w:pPr>
              <w:jc w:val="right"/>
              <w:rPr>
                <w:rFonts w:cstheme="minorHAnsi"/>
                <w:sz w:val="16"/>
                <w:szCs w:val="16"/>
              </w:rPr>
            </w:pPr>
            <w:r w:rsidRPr="002F12ED">
              <w:rPr>
                <w:rFonts w:cstheme="minorHAnsi"/>
                <w:sz w:val="16"/>
                <w:szCs w:val="16"/>
              </w:rPr>
              <w:t>(n=74)</w:t>
            </w:r>
          </w:p>
        </w:tc>
        <w:tc>
          <w:tcPr>
            <w:tcW w:w="1366" w:type="dxa"/>
          </w:tcPr>
          <w:p w14:paraId="491B752E" w14:textId="77777777" w:rsidR="00F31FFB" w:rsidRPr="002F12ED" w:rsidRDefault="00F31FFB" w:rsidP="006E5A0C">
            <w:pPr>
              <w:jc w:val="center"/>
              <w:rPr>
                <w:rFonts w:cstheme="minorHAnsi"/>
                <w:sz w:val="16"/>
                <w:szCs w:val="16"/>
              </w:rPr>
            </w:pPr>
            <w:r w:rsidRPr="002F12ED">
              <w:rPr>
                <w:rFonts w:cstheme="minorHAnsi"/>
                <w:sz w:val="16"/>
                <w:szCs w:val="16"/>
              </w:rPr>
              <w:t>2.31 (1.07, 4.99)</w:t>
            </w:r>
          </w:p>
        </w:tc>
        <w:tc>
          <w:tcPr>
            <w:tcW w:w="661" w:type="dxa"/>
          </w:tcPr>
          <w:p w14:paraId="3D6B4E16" w14:textId="77777777" w:rsidR="00F31FFB" w:rsidRPr="002F12ED" w:rsidRDefault="00F31FFB" w:rsidP="006E5A0C">
            <w:pPr>
              <w:jc w:val="center"/>
              <w:rPr>
                <w:rFonts w:cstheme="minorHAnsi"/>
                <w:sz w:val="16"/>
                <w:szCs w:val="16"/>
              </w:rPr>
            </w:pPr>
            <w:r w:rsidRPr="002F12ED">
              <w:rPr>
                <w:rFonts w:cstheme="minorHAnsi"/>
                <w:sz w:val="16"/>
                <w:szCs w:val="16"/>
              </w:rPr>
              <w:t>0.033</w:t>
            </w:r>
          </w:p>
        </w:tc>
        <w:tc>
          <w:tcPr>
            <w:tcW w:w="1555" w:type="dxa"/>
          </w:tcPr>
          <w:p w14:paraId="589F7CCE" w14:textId="77777777" w:rsidR="00F31FFB" w:rsidRPr="002F12ED" w:rsidRDefault="00F31FFB" w:rsidP="006E5A0C">
            <w:pPr>
              <w:jc w:val="center"/>
              <w:rPr>
                <w:rFonts w:cstheme="minorHAnsi"/>
                <w:sz w:val="16"/>
                <w:szCs w:val="16"/>
              </w:rPr>
            </w:pPr>
            <w:r w:rsidRPr="002F12ED">
              <w:rPr>
                <w:rFonts w:cstheme="minorHAnsi"/>
                <w:sz w:val="16"/>
                <w:szCs w:val="16"/>
              </w:rPr>
              <w:t>0.14 (0.02, 0.26)</w:t>
            </w:r>
          </w:p>
        </w:tc>
        <w:tc>
          <w:tcPr>
            <w:tcW w:w="905" w:type="dxa"/>
          </w:tcPr>
          <w:p w14:paraId="7983CA5E" w14:textId="77777777" w:rsidR="00F31FFB" w:rsidRPr="002F12ED" w:rsidRDefault="00F31FFB" w:rsidP="006E5A0C">
            <w:pPr>
              <w:jc w:val="center"/>
              <w:rPr>
                <w:rFonts w:cstheme="minorHAnsi"/>
                <w:sz w:val="16"/>
                <w:szCs w:val="16"/>
              </w:rPr>
            </w:pPr>
            <w:r w:rsidRPr="002F12ED">
              <w:rPr>
                <w:rFonts w:cstheme="minorHAnsi"/>
                <w:sz w:val="16"/>
                <w:szCs w:val="16"/>
              </w:rPr>
              <w:t>0.024</w:t>
            </w:r>
          </w:p>
        </w:tc>
      </w:tr>
      <w:tr w:rsidR="00F31FFB" w:rsidRPr="002F12ED" w14:paraId="229D047F" w14:textId="77777777" w:rsidTr="006E5A0C">
        <w:tc>
          <w:tcPr>
            <w:tcW w:w="2636" w:type="dxa"/>
          </w:tcPr>
          <w:p w14:paraId="6178218B" w14:textId="77777777" w:rsidR="00F31FFB" w:rsidRPr="002F12ED" w:rsidRDefault="00F31FFB" w:rsidP="006E5A0C">
            <w:pPr>
              <w:jc w:val="both"/>
              <w:rPr>
                <w:rFonts w:cstheme="minorHAnsi"/>
                <w:sz w:val="16"/>
                <w:szCs w:val="16"/>
              </w:rPr>
            </w:pPr>
            <w:r w:rsidRPr="002F12ED">
              <w:rPr>
                <w:rFonts w:cstheme="minorHAnsi"/>
                <w:sz w:val="16"/>
                <w:szCs w:val="16"/>
              </w:rPr>
              <w:t>Site 5</w:t>
            </w:r>
          </w:p>
        </w:tc>
        <w:tc>
          <w:tcPr>
            <w:tcW w:w="988" w:type="dxa"/>
          </w:tcPr>
          <w:p w14:paraId="58ABCA21" w14:textId="77777777" w:rsidR="00F31FFB" w:rsidRPr="002F12ED" w:rsidRDefault="00F31FFB" w:rsidP="006E5A0C">
            <w:pPr>
              <w:jc w:val="right"/>
              <w:rPr>
                <w:rFonts w:cstheme="minorHAnsi"/>
                <w:sz w:val="16"/>
                <w:szCs w:val="16"/>
              </w:rPr>
            </w:pPr>
            <w:r w:rsidRPr="002F12ED">
              <w:rPr>
                <w:rFonts w:cstheme="minorHAnsi"/>
                <w:sz w:val="16"/>
                <w:szCs w:val="16"/>
              </w:rPr>
              <w:t>9 (18.0%)</w:t>
            </w:r>
          </w:p>
          <w:p w14:paraId="51763EC3" w14:textId="77777777" w:rsidR="00F31FFB" w:rsidRPr="002F12ED" w:rsidRDefault="00F31FFB" w:rsidP="006E5A0C">
            <w:pPr>
              <w:jc w:val="right"/>
              <w:rPr>
                <w:rFonts w:cstheme="minorHAnsi"/>
                <w:sz w:val="16"/>
                <w:szCs w:val="16"/>
              </w:rPr>
            </w:pPr>
            <w:r w:rsidRPr="002F12ED">
              <w:rPr>
                <w:rFonts w:cstheme="minorHAnsi"/>
                <w:sz w:val="16"/>
                <w:szCs w:val="16"/>
              </w:rPr>
              <w:t>(n=50)</w:t>
            </w:r>
          </w:p>
        </w:tc>
        <w:tc>
          <w:tcPr>
            <w:tcW w:w="1194" w:type="dxa"/>
          </w:tcPr>
          <w:p w14:paraId="40529276" w14:textId="77777777" w:rsidR="00F31FFB" w:rsidRPr="002F12ED" w:rsidRDefault="00F31FFB" w:rsidP="006E5A0C">
            <w:pPr>
              <w:jc w:val="right"/>
              <w:rPr>
                <w:rFonts w:cstheme="minorHAnsi"/>
                <w:sz w:val="16"/>
                <w:szCs w:val="16"/>
              </w:rPr>
            </w:pPr>
            <w:r w:rsidRPr="002F12ED">
              <w:rPr>
                <w:rFonts w:cstheme="minorHAnsi"/>
                <w:sz w:val="16"/>
                <w:szCs w:val="16"/>
              </w:rPr>
              <w:t>16 (32.0%)</w:t>
            </w:r>
          </w:p>
          <w:p w14:paraId="3AC9879E" w14:textId="77777777" w:rsidR="00F31FFB" w:rsidRPr="002F12ED" w:rsidRDefault="00F31FFB" w:rsidP="006E5A0C">
            <w:pPr>
              <w:jc w:val="right"/>
              <w:rPr>
                <w:rFonts w:cstheme="minorHAnsi"/>
                <w:sz w:val="16"/>
                <w:szCs w:val="16"/>
              </w:rPr>
            </w:pPr>
            <w:r w:rsidRPr="002F12ED">
              <w:rPr>
                <w:rFonts w:cstheme="minorHAnsi"/>
                <w:sz w:val="16"/>
                <w:szCs w:val="16"/>
              </w:rPr>
              <w:t>(n=50)</w:t>
            </w:r>
          </w:p>
        </w:tc>
        <w:tc>
          <w:tcPr>
            <w:tcW w:w="1366" w:type="dxa"/>
          </w:tcPr>
          <w:p w14:paraId="60648E90" w14:textId="77777777" w:rsidR="00F31FFB" w:rsidRPr="002F12ED" w:rsidRDefault="00F31FFB" w:rsidP="006E5A0C">
            <w:pPr>
              <w:jc w:val="center"/>
              <w:rPr>
                <w:rFonts w:cstheme="minorHAnsi"/>
                <w:sz w:val="16"/>
                <w:szCs w:val="16"/>
              </w:rPr>
            </w:pPr>
            <w:r w:rsidRPr="002F12ED">
              <w:rPr>
                <w:rFonts w:cstheme="minorHAnsi"/>
                <w:sz w:val="16"/>
                <w:szCs w:val="16"/>
              </w:rPr>
              <w:t>1.78 (0.87, 3.64)</w:t>
            </w:r>
          </w:p>
        </w:tc>
        <w:tc>
          <w:tcPr>
            <w:tcW w:w="661" w:type="dxa"/>
          </w:tcPr>
          <w:p w14:paraId="0CBE262C" w14:textId="77777777" w:rsidR="00F31FFB" w:rsidRPr="002F12ED" w:rsidRDefault="00F31FFB" w:rsidP="006E5A0C">
            <w:pPr>
              <w:jc w:val="center"/>
              <w:rPr>
                <w:rFonts w:cstheme="minorHAnsi"/>
                <w:sz w:val="16"/>
                <w:szCs w:val="16"/>
              </w:rPr>
            </w:pPr>
            <w:r w:rsidRPr="002F12ED">
              <w:rPr>
                <w:rFonts w:cstheme="minorHAnsi"/>
                <w:sz w:val="16"/>
                <w:szCs w:val="16"/>
              </w:rPr>
              <w:t>0.115</w:t>
            </w:r>
          </w:p>
        </w:tc>
        <w:tc>
          <w:tcPr>
            <w:tcW w:w="1555" w:type="dxa"/>
          </w:tcPr>
          <w:p w14:paraId="75CB231F" w14:textId="77777777" w:rsidR="00F31FFB" w:rsidRPr="002F12ED" w:rsidRDefault="00F31FFB" w:rsidP="006E5A0C">
            <w:pPr>
              <w:jc w:val="center"/>
              <w:rPr>
                <w:rFonts w:cstheme="minorHAnsi"/>
                <w:sz w:val="16"/>
                <w:szCs w:val="16"/>
              </w:rPr>
            </w:pPr>
            <w:r w:rsidRPr="002F12ED">
              <w:rPr>
                <w:rFonts w:cstheme="minorHAnsi"/>
                <w:sz w:val="16"/>
                <w:szCs w:val="16"/>
              </w:rPr>
              <w:t>0.14 (-0.03, 0.31)</w:t>
            </w:r>
          </w:p>
        </w:tc>
        <w:tc>
          <w:tcPr>
            <w:tcW w:w="905" w:type="dxa"/>
          </w:tcPr>
          <w:p w14:paraId="0D0F64DC" w14:textId="77777777" w:rsidR="00F31FFB" w:rsidRPr="002F12ED" w:rsidRDefault="00F31FFB" w:rsidP="006E5A0C">
            <w:pPr>
              <w:jc w:val="center"/>
              <w:rPr>
                <w:rFonts w:cstheme="minorHAnsi"/>
                <w:sz w:val="16"/>
                <w:szCs w:val="16"/>
              </w:rPr>
            </w:pPr>
            <w:r w:rsidRPr="002F12ED">
              <w:rPr>
                <w:rFonts w:cstheme="minorHAnsi"/>
                <w:sz w:val="16"/>
                <w:szCs w:val="16"/>
              </w:rPr>
              <w:t>0.101</w:t>
            </w:r>
          </w:p>
        </w:tc>
      </w:tr>
      <w:tr w:rsidR="00F31FFB" w:rsidRPr="002F12ED" w14:paraId="5F5A0661" w14:textId="77777777" w:rsidTr="006E5A0C">
        <w:tc>
          <w:tcPr>
            <w:tcW w:w="2636" w:type="dxa"/>
          </w:tcPr>
          <w:p w14:paraId="7CC234EE" w14:textId="77777777" w:rsidR="00F31FFB" w:rsidRPr="002F12ED" w:rsidRDefault="00F31FFB" w:rsidP="006E5A0C">
            <w:pPr>
              <w:jc w:val="both"/>
              <w:rPr>
                <w:rFonts w:cstheme="minorHAnsi"/>
                <w:sz w:val="16"/>
                <w:szCs w:val="16"/>
              </w:rPr>
            </w:pPr>
            <w:r w:rsidRPr="002F12ED">
              <w:rPr>
                <w:rFonts w:cstheme="minorHAnsi"/>
                <w:sz w:val="16"/>
                <w:szCs w:val="16"/>
              </w:rPr>
              <w:t>Site 6</w:t>
            </w:r>
          </w:p>
        </w:tc>
        <w:tc>
          <w:tcPr>
            <w:tcW w:w="988" w:type="dxa"/>
          </w:tcPr>
          <w:p w14:paraId="41758286" w14:textId="77777777" w:rsidR="00F31FFB" w:rsidRPr="002F12ED" w:rsidRDefault="00F31FFB" w:rsidP="006E5A0C">
            <w:pPr>
              <w:jc w:val="right"/>
              <w:rPr>
                <w:rFonts w:cstheme="minorHAnsi"/>
                <w:sz w:val="16"/>
                <w:szCs w:val="16"/>
              </w:rPr>
            </w:pPr>
            <w:r w:rsidRPr="002F12ED">
              <w:rPr>
                <w:rFonts w:cstheme="minorHAnsi"/>
                <w:sz w:val="16"/>
                <w:szCs w:val="16"/>
              </w:rPr>
              <w:t>1 (4.2%)</w:t>
            </w:r>
          </w:p>
          <w:p w14:paraId="541D3674" w14:textId="77777777" w:rsidR="00F31FFB" w:rsidRPr="002F12ED" w:rsidRDefault="00F31FFB" w:rsidP="006E5A0C">
            <w:pPr>
              <w:jc w:val="right"/>
              <w:rPr>
                <w:rFonts w:cstheme="minorHAnsi"/>
                <w:sz w:val="16"/>
                <w:szCs w:val="16"/>
              </w:rPr>
            </w:pPr>
            <w:r w:rsidRPr="002F12ED">
              <w:rPr>
                <w:rFonts w:cstheme="minorHAnsi"/>
                <w:sz w:val="16"/>
                <w:szCs w:val="16"/>
              </w:rPr>
              <w:t>(n=24)</w:t>
            </w:r>
          </w:p>
        </w:tc>
        <w:tc>
          <w:tcPr>
            <w:tcW w:w="1194" w:type="dxa"/>
          </w:tcPr>
          <w:p w14:paraId="7FBEEFEE" w14:textId="77777777" w:rsidR="00F31FFB" w:rsidRPr="002F12ED" w:rsidRDefault="00F31FFB" w:rsidP="006E5A0C">
            <w:pPr>
              <w:jc w:val="right"/>
              <w:rPr>
                <w:rFonts w:cstheme="minorHAnsi"/>
                <w:sz w:val="16"/>
                <w:szCs w:val="16"/>
              </w:rPr>
            </w:pPr>
            <w:r w:rsidRPr="002F12ED">
              <w:rPr>
                <w:rFonts w:cstheme="minorHAnsi"/>
                <w:sz w:val="16"/>
                <w:szCs w:val="16"/>
              </w:rPr>
              <w:t>5 (21.7%)</w:t>
            </w:r>
          </w:p>
          <w:p w14:paraId="5B077DF6" w14:textId="77777777" w:rsidR="00F31FFB" w:rsidRPr="002F12ED" w:rsidRDefault="00F31FFB" w:rsidP="006E5A0C">
            <w:pPr>
              <w:jc w:val="right"/>
              <w:rPr>
                <w:rFonts w:cstheme="minorHAnsi"/>
                <w:sz w:val="16"/>
                <w:szCs w:val="16"/>
              </w:rPr>
            </w:pPr>
            <w:r w:rsidRPr="002F12ED">
              <w:rPr>
                <w:rFonts w:cstheme="minorHAnsi"/>
                <w:sz w:val="16"/>
                <w:szCs w:val="16"/>
              </w:rPr>
              <w:t>(n=23)</w:t>
            </w:r>
          </w:p>
        </w:tc>
        <w:tc>
          <w:tcPr>
            <w:tcW w:w="1366" w:type="dxa"/>
          </w:tcPr>
          <w:p w14:paraId="497833FD" w14:textId="77777777" w:rsidR="00F31FFB" w:rsidRPr="002F12ED" w:rsidRDefault="00F31FFB" w:rsidP="006E5A0C">
            <w:pPr>
              <w:jc w:val="center"/>
              <w:rPr>
                <w:rFonts w:cstheme="minorHAnsi"/>
                <w:sz w:val="16"/>
                <w:szCs w:val="16"/>
              </w:rPr>
            </w:pPr>
            <w:r w:rsidRPr="002F12ED">
              <w:rPr>
                <w:rFonts w:cstheme="minorHAnsi"/>
                <w:sz w:val="16"/>
                <w:szCs w:val="16"/>
              </w:rPr>
              <w:t>5.22 (0.66, 41.32)</w:t>
            </w:r>
          </w:p>
        </w:tc>
        <w:tc>
          <w:tcPr>
            <w:tcW w:w="661" w:type="dxa"/>
          </w:tcPr>
          <w:p w14:paraId="236F40C9" w14:textId="77777777" w:rsidR="00F31FFB" w:rsidRPr="002F12ED" w:rsidRDefault="00F31FFB" w:rsidP="006E5A0C">
            <w:pPr>
              <w:jc w:val="center"/>
              <w:rPr>
                <w:rFonts w:cstheme="minorHAnsi"/>
                <w:sz w:val="16"/>
                <w:szCs w:val="16"/>
              </w:rPr>
            </w:pPr>
            <w:r w:rsidRPr="002F12ED">
              <w:rPr>
                <w:rFonts w:cstheme="minorHAnsi"/>
                <w:sz w:val="16"/>
                <w:szCs w:val="16"/>
              </w:rPr>
              <w:t>0.118</w:t>
            </w:r>
          </w:p>
        </w:tc>
        <w:tc>
          <w:tcPr>
            <w:tcW w:w="1555" w:type="dxa"/>
          </w:tcPr>
          <w:p w14:paraId="7E152A9E" w14:textId="77777777" w:rsidR="00F31FFB" w:rsidRPr="002F12ED" w:rsidRDefault="00F31FFB" w:rsidP="006E5A0C">
            <w:pPr>
              <w:jc w:val="center"/>
              <w:rPr>
                <w:rFonts w:cstheme="minorHAnsi"/>
                <w:sz w:val="16"/>
                <w:szCs w:val="16"/>
              </w:rPr>
            </w:pPr>
            <w:r w:rsidRPr="002F12ED">
              <w:rPr>
                <w:rFonts w:cstheme="minorHAnsi"/>
                <w:sz w:val="16"/>
                <w:szCs w:val="16"/>
              </w:rPr>
              <w:t>0.18 (-0.01, 0.36)</w:t>
            </w:r>
          </w:p>
        </w:tc>
        <w:tc>
          <w:tcPr>
            <w:tcW w:w="905" w:type="dxa"/>
          </w:tcPr>
          <w:p w14:paraId="0D10FA2B" w14:textId="77777777" w:rsidR="00F31FFB" w:rsidRPr="002F12ED" w:rsidRDefault="00F31FFB" w:rsidP="006E5A0C">
            <w:pPr>
              <w:jc w:val="center"/>
              <w:rPr>
                <w:rFonts w:cstheme="minorHAnsi"/>
                <w:sz w:val="16"/>
                <w:szCs w:val="16"/>
              </w:rPr>
            </w:pPr>
            <w:r w:rsidRPr="002F12ED">
              <w:rPr>
                <w:rFonts w:cstheme="minorHAnsi"/>
                <w:sz w:val="16"/>
                <w:szCs w:val="16"/>
              </w:rPr>
              <w:t>0.065</w:t>
            </w:r>
          </w:p>
        </w:tc>
      </w:tr>
    </w:tbl>
    <w:p w14:paraId="1BB3B160" w14:textId="77777777" w:rsidR="00F31FFB" w:rsidRPr="002F12ED" w:rsidRDefault="00F31FFB" w:rsidP="00F31FFB">
      <w:pPr>
        <w:rPr>
          <w:sz w:val="16"/>
          <w:szCs w:val="16"/>
        </w:rPr>
      </w:pPr>
      <w:r w:rsidRPr="002F12ED">
        <w:rPr>
          <w:sz w:val="16"/>
          <w:szCs w:val="16"/>
        </w:rPr>
        <w:t>* Test for interaction: p=0.8191</w:t>
      </w:r>
    </w:p>
    <w:p w14:paraId="3CF6C4BD" w14:textId="77777777" w:rsidR="00590032" w:rsidRDefault="00590032"/>
    <w:sectPr w:rsidR="0059003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1D3E0" w14:textId="77777777" w:rsidR="00DE1EBE" w:rsidRDefault="00DE1EBE" w:rsidP="00782E1A">
      <w:pPr>
        <w:spacing w:after="0" w:line="240" w:lineRule="auto"/>
      </w:pPr>
      <w:r>
        <w:separator/>
      </w:r>
    </w:p>
  </w:endnote>
  <w:endnote w:type="continuationSeparator" w:id="0">
    <w:p w14:paraId="0DA82EEC" w14:textId="77777777" w:rsidR="00DE1EBE" w:rsidRDefault="00DE1EBE" w:rsidP="00782E1A">
      <w:pPr>
        <w:spacing w:after="0" w:line="240" w:lineRule="auto"/>
      </w:pPr>
      <w:r>
        <w:continuationSeparator/>
      </w:r>
    </w:p>
  </w:endnote>
  <w:endnote w:type="continuationNotice" w:id="1">
    <w:p w14:paraId="537D8F81" w14:textId="77777777" w:rsidR="00DE1EBE" w:rsidRDefault="00DE1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980413"/>
      <w:docPartObj>
        <w:docPartGallery w:val="Page Numbers (Bottom of Page)"/>
        <w:docPartUnique/>
      </w:docPartObj>
    </w:sdtPr>
    <w:sdtEndPr>
      <w:rPr>
        <w:noProof/>
      </w:rPr>
    </w:sdtEndPr>
    <w:sdtContent>
      <w:p w14:paraId="22D23949" w14:textId="3293B321" w:rsidR="001E54DB" w:rsidRDefault="001E54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A0EDAE" w14:textId="77777777" w:rsidR="001E54DB" w:rsidRDefault="001E5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FE6F2" w14:textId="77777777" w:rsidR="00DE1EBE" w:rsidRDefault="00DE1EBE" w:rsidP="00782E1A">
      <w:pPr>
        <w:spacing w:after="0" w:line="240" w:lineRule="auto"/>
      </w:pPr>
      <w:r>
        <w:separator/>
      </w:r>
    </w:p>
  </w:footnote>
  <w:footnote w:type="continuationSeparator" w:id="0">
    <w:p w14:paraId="3C98771D" w14:textId="77777777" w:rsidR="00DE1EBE" w:rsidRDefault="00DE1EBE" w:rsidP="00782E1A">
      <w:pPr>
        <w:spacing w:after="0" w:line="240" w:lineRule="auto"/>
      </w:pPr>
      <w:r>
        <w:continuationSeparator/>
      </w:r>
    </w:p>
  </w:footnote>
  <w:footnote w:type="continuationNotice" w:id="1">
    <w:p w14:paraId="671812EC" w14:textId="77777777" w:rsidR="00DE1EBE" w:rsidRDefault="00DE1E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7A7"/>
    <w:multiLevelType w:val="hybridMultilevel"/>
    <w:tmpl w:val="8B3AA474"/>
    <w:lvl w:ilvl="0" w:tplc="69FC689E">
      <w:start w:val="1"/>
      <w:numFmt w:val="bullet"/>
      <w:lvlText w:val=""/>
      <w:lvlJc w:val="left"/>
      <w:pPr>
        <w:ind w:left="720" w:hanging="360"/>
      </w:pPr>
      <w:rPr>
        <w:rFonts w:ascii="Symbol" w:hAnsi="Symbol"/>
      </w:rPr>
    </w:lvl>
    <w:lvl w:ilvl="1" w:tplc="F124973A">
      <w:start w:val="1"/>
      <w:numFmt w:val="bullet"/>
      <w:lvlText w:val=""/>
      <w:lvlJc w:val="left"/>
      <w:pPr>
        <w:ind w:left="720" w:hanging="360"/>
      </w:pPr>
      <w:rPr>
        <w:rFonts w:ascii="Symbol" w:hAnsi="Symbol"/>
      </w:rPr>
    </w:lvl>
    <w:lvl w:ilvl="2" w:tplc="02CE0770">
      <w:start w:val="1"/>
      <w:numFmt w:val="bullet"/>
      <w:lvlText w:val=""/>
      <w:lvlJc w:val="left"/>
      <w:pPr>
        <w:ind w:left="720" w:hanging="360"/>
      </w:pPr>
      <w:rPr>
        <w:rFonts w:ascii="Symbol" w:hAnsi="Symbol"/>
      </w:rPr>
    </w:lvl>
    <w:lvl w:ilvl="3" w:tplc="97CACB72">
      <w:start w:val="1"/>
      <w:numFmt w:val="bullet"/>
      <w:lvlText w:val=""/>
      <w:lvlJc w:val="left"/>
      <w:pPr>
        <w:ind w:left="720" w:hanging="360"/>
      </w:pPr>
      <w:rPr>
        <w:rFonts w:ascii="Symbol" w:hAnsi="Symbol"/>
      </w:rPr>
    </w:lvl>
    <w:lvl w:ilvl="4" w:tplc="9410B82E">
      <w:start w:val="1"/>
      <w:numFmt w:val="bullet"/>
      <w:lvlText w:val=""/>
      <w:lvlJc w:val="left"/>
      <w:pPr>
        <w:ind w:left="720" w:hanging="360"/>
      </w:pPr>
      <w:rPr>
        <w:rFonts w:ascii="Symbol" w:hAnsi="Symbol"/>
      </w:rPr>
    </w:lvl>
    <w:lvl w:ilvl="5" w:tplc="662AE394">
      <w:start w:val="1"/>
      <w:numFmt w:val="bullet"/>
      <w:lvlText w:val=""/>
      <w:lvlJc w:val="left"/>
      <w:pPr>
        <w:ind w:left="720" w:hanging="360"/>
      </w:pPr>
      <w:rPr>
        <w:rFonts w:ascii="Symbol" w:hAnsi="Symbol"/>
      </w:rPr>
    </w:lvl>
    <w:lvl w:ilvl="6" w:tplc="1FB608D6">
      <w:start w:val="1"/>
      <w:numFmt w:val="bullet"/>
      <w:lvlText w:val=""/>
      <w:lvlJc w:val="left"/>
      <w:pPr>
        <w:ind w:left="720" w:hanging="360"/>
      </w:pPr>
      <w:rPr>
        <w:rFonts w:ascii="Symbol" w:hAnsi="Symbol"/>
      </w:rPr>
    </w:lvl>
    <w:lvl w:ilvl="7" w:tplc="6854E444">
      <w:start w:val="1"/>
      <w:numFmt w:val="bullet"/>
      <w:lvlText w:val=""/>
      <w:lvlJc w:val="left"/>
      <w:pPr>
        <w:ind w:left="720" w:hanging="360"/>
      </w:pPr>
      <w:rPr>
        <w:rFonts w:ascii="Symbol" w:hAnsi="Symbol"/>
      </w:rPr>
    </w:lvl>
    <w:lvl w:ilvl="8" w:tplc="9AB0F604">
      <w:start w:val="1"/>
      <w:numFmt w:val="bullet"/>
      <w:lvlText w:val=""/>
      <w:lvlJc w:val="left"/>
      <w:pPr>
        <w:ind w:left="720" w:hanging="360"/>
      </w:pPr>
      <w:rPr>
        <w:rFonts w:ascii="Symbol" w:hAnsi="Symbol"/>
      </w:rPr>
    </w:lvl>
  </w:abstractNum>
  <w:abstractNum w:abstractNumId="1" w15:restartNumberingAfterBreak="0">
    <w:nsid w:val="0D7D352E"/>
    <w:multiLevelType w:val="hybridMultilevel"/>
    <w:tmpl w:val="D36204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9C32D2"/>
    <w:multiLevelType w:val="hybridMultilevel"/>
    <w:tmpl w:val="C3B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96E33"/>
    <w:multiLevelType w:val="hybridMultilevel"/>
    <w:tmpl w:val="B1D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0049B"/>
    <w:multiLevelType w:val="hybridMultilevel"/>
    <w:tmpl w:val="C0E833BE"/>
    <w:lvl w:ilvl="0" w:tplc="7CF89EAA">
      <w:start w:val="1"/>
      <w:numFmt w:val="bullet"/>
      <w:lvlText w:val=""/>
      <w:lvlJc w:val="left"/>
      <w:pPr>
        <w:ind w:left="1440" w:hanging="360"/>
      </w:pPr>
      <w:rPr>
        <w:rFonts w:ascii="Symbol" w:hAnsi="Symbol"/>
      </w:rPr>
    </w:lvl>
    <w:lvl w:ilvl="1" w:tplc="64A4638E">
      <w:start w:val="1"/>
      <w:numFmt w:val="bullet"/>
      <w:lvlText w:val=""/>
      <w:lvlJc w:val="left"/>
      <w:pPr>
        <w:ind w:left="1440" w:hanging="360"/>
      </w:pPr>
      <w:rPr>
        <w:rFonts w:ascii="Symbol" w:hAnsi="Symbol"/>
      </w:rPr>
    </w:lvl>
    <w:lvl w:ilvl="2" w:tplc="ACA0E9C6">
      <w:start w:val="1"/>
      <w:numFmt w:val="bullet"/>
      <w:lvlText w:val=""/>
      <w:lvlJc w:val="left"/>
      <w:pPr>
        <w:ind w:left="1440" w:hanging="360"/>
      </w:pPr>
      <w:rPr>
        <w:rFonts w:ascii="Symbol" w:hAnsi="Symbol"/>
      </w:rPr>
    </w:lvl>
    <w:lvl w:ilvl="3" w:tplc="F852F1E4">
      <w:start w:val="1"/>
      <w:numFmt w:val="bullet"/>
      <w:lvlText w:val=""/>
      <w:lvlJc w:val="left"/>
      <w:pPr>
        <w:ind w:left="1440" w:hanging="360"/>
      </w:pPr>
      <w:rPr>
        <w:rFonts w:ascii="Symbol" w:hAnsi="Symbol"/>
      </w:rPr>
    </w:lvl>
    <w:lvl w:ilvl="4" w:tplc="3EEC32C6">
      <w:start w:val="1"/>
      <w:numFmt w:val="bullet"/>
      <w:lvlText w:val=""/>
      <w:lvlJc w:val="left"/>
      <w:pPr>
        <w:ind w:left="1440" w:hanging="360"/>
      </w:pPr>
      <w:rPr>
        <w:rFonts w:ascii="Symbol" w:hAnsi="Symbol"/>
      </w:rPr>
    </w:lvl>
    <w:lvl w:ilvl="5" w:tplc="64EAF9F2">
      <w:start w:val="1"/>
      <w:numFmt w:val="bullet"/>
      <w:lvlText w:val=""/>
      <w:lvlJc w:val="left"/>
      <w:pPr>
        <w:ind w:left="1440" w:hanging="360"/>
      </w:pPr>
      <w:rPr>
        <w:rFonts w:ascii="Symbol" w:hAnsi="Symbol"/>
      </w:rPr>
    </w:lvl>
    <w:lvl w:ilvl="6" w:tplc="5EB00842">
      <w:start w:val="1"/>
      <w:numFmt w:val="bullet"/>
      <w:lvlText w:val=""/>
      <w:lvlJc w:val="left"/>
      <w:pPr>
        <w:ind w:left="1440" w:hanging="360"/>
      </w:pPr>
      <w:rPr>
        <w:rFonts w:ascii="Symbol" w:hAnsi="Symbol"/>
      </w:rPr>
    </w:lvl>
    <w:lvl w:ilvl="7" w:tplc="46D4A31C">
      <w:start w:val="1"/>
      <w:numFmt w:val="bullet"/>
      <w:lvlText w:val=""/>
      <w:lvlJc w:val="left"/>
      <w:pPr>
        <w:ind w:left="1440" w:hanging="360"/>
      </w:pPr>
      <w:rPr>
        <w:rFonts w:ascii="Symbol" w:hAnsi="Symbol"/>
      </w:rPr>
    </w:lvl>
    <w:lvl w:ilvl="8" w:tplc="D302A750">
      <w:start w:val="1"/>
      <w:numFmt w:val="bullet"/>
      <w:lvlText w:val=""/>
      <w:lvlJc w:val="left"/>
      <w:pPr>
        <w:ind w:left="1440" w:hanging="360"/>
      </w:pPr>
      <w:rPr>
        <w:rFonts w:ascii="Symbol" w:hAnsi="Symbol"/>
      </w:rPr>
    </w:lvl>
  </w:abstractNum>
  <w:abstractNum w:abstractNumId="5" w15:restartNumberingAfterBreak="0">
    <w:nsid w:val="1750064E"/>
    <w:multiLevelType w:val="multilevel"/>
    <w:tmpl w:val="1522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65547"/>
    <w:multiLevelType w:val="hybridMultilevel"/>
    <w:tmpl w:val="9D042ED6"/>
    <w:lvl w:ilvl="0" w:tplc="E84E7B4C">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F5F13"/>
    <w:multiLevelType w:val="hybridMultilevel"/>
    <w:tmpl w:val="3DC6383E"/>
    <w:lvl w:ilvl="0" w:tplc="EB78DBCC">
      <w:start w:val="1"/>
      <w:numFmt w:val="bullet"/>
      <w:lvlText w:val="•"/>
      <w:lvlJc w:val="left"/>
      <w:pPr>
        <w:tabs>
          <w:tab w:val="num" w:pos="720"/>
        </w:tabs>
        <w:ind w:left="720" w:hanging="360"/>
      </w:pPr>
      <w:rPr>
        <w:rFonts w:ascii="Arial" w:hAnsi="Arial" w:hint="default"/>
      </w:rPr>
    </w:lvl>
    <w:lvl w:ilvl="1" w:tplc="A97EFAFA" w:tentative="1">
      <w:start w:val="1"/>
      <w:numFmt w:val="bullet"/>
      <w:lvlText w:val="•"/>
      <w:lvlJc w:val="left"/>
      <w:pPr>
        <w:tabs>
          <w:tab w:val="num" w:pos="1440"/>
        </w:tabs>
        <w:ind w:left="1440" w:hanging="360"/>
      </w:pPr>
      <w:rPr>
        <w:rFonts w:ascii="Arial" w:hAnsi="Arial" w:hint="default"/>
      </w:rPr>
    </w:lvl>
    <w:lvl w:ilvl="2" w:tplc="F92EE20E" w:tentative="1">
      <w:start w:val="1"/>
      <w:numFmt w:val="bullet"/>
      <w:lvlText w:val="•"/>
      <w:lvlJc w:val="left"/>
      <w:pPr>
        <w:tabs>
          <w:tab w:val="num" w:pos="2160"/>
        </w:tabs>
        <w:ind w:left="2160" w:hanging="360"/>
      </w:pPr>
      <w:rPr>
        <w:rFonts w:ascii="Arial" w:hAnsi="Arial" w:hint="default"/>
      </w:rPr>
    </w:lvl>
    <w:lvl w:ilvl="3" w:tplc="F252B4BA" w:tentative="1">
      <w:start w:val="1"/>
      <w:numFmt w:val="bullet"/>
      <w:lvlText w:val="•"/>
      <w:lvlJc w:val="left"/>
      <w:pPr>
        <w:tabs>
          <w:tab w:val="num" w:pos="2880"/>
        </w:tabs>
        <w:ind w:left="2880" w:hanging="360"/>
      </w:pPr>
      <w:rPr>
        <w:rFonts w:ascii="Arial" w:hAnsi="Arial" w:hint="default"/>
      </w:rPr>
    </w:lvl>
    <w:lvl w:ilvl="4" w:tplc="C8FAC986" w:tentative="1">
      <w:start w:val="1"/>
      <w:numFmt w:val="bullet"/>
      <w:lvlText w:val="•"/>
      <w:lvlJc w:val="left"/>
      <w:pPr>
        <w:tabs>
          <w:tab w:val="num" w:pos="3600"/>
        </w:tabs>
        <w:ind w:left="3600" w:hanging="360"/>
      </w:pPr>
      <w:rPr>
        <w:rFonts w:ascii="Arial" w:hAnsi="Arial" w:hint="default"/>
      </w:rPr>
    </w:lvl>
    <w:lvl w:ilvl="5" w:tplc="95B23850" w:tentative="1">
      <w:start w:val="1"/>
      <w:numFmt w:val="bullet"/>
      <w:lvlText w:val="•"/>
      <w:lvlJc w:val="left"/>
      <w:pPr>
        <w:tabs>
          <w:tab w:val="num" w:pos="4320"/>
        </w:tabs>
        <w:ind w:left="4320" w:hanging="360"/>
      </w:pPr>
      <w:rPr>
        <w:rFonts w:ascii="Arial" w:hAnsi="Arial" w:hint="default"/>
      </w:rPr>
    </w:lvl>
    <w:lvl w:ilvl="6" w:tplc="C49889A6" w:tentative="1">
      <w:start w:val="1"/>
      <w:numFmt w:val="bullet"/>
      <w:lvlText w:val="•"/>
      <w:lvlJc w:val="left"/>
      <w:pPr>
        <w:tabs>
          <w:tab w:val="num" w:pos="5040"/>
        </w:tabs>
        <w:ind w:left="5040" w:hanging="360"/>
      </w:pPr>
      <w:rPr>
        <w:rFonts w:ascii="Arial" w:hAnsi="Arial" w:hint="default"/>
      </w:rPr>
    </w:lvl>
    <w:lvl w:ilvl="7" w:tplc="1B68D032" w:tentative="1">
      <w:start w:val="1"/>
      <w:numFmt w:val="bullet"/>
      <w:lvlText w:val="•"/>
      <w:lvlJc w:val="left"/>
      <w:pPr>
        <w:tabs>
          <w:tab w:val="num" w:pos="5760"/>
        </w:tabs>
        <w:ind w:left="5760" w:hanging="360"/>
      </w:pPr>
      <w:rPr>
        <w:rFonts w:ascii="Arial" w:hAnsi="Arial" w:hint="default"/>
      </w:rPr>
    </w:lvl>
    <w:lvl w:ilvl="8" w:tplc="CF1ACE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913D0E"/>
    <w:multiLevelType w:val="multilevel"/>
    <w:tmpl w:val="E74E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94CCE"/>
    <w:multiLevelType w:val="hybridMultilevel"/>
    <w:tmpl w:val="61A2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010CF"/>
    <w:multiLevelType w:val="hybridMultilevel"/>
    <w:tmpl w:val="F138A68A"/>
    <w:lvl w:ilvl="0" w:tplc="9BA0AF30">
      <w:start w:val="1"/>
      <w:numFmt w:val="bullet"/>
      <w:lvlText w:val=""/>
      <w:lvlJc w:val="left"/>
      <w:pPr>
        <w:ind w:left="720" w:hanging="360"/>
      </w:pPr>
      <w:rPr>
        <w:rFonts w:ascii="Symbol" w:hAnsi="Symbol"/>
      </w:rPr>
    </w:lvl>
    <w:lvl w:ilvl="1" w:tplc="3C4A5BFE">
      <w:start w:val="1"/>
      <w:numFmt w:val="bullet"/>
      <w:lvlText w:val=""/>
      <w:lvlJc w:val="left"/>
      <w:pPr>
        <w:ind w:left="720" w:hanging="360"/>
      </w:pPr>
      <w:rPr>
        <w:rFonts w:ascii="Symbol" w:hAnsi="Symbol"/>
      </w:rPr>
    </w:lvl>
    <w:lvl w:ilvl="2" w:tplc="98CC2EF4">
      <w:start w:val="1"/>
      <w:numFmt w:val="bullet"/>
      <w:lvlText w:val=""/>
      <w:lvlJc w:val="left"/>
      <w:pPr>
        <w:ind w:left="720" w:hanging="360"/>
      </w:pPr>
      <w:rPr>
        <w:rFonts w:ascii="Symbol" w:hAnsi="Symbol"/>
      </w:rPr>
    </w:lvl>
    <w:lvl w:ilvl="3" w:tplc="B41C0E6E">
      <w:start w:val="1"/>
      <w:numFmt w:val="bullet"/>
      <w:lvlText w:val=""/>
      <w:lvlJc w:val="left"/>
      <w:pPr>
        <w:ind w:left="720" w:hanging="360"/>
      </w:pPr>
      <w:rPr>
        <w:rFonts w:ascii="Symbol" w:hAnsi="Symbol"/>
      </w:rPr>
    </w:lvl>
    <w:lvl w:ilvl="4" w:tplc="DAEADF8C">
      <w:start w:val="1"/>
      <w:numFmt w:val="bullet"/>
      <w:lvlText w:val=""/>
      <w:lvlJc w:val="left"/>
      <w:pPr>
        <w:ind w:left="720" w:hanging="360"/>
      </w:pPr>
      <w:rPr>
        <w:rFonts w:ascii="Symbol" w:hAnsi="Symbol"/>
      </w:rPr>
    </w:lvl>
    <w:lvl w:ilvl="5" w:tplc="A5A08EFE">
      <w:start w:val="1"/>
      <w:numFmt w:val="bullet"/>
      <w:lvlText w:val=""/>
      <w:lvlJc w:val="left"/>
      <w:pPr>
        <w:ind w:left="720" w:hanging="360"/>
      </w:pPr>
      <w:rPr>
        <w:rFonts w:ascii="Symbol" w:hAnsi="Symbol"/>
      </w:rPr>
    </w:lvl>
    <w:lvl w:ilvl="6" w:tplc="33AEF01E">
      <w:start w:val="1"/>
      <w:numFmt w:val="bullet"/>
      <w:lvlText w:val=""/>
      <w:lvlJc w:val="left"/>
      <w:pPr>
        <w:ind w:left="720" w:hanging="360"/>
      </w:pPr>
      <w:rPr>
        <w:rFonts w:ascii="Symbol" w:hAnsi="Symbol"/>
      </w:rPr>
    </w:lvl>
    <w:lvl w:ilvl="7" w:tplc="59F6C4E4">
      <w:start w:val="1"/>
      <w:numFmt w:val="bullet"/>
      <w:lvlText w:val=""/>
      <w:lvlJc w:val="left"/>
      <w:pPr>
        <w:ind w:left="720" w:hanging="360"/>
      </w:pPr>
      <w:rPr>
        <w:rFonts w:ascii="Symbol" w:hAnsi="Symbol"/>
      </w:rPr>
    </w:lvl>
    <w:lvl w:ilvl="8" w:tplc="E428932C">
      <w:start w:val="1"/>
      <w:numFmt w:val="bullet"/>
      <w:lvlText w:val=""/>
      <w:lvlJc w:val="left"/>
      <w:pPr>
        <w:ind w:left="720" w:hanging="360"/>
      </w:pPr>
      <w:rPr>
        <w:rFonts w:ascii="Symbol" w:hAnsi="Symbol"/>
      </w:rPr>
    </w:lvl>
  </w:abstractNum>
  <w:abstractNum w:abstractNumId="11" w15:restartNumberingAfterBreak="0">
    <w:nsid w:val="37F31419"/>
    <w:multiLevelType w:val="hybridMultilevel"/>
    <w:tmpl w:val="5EDA3338"/>
    <w:lvl w:ilvl="0" w:tplc="360CBB98">
      <w:start w:val="1"/>
      <w:numFmt w:val="bullet"/>
      <w:lvlText w:val=""/>
      <w:lvlJc w:val="left"/>
      <w:pPr>
        <w:ind w:left="1440" w:hanging="360"/>
      </w:pPr>
      <w:rPr>
        <w:rFonts w:ascii="Symbol" w:hAnsi="Symbol"/>
      </w:rPr>
    </w:lvl>
    <w:lvl w:ilvl="1" w:tplc="337EF590">
      <w:start w:val="1"/>
      <w:numFmt w:val="bullet"/>
      <w:lvlText w:val=""/>
      <w:lvlJc w:val="left"/>
      <w:pPr>
        <w:ind w:left="1440" w:hanging="360"/>
      </w:pPr>
      <w:rPr>
        <w:rFonts w:ascii="Symbol" w:hAnsi="Symbol"/>
      </w:rPr>
    </w:lvl>
    <w:lvl w:ilvl="2" w:tplc="15DCF8C2">
      <w:start w:val="1"/>
      <w:numFmt w:val="bullet"/>
      <w:lvlText w:val=""/>
      <w:lvlJc w:val="left"/>
      <w:pPr>
        <w:ind w:left="1440" w:hanging="360"/>
      </w:pPr>
      <w:rPr>
        <w:rFonts w:ascii="Symbol" w:hAnsi="Symbol"/>
      </w:rPr>
    </w:lvl>
    <w:lvl w:ilvl="3" w:tplc="D6AE88E2">
      <w:start w:val="1"/>
      <w:numFmt w:val="bullet"/>
      <w:lvlText w:val=""/>
      <w:lvlJc w:val="left"/>
      <w:pPr>
        <w:ind w:left="1440" w:hanging="360"/>
      </w:pPr>
      <w:rPr>
        <w:rFonts w:ascii="Symbol" w:hAnsi="Symbol"/>
      </w:rPr>
    </w:lvl>
    <w:lvl w:ilvl="4" w:tplc="EBA0D9F6">
      <w:start w:val="1"/>
      <w:numFmt w:val="bullet"/>
      <w:lvlText w:val=""/>
      <w:lvlJc w:val="left"/>
      <w:pPr>
        <w:ind w:left="1440" w:hanging="360"/>
      </w:pPr>
      <w:rPr>
        <w:rFonts w:ascii="Symbol" w:hAnsi="Symbol"/>
      </w:rPr>
    </w:lvl>
    <w:lvl w:ilvl="5" w:tplc="718220DE">
      <w:start w:val="1"/>
      <w:numFmt w:val="bullet"/>
      <w:lvlText w:val=""/>
      <w:lvlJc w:val="left"/>
      <w:pPr>
        <w:ind w:left="1440" w:hanging="360"/>
      </w:pPr>
      <w:rPr>
        <w:rFonts w:ascii="Symbol" w:hAnsi="Symbol"/>
      </w:rPr>
    </w:lvl>
    <w:lvl w:ilvl="6" w:tplc="2B104F64">
      <w:start w:val="1"/>
      <w:numFmt w:val="bullet"/>
      <w:lvlText w:val=""/>
      <w:lvlJc w:val="left"/>
      <w:pPr>
        <w:ind w:left="1440" w:hanging="360"/>
      </w:pPr>
      <w:rPr>
        <w:rFonts w:ascii="Symbol" w:hAnsi="Symbol"/>
      </w:rPr>
    </w:lvl>
    <w:lvl w:ilvl="7" w:tplc="2A64BF70">
      <w:start w:val="1"/>
      <w:numFmt w:val="bullet"/>
      <w:lvlText w:val=""/>
      <w:lvlJc w:val="left"/>
      <w:pPr>
        <w:ind w:left="1440" w:hanging="360"/>
      </w:pPr>
      <w:rPr>
        <w:rFonts w:ascii="Symbol" w:hAnsi="Symbol"/>
      </w:rPr>
    </w:lvl>
    <w:lvl w:ilvl="8" w:tplc="A9E2D606">
      <w:start w:val="1"/>
      <w:numFmt w:val="bullet"/>
      <w:lvlText w:val=""/>
      <w:lvlJc w:val="left"/>
      <w:pPr>
        <w:ind w:left="1440" w:hanging="360"/>
      </w:pPr>
      <w:rPr>
        <w:rFonts w:ascii="Symbol" w:hAnsi="Symbol"/>
      </w:rPr>
    </w:lvl>
  </w:abstractNum>
  <w:abstractNum w:abstractNumId="12" w15:restartNumberingAfterBreak="0">
    <w:nsid w:val="3F3934FE"/>
    <w:multiLevelType w:val="hybridMultilevel"/>
    <w:tmpl w:val="1AC8B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80B17"/>
    <w:multiLevelType w:val="hybridMultilevel"/>
    <w:tmpl w:val="6A7A3D02"/>
    <w:lvl w:ilvl="0" w:tplc="FC0E4B86">
      <w:start w:val="1"/>
      <w:numFmt w:val="bullet"/>
      <w:lvlText w:val=""/>
      <w:lvlJc w:val="left"/>
      <w:pPr>
        <w:ind w:left="720" w:hanging="360"/>
      </w:pPr>
      <w:rPr>
        <w:rFonts w:ascii="Symbol" w:hAnsi="Symbol"/>
      </w:rPr>
    </w:lvl>
    <w:lvl w:ilvl="1" w:tplc="E6FA8244">
      <w:start w:val="1"/>
      <w:numFmt w:val="bullet"/>
      <w:lvlText w:val=""/>
      <w:lvlJc w:val="left"/>
      <w:pPr>
        <w:ind w:left="720" w:hanging="360"/>
      </w:pPr>
      <w:rPr>
        <w:rFonts w:ascii="Symbol" w:hAnsi="Symbol"/>
      </w:rPr>
    </w:lvl>
    <w:lvl w:ilvl="2" w:tplc="CF94020A">
      <w:start w:val="1"/>
      <w:numFmt w:val="bullet"/>
      <w:lvlText w:val=""/>
      <w:lvlJc w:val="left"/>
      <w:pPr>
        <w:ind w:left="720" w:hanging="360"/>
      </w:pPr>
      <w:rPr>
        <w:rFonts w:ascii="Symbol" w:hAnsi="Symbol"/>
      </w:rPr>
    </w:lvl>
    <w:lvl w:ilvl="3" w:tplc="7C9E4EF4">
      <w:start w:val="1"/>
      <w:numFmt w:val="bullet"/>
      <w:lvlText w:val=""/>
      <w:lvlJc w:val="left"/>
      <w:pPr>
        <w:ind w:left="720" w:hanging="360"/>
      </w:pPr>
      <w:rPr>
        <w:rFonts w:ascii="Symbol" w:hAnsi="Symbol"/>
      </w:rPr>
    </w:lvl>
    <w:lvl w:ilvl="4" w:tplc="46E29EE2">
      <w:start w:val="1"/>
      <w:numFmt w:val="bullet"/>
      <w:lvlText w:val=""/>
      <w:lvlJc w:val="left"/>
      <w:pPr>
        <w:ind w:left="720" w:hanging="360"/>
      </w:pPr>
      <w:rPr>
        <w:rFonts w:ascii="Symbol" w:hAnsi="Symbol"/>
      </w:rPr>
    </w:lvl>
    <w:lvl w:ilvl="5" w:tplc="B968525E">
      <w:start w:val="1"/>
      <w:numFmt w:val="bullet"/>
      <w:lvlText w:val=""/>
      <w:lvlJc w:val="left"/>
      <w:pPr>
        <w:ind w:left="720" w:hanging="360"/>
      </w:pPr>
      <w:rPr>
        <w:rFonts w:ascii="Symbol" w:hAnsi="Symbol"/>
      </w:rPr>
    </w:lvl>
    <w:lvl w:ilvl="6" w:tplc="6AD62FCA">
      <w:start w:val="1"/>
      <w:numFmt w:val="bullet"/>
      <w:lvlText w:val=""/>
      <w:lvlJc w:val="left"/>
      <w:pPr>
        <w:ind w:left="720" w:hanging="360"/>
      </w:pPr>
      <w:rPr>
        <w:rFonts w:ascii="Symbol" w:hAnsi="Symbol"/>
      </w:rPr>
    </w:lvl>
    <w:lvl w:ilvl="7" w:tplc="A8D0B6F6">
      <w:start w:val="1"/>
      <w:numFmt w:val="bullet"/>
      <w:lvlText w:val=""/>
      <w:lvlJc w:val="left"/>
      <w:pPr>
        <w:ind w:left="720" w:hanging="360"/>
      </w:pPr>
      <w:rPr>
        <w:rFonts w:ascii="Symbol" w:hAnsi="Symbol"/>
      </w:rPr>
    </w:lvl>
    <w:lvl w:ilvl="8" w:tplc="9C7600D8">
      <w:start w:val="1"/>
      <w:numFmt w:val="bullet"/>
      <w:lvlText w:val=""/>
      <w:lvlJc w:val="left"/>
      <w:pPr>
        <w:ind w:left="720" w:hanging="360"/>
      </w:pPr>
      <w:rPr>
        <w:rFonts w:ascii="Symbol" w:hAnsi="Symbol"/>
      </w:rPr>
    </w:lvl>
  </w:abstractNum>
  <w:abstractNum w:abstractNumId="14" w15:restartNumberingAfterBreak="0">
    <w:nsid w:val="41C7270F"/>
    <w:multiLevelType w:val="hybridMultilevel"/>
    <w:tmpl w:val="4EA0B06A"/>
    <w:lvl w:ilvl="0" w:tplc="6E2040F2">
      <w:start w:val="1"/>
      <w:numFmt w:val="bullet"/>
      <w:lvlText w:val=""/>
      <w:lvlJc w:val="left"/>
      <w:pPr>
        <w:ind w:left="720" w:hanging="360"/>
      </w:pPr>
      <w:rPr>
        <w:rFonts w:ascii="Symbol" w:hAnsi="Symbol"/>
      </w:rPr>
    </w:lvl>
    <w:lvl w:ilvl="1" w:tplc="0750EBE0">
      <w:start w:val="1"/>
      <w:numFmt w:val="bullet"/>
      <w:lvlText w:val=""/>
      <w:lvlJc w:val="left"/>
      <w:pPr>
        <w:ind w:left="720" w:hanging="360"/>
      </w:pPr>
      <w:rPr>
        <w:rFonts w:ascii="Symbol" w:hAnsi="Symbol"/>
      </w:rPr>
    </w:lvl>
    <w:lvl w:ilvl="2" w:tplc="70444900">
      <w:start w:val="1"/>
      <w:numFmt w:val="bullet"/>
      <w:lvlText w:val=""/>
      <w:lvlJc w:val="left"/>
      <w:pPr>
        <w:ind w:left="720" w:hanging="360"/>
      </w:pPr>
      <w:rPr>
        <w:rFonts w:ascii="Symbol" w:hAnsi="Symbol"/>
      </w:rPr>
    </w:lvl>
    <w:lvl w:ilvl="3" w:tplc="E7DC6C56">
      <w:start w:val="1"/>
      <w:numFmt w:val="bullet"/>
      <w:lvlText w:val=""/>
      <w:lvlJc w:val="left"/>
      <w:pPr>
        <w:ind w:left="720" w:hanging="360"/>
      </w:pPr>
      <w:rPr>
        <w:rFonts w:ascii="Symbol" w:hAnsi="Symbol"/>
      </w:rPr>
    </w:lvl>
    <w:lvl w:ilvl="4" w:tplc="AC863140">
      <w:start w:val="1"/>
      <w:numFmt w:val="bullet"/>
      <w:lvlText w:val=""/>
      <w:lvlJc w:val="left"/>
      <w:pPr>
        <w:ind w:left="720" w:hanging="360"/>
      </w:pPr>
      <w:rPr>
        <w:rFonts w:ascii="Symbol" w:hAnsi="Symbol"/>
      </w:rPr>
    </w:lvl>
    <w:lvl w:ilvl="5" w:tplc="EDA8025C">
      <w:start w:val="1"/>
      <w:numFmt w:val="bullet"/>
      <w:lvlText w:val=""/>
      <w:lvlJc w:val="left"/>
      <w:pPr>
        <w:ind w:left="720" w:hanging="360"/>
      </w:pPr>
      <w:rPr>
        <w:rFonts w:ascii="Symbol" w:hAnsi="Symbol"/>
      </w:rPr>
    </w:lvl>
    <w:lvl w:ilvl="6" w:tplc="D0F027A0">
      <w:start w:val="1"/>
      <w:numFmt w:val="bullet"/>
      <w:lvlText w:val=""/>
      <w:lvlJc w:val="left"/>
      <w:pPr>
        <w:ind w:left="720" w:hanging="360"/>
      </w:pPr>
      <w:rPr>
        <w:rFonts w:ascii="Symbol" w:hAnsi="Symbol"/>
      </w:rPr>
    </w:lvl>
    <w:lvl w:ilvl="7" w:tplc="A1407EE8">
      <w:start w:val="1"/>
      <w:numFmt w:val="bullet"/>
      <w:lvlText w:val=""/>
      <w:lvlJc w:val="left"/>
      <w:pPr>
        <w:ind w:left="720" w:hanging="360"/>
      </w:pPr>
      <w:rPr>
        <w:rFonts w:ascii="Symbol" w:hAnsi="Symbol"/>
      </w:rPr>
    </w:lvl>
    <w:lvl w:ilvl="8" w:tplc="305A4ECC">
      <w:start w:val="1"/>
      <w:numFmt w:val="bullet"/>
      <w:lvlText w:val=""/>
      <w:lvlJc w:val="left"/>
      <w:pPr>
        <w:ind w:left="720" w:hanging="360"/>
      </w:pPr>
      <w:rPr>
        <w:rFonts w:ascii="Symbol" w:hAnsi="Symbol"/>
      </w:rPr>
    </w:lvl>
  </w:abstractNum>
  <w:abstractNum w:abstractNumId="15" w15:restartNumberingAfterBreak="0">
    <w:nsid w:val="43792C0E"/>
    <w:multiLevelType w:val="hybridMultilevel"/>
    <w:tmpl w:val="B3B6E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02C97"/>
    <w:multiLevelType w:val="hybridMultilevel"/>
    <w:tmpl w:val="64FA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98036A"/>
    <w:multiLevelType w:val="hybridMultilevel"/>
    <w:tmpl w:val="4E884D06"/>
    <w:lvl w:ilvl="0" w:tplc="5C0EFE76">
      <w:start w:val="1"/>
      <w:numFmt w:val="bullet"/>
      <w:lvlText w:val=""/>
      <w:lvlJc w:val="left"/>
      <w:pPr>
        <w:ind w:left="720" w:hanging="360"/>
      </w:pPr>
      <w:rPr>
        <w:rFonts w:ascii="Symbol" w:hAnsi="Symbol"/>
      </w:rPr>
    </w:lvl>
    <w:lvl w:ilvl="1" w:tplc="8F4CFACE">
      <w:start w:val="1"/>
      <w:numFmt w:val="bullet"/>
      <w:lvlText w:val=""/>
      <w:lvlJc w:val="left"/>
      <w:pPr>
        <w:ind w:left="720" w:hanging="360"/>
      </w:pPr>
      <w:rPr>
        <w:rFonts w:ascii="Symbol" w:hAnsi="Symbol"/>
      </w:rPr>
    </w:lvl>
    <w:lvl w:ilvl="2" w:tplc="65DE8E0E">
      <w:start w:val="1"/>
      <w:numFmt w:val="bullet"/>
      <w:lvlText w:val=""/>
      <w:lvlJc w:val="left"/>
      <w:pPr>
        <w:ind w:left="720" w:hanging="360"/>
      </w:pPr>
      <w:rPr>
        <w:rFonts w:ascii="Symbol" w:hAnsi="Symbol"/>
      </w:rPr>
    </w:lvl>
    <w:lvl w:ilvl="3" w:tplc="343E955E">
      <w:start w:val="1"/>
      <w:numFmt w:val="bullet"/>
      <w:lvlText w:val=""/>
      <w:lvlJc w:val="left"/>
      <w:pPr>
        <w:ind w:left="720" w:hanging="360"/>
      </w:pPr>
      <w:rPr>
        <w:rFonts w:ascii="Symbol" w:hAnsi="Symbol"/>
      </w:rPr>
    </w:lvl>
    <w:lvl w:ilvl="4" w:tplc="AA36834C">
      <w:start w:val="1"/>
      <w:numFmt w:val="bullet"/>
      <w:lvlText w:val=""/>
      <w:lvlJc w:val="left"/>
      <w:pPr>
        <w:ind w:left="720" w:hanging="360"/>
      </w:pPr>
      <w:rPr>
        <w:rFonts w:ascii="Symbol" w:hAnsi="Symbol"/>
      </w:rPr>
    </w:lvl>
    <w:lvl w:ilvl="5" w:tplc="9FAAD226">
      <w:start w:val="1"/>
      <w:numFmt w:val="bullet"/>
      <w:lvlText w:val=""/>
      <w:lvlJc w:val="left"/>
      <w:pPr>
        <w:ind w:left="720" w:hanging="360"/>
      </w:pPr>
      <w:rPr>
        <w:rFonts w:ascii="Symbol" w:hAnsi="Symbol"/>
      </w:rPr>
    </w:lvl>
    <w:lvl w:ilvl="6" w:tplc="7F4AC8C0">
      <w:start w:val="1"/>
      <w:numFmt w:val="bullet"/>
      <w:lvlText w:val=""/>
      <w:lvlJc w:val="left"/>
      <w:pPr>
        <w:ind w:left="720" w:hanging="360"/>
      </w:pPr>
      <w:rPr>
        <w:rFonts w:ascii="Symbol" w:hAnsi="Symbol"/>
      </w:rPr>
    </w:lvl>
    <w:lvl w:ilvl="7" w:tplc="177E8642">
      <w:start w:val="1"/>
      <w:numFmt w:val="bullet"/>
      <w:lvlText w:val=""/>
      <w:lvlJc w:val="left"/>
      <w:pPr>
        <w:ind w:left="720" w:hanging="360"/>
      </w:pPr>
      <w:rPr>
        <w:rFonts w:ascii="Symbol" w:hAnsi="Symbol"/>
      </w:rPr>
    </w:lvl>
    <w:lvl w:ilvl="8" w:tplc="F7922688">
      <w:start w:val="1"/>
      <w:numFmt w:val="bullet"/>
      <w:lvlText w:val=""/>
      <w:lvlJc w:val="left"/>
      <w:pPr>
        <w:ind w:left="720" w:hanging="360"/>
      </w:pPr>
      <w:rPr>
        <w:rFonts w:ascii="Symbol" w:hAnsi="Symbol"/>
      </w:rPr>
    </w:lvl>
  </w:abstractNum>
  <w:abstractNum w:abstractNumId="18" w15:restartNumberingAfterBreak="0">
    <w:nsid w:val="57B0446E"/>
    <w:multiLevelType w:val="multilevel"/>
    <w:tmpl w:val="51FE015A"/>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E7598A"/>
    <w:multiLevelType w:val="hybridMultilevel"/>
    <w:tmpl w:val="08E6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5375FC"/>
    <w:multiLevelType w:val="hybridMultilevel"/>
    <w:tmpl w:val="1812E064"/>
    <w:lvl w:ilvl="0" w:tplc="DFA08048">
      <w:start w:val="1"/>
      <w:numFmt w:val="bullet"/>
      <w:lvlText w:val=""/>
      <w:lvlJc w:val="left"/>
      <w:pPr>
        <w:ind w:left="1440" w:hanging="360"/>
      </w:pPr>
      <w:rPr>
        <w:rFonts w:ascii="Symbol" w:hAnsi="Symbol"/>
      </w:rPr>
    </w:lvl>
    <w:lvl w:ilvl="1" w:tplc="DBE8DAAA">
      <w:start w:val="1"/>
      <w:numFmt w:val="bullet"/>
      <w:lvlText w:val=""/>
      <w:lvlJc w:val="left"/>
      <w:pPr>
        <w:ind w:left="1440" w:hanging="360"/>
      </w:pPr>
      <w:rPr>
        <w:rFonts w:ascii="Symbol" w:hAnsi="Symbol"/>
      </w:rPr>
    </w:lvl>
    <w:lvl w:ilvl="2" w:tplc="5F28EA9C">
      <w:start w:val="1"/>
      <w:numFmt w:val="bullet"/>
      <w:lvlText w:val=""/>
      <w:lvlJc w:val="left"/>
      <w:pPr>
        <w:ind w:left="1440" w:hanging="360"/>
      </w:pPr>
      <w:rPr>
        <w:rFonts w:ascii="Symbol" w:hAnsi="Symbol"/>
      </w:rPr>
    </w:lvl>
    <w:lvl w:ilvl="3" w:tplc="E1EA6B86">
      <w:start w:val="1"/>
      <w:numFmt w:val="bullet"/>
      <w:lvlText w:val=""/>
      <w:lvlJc w:val="left"/>
      <w:pPr>
        <w:ind w:left="1440" w:hanging="360"/>
      </w:pPr>
      <w:rPr>
        <w:rFonts w:ascii="Symbol" w:hAnsi="Symbol"/>
      </w:rPr>
    </w:lvl>
    <w:lvl w:ilvl="4" w:tplc="5B2E5050">
      <w:start w:val="1"/>
      <w:numFmt w:val="bullet"/>
      <w:lvlText w:val=""/>
      <w:lvlJc w:val="left"/>
      <w:pPr>
        <w:ind w:left="1440" w:hanging="360"/>
      </w:pPr>
      <w:rPr>
        <w:rFonts w:ascii="Symbol" w:hAnsi="Symbol"/>
      </w:rPr>
    </w:lvl>
    <w:lvl w:ilvl="5" w:tplc="7EE0C262">
      <w:start w:val="1"/>
      <w:numFmt w:val="bullet"/>
      <w:lvlText w:val=""/>
      <w:lvlJc w:val="left"/>
      <w:pPr>
        <w:ind w:left="1440" w:hanging="360"/>
      </w:pPr>
      <w:rPr>
        <w:rFonts w:ascii="Symbol" w:hAnsi="Symbol"/>
      </w:rPr>
    </w:lvl>
    <w:lvl w:ilvl="6" w:tplc="A4028ABE">
      <w:start w:val="1"/>
      <w:numFmt w:val="bullet"/>
      <w:lvlText w:val=""/>
      <w:lvlJc w:val="left"/>
      <w:pPr>
        <w:ind w:left="1440" w:hanging="360"/>
      </w:pPr>
      <w:rPr>
        <w:rFonts w:ascii="Symbol" w:hAnsi="Symbol"/>
      </w:rPr>
    </w:lvl>
    <w:lvl w:ilvl="7" w:tplc="015207F0">
      <w:start w:val="1"/>
      <w:numFmt w:val="bullet"/>
      <w:lvlText w:val=""/>
      <w:lvlJc w:val="left"/>
      <w:pPr>
        <w:ind w:left="1440" w:hanging="360"/>
      </w:pPr>
      <w:rPr>
        <w:rFonts w:ascii="Symbol" w:hAnsi="Symbol"/>
      </w:rPr>
    </w:lvl>
    <w:lvl w:ilvl="8" w:tplc="F03CD696">
      <w:start w:val="1"/>
      <w:numFmt w:val="bullet"/>
      <w:lvlText w:val=""/>
      <w:lvlJc w:val="left"/>
      <w:pPr>
        <w:ind w:left="1440" w:hanging="360"/>
      </w:pPr>
      <w:rPr>
        <w:rFonts w:ascii="Symbol" w:hAnsi="Symbol"/>
      </w:rPr>
    </w:lvl>
  </w:abstractNum>
  <w:abstractNum w:abstractNumId="21" w15:restartNumberingAfterBreak="0">
    <w:nsid w:val="5EBF07DB"/>
    <w:multiLevelType w:val="hybridMultilevel"/>
    <w:tmpl w:val="332803CE"/>
    <w:lvl w:ilvl="0" w:tplc="643E32B6">
      <w:start w:val="1"/>
      <w:numFmt w:val="bullet"/>
      <w:lvlText w:val=""/>
      <w:lvlJc w:val="left"/>
      <w:pPr>
        <w:ind w:left="720" w:hanging="360"/>
      </w:pPr>
      <w:rPr>
        <w:rFonts w:ascii="Symbol" w:hAnsi="Symbol"/>
      </w:rPr>
    </w:lvl>
    <w:lvl w:ilvl="1" w:tplc="F2C87456">
      <w:start w:val="1"/>
      <w:numFmt w:val="bullet"/>
      <w:lvlText w:val=""/>
      <w:lvlJc w:val="left"/>
      <w:pPr>
        <w:ind w:left="720" w:hanging="360"/>
      </w:pPr>
      <w:rPr>
        <w:rFonts w:ascii="Symbol" w:hAnsi="Symbol"/>
      </w:rPr>
    </w:lvl>
    <w:lvl w:ilvl="2" w:tplc="843200A8">
      <w:start w:val="1"/>
      <w:numFmt w:val="bullet"/>
      <w:lvlText w:val=""/>
      <w:lvlJc w:val="left"/>
      <w:pPr>
        <w:ind w:left="720" w:hanging="360"/>
      </w:pPr>
      <w:rPr>
        <w:rFonts w:ascii="Symbol" w:hAnsi="Symbol"/>
      </w:rPr>
    </w:lvl>
    <w:lvl w:ilvl="3" w:tplc="7BE8D13C">
      <w:start w:val="1"/>
      <w:numFmt w:val="bullet"/>
      <w:lvlText w:val=""/>
      <w:lvlJc w:val="left"/>
      <w:pPr>
        <w:ind w:left="720" w:hanging="360"/>
      </w:pPr>
      <w:rPr>
        <w:rFonts w:ascii="Symbol" w:hAnsi="Symbol"/>
      </w:rPr>
    </w:lvl>
    <w:lvl w:ilvl="4" w:tplc="74263B68">
      <w:start w:val="1"/>
      <w:numFmt w:val="bullet"/>
      <w:lvlText w:val=""/>
      <w:lvlJc w:val="left"/>
      <w:pPr>
        <w:ind w:left="720" w:hanging="360"/>
      </w:pPr>
      <w:rPr>
        <w:rFonts w:ascii="Symbol" w:hAnsi="Symbol"/>
      </w:rPr>
    </w:lvl>
    <w:lvl w:ilvl="5" w:tplc="68026B24">
      <w:start w:val="1"/>
      <w:numFmt w:val="bullet"/>
      <w:lvlText w:val=""/>
      <w:lvlJc w:val="left"/>
      <w:pPr>
        <w:ind w:left="720" w:hanging="360"/>
      </w:pPr>
      <w:rPr>
        <w:rFonts w:ascii="Symbol" w:hAnsi="Symbol"/>
      </w:rPr>
    </w:lvl>
    <w:lvl w:ilvl="6" w:tplc="A35EFD94">
      <w:start w:val="1"/>
      <w:numFmt w:val="bullet"/>
      <w:lvlText w:val=""/>
      <w:lvlJc w:val="left"/>
      <w:pPr>
        <w:ind w:left="720" w:hanging="360"/>
      </w:pPr>
      <w:rPr>
        <w:rFonts w:ascii="Symbol" w:hAnsi="Symbol"/>
      </w:rPr>
    </w:lvl>
    <w:lvl w:ilvl="7" w:tplc="A62203A4">
      <w:start w:val="1"/>
      <w:numFmt w:val="bullet"/>
      <w:lvlText w:val=""/>
      <w:lvlJc w:val="left"/>
      <w:pPr>
        <w:ind w:left="720" w:hanging="360"/>
      </w:pPr>
      <w:rPr>
        <w:rFonts w:ascii="Symbol" w:hAnsi="Symbol"/>
      </w:rPr>
    </w:lvl>
    <w:lvl w:ilvl="8" w:tplc="0C5C9000">
      <w:start w:val="1"/>
      <w:numFmt w:val="bullet"/>
      <w:lvlText w:val=""/>
      <w:lvlJc w:val="left"/>
      <w:pPr>
        <w:ind w:left="720" w:hanging="360"/>
      </w:pPr>
      <w:rPr>
        <w:rFonts w:ascii="Symbol" w:hAnsi="Symbol"/>
      </w:rPr>
    </w:lvl>
  </w:abstractNum>
  <w:abstractNum w:abstractNumId="22" w15:restartNumberingAfterBreak="0">
    <w:nsid w:val="69082424"/>
    <w:multiLevelType w:val="hybridMultilevel"/>
    <w:tmpl w:val="AB42A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2642BB"/>
    <w:multiLevelType w:val="hybridMultilevel"/>
    <w:tmpl w:val="66589684"/>
    <w:lvl w:ilvl="0" w:tplc="B6D0BA4C">
      <w:start w:val="2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736256"/>
    <w:multiLevelType w:val="hybridMultilevel"/>
    <w:tmpl w:val="88E2A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589152">
    <w:abstractNumId w:val="6"/>
  </w:num>
  <w:num w:numId="2" w16cid:durableId="321155356">
    <w:abstractNumId w:val="23"/>
  </w:num>
  <w:num w:numId="3" w16cid:durableId="603540134">
    <w:abstractNumId w:val="18"/>
  </w:num>
  <w:num w:numId="4" w16cid:durableId="347416219">
    <w:abstractNumId w:val="5"/>
  </w:num>
  <w:num w:numId="5" w16cid:durableId="1460340605">
    <w:abstractNumId w:val="7"/>
  </w:num>
  <w:num w:numId="6" w16cid:durableId="1172454067">
    <w:abstractNumId w:val="22"/>
  </w:num>
  <w:num w:numId="7" w16cid:durableId="937561613">
    <w:abstractNumId w:val="16"/>
  </w:num>
  <w:num w:numId="8" w16cid:durableId="1827937193">
    <w:abstractNumId w:val="19"/>
  </w:num>
  <w:num w:numId="9" w16cid:durableId="1575432244">
    <w:abstractNumId w:val="2"/>
  </w:num>
  <w:num w:numId="10" w16cid:durableId="777484291">
    <w:abstractNumId w:val="3"/>
  </w:num>
  <w:num w:numId="11" w16cid:durableId="1281835688">
    <w:abstractNumId w:val="24"/>
  </w:num>
  <w:num w:numId="12" w16cid:durableId="1484657907">
    <w:abstractNumId w:val="12"/>
  </w:num>
  <w:num w:numId="13" w16cid:durableId="114761066">
    <w:abstractNumId w:val="1"/>
  </w:num>
  <w:num w:numId="14" w16cid:durableId="1670207178">
    <w:abstractNumId w:val="15"/>
  </w:num>
  <w:num w:numId="15" w16cid:durableId="343939512">
    <w:abstractNumId w:val="20"/>
  </w:num>
  <w:num w:numId="16" w16cid:durableId="506361220">
    <w:abstractNumId w:val="4"/>
  </w:num>
  <w:num w:numId="17" w16cid:durableId="362637372">
    <w:abstractNumId w:val="9"/>
  </w:num>
  <w:num w:numId="18" w16cid:durableId="2147118019">
    <w:abstractNumId w:val="17"/>
  </w:num>
  <w:num w:numId="19" w16cid:durableId="836116190">
    <w:abstractNumId w:val="21"/>
  </w:num>
  <w:num w:numId="20" w16cid:durableId="919873494">
    <w:abstractNumId w:val="13"/>
  </w:num>
  <w:num w:numId="21" w16cid:durableId="1907496969">
    <w:abstractNumId w:val="14"/>
  </w:num>
  <w:num w:numId="22" w16cid:durableId="1693451826">
    <w:abstractNumId w:val="10"/>
  </w:num>
  <w:num w:numId="23" w16cid:durableId="929311026">
    <w:abstractNumId w:val="0"/>
  </w:num>
  <w:num w:numId="24" w16cid:durableId="1927692051">
    <w:abstractNumId w:val="11"/>
  </w:num>
  <w:num w:numId="25" w16cid:durableId="2120291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32"/>
    <w:rsid w:val="00002672"/>
    <w:rsid w:val="00004073"/>
    <w:rsid w:val="0000760B"/>
    <w:rsid w:val="0001048C"/>
    <w:rsid w:val="0001222A"/>
    <w:rsid w:val="00013B6B"/>
    <w:rsid w:val="00015658"/>
    <w:rsid w:val="000156F0"/>
    <w:rsid w:val="00015B7B"/>
    <w:rsid w:val="00016605"/>
    <w:rsid w:val="00017913"/>
    <w:rsid w:val="00020599"/>
    <w:rsid w:val="00023E25"/>
    <w:rsid w:val="0002471D"/>
    <w:rsid w:val="000342F3"/>
    <w:rsid w:val="000346C8"/>
    <w:rsid w:val="00037032"/>
    <w:rsid w:val="00040D4F"/>
    <w:rsid w:val="000525B4"/>
    <w:rsid w:val="0005489E"/>
    <w:rsid w:val="000559C6"/>
    <w:rsid w:val="00061308"/>
    <w:rsid w:val="000615E5"/>
    <w:rsid w:val="00061B7E"/>
    <w:rsid w:val="00065DA6"/>
    <w:rsid w:val="000665EE"/>
    <w:rsid w:val="00071D92"/>
    <w:rsid w:val="000733AE"/>
    <w:rsid w:val="00074193"/>
    <w:rsid w:val="0007590D"/>
    <w:rsid w:val="00081182"/>
    <w:rsid w:val="0008352C"/>
    <w:rsid w:val="00083F65"/>
    <w:rsid w:val="00092A47"/>
    <w:rsid w:val="00093012"/>
    <w:rsid w:val="00095297"/>
    <w:rsid w:val="000956E2"/>
    <w:rsid w:val="00096161"/>
    <w:rsid w:val="000A5D01"/>
    <w:rsid w:val="000A6825"/>
    <w:rsid w:val="000B1367"/>
    <w:rsid w:val="000B1455"/>
    <w:rsid w:val="000B2CC7"/>
    <w:rsid w:val="000B77B4"/>
    <w:rsid w:val="000B7BEF"/>
    <w:rsid w:val="000C0510"/>
    <w:rsid w:val="000C1B13"/>
    <w:rsid w:val="000C302A"/>
    <w:rsid w:val="000C304C"/>
    <w:rsid w:val="000C7292"/>
    <w:rsid w:val="000C77DF"/>
    <w:rsid w:val="000D02F1"/>
    <w:rsid w:val="000D0CE3"/>
    <w:rsid w:val="000D400A"/>
    <w:rsid w:val="000D4E02"/>
    <w:rsid w:val="000D73FA"/>
    <w:rsid w:val="000E04BF"/>
    <w:rsid w:val="000E402B"/>
    <w:rsid w:val="000E6860"/>
    <w:rsid w:val="000F1096"/>
    <w:rsid w:val="000F297D"/>
    <w:rsid w:val="00100EB2"/>
    <w:rsid w:val="00101049"/>
    <w:rsid w:val="00101686"/>
    <w:rsid w:val="001040E1"/>
    <w:rsid w:val="00107D02"/>
    <w:rsid w:val="00115BF8"/>
    <w:rsid w:val="00116712"/>
    <w:rsid w:val="00121BB4"/>
    <w:rsid w:val="001227AC"/>
    <w:rsid w:val="001235A6"/>
    <w:rsid w:val="0013366B"/>
    <w:rsid w:val="00134E57"/>
    <w:rsid w:val="00137D5A"/>
    <w:rsid w:val="0014024C"/>
    <w:rsid w:val="00140B02"/>
    <w:rsid w:val="00140EF9"/>
    <w:rsid w:val="001425AD"/>
    <w:rsid w:val="00142C5E"/>
    <w:rsid w:val="00150AC9"/>
    <w:rsid w:val="0015523F"/>
    <w:rsid w:val="00155376"/>
    <w:rsid w:val="0015546B"/>
    <w:rsid w:val="001566B0"/>
    <w:rsid w:val="00157191"/>
    <w:rsid w:val="0016000F"/>
    <w:rsid w:val="0016056B"/>
    <w:rsid w:val="00172180"/>
    <w:rsid w:val="001727F0"/>
    <w:rsid w:val="001767F6"/>
    <w:rsid w:val="0017789E"/>
    <w:rsid w:val="001809CC"/>
    <w:rsid w:val="00181011"/>
    <w:rsid w:val="00182D44"/>
    <w:rsid w:val="0018404B"/>
    <w:rsid w:val="00184AFB"/>
    <w:rsid w:val="00186C2F"/>
    <w:rsid w:val="0019158C"/>
    <w:rsid w:val="001964CB"/>
    <w:rsid w:val="001A0A78"/>
    <w:rsid w:val="001A1DE4"/>
    <w:rsid w:val="001A31D5"/>
    <w:rsid w:val="001B0683"/>
    <w:rsid w:val="001B273A"/>
    <w:rsid w:val="001B29A8"/>
    <w:rsid w:val="001B4859"/>
    <w:rsid w:val="001B55B1"/>
    <w:rsid w:val="001C493A"/>
    <w:rsid w:val="001C7341"/>
    <w:rsid w:val="001D1041"/>
    <w:rsid w:val="001D4485"/>
    <w:rsid w:val="001D72DA"/>
    <w:rsid w:val="001E32FB"/>
    <w:rsid w:val="001E497E"/>
    <w:rsid w:val="001E4A6D"/>
    <w:rsid w:val="001E54DB"/>
    <w:rsid w:val="001E6576"/>
    <w:rsid w:val="001F1651"/>
    <w:rsid w:val="001F2F14"/>
    <w:rsid w:val="001F53E5"/>
    <w:rsid w:val="001F54CC"/>
    <w:rsid w:val="001F7475"/>
    <w:rsid w:val="00200C04"/>
    <w:rsid w:val="0020311B"/>
    <w:rsid w:val="00203E02"/>
    <w:rsid w:val="00207E5E"/>
    <w:rsid w:val="00210BC7"/>
    <w:rsid w:val="002111B1"/>
    <w:rsid w:val="002126A8"/>
    <w:rsid w:val="00212792"/>
    <w:rsid w:val="00214D7A"/>
    <w:rsid w:val="002166FF"/>
    <w:rsid w:val="002200FF"/>
    <w:rsid w:val="0022059D"/>
    <w:rsid w:val="00220F1E"/>
    <w:rsid w:val="00224608"/>
    <w:rsid w:val="00224CF0"/>
    <w:rsid w:val="00224E63"/>
    <w:rsid w:val="00226E7E"/>
    <w:rsid w:val="0023294A"/>
    <w:rsid w:val="00233771"/>
    <w:rsid w:val="002341F9"/>
    <w:rsid w:val="00234804"/>
    <w:rsid w:val="00234AFD"/>
    <w:rsid w:val="00236F43"/>
    <w:rsid w:val="00237FC0"/>
    <w:rsid w:val="00240C81"/>
    <w:rsid w:val="002414F7"/>
    <w:rsid w:val="00241DDD"/>
    <w:rsid w:val="00242E11"/>
    <w:rsid w:val="002435C6"/>
    <w:rsid w:val="00243F53"/>
    <w:rsid w:val="002526E1"/>
    <w:rsid w:val="00252ED5"/>
    <w:rsid w:val="00256B8C"/>
    <w:rsid w:val="002576CE"/>
    <w:rsid w:val="00260188"/>
    <w:rsid w:val="002603AD"/>
    <w:rsid w:val="00261349"/>
    <w:rsid w:val="002614C8"/>
    <w:rsid w:val="0026195B"/>
    <w:rsid w:val="00263E34"/>
    <w:rsid w:val="00265CCA"/>
    <w:rsid w:val="00266D50"/>
    <w:rsid w:val="00270861"/>
    <w:rsid w:val="00271FE8"/>
    <w:rsid w:val="00272AB3"/>
    <w:rsid w:val="00274827"/>
    <w:rsid w:val="00281F59"/>
    <w:rsid w:val="00283EF4"/>
    <w:rsid w:val="00285CAD"/>
    <w:rsid w:val="00290F44"/>
    <w:rsid w:val="0029172E"/>
    <w:rsid w:val="00293088"/>
    <w:rsid w:val="00294300"/>
    <w:rsid w:val="00297814"/>
    <w:rsid w:val="002A11D8"/>
    <w:rsid w:val="002A2268"/>
    <w:rsid w:val="002B02F7"/>
    <w:rsid w:val="002B3EF8"/>
    <w:rsid w:val="002B4C17"/>
    <w:rsid w:val="002C01C4"/>
    <w:rsid w:val="002C1B87"/>
    <w:rsid w:val="002C2A4E"/>
    <w:rsid w:val="002C457C"/>
    <w:rsid w:val="002C4F9A"/>
    <w:rsid w:val="002C6C8A"/>
    <w:rsid w:val="002D19EA"/>
    <w:rsid w:val="002D3701"/>
    <w:rsid w:val="002D441F"/>
    <w:rsid w:val="002D6EA4"/>
    <w:rsid w:val="002D73C2"/>
    <w:rsid w:val="002E03BF"/>
    <w:rsid w:val="002E0594"/>
    <w:rsid w:val="002E35D3"/>
    <w:rsid w:val="002E3D4F"/>
    <w:rsid w:val="002E4161"/>
    <w:rsid w:val="002E77C2"/>
    <w:rsid w:val="002F12ED"/>
    <w:rsid w:val="002F154D"/>
    <w:rsid w:val="002F2933"/>
    <w:rsid w:val="002F5E10"/>
    <w:rsid w:val="00301485"/>
    <w:rsid w:val="00306D6D"/>
    <w:rsid w:val="00306DFD"/>
    <w:rsid w:val="00320FA7"/>
    <w:rsid w:val="00322129"/>
    <w:rsid w:val="003224B7"/>
    <w:rsid w:val="003258AE"/>
    <w:rsid w:val="003267F2"/>
    <w:rsid w:val="00327C0C"/>
    <w:rsid w:val="00333898"/>
    <w:rsid w:val="00334A60"/>
    <w:rsid w:val="00334A7D"/>
    <w:rsid w:val="00336DC8"/>
    <w:rsid w:val="00337E63"/>
    <w:rsid w:val="0034256B"/>
    <w:rsid w:val="00342951"/>
    <w:rsid w:val="00342FF2"/>
    <w:rsid w:val="003432D0"/>
    <w:rsid w:val="0034753F"/>
    <w:rsid w:val="00352AB7"/>
    <w:rsid w:val="00355BAF"/>
    <w:rsid w:val="00355C95"/>
    <w:rsid w:val="0035625B"/>
    <w:rsid w:val="00360497"/>
    <w:rsid w:val="0036318B"/>
    <w:rsid w:val="003701DB"/>
    <w:rsid w:val="0037125A"/>
    <w:rsid w:val="00374118"/>
    <w:rsid w:val="00376B24"/>
    <w:rsid w:val="003805E9"/>
    <w:rsid w:val="003821D1"/>
    <w:rsid w:val="003831DF"/>
    <w:rsid w:val="003847D9"/>
    <w:rsid w:val="00384AED"/>
    <w:rsid w:val="00384D5B"/>
    <w:rsid w:val="00385ED5"/>
    <w:rsid w:val="003917C3"/>
    <w:rsid w:val="003A3E18"/>
    <w:rsid w:val="003A602C"/>
    <w:rsid w:val="003B16D0"/>
    <w:rsid w:val="003B7C85"/>
    <w:rsid w:val="003C4658"/>
    <w:rsid w:val="003D2CB8"/>
    <w:rsid w:val="003D47F3"/>
    <w:rsid w:val="003D643C"/>
    <w:rsid w:val="003D7C2D"/>
    <w:rsid w:val="003F1D81"/>
    <w:rsid w:val="003F4D81"/>
    <w:rsid w:val="003F5E02"/>
    <w:rsid w:val="0040649E"/>
    <w:rsid w:val="0041180C"/>
    <w:rsid w:val="00413536"/>
    <w:rsid w:val="00413A74"/>
    <w:rsid w:val="00413F3A"/>
    <w:rsid w:val="00415D64"/>
    <w:rsid w:val="004167E7"/>
    <w:rsid w:val="00417967"/>
    <w:rsid w:val="00417EDA"/>
    <w:rsid w:val="0042199A"/>
    <w:rsid w:val="00425751"/>
    <w:rsid w:val="0042661D"/>
    <w:rsid w:val="00426DD4"/>
    <w:rsid w:val="00426EE1"/>
    <w:rsid w:val="0043038C"/>
    <w:rsid w:val="00432686"/>
    <w:rsid w:val="004329F9"/>
    <w:rsid w:val="004333F3"/>
    <w:rsid w:val="004345BE"/>
    <w:rsid w:val="004349C2"/>
    <w:rsid w:val="00435551"/>
    <w:rsid w:val="00435A18"/>
    <w:rsid w:val="004367C4"/>
    <w:rsid w:val="004373E1"/>
    <w:rsid w:val="00441CFE"/>
    <w:rsid w:val="00442A37"/>
    <w:rsid w:val="004434C2"/>
    <w:rsid w:val="004455D7"/>
    <w:rsid w:val="00446048"/>
    <w:rsid w:val="00446592"/>
    <w:rsid w:val="00447238"/>
    <w:rsid w:val="00453B6C"/>
    <w:rsid w:val="00455CE0"/>
    <w:rsid w:val="0045604D"/>
    <w:rsid w:val="00460A9F"/>
    <w:rsid w:val="0046502A"/>
    <w:rsid w:val="00465D8A"/>
    <w:rsid w:val="00466505"/>
    <w:rsid w:val="004670E0"/>
    <w:rsid w:val="004675A8"/>
    <w:rsid w:val="0046765E"/>
    <w:rsid w:val="00471705"/>
    <w:rsid w:val="00472121"/>
    <w:rsid w:val="00472860"/>
    <w:rsid w:val="00475231"/>
    <w:rsid w:val="004763D1"/>
    <w:rsid w:val="00481A5A"/>
    <w:rsid w:val="004825F3"/>
    <w:rsid w:val="00484E16"/>
    <w:rsid w:val="00487421"/>
    <w:rsid w:val="004934B6"/>
    <w:rsid w:val="00494779"/>
    <w:rsid w:val="004975AE"/>
    <w:rsid w:val="004A0551"/>
    <w:rsid w:val="004A193F"/>
    <w:rsid w:val="004A271C"/>
    <w:rsid w:val="004A3589"/>
    <w:rsid w:val="004A70BB"/>
    <w:rsid w:val="004B1163"/>
    <w:rsid w:val="004B62DB"/>
    <w:rsid w:val="004B7640"/>
    <w:rsid w:val="004C21C1"/>
    <w:rsid w:val="004C332A"/>
    <w:rsid w:val="004C33B6"/>
    <w:rsid w:val="004C5A5A"/>
    <w:rsid w:val="004C65E3"/>
    <w:rsid w:val="004C765B"/>
    <w:rsid w:val="004C7C95"/>
    <w:rsid w:val="004D00B2"/>
    <w:rsid w:val="004D100D"/>
    <w:rsid w:val="004D577A"/>
    <w:rsid w:val="004D6DB1"/>
    <w:rsid w:val="004E1EB5"/>
    <w:rsid w:val="004E2AB4"/>
    <w:rsid w:val="004E4B65"/>
    <w:rsid w:val="004E5A30"/>
    <w:rsid w:val="004E7C2B"/>
    <w:rsid w:val="004F038C"/>
    <w:rsid w:val="004F0478"/>
    <w:rsid w:val="004F619F"/>
    <w:rsid w:val="00500B80"/>
    <w:rsid w:val="00505117"/>
    <w:rsid w:val="005067E8"/>
    <w:rsid w:val="005104D7"/>
    <w:rsid w:val="00510756"/>
    <w:rsid w:val="00512676"/>
    <w:rsid w:val="00514F75"/>
    <w:rsid w:val="00515DA5"/>
    <w:rsid w:val="005166E7"/>
    <w:rsid w:val="00520786"/>
    <w:rsid w:val="00522B50"/>
    <w:rsid w:val="005230FB"/>
    <w:rsid w:val="00523B02"/>
    <w:rsid w:val="00530AF3"/>
    <w:rsid w:val="00533D95"/>
    <w:rsid w:val="00534104"/>
    <w:rsid w:val="00535EAD"/>
    <w:rsid w:val="00540BE3"/>
    <w:rsid w:val="005500E2"/>
    <w:rsid w:val="00550E3F"/>
    <w:rsid w:val="00552097"/>
    <w:rsid w:val="00553B1E"/>
    <w:rsid w:val="00553D75"/>
    <w:rsid w:val="00564571"/>
    <w:rsid w:val="00564FFF"/>
    <w:rsid w:val="00572AE3"/>
    <w:rsid w:val="005730F2"/>
    <w:rsid w:val="00575BDC"/>
    <w:rsid w:val="005808E2"/>
    <w:rsid w:val="00586987"/>
    <w:rsid w:val="00590032"/>
    <w:rsid w:val="00591DA8"/>
    <w:rsid w:val="00595720"/>
    <w:rsid w:val="005957C8"/>
    <w:rsid w:val="0059609F"/>
    <w:rsid w:val="005A2881"/>
    <w:rsid w:val="005A333A"/>
    <w:rsid w:val="005A3DA5"/>
    <w:rsid w:val="005A43D0"/>
    <w:rsid w:val="005A6C35"/>
    <w:rsid w:val="005B37D2"/>
    <w:rsid w:val="005B4166"/>
    <w:rsid w:val="005B48DC"/>
    <w:rsid w:val="005B6B0A"/>
    <w:rsid w:val="005B7470"/>
    <w:rsid w:val="005C0113"/>
    <w:rsid w:val="005C6628"/>
    <w:rsid w:val="005D1039"/>
    <w:rsid w:val="005D1C65"/>
    <w:rsid w:val="005D4221"/>
    <w:rsid w:val="005D7C06"/>
    <w:rsid w:val="005E01D7"/>
    <w:rsid w:val="005E23D5"/>
    <w:rsid w:val="005E2925"/>
    <w:rsid w:val="005E2A7C"/>
    <w:rsid w:val="005E384F"/>
    <w:rsid w:val="005E4B70"/>
    <w:rsid w:val="005E6A74"/>
    <w:rsid w:val="005E7260"/>
    <w:rsid w:val="005F4478"/>
    <w:rsid w:val="005F696C"/>
    <w:rsid w:val="00600996"/>
    <w:rsid w:val="00601554"/>
    <w:rsid w:val="0060415F"/>
    <w:rsid w:val="006056B0"/>
    <w:rsid w:val="006123C4"/>
    <w:rsid w:val="0061345F"/>
    <w:rsid w:val="00615654"/>
    <w:rsid w:val="00616943"/>
    <w:rsid w:val="00621523"/>
    <w:rsid w:val="00624B59"/>
    <w:rsid w:val="00627ADC"/>
    <w:rsid w:val="006324CF"/>
    <w:rsid w:val="0063376F"/>
    <w:rsid w:val="006447D8"/>
    <w:rsid w:val="006462CA"/>
    <w:rsid w:val="0064648C"/>
    <w:rsid w:val="006467D9"/>
    <w:rsid w:val="0064694C"/>
    <w:rsid w:val="00646DCD"/>
    <w:rsid w:val="00650B0E"/>
    <w:rsid w:val="00651E7F"/>
    <w:rsid w:val="00652B52"/>
    <w:rsid w:val="00652EE6"/>
    <w:rsid w:val="00652F83"/>
    <w:rsid w:val="006547BE"/>
    <w:rsid w:val="0065483F"/>
    <w:rsid w:val="00654A82"/>
    <w:rsid w:val="00655341"/>
    <w:rsid w:val="00656B4B"/>
    <w:rsid w:val="00660576"/>
    <w:rsid w:val="00661DC1"/>
    <w:rsid w:val="006627E7"/>
    <w:rsid w:val="0066400D"/>
    <w:rsid w:val="00664BCA"/>
    <w:rsid w:val="0067168D"/>
    <w:rsid w:val="00673129"/>
    <w:rsid w:val="006739FD"/>
    <w:rsid w:val="006773BA"/>
    <w:rsid w:val="006813E7"/>
    <w:rsid w:val="00682BE2"/>
    <w:rsid w:val="00683579"/>
    <w:rsid w:val="0068689A"/>
    <w:rsid w:val="0069262D"/>
    <w:rsid w:val="00693449"/>
    <w:rsid w:val="00693F53"/>
    <w:rsid w:val="006A0DFF"/>
    <w:rsid w:val="006A4900"/>
    <w:rsid w:val="006A691A"/>
    <w:rsid w:val="006B1E7E"/>
    <w:rsid w:val="006B56CD"/>
    <w:rsid w:val="006B5779"/>
    <w:rsid w:val="006B58C8"/>
    <w:rsid w:val="006B7EF0"/>
    <w:rsid w:val="006C35CD"/>
    <w:rsid w:val="006C3B06"/>
    <w:rsid w:val="006C6C9E"/>
    <w:rsid w:val="006D04EE"/>
    <w:rsid w:val="006D70C8"/>
    <w:rsid w:val="006E2399"/>
    <w:rsid w:val="006E5734"/>
    <w:rsid w:val="006E5BC0"/>
    <w:rsid w:val="006E6947"/>
    <w:rsid w:val="006F2A51"/>
    <w:rsid w:val="006F3987"/>
    <w:rsid w:val="006F3D30"/>
    <w:rsid w:val="006F5514"/>
    <w:rsid w:val="006F6486"/>
    <w:rsid w:val="006F6A0F"/>
    <w:rsid w:val="006F790C"/>
    <w:rsid w:val="00701188"/>
    <w:rsid w:val="007016EA"/>
    <w:rsid w:val="00702EC0"/>
    <w:rsid w:val="00704A6C"/>
    <w:rsid w:val="00704EEA"/>
    <w:rsid w:val="00710A6C"/>
    <w:rsid w:val="007151CC"/>
    <w:rsid w:val="007153F9"/>
    <w:rsid w:val="0071645D"/>
    <w:rsid w:val="00717619"/>
    <w:rsid w:val="00720271"/>
    <w:rsid w:val="00720540"/>
    <w:rsid w:val="00720B19"/>
    <w:rsid w:val="007222E7"/>
    <w:rsid w:val="00722622"/>
    <w:rsid w:val="00723353"/>
    <w:rsid w:val="00726B30"/>
    <w:rsid w:val="00726CC6"/>
    <w:rsid w:val="00732B06"/>
    <w:rsid w:val="00733441"/>
    <w:rsid w:val="00740743"/>
    <w:rsid w:val="007423B6"/>
    <w:rsid w:val="00745338"/>
    <w:rsid w:val="00745EA4"/>
    <w:rsid w:val="00752E32"/>
    <w:rsid w:val="00752F72"/>
    <w:rsid w:val="007606D3"/>
    <w:rsid w:val="00760713"/>
    <w:rsid w:val="00760AF8"/>
    <w:rsid w:val="00761532"/>
    <w:rsid w:val="007638F6"/>
    <w:rsid w:val="0076460A"/>
    <w:rsid w:val="00771C93"/>
    <w:rsid w:val="0077637E"/>
    <w:rsid w:val="00782C5F"/>
    <w:rsid w:val="00782E1A"/>
    <w:rsid w:val="007831FC"/>
    <w:rsid w:val="00785401"/>
    <w:rsid w:val="007870FC"/>
    <w:rsid w:val="00795020"/>
    <w:rsid w:val="00797BF6"/>
    <w:rsid w:val="007A28D5"/>
    <w:rsid w:val="007A77D8"/>
    <w:rsid w:val="007B659F"/>
    <w:rsid w:val="007B76A5"/>
    <w:rsid w:val="007B76B5"/>
    <w:rsid w:val="007C2448"/>
    <w:rsid w:val="007C2740"/>
    <w:rsid w:val="007C5919"/>
    <w:rsid w:val="007D0FC3"/>
    <w:rsid w:val="007D1B6D"/>
    <w:rsid w:val="007D261C"/>
    <w:rsid w:val="007D384C"/>
    <w:rsid w:val="007E152B"/>
    <w:rsid w:val="007E76FB"/>
    <w:rsid w:val="007E7AA1"/>
    <w:rsid w:val="00801D58"/>
    <w:rsid w:val="0080226B"/>
    <w:rsid w:val="0080273B"/>
    <w:rsid w:val="008027D5"/>
    <w:rsid w:val="00802CB4"/>
    <w:rsid w:val="00804048"/>
    <w:rsid w:val="00812D48"/>
    <w:rsid w:val="008208A9"/>
    <w:rsid w:val="00821975"/>
    <w:rsid w:val="00822FBF"/>
    <w:rsid w:val="008231C8"/>
    <w:rsid w:val="008246BF"/>
    <w:rsid w:val="008250B2"/>
    <w:rsid w:val="00830681"/>
    <w:rsid w:val="0083398F"/>
    <w:rsid w:val="008340DD"/>
    <w:rsid w:val="00834134"/>
    <w:rsid w:val="00836864"/>
    <w:rsid w:val="0084205B"/>
    <w:rsid w:val="008444BB"/>
    <w:rsid w:val="0084509E"/>
    <w:rsid w:val="00845B5A"/>
    <w:rsid w:val="0084777D"/>
    <w:rsid w:val="008517AA"/>
    <w:rsid w:val="008533F1"/>
    <w:rsid w:val="0085387B"/>
    <w:rsid w:val="0085416B"/>
    <w:rsid w:val="00854A5C"/>
    <w:rsid w:val="0085566B"/>
    <w:rsid w:val="008635C8"/>
    <w:rsid w:val="00867418"/>
    <w:rsid w:val="008718B2"/>
    <w:rsid w:val="008729E9"/>
    <w:rsid w:val="008730BF"/>
    <w:rsid w:val="00874453"/>
    <w:rsid w:val="0088036B"/>
    <w:rsid w:val="00880A8D"/>
    <w:rsid w:val="00884252"/>
    <w:rsid w:val="00885C3C"/>
    <w:rsid w:val="00886C93"/>
    <w:rsid w:val="008907ED"/>
    <w:rsid w:val="008958A4"/>
    <w:rsid w:val="00895B6C"/>
    <w:rsid w:val="00897E98"/>
    <w:rsid w:val="008A0A6C"/>
    <w:rsid w:val="008A3CD4"/>
    <w:rsid w:val="008A7856"/>
    <w:rsid w:val="008B0003"/>
    <w:rsid w:val="008B50BC"/>
    <w:rsid w:val="008C0D7C"/>
    <w:rsid w:val="008C358D"/>
    <w:rsid w:val="008C5F62"/>
    <w:rsid w:val="008C5F92"/>
    <w:rsid w:val="008D174B"/>
    <w:rsid w:val="008D24D4"/>
    <w:rsid w:val="008D3520"/>
    <w:rsid w:val="008D5CE5"/>
    <w:rsid w:val="008D689B"/>
    <w:rsid w:val="008E0F3F"/>
    <w:rsid w:val="008E2DB7"/>
    <w:rsid w:val="008E3566"/>
    <w:rsid w:val="008E3E6D"/>
    <w:rsid w:val="008E4F2F"/>
    <w:rsid w:val="008E4F4A"/>
    <w:rsid w:val="008F2C68"/>
    <w:rsid w:val="008F5352"/>
    <w:rsid w:val="008F611C"/>
    <w:rsid w:val="00900D7E"/>
    <w:rsid w:val="00900DFD"/>
    <w:rsid w:val="009014F0"/>
    <w:rsid w:val="00901E09"/>
    <w:rsid w:val="009028F4"/>
    <w:rsid w:val="00902D2D"/>
    <w:rsid w:val="009031EC"/>
    <w:rsid w:val="00912E1B"/>
    <w:rsid w:val="00914BB9"/>
    <w:rsid w:val="00914EC6"/>
    <w:rsid w:val="009150BA"/>
    <w:rsid w:val="0091512F"/>
    <w:rsid w:val="009176D3"/>
    <w:rsid w:val="00922258"/>
    <w:rsid w:val="00922E34"/>
    <w:rsid w:val="00922E85"/>
    <w:rsid w:val="00923AC1"/>
    <w:rsid w:val="0092542C"/>
    <w:rsid w:val="009268D9"/>
    <w:rsid w:val="00930D29"/>
    <w:rsid w:val="00930DE9"/>
    <w:rsid w:val="0093167E"/>
    <w:rsid w:val="00933E20"/>
    <w:rsid w:val="009341EA"/>
    <w:rsid w:val="00940453"/>
    <w:rsid w:val="00941990"/>
    <w:rsid w:val="00942162"/>
    <w:rsid w:val="00942440"/>
    <w:rsid w:val="0094482B"/>
    <w:rsid w:val="00945E2E"/>
    <w:rsid w:val="009521F0"/>
    <w:rsid w:val="00953B93"/>
    <w:rsid w:val="0095404F"/>
    <w:rsid w:val="0095405E"/>
    <w:rsid w:val="009552BD"/>
    <w:rsid w:val="00956EC7"/>
    <w:rsid w:val="0096070C"/>
    <w:rsid w:val="0096394F"/>
    <w:rsid w:val="00964A79"/>
    <w:rsid w:val="00972E5E"/>
    <w:rsid w:val="00973104"/>
    <w:rsid w:val="00974CE8"/>
    <w:rsid w:val="00975D72"/>
    <w:rsid w:val="00975FB8"/>
    <w:rsid w:val="00981B62"/>
    <w:rsid w:val="00984B51"/>
    <w:rsid w:val="009857C9"/>
    <w:rsid w:val="00986349"/>
    <w:rsid w:val="009911C0"/>
    <w:rsid w:val="00992F56"/>
    <w:rsid w:val="009A235E"/>
    <w:rsid w:val="009A31D6"/>
    <w:rsid w:val="009A375B"/>
    <w:rsid w:val="009A44D8"/>
    <w:rsid w:val="009A4E69"/>
    <w:rsid w:val="009A6F0F"/>
    <w:rsid w:val="009A6FC5"/>
    <w:rsid w:val="009A7E63"/>
    <w:rsid w:val="009B0660"/>
    <w:rsid w:val="009B77F1"/>
    <w:rsid w:val="009C113A"/>
    <w:rsid w:val="009C2E5E"/>
    <w:rsid w:val="009C514E"/>
    <w:rsid w:val="009C51E9"/>
    <w:rsid w:val="009C5C8C"/>
    <w:rsid w:val="009D33CD"/>
    <w:rsid w:val="009D5662"/>
    <w:rsid w:val="009E6345"/>
    <w:rsid w:val="009E646E"/>
    <w:rsid w:val="00A01760"/>
    <w:rsid w:val="00A0189D"/>
    <w:rsid w:val="00A06F7C"/>
    <w:rsid w:val="00A11F61"/>
    <w:rsid w:val="00A12F49"/>
    <w:rsid w:val="00A144B2"/>
    <w:rsid w:val="00A14FDD"/>
    <w:rsid w:val="00A15D70"/>
    <w:rsid w:val="00A17203"/>
    <w:rsid w:val="00A17ADB"/>
    <w:rsid w:val="00A211E8"/>
    <w:rsid w:val="00A23329"/>
    <w:rsid w:val="00A25FD4"/>
    <w:rsid w:val="00A26BF2"/>
    <w:rsid w:val="00A30352"/>
    <w:rsid w:val="00A31F8B"/>
    <w:rsid w:val="00A34434"/>
    <w:rsid w:val="00A3767D"/>
    <w:rsid w:val="00A37EB3"/>
    <w:rsid w:val="00A40F62"/>
    <w:rsid w:val="00A438A6"/>
    <w:rsid w:val="00A46092"/>
    <w:rsid w:val="00A520EF"/>
    <w:rsid w:val="00A53BBB"/>
    <w:rsid w:val="00A53E6E"/>
    <w:rsid w:val="00A56764"/>
    <w:rsid w:val="00A57655"/>
    <w:rsid w:val="00A61AEF"/>
    <w:rsid w:val="00A620E9"/>
    <w:rsid w:val="00A66FB4"/>
    <w:rsid w:val="00A6726A"/>
    <w:rsid w:val="00A70840"/>
    <w:rsid w:val="00A7131D"/>
    <w:rsid w:val="00A7176C"/>
    <w:rsid w:val="00A72A8D"/>
    <w:rsid w:val="00A72F9F"/>
    <w:rsid w:val="00A80366"/>
    <w:rsid w:val="00A845B6"/>
    <w:rsid w:val="00A86CB4"/>
    <w:rsid w:val="00A876DC"/>
    <w:rsid w:val="00A87FA5"/>
    <w:rsid w:val="00A90925"/>
    <w:rsid w:val="00A9186B"/>
    <w:rsid w:val="00A938AA"/>
    <w:rsid w:val="00A947CC"/>
    <w:rsid w:val="00A958CB"/>
    <w:rsid w:val="00A97966"/>
    <w:rsid w:val="00AA58C7"/>
    <w:rsid w:val="00AA5CD0"/>
    <w:rsid w:val="00AA7C62"/>
    <w:rsid w:val="00AB0B3D"/>
    <w:rsid w:val="00AB1491"/>
    <w:rsid w:val="00AB31E3"/>
    <w:rsid w:val="00AB337C"/>
    <w:rsid w:val="00AB345D"/>
    <w:rsid w:val="00AC5586"/>
    <w:rsid w:val="00AC7687"/>
    <w:rsid w:val="00AC7E05"/>
    <w:rsid w:val="00AD062E"/>
    <w:rsid w:val="00AD0705"/>
    <w:rsid w:val="00AD25C4"/>
    <w:rsid w:val="00AD6BEC"/>
    <w:rsid w:val="00AD7C57"/>
    <w:rsid w:val="00AE738E"/>
    <w:rsid w:val="00AF1FE6"/>
    <w:rsid w:val="00AF22D1"/>
    <w:rsid w:val="00AF36FC"/>
    <w:rsid w:val="00AF4FDA"/>
    <w:rsid w:val="00AF6474"/>
    <w:rsid w:val="00AF6874"/>
    <w:rsid w:val="00B03A17"/>
    <w:rsid w:val="00B043F2"/>
    <w:rsid w:val="00B053A2"/>
    <w:rsid w:val="00B06DFC"/>
    <w:rsid w:val="00B078E5"/>
    <w:rsid w:val="00B079CB"/>
    <w:rsid w:val="00B10ADD"/>
    <w:rsid w:val="00B1232C"/>
    <w:rsid w:val="00B12361"/>
    <w:rsid w:val="00B1311C"/>
    <w:rsid w:val="00B15D27"/>
    <w:rsid w:val="00B1709F"/>
    <w:rsid w:val="00B2056A"/>
    <w:rsid w:val="00B22026"/>
    <w:rsid w:val="00B22469"/>
    <w:rsid w:val="00B224C4"/>
    <w:rsid w:val="00B233B5"/>
    <w:rsid w:val="00B260BF"/>
    <w:rsid w:val="00B3210E"/>
    <w:rsid w:val="00B34BF2"/>
    <w:rsid w:val="00B37C62"/>
    <w:rsid w:val="00B41CF0"/>
    <w:rsid w:val="00B463C5"/>
    <w:rsid w:val="00B511CE"/>
    <w:rsid w:val="00B518C5"/>
    <w:rsid w:val="00B526AF"/>
    <w:rsid w:val="00B53452"/>
    <w:rsid w:val="00B541DE"/>
    <w:rsid w:val="00B62554"/>
    <w:rsid w:val="00B6276F"/>
    <w:rsid w:val="00B64B68"/>
    <w:rsid w:val="00B65967"/>
    <w:rsid w:val="00B70607"/>
    <w:rsid w:val="00B724E9"/>
    <w:rsid w:val="00B73422"/>
    <w:rsid w:val="00B742D6"/>
    <w:rsid w:val="00B8071C"/>
    <w:rsid w:val="00B8168B"/>
    <w:rsid w:val="00B84499"/>
    <w:rsid w:val="00B867B1"/>
    <w:rsid w:val="00B900F9"/>
    <w:rsid w:val="00B93620"/>
    <w:rsid w:val="00B939D7"/>
    <w:rsid w:val="00B93C36"/>
    <w:rsid w:val="00B94FDF"/>
    <w:rsid w:val="00B96550"/>
    <w:rsid w:val="00B970F7"/>
    <w:rsid w:val="00BA0CD0"/>
    <w:rsid w:val="00BA2D02"/>
    <w:rsid w:val="00BA3D6F"/>
    <w:rsid w:val="00BA536E"/>
    <w:rsid w:val="00BC0026"/>
    <w:rsid w:val="00BC0DA1"/>
    <w:rsid w:val="00BC192C"/>
    <w:rsid w:val="00BC25E7"/>
    <w:rsid w:val="00BC2FAA"/>
    <w:rsid w:val="00BC41AD"/>
    <w:rsid w:val="00BD3137"/>
    <w:rsid w:val="00BD4541"/>
    <w:rsid w:val="00BD4C71"/>
    <w:rsid w:val="00BE0456"/>
    <w:rsid w:val="00BE16E3"/>
    <w:rsid w:val="00BE5DCE"/>
    <w:rsid w:val="00BE6551"/>
    <w:rsid w:val="00BE78C1"/>
    <w:rsid w:val="00BF0851"/>
    <w:rsid w:val="00BF63AF"/>
    <w:rsid w:val="00BF6EAF"/>
    <w:rsid w:val="00C006A1"/>
    <w:rsid w:val="00C01B8E"/>
    <w:rsid w:val="00C025DC"/>
    <w:rsid w:val="00C05D34"/>
    <w:rsid w:val="00C06042"/>
    <w:rsid w:val="00C07B70"/>
    <w:rsid w:val="00C1123D"/>
    <w:rsid w:val="00C12DF4"/>
    <w:rsid w:val="00C13DDA"/>
    <w:rsid w:val="00C16A95"/>
    <w:rsid w:val="00C206AA"/>
    <w:rsid w:val="00C2143A"/>
    <w:rsid w:val="00C240AA"/>
    <w:rsid w:val="00C241BA"/>
    <w:rsid w:val="00C245F8"/>
    <w:rsid w:val="00C2660C"/>
    <w:rsid w:val="00C26787"/>
    <w:rsid w:val="00C2712D"/>
    <w:rsid w:val="00C27279"/>
    <w:rsid w:val="00C278B3"/>
    <w:rsid w:val="00C30FDF"/>
    <w:rsid w:val="00C323FB"/>
    <w:rsid w:val="00C350D2"/>
    <w:rsid w:val="00C35280"/>
    <w:rsid w:val="00C360E5"/>
    <w:rsid w:val="00C36ADE"/>
    <w:rsid w:val="00C40A2F"/>
    <w:rsid w:val="00C44AED"/>
    <w:rsid w:val="00C44DBF"/>
    <w:rsid w:val="00C67826"/>
    <w:rsid w:val="00C7238C"/>
    <w:rsid w:val="00C742DF"/>
    <w:rsid w:val="00C767CB"/>
    <w:rsid w:val="00C82EB1"/>
    <w:rsid w:val="00C83F03"/>
    <w:rsid w:val="00C857F5"/>
    <w:rsid w:val="00C85FBB"/>
    <w:rsid w:val="00C934CC"/>
    <w:rsid w:val="00C94485"/>
    <w:rsid w:val="00C94F13"/>
    <w:rsid w:val="00C95BDF"/>
    <w:rsid w:val="00C9690C"/>
    <w:rsid w:val="00C969B6"/>
    <w:rsid w:val="00CA2D13"/>
    <w:rsid w:val="00CA40A7"/>
    <w:rsid w:val="00CA4607"/>
    <w:rsid w:val="00CA6B1B"/>
    <w:rsid w:val="00CA7787"/>
    <w:rsid w:val="00CB003C"/>
    <w:rsid w:val="00CB0A2F"/>
    <w:rsid w:val="00CB48EE"/>
    <w:rsid w:val="00CB4946"/>
    <w:rsid w:val="00CB6685"/>
    <w:rsid w:val="00CB7106"/>
    <w:rsid w:val="00CC0159"/>
    <w:rsid w:val="00CC0652"/>
    <w:rsid w:val="00CC2235"/>
    <w:rsid w:val="00CC3728"/>
    <w:rsid w:val="00CD2986"/>
    <w:rsid w:val="00CD2FBA"/>
    <w:rsid w:val="00CD3DE4"/>
    <w:rsid w:val="00CE19A1"/>
    <w:rsid w:val="00CE2590"/>
    <w:rsid w:val="00CE3CD7"/>
    <w:rsid w:val="00CE59F2"/>
    <w:rsid w:val="00CE711B"/>
    <w:rsid w:val="00CE7BFF"/>
    <w:rsid w:val="00CF1518"/>
    <w:rsid w:val="00CF26F8"/>
    <w:rsid w:val="00CF2E2B"/>
    <w:rsid w:val="00CF3928"/>
    <w:rsid w:val="00CF5FFC"/>
    <w:rsid w:val="00D02C6D"/>
    <w:rsid w:val="00D03F73"/>
    <w:rsid w:val="00D0694A"/>
    <w:rsid w:val="00D07545"/>
    <w:rsid w:val="00D077BC"/>
    <w:rsid w:val="00D1083B"/>
    <w:rsid w:val="00D10CA6"/>
    <w:rsid w:val="00D10D72"/>
    <w:rsid w:val="00D154EA"/>
    <w:rsid w:val="00D16CBF"/>
    <w:rsid w:val="00D2149D"/>
    <w:rsid w:val="00D22660"/>
    <w:rsid w:val="00D22D98"/>
    <w:rsid w:val="00D23048"/>
    <w:rsid w:val="00D23434"/>
    <w:rsid w:val="00D2642E"/>
    <w:rsid w:val="00D26435"/>
    <w:rsid w:val="00D27A87"/>
    <w:rsid w:val="00D325C3"/>
    <w:rsid w:val="00D3270E"/>
    <w:rsid w:val="00D33044"/>
    <w:rsid w:val="00D34675"/>
    <w:rsid w:val="00D36209"/>
    <w:rsid w:val="00D3620E"/>
    <w:rsid w:val="00D3705F"/>
    <w:rsid w:val="00D40B23"/>
    <w:rsid w:val="00D427A1"/>
    <w:rsid w:val="00D4419A"/>
    <w:rsid w:val="00D46331"/>
    <w:rsid w:val="00D46349"/>
    <w:rsid w:val="00D4778E"/>
    <w:rsid w:val="00D47C2D"/>
    <w:rsid w:val="00D47E53"/>
    <w:rsid w:val="00D47F49"/>
    <w:rsid w:val="00D512D5"/>
    <w:rsid w:val="00D5185D"/>
    <w:rsid w:val="00D52178"/>
    <w:rsid w:val="00D55F56"/>
    <w:rsid w:val="00D57CDF"/>
    <w:rsid w:val="00D619CB"/>
    <w:rsid w:val="00D64360"/>
    <w:rsid w:val="00D6455E"/>
    <w:rsid w:val="00D64614"/>
    <w:rsid w:val="00D66DCB"/>
    <w:rsid w:val="00D70A48"/>
    <w:rsid w:val="00D74E40"/>
    <w:rsid w:val="00D7580C"/>
    <w:rsid w:val="00D7663F"/>
    <w:rsid w:val="00D76AC4"/>
    <w:rsid w:val="00D77F06"/>
    <w:rsid w:val="00D80207"/>
    <w:rsid w:val="00D84CFA"/>
    <w:rsid w:val="00D8586C"/>
    <w:rsid w:val="00D871F5"/>
    <w:rsid w:val="00D87BD5"/>
    <w:rsid w:val="00D87D22"/>
    <w:rsid w:val="00D90DAB"/>
    <w:rsid w:val="00D938C4"/>
    <w:rsid w:val="00D93E35"/>
    <w:rsid w:val="00D960B0"/>
    <w:rsid w:val="00DA051B"/>
    <w:rsid w:val="00DA1885"/>
    <w:rsid w:val="00DA2052"/>
    <w:rsid w:val="00DB0933"/>
    <w:rsid w:val="00DB1034"/>
    <w:rsid w:val="00DB488A"/>
    <w:rsid w:val="00DB6EFC"/>
    <w:rsid w:val="00DC19A0"/>
    <w:rsid w:val="00DC669E"/>
    <w:rsid w:val="00DC73AE"/>
    <w:rsid w:val="00DD10C6"/>
    <w:rsid w:val="00DD1581"/>
    <w:rsid w:val="00DD1EB3"/>
    <w:rsid w:val="00DD1F81"/>
    <w:rsid w:val="00DD596A"/>
    <w:rsid w:val="00DD5B63"/>
    <w:rsid w:val="00DD68C6"/>
    <w:rsid w:val="00DE02CD"/>
    <w:rsid w:val="00DE1EBE"/>
    <w:rsid w:val="00DE2C2B"/>
    <w:rsid w:val="00DE3E86"/>
    <w:rsid w:val="00DE4518"/>
    <w:rsid w:val="00DE4B7A"/>
    <w:rsid w:val="00DE60D8"/>
    <w:rsid w:val="00DF4019"/>
    <w:rsid w:val="00DF4299"/>
    <w:rsid w:val="00E03B5E"/>
    <w:rsid w:val="00E040A2"/>
    <w:rsid w:val="00E114AA"/>
    <w:rsid w:val="00E16B98"/>
    <w:rsid w:val="00E2074E"/>
    <w:rsid w:val="00E23748"/>
    <w:rsid w:val="00E331FD"/>
    <w:rsid w:val="00E35907"/>
    <w:rsid w:val="00E433A0"/>
    <w:rsid w:val="00E4438A"/>
    <w:rsid w:val="00E45C5F"/>
    <w:rsid w:val="00E649C0"/>
    <w:rsid w:val="00E658E8"/>
    <w:rsid w:val="00E65F42"/>
    <w:rsid w:val="00E67E0C"/>
    <w:rsid w:val="00E70CB9"/>
    <w:rsid w:val="00E71BA9"/>
    <w:rsid w:val="00E80C7F"/>
    <w:rsid w:val="00E82287"/>
    <w:rsid w:val="00E83CD2"/>
    <w:rsid w:val="00E84E66"/>
    <w:rsid w:val="00E857C9"/>
    <w:rsid w:val="00E8611B"/>
    <w:rsid w:val="00E9160A"/>
    <w:rsid w:val="00E923D0"/>
    <w:rsid w:val="00E924ED"/>
    <w:rsid w:val="00E941DB"/>
    <w:rsid w:val="00E94E94"/>
    <w:rsid w:val="00E96B76"/>
    <w:rsid w:val="00E970C6"/>
    <w:rsid w:val="00E97936"/>
    <w:rsid w:val="00EA1914"/>
    <w:rsid w:val="00EA1999"/>
    <w:rsid w:val="00EA33CA"/>
    <w:rsid w:val="00EA3979"/>
    <w:rsid w:val="00EA6D7A"/>
    <w:rsid w:val="00EA7B2D"/>
    <w:rsid w:val="00EB080E"/>
    <w:rsid w:val="00EB0E41"/>
    <w:rsid w:val="00EB10C8"/>
    <w:rsid w:val="00EB1AAA"/>
    <w:rsid w:val="00EB63F9"/>
    <w:rsid w:val="00EB7290"/>
    <w:rsid w:val="00EB7678"/>
    <w:rsid w:val="00EC128A"/>
    <w:rsid w:val="00EC490B"/>
    <w:rsid w:val="00ED02CF"/>
    <w:rsid w:val="00ED302A"/>
    <w:rsid w:val="00ED5E7F"/>
    <w:rsid w:val="00ED624E"/>
    <w:rsid w:val="00EE25A9"/>
    <w:rsid w:val="00EE4821"/>
    <w:rsid w:val="00EE49DC"/>
    <w:rsid w:val="00EE4F36"/>
    <w:rsid w:val="00EE60D2"/>
    <w:rsid w:val="00EE6202"/>
    <w:rsid w:val="00EF0791"/>
    <w:rsid w:val="00EF22F3"/>
    <w:rsid w:val="00EF2BCC"/>
    <w:rsid w:val="00EF36BC"/>
    <w:rsid w:val="00EF52C6"/>
    <w:rsid w:val="00F0196D"/>
    <w:rsid w:val="00F01D04"/>
    <w:rsid w:val="00F0222D"/>
    <w:rsid w:val="00F04D47"/>
    <w:rsid w:val="00F050C1"/>
    <w:rsid w:val="00F06204"/>
    <w:rsid w:val="00F11249"/>
    <w:rsid w:val="00F12029"/>
    <w:rsid w:val="00F12772"/>
    <w:rsid w:val="00F12F27"/>
    <w:rsid w:val="00F13844"/>
    <w:rsid w:val="00F13EA7"/>
    <w:rsid w:val="00F1504C"/>
    <w:rsid w:val="00F15453"/>
    <w:rsid w:val="00F20580"/>
    <w:rsid w:val="00F20916"/>
    <w:rsid w:val="00F26F24"/>
    <w:rsid w:val="00F31FFB"/>
    <w:rsid w:val="00F40250"/>
    <w:rsid w:val="00F404A4"/>
    <w:rsid w:val="00F435C6"/>
    <w:rsid w:val="00F44F1A"/>
    <w:rsid w:val="00F45CBF"/>
    <w:rsid w:val="00F561B5"/>
    <w:rsid w:val="00F60A85"/>
    <w:rsid w:val="00F619E7"/>
    <w:rsid w:val="00F63F1A"/>
    <w:rsid w:val="00F64461"/>
    <w:rsid w:val="00F64B12"/>
    <w:rsid w:val="00F65FF3"/>
    <w:rsid w:val="00F671DB"/>
    <w:rsid w:val="00F676FA"/>
    <w:rsid w:val="00F677D6"/>
    <w:rsid w:val="00F7041D"/>
    <w:rsid w:val="00F72708"/>
    <w:rsid w:val="00F728B8"/>
    <w:rsid w:val="00F735FA"/>
    <w:rsid w:val="00F804B3"/>
    <w:rsid w:val="00F817CD"/>
    <w:rsid w:val="00F81FA6"/>
    <w:rsid w:val="00F82F3C"/>
    <w:rsid w:val="00F831FE"/>
    <w:rsid w:val="00F83B60"/>
    <w:rsid w:val="00F9033F"/>
    <w:rsid w:val="00F92AF9"/>
    <w:rsid w:val="00F97D78"/>
    <w:rsid w:val="00FA15D2"/>
    <w:rsid w:val="00FA50F5"/>
    <w:rsid w:val="00FA7702"/>
    <w:rsid w:val="00FA7AFB"/>
    <w:rsid w:val="00FA7BBA"/>
    <w:rsid w:val="00FA7BDC"/>
    <w:rsid w:val="00FB4A5D"/>
    <w:rsid w:val="00FB5C70"/>
    <w:rsid w:val="00FB7E46"/>
    <w:rsid w:val="00FC0263"/>
    <w:rsid w:val="00FC3215"/>
    <w:rsid w:val="00FC345F"/>
    <w:rsid w:val="00FC46A0"/>
    <w:rsid w:val="00FD02E3"/>
    <w:rsid w:val="00FD6924"/>
    <w:rsid w:val="00FD7D2F"/>
    <w:rsid w:val="00FE2801"/>
    <w:rsid w:val="00FE399A"/>
    <w:rsid w:val="00FE42CA"/>
    <w:rsid w:val="00FE55D4"/>
    <w:rsid w:val="00FF25D5"/>
    <w:rsid w:val="00FF3189"/>
    <w:rsid w:val="00FF479F"/>
    <w:rsid w:val="0D5322E9"/>
    <w:rsid w:val="12EB58D8"/>
    <w:rsid w:val="130D4D98"/>
    <w:rsid w:val="13FA925E"/>
    <w:rsid w:val="16A7A753"/>
    <w:rsid w:val="17E87B99"/>
    <w:rsid w:val="1C018CEB"/>
    <w:rsid w:val="2A148BF3"/>
    <w:rsid w:val="2FA5C587"/>
    <w:rsid w:val="312EBE39"/>
    <w:rsid w:val="337C9606"/>
    <w:rsid w:val="36B95825"/>
    <w:rsid w:val="4202F6DB"/>
    <w:rsid w:val="49AFEFC2"/>
    <w:rsid w:val="55952004"/>
    <w:rsid w:val="5613192F"/>
    <w:rsid w:val="5B409A2A"/>
    <w:rsid w:val="5B7DC7D0"/>
    <w:rsid w:val="5E1ED874"/>
    <w:rsid w:val="686E1BFF"/>
    <w:rsid w:val="6A942C6F"/>
    <w:rsid w:val="71F19DC5"/>
    <w:rsid w:val="72A5DC8F"/>
    <w:rsid w:val="7441ACF0"/>
    <w:rsid w:val="746C1C7B"/>
    <w:rsid w:val="74E338D2"/>
    <w:rsid w:val="7ADBCD5A"/>
    <w:rsid w:val="7C03B0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25AF"/>
  <w15:chartTrackingRefBased/>
  <w15:docId w15:val="{FE830500-F40B-446E-8EB3-E6CF2AC6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0032"/>
    <w:rPr>
      <w:sz w:val="16"/>
      <w:szCs w:val="16"/>
    </w:rPr>
  </w:style>
  <w:style w:type="paragraph" w:styleId="CommentText">
    <w:name w:val="annotation text"/>
    <w:basedOn w:val="Normal"/>
    <w:link w:val="CommentTextChar"/>
    <w:uiPriority w:val="99"/>
    <w:unhideWhenUsed/>
    <w:rsid w:val="00590032"/>
    <w:pPr>
      <w:spacing w:line="240" w:lineRule="auto"/>
    </w:pPr>
    <w:rPr>
      <w:sz w:val="20"/>
      <w:szCs w:val="20"/>
    </w:rPr>
  </w:style>
  <w:style w:type="character" w:customStyle="1" w:styleId="CommentTextChar">
    <w:name w:val="Comment Text Char"/>
    <w:basedOn w:val="DefaultParagraphFont"/>
    <w:link w:val="CommentText"/>
    <w:uiPriority w:val="99"/>
    <w:rsid w:val="00590032"/>
    <w:rPr>
      <w:sz w:val="20"/>
      <w:szCs w:val="20"/>
    </w:rPr>
  </w:style>
  <w:style w:type="paragraph" w:styleId="CommentSubject">
    <w:name w:val="annotation subject"/>
    <w:basedOn w:val="CommentText"/>
    <w:next w:val="CommentText"/>
    <w:link w:val="CommentSubjectChar"/>
    <w:uiPriority w:val="99"/>
    <w:semiHidden/>
    <w:unhideWhenUsed/>
    <w:rsid w:val="00590032"/>
    <w:rPr>
      <w:b/>
      <w:bCs/>
    </w:rPr>
  </w:style>
  <w:style w:type="character" w:customStyle="1" w:styleId="CommentSubjectChar">
    <w:name w:val="Comment Subject Char"/>
    <w:basedOn w:val="CommentTextChar"/>
    <w:link w:val="CommentSubject"/>
    <w:uiPriority w:val="99"/>
    <w:semiHidden/>
    <w:rsid w:val="00590032"/>
    <w:rPr>
      <w:b/>
      <w:bCs/>
      <w:sz w:val="20"/>
      <w:szCs w:val="20"/>
    </w:rPr>
  </w:style>
  <w:style w:type="character" w:styleId="Hyperlink">
    <w:name w:val="Hyperlink"/>
    <w:basedOn w:val="DefaultParagraphFont"/>
    <w:uiPriority w:val="99"/>
    <w:unhideWhenUsed/>
    <w:rsid w:val="00590032"/>
    <w:rPr>
      <w:color w:val="0563C1" w:themeColor="hyperlink"/>
      <w:u w:val="single"/>
    </w:rPr>
  </w:style>
  <w:style w:type="character" w:customStyle="1" w:styleId="UnresolvedMention1">
    <w:name w:val="Unresolved Mention1"/>
    <w:basedOn w:val="DefaultParagraphFont"/>
    <w:uiPriority w:val="99"/>
    <w:semiHidden/>
    <w:unhideWhenUsed/>
    <w:rsid w:val="00590032"/>
    <w:rPr>
      <w:color w:val="605E5C"/>
      <w:shd w:val="clear" w:color="auto" w:fill="E1DFDD"/>
    </w:rPr>
  </w:style>
  <w:style w:type="paragraph" w:styleId="ListParagraph">
    <w:name w:val="List Paragraph"/>
    <w:basedOn w:val="Normal"/>
    <w:uiPriority w:val="99"/>
    <w:qFormat/>
    <w:rsid w:val="00590032"/>
    <w:pPr>
      <w:ind w:left="720"/>
      <w:contextualSpacing/>
    </w:pPr>
  </w:style>
  <w:style w:type="character" w:styleId="Strong">
    <w:name w:val="Strong"/>
    <w:basedOn w:val="DefaultParagraphFont"/>
    <w:uiPriority w:val="22"/>
    <w:qFormat/>
    <w:rsid w:val="006E2399"/>
    <w:rPr>
      <w:b/>
      <w:bCs/>
    </w:rPr>
  </w:style>
  <w:style w:type="paragraph" w:styleId="NoSpacing">
    <w:name w:val="No Spacing"/>
    <w:uiPriority w:val="1"/>
    <w:qFormat/>
    <w:rsid w:val="00732B06"/>
    <w:pPr>
      <w:autoSpaceDE w:val="0"/>
      <w:autoSpaceDN w:val="0"/>
      <w:adjustRightInd w:val="0"/>
      <w:spacing w:after="0" w:line="240" w:lineRule="auto"/>
    </w:pPr>
    <w:rPr>
      <w:rFonts w:ascii="Calibri" w:hAnsi="Calibri" w:cs="Calibri"/>
      <w:kern w:val="0"/>
      <w14:ligatures w14:val="none"/>
    </w:rPr>
  </w:style>
  <w:style w:type="paragraph" w:customStyle="1" w:styleId="PTBodyTextBold">
    <w:name w:val="*PT Body Text Bold"/>
    <w:basedOn w:val="Normal"/>
    <w:next w:val="Normal"/>
    <w:link w:val="PTBodyTextBoldChar"/>
    <w:qFormat/>
    <w:rsid w:val="00782E1A"/>
    <w:pPr>
      <w:spacing w:after="0" w:line="240" w:lineRule="auto"/>
      <w:jc w:val="both"/>
    </w:pPr>
    <w:rPr>
      <w:rFonts w:ascii="Calibri" w:eastAsia="Times New Roman" w:hAnsi="Calibri" w:cs="Times New Roman"/>
      <w:b/>
      <w:bCs/>
      <w:iCs/>
      <w:noProof/>
      <w:kern w:val="0"/>
      <w:szCs w:val="20"/>
      <w:lang w:val="en-US"/>
      <w14:ligatures w14:val="none"/>
    </w:rPr>
  </w:style>
  <w:style w:type="character" w:customStyle="1" w:styleId="PTBodyTextBoldChar">
    <w:name w:val="*PT Body Text Bold Char"/>
    <w:link w:val="PTBodyTextBold"/>
    <w:rsid w:val="00782E1A"/>
    <w:rPr>
      <w:rFonts w:ascii="Calibri" w:eastAsia="Times New Roman" w:hAnsi="Calibri" w:cs="Times New Roman"/>
      <w:b/>
      <w:bCs/>
      <w:iCs/>
      <w:noProof/>
      <w:kern w:val="0"/>
      <w:szCs w:val="20"/>
      <w:lang w:val="en-US"/>
      <w14:ligatures w14:val="none"/>
    </w:rPr>
  </w:style>
  <w:style w:type="paragraph" w:styleId="Header">
    <w:name w:val="header"/>
    <w:basedOn w:val="Normal"/>
    <w:link w:val="HeaderChar"/>
    <w:uiPriority w:val="99"/>
    <w:unhideWhenUsed/>
    <w:rsid w:val="00782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1A"/>
  </w:style>
  <w:style w:type="paragraph" w:styleId="Footer">
    <w:name w:val="footer"/>
    <w:basedOn w:val="Normal"/>
    <w:link w:val="FooterChar"/>
    <w:uiPriority w:val="99"/>
    <w:unhideWhenUsed/>
    <w:rsid w:val="00782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1A"/>
  </w:style>
  <w:style w:type="paragraph" w:styleId="Bibliography">
    <w:name w:val="Bibliography"/>
    <w:basedOn w:val="Normal"/>
    <w:next w:val="Normal"/>
    <w:uiPriority w:val="37"/>
    <w:unhideWhenUsed/>
    <w:rsid w:val="00D84CFA"/>
    <w:pPr>
      <w:tabs>
        <w:tab w:val="left" w:pos="384"/>
      </w:tabs>
      <w:spacing w:after="240" w:line="240" w:lineRule="auto"/>
      <w:ind w:left="384" w:hanging="384"/>
    </w:pPr>
  </w:style>
  <w:style w:type="table" w:styleId="TableGrid">
    <w:name w:val="Table Grid"/>
    <w:basedOn w:val="TableNormal"/>
    <w:uiPriority w:val="39"/>
    <w:rsid w:val="00941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C5"/>
    <w:rPr>
      <w:rFonts w:ascii="Segoe UI" w:hAnsi="Segoe UI" w:cs="Segoe UI"/>
      <w:sz w:val="18"/>
      <w:szCs w:val="18"/>
    </w:rPr>
  </w:style>
  <w:style w:type="paragraph" w:styleId="Revision">
    <w:name w:val="Revision"/>
    <w:hidden/>
    <w:uiPriority w:val="99"/>
    <w:semiHidden/>
    <w:rsid w:val="005E23D5"/>
    <w:pPr>
      <w:spacing w:after="0" w:line="240" w:lineRule="auto"/>
    </w:pPr>
  </w:style>
  <w:style w:type="character" w:customStyle="1" w:styleId="cf01">
    <w:name w:val="cf01"/>
    <w:basedOn w:val="DefaultParagraphFont"/>
    <w:rsid w:val="00EC490B"/>
    <w:rPr>
      <w:rFonts w:ascii="Segoe UI" w:hAnsi="Segoe UI" w:cs="Segoe UI" w:hint="default"/>
      <w:sz w:val="18"/>
      <w:szCs w:val="18"/>
    </w:rPr>
  </w:style>
  <w:style w:type="paragraph" w:customStyle="1" w:styleId="pf0">
    <w:name w:val="pf0"/>
    <w:basedOn w:val="Normal"/>
    <w:rsid w:val="00564F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CE5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055408">
      <w:bodyDiv w:val="1"/>
      <w:marLeft w:val="0"/>
      <w:marRight w:val="0"/>
      <w:marTop w:val="0"/>
      <w:marBottom w:val="0"/>
      <w:divBdr>
        <w:top w:val="none" w:sz="0" w:space="0" w:color="auto"/>
        <w:left w:val="none" w:sz="0" w:space="0" w:color="auto"/>
        <w:bottom w:val="none" w:sz="0" w:space="0" w:color="auto"/>
        <w:right w:val="none" w:sz="0" w:space="0" w:color="auto"/>
      </w:divBdr>
    </w:div>
    <w:div w:id="417674123">
      <w:bodyDiv w:val="1"/>
      <w:marLeft w:val="0"/>
      <w:marRight w:val="0"/>
      <w:marTop w:val="0"/>
      <w:marBottom w:val="0"/>
      <w:divBdr>
        <w:top w:val="none" w:sz="0" w:space="0" w:color="auto"/>
        <w:left w:val="none" w:sz="0" w:space="0" w:color="auto"/>
        <w:bottom w:val="none" w:sz="0" w:space="0" w:color="auto"/>
        <w:right w:val="none" w:sz="0" w:space="0" w:color="auto"/>
      </w:divBdr>
    </w:div>
    <w:div w:id="704790739">
      <w:bodyDiv w:val="1"/>
      <w:marLeft w:val="0"/>
      <w:marRight w:val="0"/>
      <w:marTop w:val="0"/>
      <w:marBottom w:val="0"/>
      <w:divBdr>
        <w:top w:val="none" w:sz="0" w:space="0" w:color="auto"/>
        <w:left w:val="none" w:sz="0" w:space="0" w:color="auto"/>
        <w:bottom w:val="none" w:sz="0" w:space="0" w:color="auto"/>
        <w:right w:val="none" w:sz="0" w:space="0" w:color="auto"/>
      </w:divBdr>
    </w:div>
    <w:div w:id="1028219888">
      <w:bodyDiv w:val="1"/>
      <w:marLeft w:val="0"/>
      <w:marRight w:val="0"/>
      <w:marTop w:val="0"/>
      <w:marBottom w:val="0"/>
      <w:divBdr>
        <w:top w:val="none" w:sz="0" w:space="0" w:color="auto"/>
        <w:left w:val="none" w:sz="0" w:space="0" w:color="auto"/>
        <w:bottom w:val="none" w:sz="0" w:space="0" w:color="auto"/>
        <w:right w:val="none" w:sz="0" w:space="0" w:color="auto"/>
      </w:divBdr>
    </w:div>
    <w:div w:id="1505392418">
      <w:bodyDiv w:val="1"/>
      <w:marLeft w:val="0"/>
      <w:marRight w:val="0"/>
      <w:marTop w:val="0"/>
      <w:marBottom w:val="0"/>
      <w:divBdr>
        <w:top w:val="none" w:sz="0" w:space="0" w:color="auto"/>
        <w:left w:val="none" w:sz="0" w:space="0" w:color="auto"/>
        <w:bottom w:val="none" w:sz="0" w:space="0" w:color="auto"/>
        <w:right w:val="none" w:sz="0" w:space="0" w:color="auto"/>
      </w:divBdr>
      <w:divsChild>
        <w:div w:id="1021204063">
          <w:marLeft w:val="0"/>
          <w:marRight w:val="0"/>
          <w:marTop w:val="0"/>
          <w:marBottom w:val="0"/>
          <w:divBdr>
            <w:top w:val="single" w:sz="2" w:space="0" w:color="E5E7EB"/>
            <w:left w:val="single" w:sz="2" w:space="0" w:color="E5E7EB"/>
            <w:bottom w:val="single" w:sz="2" w:space="0" w:color="E5E7EB"/>
            <w:right w:val="single" w:sz="2" w:space="0" w:color="E5E7EB"/>
          </w:divBdr>
          <w:divsChild>
            <w:div w:id="471095217">
              <w:marLeft w:val="0"/>
              <w:marRight w:val="0"/>
              <w:marTop w:val="0"/>
              <w:marBottom w:val="0"/>
              <w:divBdr>
                <w:top w:val="single" w:sz="2" w:space="0" w:color="E5E7EB"/>
                <w:left w:val="single" w:sz="2" w:space="0" w:color="E5E7EB"/>
                <w:bottom w:val="single" w:sz="2" w:space="0" w:color="E5E7EB"/>
                <w:right w:val="single" w:sz="2" w:space="0" w:color="E5E7EB"/>
              </w:divBdr>
              <w:divsChild>
                <w:div w:id="17240578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3602618">
              <w:marLeft w:val="0"/>
              <w:marRight w:val="0"/>
              <w:marTop w:val="0"/>
              <w:marBottom w:val="0"/>
              <w:divBdr>
                <w:top w:val="single" w:sz="2" w:space="0" w:color="E5E7EB"/>
                <w:left w:val="single" w:sz="2" w:space="0" w:color="E5E7EB"/>
                <w:bottom w:val="single" w:sz="2" w:space="0" w:color="E5E7EB"/>
                <w:right w:val="single" w:sz="2" w:space="0" w:color="E5E7EB"/>
              </w:divBdr>
              <w:divsChild>
                <w:div w:id="120152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6887600">
          <w:marLeft w:val="0"/>
          <w:marRight w:val="0"/>
          <w:marTop w:val="0"/>
          <w:marBottom w:val="0"/>
          <w:divBdr>
            <w:top w:val="single" w:sz="2" w:space="0" w:color="E5E7EB"/>
            <w:left w:val="single" w:sz="2" w:space="0" w:color="E5E7EB"/>
            <w:bottom w:val="single" w:sz="2" w:space="0" w:color="E5E7EB"/>
            <w:right w:val="single" w:sz="2" w:space="0" w:color="E5E7EB"/>
          </w:divBdr>
          <w:divsChild>
            <w:div w:id="1139805490">
              <w:marLeft w:val="0"/>
              <w:marRight w:val="0"/>
              <w:marTop w:val="0"/>
              <w:marBottom w:val="0"/>
              <w:divBdr>
                <w:top w:val="single" w:sz="2" w:space="0" w:color="E5E7EB"/>
                <w:left w:val="single" w:sz="2" w:space="0" w:color="E5E7EB"/>
                <w:bottom w:val="single" w:sz="2" w:space="0" w:color="E5E7EB"/>
                <w:right w:val="single" w:sz="2" w:space="0" w:color="E5E7EB"/>
              </w:divBdr>
              <w:divsChild>
                <w:div w:id="402994578">
                  <w:marLeft w:val="0"/>
                  <w:marRight w:val="0"/>
                  <w:marTop w:val="0"/>
                  <w:marBottom w:val="0"/>
                  <w:divBdr>
                    <w:top w:val="single" w:sz="2" w:space="0" w:color="E5E7EB"/>
                    <w:left w:val="single" w:sz="2" w:space="0" w:color="E5E7EB"/>
                    <w:bottom w:val="single" w:sz="2" w:space="0" w:color="E5E7EB"/>
                    <w:right w:val="single" w:sz="2" w:space="0" w:color="E5E7EB"/>
                  </w:divBdr>
                </w:div>
                <w:div w:id="1515343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2108787">
              <w:marLeft w:val="0"/>
              <w:marRight w:val="0"/>
              <w:marTop w:val="0"/>
              <w:marBottom w:val="0"/>
              <w:divBdr>
                <w:top w:val="single" w:sz="2" w:space="0" w:color="E5E7EB"/>
                <w:left w:val="single" w:sz="2" w:space="0" w:color="E5E7EB"/>
                <w:bottom w:val="single" w:sz="2" w:space="0" w:color="E5E7EB"/>
                <w:right w:val="single" w:sz="2" w:space="0" w:color="E5E7EB"/>
              </w:divBdr>
              <w:divsChild>
                <w:div w:id="782189877">
                  <w:marLeft w:val="0"/>
                  <w:marRight w:val="0"/>
                  <w:marTop w:val="0"/>
                  <w:marBottom w:val="0"/>
                  <w:divBdr>
                    <w:top w:val="single" w:sz="2" w:space="0" w:color="E5E7EB"/>
                    <w:left w:val="single" w:sz="2" w:space="0" w:color="E5E7EB"/>
                    <w:bottom w:val="single" w:sz="2" w:space="0" w:color="E5E7EB"/>
                    <w:right w:val="single" w:sz="2" w:space="0" w:color="E5E7EB"/>
                  </w:divBdr>
                </w:div>
                <w:div w:id="835192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1693158">
          <w:marLeft w:val="0"/>
          <w:marRight w:val="0"/>
          <w:marTop w:val="0"/>
          <w:marBottom w:val="0"/>
          <w:divBdr>
            <w:top w:val="single" w:sz="2" w:space="0" w:color="E5E7EB"/>
            <w:left w:val="single" w:sz="2" w:space="0" w:color="E5E7EB"/>
            <w:bottom w:val="single" w:sz="2" w:space="0" w:color="E5E7EB"/>
            <w:right w:val="single" w:sz="2" w:space="0" w:color="E5E7EB"/>
          </w:divBdr>
          <w:divsChild>
            <w:div w:id="1398820649">
              <w:marLeft w:val="0"/>
              <w:marRight w:val="0"/>
              <w:marTop w:val="0"/>
              <w:marBottom w:val="0"/>
              <w:divBdr>
                <w:top w:val="single" w:sz="2" w:space="0" w:color="E5E7EB"/>
                <w:left w:val="single" w:sz="2" w:space="0" w:color="E5E7EB"/>
                <w:bottom w:val="single" w:sz="2" w:space="0" w:color="E5E7EB"/>
                <w:right w:val="single" w:sz="2" w:space="0" w:color="E5E7EB"/>
              </w:divBdr>
              <w:divsChild>
                <w:div w:id="581255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8850423">
              <w:marLeft w:val="0"/>
              <w:marRight w:val="0"/>
              <w:marTop w:val="0"/>
              <w:marBottom w:val="0"/>
              <w:divBdr>
                <w:top w:val="single" w:sz="2" w:space="0" w:color="E5E7EB"/>
                <w:left w:val="single" w:sz="2" w:space="0" w:color="E5E7EB"/>
                <w:bottom w:val="single" w:sz="2" w:space="0" w:color="E5E7EB"/>
                <w:right w:val="single" w:sz="2" w:space="0" w:color="E5E7EB"/>
              </w:divBdr>
              <w:divsChild>
                <w:div w:id="514003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otley@uea.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7e2ea6a-fd88-4508-ab30-9a48b4fb2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AE83F6EBA8BD47AFA93FB8E7F85D14" ma:contentTypeVersion="19" ma:contentTypeDescription="Create a new document." ma:contentTypeScope="" ma:versionID="6bb3ef8d57bb87568295716375c432cd">
  <xsd:schema xmlns:xsd="http://www.w3.org/2001/XMLSchema" xmlns:xs="http://www.w3.org/2001/XMLSchema" xmlns:p="http://schemas.microsoft.com/office/2006/metadata/properties" xmlns:ns1="http://schemas.microsoft.com/sharepoint/v3" xmlns:ns3="7fb38363-17ae-47ed-9282-1f175d7dd596" xmlns:ns4="37e2ea6a-fd88-4508-ab30-9a48b4fb26a7" targetNamespace="http://schemas.microsoft.com/office/2006/metadata/properties" ma:root="true" ma:fieldsID="e170d14deadc951204c095beb7507c3d" ns1:_="" ns3:_="" ns4:_="">
    <xsd:import namespace="http://schemas.microsoft.com/sharepoint/v3"/>
    <xsd:import namespace="7fb38363-17ae-47ed-9282-1f175d7dd596"/>
    <xsd:import namespace="37e2ea6a-fd88-4508-ab30-9a48b4fb26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38363-17ae-47ed-9282-1f175d7dd5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2ea6a-fd88-4508-ab30-9a48b4fb26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CBA22-100B-4892-88A5-BE9DCCB9380F}">
  <ds:schemaRefs>
    <ds:schemaRef ds:uri="http://schemas.microsoft.com/office/2006/metadata/properties"/>
    <ds:schemaRef ds:uri="http://schemas.microsoft.com/office/infopath/2007/PartnerControls"/>
    <ds:schemaRef ds:uri="http://schemas.microsoft.com/sharepoint/v3"/>
    <ds:schemaRef ds:uri="37e2ea6a-fd88-4508-ab30-9a48b4fb26a7"/>
  </ds:schemaRefs>
</ds:datastoreItem>
</file>

<file path=customXml/itemProps2.xml><?xml version="1.0" encoding="utf-8"?>
<ds:datastoreItem xmlns:ds="http://schemas.openxmlformats.org/officeDocument/2006/customXml" ds:itemID="{E5E5804D-6947-4766-B325-F072F1FAD746}">
  <ds:schemaRefs>
    <ds:schemaRef ds:uri="http://schemas.microsoft.com/sharepoint/v3/contenttype/forms"/>
  </ds:schemaRefs>
</ds:datastoreItem>
</file>

<file path=customXml/itemProps3.xml><?xml version="1.0" encoding="utf-8"?>
<ds:datastoreItem xmlns:ds="http://schemas.openxmlformats.org/officeDocument/2006/customXml" ds:itemID="{80578E9E-8129-4AB0-B710-099BFE2C3A62}">
  <ds:schemaRefs>
    <ds:schemaRef ds:uri="http://schemas.openxmlformats.org/officeDocument/2006/bibliography"/>
  </ds:schemaRefs>
</ds:datastoreItem>
</file>

<file path=customXml/itemProps4.xml><?xml version="1.0" encoding="utf-8"?>
<ds:datastoreItem xmlns:ds="http://schemas.openxmlformats.org/officeDocument/2006/customXml" ds:itemID="{711612CE-3E95-4D77-8405-A3EA6EB74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b38363-17ae-47ed-9282-1f175d7dd596"/>
    <ds:schemaRef ds:uri="37e2ea6a-fd88-4508-ab30-9a48b4fb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11870</Words>
  <Characters>67665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Notley</dc:creator>
  <cp:keywords/>
  <dc:description/>
  <cp:lastModifiedBy>Caitlin Notley</cp:lastModifiedBy>
  <cp:revision>3</cp:revision>
  <dcterms:created xsi:type="dcterms:W3CDTF">2024-09-11T11:21:00Z</dcterms:created>
  <dcterms:modified xsi:type="dcterms:W3CDTF">2024-09-11T11:22:00Z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id="cKiQOrwP"/&gt;&lt;style id="http://www.zotero.org/styles/vancouver" locale="en-US" hasBibliography="1" bibliographyStyleHasBeenSet="1"/&gt;&lt;prefs&gt;&lt;pref name="fieldType" value="Field"/&gt;&lt;/prefs&gt;&lt;/data&gt;</vt:lpwstr>
  </property>
  <property fmtid="{D5CDD505-2E9C-101B-9397-08002B2CF9AE}" pid="3" name="ContentTypeId">
    <vt:lpwstr>0x01010078AE83F6EBA8BD47AFA93FB8E7F85D14</vt:lpwstr>
  </property>
  <property fmtid="{D5CDD505-2E9C-101B-9397-08002B2CF9AE}" pid="4" name="_NewReviewCycle">
    <vt:lpwstr/>
  </property>
</Properties>
</file>