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06AF" w14:textId="20242AAC" w:rsidR="00777858" w:rsidRDefault="00777858" w:rsidP="00777858">
      <w:pPr>
        <w:spacing w:line="240" w:lineRule="auto"/>
        <w:jc w:val="center"/>
        <w:rPr>
          <w:rFonts w:ascii="Arial Narrow" w:eastAsia="Arial Narrow" w:hAnsi="Arial Narrow" w:cs="Arial Narrow"/>
          <w:b/>
          <w:sz w:val="20"/>
          <w:szCs w:val="20"/>
        </w:rPr>
      </w:pPr>
      <w:r>
        <w:rPr>
          <w:noProof/>
        </w:rPr>
        <w:drawing>
          <wp:inline distT="0" distB="0" distL="0" distR="0" wp14:anchorId="2685C6AD" wp14:editId="7523AB8B">
            <wp:extent cx="4238625" cy="762000"/>
            <wp:effectExtent l="0" t="0" r="9525" b="0"/>
            <wp:docPr id="21" name="Picture 1" descr="Manuscri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Manuscript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8625" cy="762000"/>
                    </a:xfrm>
                    <a:prstGeom prst="rect">
                      <a:avLst/>
                    </a:prstGeom>
                    <a:noFill/>
                    <a:ln>
                      <a:noFill/>
                    </a:ln>
                  </pic:spPr>
                </pic:pic>
              </a:graphicData>
            </a:graphic>
          </wp:inline>
        </w:drawing>
      </w:r>
    </w:p>
    <w:p w14:paraId="76A8B5B1" w14:textId="77777777" w:rsidR="00777858" w:rsidRDefault="00777858" w:rsidP="0077785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Narrow" w:hAnsi="Arial Narrow" w:cs="Segoe UI"/>
          <w:i/>
          <w:iCs/>
          <w:sz w:val="22"/>
          <w:szCs w:val="22"/>
          <w:lang w:val="en-AU"/>
        </w:rPr>
        <w:t xml:space="preserve">Dedicated to allied health professional practice and </w:t>
      </w:r>
      <w:proofErr w:type="gramStart"/>
      <w:r>
        <w:rPr>
          <w:rStyle w:val="normaltextrun"/>
          <w:rFonts w:ascii="Arial Narrow" w:hAnsi="Arial Narrow" w:cs="Segoe UI"/>
          <w:i/>
          <w:iCs/>
          <w:sz w:val="22"/>
          <w:szCs w:val="22"/>
          <w:lang w:val="en-AU"/>
        </w:rPr>
        <w:t>education</w:t>
      </w:r>
      <w:proofErr w:type="gramEnd"/>
      <w:r>
        <w:rPr>
          <w:rStyle w:val="eop"/>
          <w:rFonts w:cs="Segoe UI"/>
          <w:sz w:val="22"/>
          <w:szCs w:val="22"/>
        </w:rPr>
        <w:t> </w:t>
      </w:r>
    </w:p>
    <w:p w14:paraId="414F4C39" w14:textId="77777777" w:rsidR="00777858" w:rsidRDefault="00777858" w:rsidP="00777858">
      <w:pPr>
        <w:pStyle w:val="paragraph"/>
        <w:spacing w:before="0" w:beforeAutospacing="0" w:after="0" w:afterAutospacing="0"/>
        <w:jc w:val="center"/>
        <w:textAlignment w:val="baseline"/>
        <w:rPr>
          <w:rFonts w:ascii="Arial Narrow" w:hAnsi="Arial Narrow" w:cs="Segoe UI"/>
          <w:b/>
          <w:bCs/>
          <w:sz w:val="22"/>
          <w:szCs w:val="22"/>
        </w:rPr>
      </w:pPr>
      <w:r>
        <w:rPr>
          <w:rStyle w:val="normaltextrun"/>
          <w:rFonts w:ascii="Arial Narrow" w:hAnsi="Arial Narrow" w:cs="Segoe UI"/>
          <w:b/>
          <w:bCs/>
          <w:sz w:val="22"/>
          <w:szCs w:val="22"/>
          <w:lang w:val="en-AU"/>
        </w:rPr>
        <w:t>Vol. 22 No. 1 ISSN 1540-580X</w:t>
      </w:r>
      <w:r>
        <w:rPr>
          <w:rStyle w:val="eop"/>
          <w:rFonts w:cs="Segoe UI"/>
          <w:b/>
          <w:bCs/>
          <w:sz w:val="22"/>
          <w:szCs w:val="22"/>
        </w:rPr>
        <w:t> </w:t>
      </w:r>
    </w:p>
    <w:p w14:paraId="1A2C098A" w14:textId="77777777" w:rsidR="00777858" w:rsidRDefault="00777858" w:rsidP="00777858">
      <w:pPr>
        <w:rPr>
          <w:rFonts w:ascii="Arial Narrow" w:eastAsia="Calibri" w:hAnsi="Arial Narrow"/>
          <w:sz w:val="32"/>
          <w:szCs w:val="32"/>
          <w:lang w:val="en-CA"/>
        </w:rPr>
      </w:pPr>
      <w:bookmarkStart w:id="0" w:name="_Hlk151052706"/>
      <w:r>
        <w:rPr>
          <w:rFonts w:ascii="Arial Narrow" w:eastAsia="Calibri" w:hAnsi="Arial Narrow"/>
          <w:noProof/>
          <w:sz w:val="32"/>
          <w:szCs w:val="32"/>
          <w:lang w:val="en-CA"/>
        </w:rPr>
        <w:pict w14:anchorId="7D3202C2">
          <v:rect id="_x0000_i1025" alt="" style="width:468pt;height:.75pt;mso-width-percent:0;mso-height-percent:0;mso-width-percent:0;mso-height-percent:0" o:hrstd="t" o:hr="t" fillcolor="#a0a0a0" stroked="f"/>
        </w:pict>
      </w:r>
      <w:bookmarkEnd w:id="0"/>
    </w:p>
    <w:p w14:paraId="2676BD04" w14:textId="6791F493" w:rsidR="00777858" w:rsidRPr="009F2CA5" w:rsidRDefault="00777858" w:rsidP="00777858">
      <w:pPr>
        <w:jc w:val="center"/>
        <w:rPr>
          <w:rFonts w:ascii="Arial Narrow" w:eastAsia="Calibri" w:hAnsi="Arial Narrow"/>
          <w:sz w:val="32"/>
          <w:szCs w:val="32"/>
          <w:lang w:val="en-CA"/>
        </w:rPr>
      </w:pPr>
      <w:bookmarkStart w:id="1" w:name="_Hlk138230709"/>
      <w:bookmarkStart w:id="2" w:name="_Hlk144122457"/>
      <w:bookmarkStart w:id="3" w:name="_Hlk144286924"/>
      <w:r w:rsidRPr="00777858">
        <w:rPr>
          <w:rFonts w:ascii="Arial Narrow" w:hAnsi="Arial Narrow"/>
          <w:color w:val="000000"/>
          <w:sz w:val="32"/>
          <w:szCs w:val="32"/>
          <w:shd w:val="clear" w:color="auto" w:fill="FFFFFF"/>
        </w:rPr>
        <w:t xml:space="preserve">An </w:t>
      </w:r>
      <w:r>
        <w:rPr>
          <w:rFonts w:ascii="Arial Narrow" w:hAnsi="Arial Narrow"/>
          <w:color w:val="000000"/>
          <w:sz w:val="32"/>
          <w:szCs w:val="32"/>
          <w:shd w:val="clear" w:color="auto" w:fill="FFFFFF"/>
        </w:rPr>
        <w:t>E</w:t>
      </w:r>
      <w:r w:rsidRPr="00777858">
        <w:rPr>
          <w:rFonts w:ascii="Arial Narrow" w:hAnsi="Arial Narrow"/>
          <w:color w:val="000000"/>
          <w:sz w:val="32"/>
          <w:szCs w:val="32"/>
          <w:shd w:val="clear" w:color="auto" w:fill="FFFFFF"/>
        </w:rPr>
        <w:t xml:space="preserve">valuation of a </w:t>
      </w:r>
      <w:r>
        <w:rPr>
          <w:rFonts w:ascii="Arial Narrow" w:hAnsi="Arial Narrow"/>
          <w:color w:val="000000"/>
          <w:sz w:val="32"/>
          <w:szCs w:val="32"/>
          <w:shd w:val="clear" w:color="auto" w:fill="FFFFFF"/>
        </w:rPr>
        <w:t>S</w:t>
      </w:r>
      <w:r w:rsidRPr="00777858">
        <w:rPr>
          <w:rFonts w:ascii="Arial Narrow" w:hAnsi="Arial Narrow"/>
          <w:color w:val="000000"/>
          <w:sz w:val="32"/>
          <w:szCs w:val="32"/>
          <w:shd w:val="clear" w:color="auto" w:fill="FFFFFF"/>
        </w:rPr>
        <w:t xml:space="preserve">tudent </w:t>
      </w:r>
      <w:r>
        <w:rPr>
          <w:rFonts w:ascii="Arial Narrow" w:hAnsi="Arial Narrow"/>
          <w:color w:val="000000"/>
          <w:sz w:val="32"/>
          <w:szCs w:val="32"/>
          <w:shd w:val="clear" w:color="auto" w:fill="FFFFFF"/>
        </w:rPr>
        <w:t>A</w:t>
      </w:r>
      <w:r w:rsidRPr="00777858">
        <w:rPr>
          <w:rFonts w:ascii="Arial Narrow" w:hAnsi="Arial Narrow"/>
          <w:color w:val="000000"/>
          <w:sz w:val="32"/>
          <w:szCs w:val="32"/>
          <w:shd w:val="clear" w:color="auto" w:fill="FFFFFF"/>
        </w:rPr>
        <w:t xml:space="preserve">llied </w:t>
      </w:r>
      <w:r>
        <w:rPr>
          <w:rFonts w:ascii="Arial Narrow" w:hAnsi="Arial Narrow"/>
          <w:color w:val="000000"/>
          <w:sz w:val="32"/>
          <w:szCs w:val="32"/>
          <w:shd w:val="clear" w:color="auto" w:fill="FFFFFF"/>
        </w:rPr>
        <w:t>H</w:t>
      </w:r>
      <w:r w:rsidRPr="00777858">
        <w:rPr>
          <w:rFonts w:ascii="Arial Narrow" w:hAnsi="Arial Narrow"/>
          <w:color w:val="000000"/>
          <w:sz w:val="32"/>
          <w:szCs w:val="32"/>
          <w:shd w:val="clear" w:color="auto" w:fill="FFFFFF"/>
        </w:rPr>
        <w:t xml:space="preserve">ealth </w:t>
      </w:r>
      <w:r>
        <w:rPr>
          <w:rFonts w:ascii="Arial Narrow" w:hAnsi="Arial Narrow"/>
          <w:color w:val="000000"/>
          <w:sz w:val="32"/>
          <w:szCs w:val="32"/>
          <w:shd w:val="clear" w:color="auto" w:fill="FFFFFF"/>
        </w:rPr>
        <w:t>P</w:t>
      </w:r>
      <w:r w:rsidRPr="00777858">
        <w:rPr>
          <w:rFonts w:ascii="Arial Narrow" w:hAnsi="Arial Narrow"/>
          <w:color w:val="000000"/>
          <w:sz w:val="32"/>
          <w:szCs w:val="32"/>
          <w:shd w:val="clear" w:color="auto" w:fill="FFFFFF"/>
        </w:rPr>
        <w:t xml:space="preserve">rofessions’ </w:t>
      </w:r>
      <w:r>
        <w:rPr>
          <w:rFonts w:ascii="Arial Narrow" w:hAnsi="Arial Narrow"/>
          <w:color w:val="000000"/>
          <w:sz w:val="32"/>
          <w:szCs w:val="32"/>
          <w:shd w:val="clear" w:color="auto" w:fill="FFFFFF"/>
        </w:rPr>
        <w:t>S</w:t>
      </w:r>
      <w:r w:rsidRPr="00777858">
        <w:rPr>
          <w:rFonts w:ascii="Arial Narrow" w:hAnsi="Arial Narrow"/>
          <w:color w:val="000000"/>
          <w:sz w:val="32"/>
          <w:szCs w:val="32"/>
          <w:shd w:val="clear" w:color="auto" w:fill="FFFFFF"/>
        </w:rPr>
        <w:t xml:space="preserve">ocial </w:t>
      </w:r>
      <w:r>
        <w:rPr>
          <w:rFonts w:ascii="Arial Narrow" w:hAnsi="Arial Narrow"/>
          <w:color w:val="000000"/>
          <w:sz w:val="32"/>
          <w:szCs w:val="32"/>
          <w:shd w:val="clear" w:color="auto" w:fill="FFFFFF"/>
        </w:rPr>
        <w:t>P</w:t>
      </w:r>
      <w:r w:rsidRPr="00777858">
        <w:rPr>
          <w:rFonts w:ascii="Arial Narrow" w:hAnsi="Arial Narrow"/>
          <w:color w:val="000000"/>
          <w:sz w:val="32"/>
          <w:szCs w:val="32"/>
          <w:shd w:val="clear" w:color="auto" w:fill="FFFFFF"/>
        </w:rPr>
        <w:t xml:space="preserve">rescribing </w:t>
      </w:r>
      <w:r>
        <w:rPr>
          <w:rFonts w:ascii="Arial Narrow" w:hAnsi="Arial Narrow"/>
          <w:color w:val="000000"/>
          <w:sz w:val="32"/>
          <w:szCs w:val="32"/>
          <w:shd w:val="clear" w:color="auto" w:fill="FFFFFF"/>
        </w:rPr>
        <w:t>S</w:t>
      </w:r>
      <w:r w:rsidRPr="00777858">
        <w:rPr>
          <w:rFonts w:ascii="Arial Narrow" w:hAnsi="Arial Narrow"/>
          <w:color w:val="000000"/>
          <w:sz w:val="32"/>
          <w:szCs w:val="32"/>
          <w:shd w:val="clear" w:color="auto" w:fill="FFFFFF"/>
        </w:rPr>
        <w:t>cheme</w:t>
      </w:r>
      <w:r>
        <w:rPr>
          <w:rFonts w:ascii="Arial Narrow" w:eastAsia="Calibri" w:hAnsi="Arial Narrow"/>
          <w:noProof/>
          <w:sz w:val="32"/>
          <w:szCs w:val="32"/>
          <w:lang w:val="en-CA"/>
        </w:rPr>
        <w:pict w14:anchorId="02A0B528">
          <v:rect id="_x0000_i1026" alt="" style="width:468pt;height:.75pt;mso-width-percent:0;mso-height-percent:0;mso-width-percent:0;mso-height-percent:0" o:hrstd="t" o:hr="t" fillcolor="#a0a0a0" stroked="f"/>
        </w:pict>
      </w:r>
      <w:bookmarkEnd w:id="1"/>
      <w:bookmarkEnd w:id="2"/>
      <w:bookmarkEnd w:id="3"/>
    </w:p>
    <w:p w14:paraId="0506E875" w14:textId="0D7948B7" w:rsidR="00777858" w:rsidRDefault="00777858" w:rsidP="00777858">
      <w:pPr>
        <w:jc w:val="center"/>
        <w:textAlignment w:val="baseline"/>
        <w:rPr>
          <w:rFonts w:ascii="Arial Narrow" w:hAnsi="Arial Narrow" w:cs="Segoe UI"/>
          <w:sz w:val="20"/>
          <w:szCs w:val="20"/>
        </w:rPr>
      </w:pPr>
      <w:r>
        <w:rPr>
          <w:rFonts w:ascii="Arial Narrow" w:hAnsi="Arial Narrow" w:cs="Segoe UI"/>
          <w:sz w:val="20"/>
          <w:szCs w:val="20"/>
        </w:rPr>
        <w:t>Kirstie A. Goodchild</w:t>
      </w:r>
    </w:p>
    <w:p w14:paraId="4341D95E" w14:textId="09390236" w:rsidR="00777858" w:rsidRDefault="00777858" w:rsidP="00777858">
      <w:pPr>
        <w:jc w:val="center"/>
        <w:textAlignment w:val="baseline"/>
        <w:rPr>
          <w:rFonts w:ascii="Arial Narrow" w:hAnsi="Arial Narrow" w:cs="Segoe UI"/>
          <w:sz w:val="20"/>
          <w:szCs w:val="20"/>
        </w:rPr>
      </w:pPr>
      <w:r>
        <w:rPr>
          <w:rFonts w:ascii="Arial Narrow" w:hAnsi="Arial Narrow" w:cs="Segoe UI"/>
          <w:sz w:val="20"/>
          <w:szCs w:val="20"/>
        </w:rPr>
        <w:t xml:space="preserve">Anya de </w:t>
      </w:r>
      <w:proofErr w:type="spellStart"/>
      <w:r w:rsidR="00EB7C88">
        <w:rPr>
          <w:rFonts w:ascii="Arial Narrow" w:hAnsi="Arial Narrow" w:cs="Segoe UI"/>
          <w:sz w:val="20"/>
          <w:szCs w:val="20"/>
        </w:rPr>
        <w:t>I</w:t>
      </w:r>
      <w:r>
        <w:rPr>
          <w:rFonts w:ascii="Arial Narrow" w:hAnsi="Arial Narrow" w:cs="Segoe UI"/>
          <w:sz w:val="20"/>
          <w:szCs w:val="20"/>
        </w:rPr>
        <w:t>ongh</w:t>
      </w:r>
      <w:proofErr w:type="spellEnd"/>
    </w:p>
    <w:p w14:paraId="75107BA9" w14:textId="77777777" w:rsidR="00777858" w:rsidRDefault="00777858" w:rsidP="00777858">
      <w:pPr>
        <w:jc w:val="center"/>
        <w:textAlignment w:val="baseline"/>
        <w:rPr>
          <w:rFonts w:ascii="Arial Narrow" w:hAnsi="Arial Narrow" w:cs="Segoe UI"/>
          <w:sz w:val="20"/>
          <w:szCs w:val="20"/>
        </w:rPr>
      </w:pPr>
    </w:p>
    <w:p w14:paraId="1464F437" w14:textId="158971DA" w:rsidR="00777858" w:rsidRPr="004C2EEB" w:rsidRDefault="00777858" w:rsidP="004C2EEB">
      <w:pPr>
        <w:pStyle w:val="ListParagraph"/>
        <w:numPr>
          <w:ilvl w:val="0"/>
          <w:numId w:val="3"/>
        </w:numPr>
        <w:textAlignment w:val="baseline"/>
        <w:rPr>
          <w:rFonts w:ascii="Arial Narrow" w:hAnsi="Arial Narrow" w:cs="Segoe UI"/>
          <w:sz w:val="20"/>
          <w:szCs w:val="20"/>
        </w:rPr>
      </w:pPr>
      <w:r w:rsidRPr="004C2EEB">
        <w:rPr>
          <w:rFonts w:ascii="Arial Narrow" w:hAnsi="Arial Narrow" w:cs="Segoe UI"/>
          <w:sz w:val="20"/>
          <w:szCs w:val="20"/>
        </w:rPr>
        <w:t>University of East Anglia</w:t>
      </w:r>
    </w:p>
    <w:p w14:paraId="79FFB536" w14:textId="0BE3B40E" w:rsidR="004C2EEB" w:rsidRPr="004C2EEB" w:rsidRDefault="004C2EEB" w:rsidP="004C2EEB">
      <w:pPr>
        <w:pStyle w:val="ListParagraph"/>
        <w:numPr>
          <w:ilvl w:val="0"/>
          <w:numId w:val="3"/>
        </w:numPr>
        <w:textAlignment w:val="baseline"/>
        <w:rPr>
          <w:rFonts w:ascii="Arial Narrow" w:hAnsi="Arial Narrow" w:cs="Segoe UI"/>
          <w:sz w:val="20"/>
          <w:szCs w:val="20"/>
        </w:rPr>
      </w:pPr>
      <w:r w:rsidRPr="004C2EEB">
        <w:rPr>
          <w:rFonts w:ascii="Arial Narrow" w:hAnsi="Arial Narrow" w:cs="Segoe UI"/>
          <w:sz w:val="20"/>
          <w:szCs w:val="20"/>
        </w:rPr>
        <w:t>AHP Social Prescribing Student Champion Scheme</w:t>
      </w:r>
    </w:p>
    <w:p w14:paraId="7FF99228" w14:textId="77777777" w:rsidR="00777858" w:rsidRDefault="00777858" w:rsidP="00777858">
      <w:pPr>
        <w:jc w:val="center"/>
        <w:textAlignment w:val="baseline"/>
        <w:rPr>
          <w:rFonts w:ascii="Arial Narrow" w:hAnsi="Arial Narrow" w:cs="Segoe UI"/>
          <w:sz w:val="20"/>
          <w:szCs w:val="20"/>
        </w:rPr>
      </w:pPr>
    </w:p>
    <w:p w14:paraId="246900DE" w14:textId="7B262024" w:rsidR="00777858" w:rsidRDefault="00777858" w:rsidP="00777858">
      <w:pPr>
        <w:jc w:val="center"/>
        <w:textAlignment w:val="baseline"/>
        <w:rPr>
          <w:rFonts w:ascii="Arial Narrow" w:hAnsi="Arial Narrow" w:cs="Segoe UI"/>
          <w:sz w:val="20"/>
          <w:szCs w:val="20"/>
        </w:rPr>
      </w:pPr>
      <w:r>
        <w:rPr>
          <w:rFonts w:ascii="Arial Narrow" w:hAnsi="Arial Narrow" w:cs="Segoe UI"/>
          <w:sz w:val="20"/>
          <w:szCs w:val="20"/>
        </w:rPr>
        <w:t>United Kingdom</w:t>
      </w:r>
    </w:p>
    <w:p w14:paraId="6B5313B2" w14:textId="77777777" w:rsidR="00777858" w:rsidRDefault="00777858" w:rsidP="00777858">
      <w:pPr>
        <w:rPr>
          <w:rFonts w:ascii="Arial Narrow" w:hAnsi="Arial Narrow"/>
          <w:color w:val="000000"/>
          <w:sz w:val="20"/>
          <w:szCs w:val="20"/>
        </w:rPr>
      </w:pPr>
      <w:bookmarkStart w:id="4" w:name="_Hlk151050102"/>
      <w:r>
        <w:rPr>
          <w:rFonts w:ascii="Arial Narrow" w:eastAsia="Calibri" w:hAnsi="Arial Narrow"/>
          <w:noProof/>
          <w:szCs w:val="20"/>
          <w:lang w:val="en-CA"/>
        </w:rPr>
        <w:pict w14:anchorId="6A526990">
          <v:rect id="_x0000_i1027" alt="" style="width:468pt;height:.75pt;mso-width-percent:0;mso-height-percent:0;mso-width-percent:0;mso-height-percent:0" o:hrstd="t" o:hr="t" fillcolor="#a0a0a0" stroked="f"/>
        </w:pict>
      </w:r>
      <w:bookmarkEnd w:id="4"/>
    </w:p>
    <w:p w14:paraId="6D2785B4" w14:textId="77777777" w:rsidR="00777858" w:rsidRPr="00D51860" w:rsidRDefault="00777858" w:rsidP="00804F4D">
      <w:pPr>
        <w:spacing w:line="240" w:lineRule="auto"/>
        <w:rPr>
          <w:rFonts w:ascii="Arial Narrow" w:hAnsi="Arial Narrow"/>
          <w:color w:val="000000"/>
          <w:sz w:val="20"/>
          <w:szCs w:val="20"/>
        </w:rPr>
      </w:pPr>
      <w:r w:rsidRPr="00A87B77">
        <w:rPr>
          <w:rFonts w:ascii="Arial Narrow" w:hAnsi="Arial Narrow"/>
          <w:b/>
          <w:bCs/>
          <w:color w:val="000000"/>
          <w:sz w:val="20"/>
          <w:szCs w:val="20"/>
        </w:rPr>
        <w:t>ABSTRACT</w:t>
      </w:r>
    </w:p>
    <w:p w14:paraId="135D539C" w14:textId="747661C4" w:rsidR="00804F4D" w:rsidRPr="00804F4D" w:rsidRDefault="00804F4D" w:rsidP="000F694C">
      <w:pPr>
        <w:pStyle w:val="NormalWeb"/>
        <w:spacing w:before="0" w:beforeAutospacing="0" w:after="0" w:afterAutospacing="0"/>
        <w:jc w:val="both"/>
        <w:rPr>
          <w:rFonts w:ascii="Arial Narrow" w:hAnsi="Arial Narrow" w:cs="Arial"/>
          <w:color w:val="000000"/>
          <w:sz w:val="20"/>
          <w:szCs w:val="20"/>
        </w:rPr>
      </w:pPr>
      <w:r>
        <w:rPr>
          <w:rFonts w:ascii="Arial Narrow" w:hAnsi="Arial Narrow" w:cs="Arial"/>
          <w:b/>
          <w:bCs/>
          <w:color w:val="000000"/>
          <w:sz w:val="20"/>
          <w:szCs w:val="20"/>
        </w:rPr>
        <w:t>Purpose:</w:t>
      </w:r>
      <w:r w:rsidRPr="00804F4D">
        <w:rPr>
          <w:rFonts w:ascii="Arial Narrow" w:hAnsi="Arial Narrow" w:cs="Arial"/>
          <w:color w:val="000000"/>
          <w:sz w:val="20"/>
          <w:szCs w:val="20"/>
        </w:rPr>
        <w:t xml:space="preserve"> Social prescribing is a core part of healthcare policy within the NHS and requires support and contributions from all healthcare professionals, including Allied Healthcare Professionals (AHPs). The well-established medical student-led social prescribing student champion scheme (SPSCS) has been expanded to include AHPs, and AHP champions were recruited to deliver peer-led activities focused on social prescribing. This article aimed to evaluate the impact of the scheme's expansion on AHP students.</w:t>
      </w:r>
      <w:r>
        <w:rPr>
          <w:rFonts w:ascii="Arial Narrow" w:hAnsi="Arial Narrow" w:cs="Arial"/>
          <w:color w:val="000000"/>
          <w:sz w:val="20"/>
          <w:szCs w:val="20"/>
        </w:rPr>
        <w:t xml:space="preserve"> </w:t>
      </w:r>
      <w:r>
        <w:rPr>
          <w:rFonts w:ascii="Arial Narrow" w:hAnsi="Arial Narrow" w:cs="Arial"/>
          <w:b/>
          <w:bCs/>
          <w:color w:val="000000"/>
          <w:sz w:val="20"/>
          <w:szCs w:val="20"/>
        </w:rPr>
        <w:t>Method:</w:t>
      </w:r>
      <w:r w:rsidRPr="00804F4D">
        <w:rPr>
          <w:rFonts w:ascii="Arial Narrow" w:hAnsi="Arial Narrow" w:cs="Arial"/>
          <w:color w:val="000000"/>
          <w:sz w:val="20"/>
          <w:szCs w:val="20"/>
        </w:rPr>
        <w:t xml:space="preserve"> Fourteen AHP champions ran 21 activities that reached 524 students. Those participating in the champion-led activities were asked to complete pre- and post-session surveys to capture the impact of the sessions on their awareness of, knowledge of, and confidence with clinically applying social prescribing. Participants also rated the opportunity for multi-disciplinary interaction and overall experience of the champion led activities.</w:t>
      </w:r>
      <w:r w:rsidR="000F694C">
        <w:rPr>
          <w:rFonts w:ascii="Arial Narrow" w:hAnsi="Arial Narrow" w:cs="Arial"/>
          <w:color w:val="000000"/>
          <w:sz w:val="20"/>
          <w:szCs w:val="20"/>
        </w:rPr>
        <w:t xml:space="preserve"> </w:t>
      </w:r>
      <w:r w:rsidRPr="000F694C">
        <w:rPr>
          <w:rFonts w:ascii="Arial Narrow" w:hAnsi="Arial Narrow" w:cs="Arial"/>
          <w:b/>
          <w:bCs/>
          <w:color w:val="000000"/>
          <w:sz w:val="20"/>
          <w:szCs w:val="20"/>
        </w:rPr>
        <w:t>Results:</w:t>
      </w:r>
      <w:r w:rsidRPr="00804F4D">
        <w:rPr>
          <w:rFonts w:ascii="Arial Narrow" w:hAnsi="Arial Narrow" w:cs="Arial"/>
          <w:color w:val="000000"/>
          <w:sz w:val="20"/>
          <w:szCs w:val="20"/>
        </w:rPr>
        <w:t xml:space="preserve"> It was found that participant’s post-session scores for awareness, understanding and confidence were higher than post-session scores. Further, post-session survey results showed that participants enjoyed and felt they had been able to experience multi-disciplinary interaction at events.</w:t>
      </w:r>
      <w:r w:rsidR="00BD1C2A">
        <w:rPr>
          <w:rFonts w:ascii="Arial Narrow" w:hAnsi="Arial Narrow" w:cs="Arial"/>
          <w:color w:val="000000"/>
          <w:sz w:val="20"/>
          <w:szCs w:val="20"/>
        </w:rPr>
        <w:t xml:space="preserve"> </w:t>
      </w:r>
      <w:r w:rsidR="00BD1C2A" w:rsidRPr="00BD1C2A">
        <w:rPr>
          <w:rFonts w:ascii="Arial Narrow" w:hAnsi="Arial Narrow" w:cs="Arial"/>
          <w:b/>
          <w:bCs/>
          <w:color w:val="000000"/>
          <w:sz w:val="20"/>
          <w:szCs w:val="20"/>
        </w:rPr>
        <w:t>Conclusions:</w:t>
      </w:r>
      <w:r w:rsidR="00BD1C2A">
        <w:rPr>
          <w:rFonts w:ascii="Arial Narrow" w:hAnsi="Arial Narrow" w:cs="Arial"/>
          <w:color w:val="000000"/>
          <w:sz w:val="20"/>
          <w:szCs w:val="20"/>
        </w:rPr>
        <w:t xml:space="preserve"> </w:t>
      </w:r>
      <w:r w:rsidRPr="00804F4D">
        <w:rPr>
          <w:rFonts w:ascii="Arial Narrow" w:hAnsi="Arial Narrow" w:cs="Arial"/>
          <w:color w:val="000000"/>
          <w:sz w:val="20"/>
          <w:szCs w:val="20"/>
        </w:rPr>
        <w:t>In summary, the evaluation of the AHP SPSCS highlights the value of student-led peer teaching in helping to raise awareness and understanding about social prescribing for AHP students, whilst acknowledging the need to expand the scheme’s reach in the future.</w:t>
      </w:r>
    </w:p>
    <w:p w14:paraId="072361ED" w14:textId="77777777" w:rsidR="00777858" w:rsidRDefault="00777858" w:rsidP="00777858">
      <w:pPr>
        <w:spacing w:line="240" w:lineRule="auto"/>
        <w:rPr>
          <w:rFonts w:ascii="Arial Narrow" w:eastAsia="Arial Narrow" w:hAnsi="Arial Narrow" w:cs="Arial Narrow"/>
          <w:b/>
          <w:sz w:val="20"/>
          <w:szCs w:val="20"/>
        </w:rPr>
      </w:pPr>
    </w:p>
    <w:p w14:paraId="3B6046A5" w14:textId="2B958F0F" w:rsidR="00777858" w:rsidRPr="000F694C" w:rsidRDefault="00BD1C2A" w:rsidP="00777858">
      <w:pPr>
        <w:spacing w:line="240" w:lineRule="auto"/>
        <w:rPr>
          <w:rFonts w:ascii="Arial Narrow" w:eastAsia="Arial Narrow" w:hAnsi="Arial Narrow" w:cs="Arial Narrow"/>
          <w:bCs/>
          <w:sz w:val="20"/>
          <w:szCs w:val="20"/>
        </w:rPr>
      </w:pPr>
      <w:r>
        <w:rPr>
          <w:rFonts w:ascii="Arial Narrow" w:eastAsia="Arial Narrow" w:hAnsi="Arial Narrow" w:cs="Arial Narrow"/>
          <w:b/>
          <w:sz w:val="20"/>
          <w:szCs w:val="20"/>
        </w:rPr>
        <w:t xml:space="preserve">Keywords: </w:t>
      </w:r>
      <w:r w:rsidR="000F694C">
        <w:rPr>
          <w:rFonts w:ascii="Arial Narrow" w:eastAsia="Arial Narrow" w:hAnsi="Arial Narrow" w:cs="Arial Narrow"/>
          <w:bCs/>
          <w:sz w:val="20"/>
          <w:szCs w:val="20"/>
        </w:rPr>
        <w:t>s</w:t>
      </w:r>
      <w:r w:rsidR="000F694C" w:rsidRPr="000F694C">
        <w:rPr>
          <w:rFonts w:ascii="Arial Narrow" w:eastAsia="Arial Narrow" w:hAnsi="Arial Narrow" w:cs="Arial Narrow"/>
          <w:bCs/>
          <w:sz w:val="20"/>
          <w:szCs w:val="20"/>
        </w:rPr>
        <w:t>ocial prescribing, allied healthcare professionals, students, peer-led education</w:t>
      </w:r>
    </w:p>
    <w:p w14:paraId="778C2B77" w14:textId="4CCCEF4C" w:rsidR="00777858" w:rsidRPr="000F694C" w:rsidRDefault="000F694C" w:rsidP="00777858">
      <w:pPr>
        <w:spacing w:line="240" w:lineRule="auto"/>
        <w:rPr>
          <w:rFonts w:ascii="Arial Narrow" w:eastAsia="Arial Narrow" w:hAnsi="Arial Narrow" w:cs="Arial Narrow"/>
          <w:bCs/>
          <w:sz w:val="20"/>
          <w:szCs w:val="20"/>
        </w:rPr>
      </w:pPr>
      <w:bookmarkStart w:id="5" w:name="_Hlk152662995"/>
      <w:r>
        <w:rPr>
          <w:rFonts w:ascii="Arial Narrow" w:eastAsia="Calibri" w:hAnsi="Arial Narrow"/>
          <w:noProof/>
          <w:szCs w:val="20"/>
          <w:lang w:val="en-CA"/>
        </w:rPr>
        <w:pict w14:anchorId="5A8C20A3">
          <v:rect id="_x0000_i1033" alt="" style="width:468pt;height:.75pt;mso-width-percent:0;mso-height-percent:0;mso-width-percent:0;mso-height-percent:0" o:hrstd="t" o:hr="t" fillcolor="#a0a0a0" stroked="f"/>
        </w:pict>
      </w:r>
      <w:bookmarkEnd w:id="5"/>
    </w:p>
    <w:p w14:paraId="73743DD5" w14:textId="77777777" w:rsidR="00777858" w:rsidRDefault="00777858" w:rsidP="00777858">
      <w:pPr>
        <w:spacing w:line="240" w:lineRule="auto"/>
        <w:rPr>
          <w:rFonts w:ascii="Arial Narrow" w:eastAsia="Arial Narrow" w:hAnsi="Arial Narrow" w:cs="Arial Narrow"/>
          <w:b/>
          <w:sz w:val="20"/>
          <w:szCs w:val="20"/>
        </w:rPr>
      </w:pPr>
    </w:p>
    <w:p w14:paraId="78D99725" w14:textId="77777777" w:rsidR="00656EC9" w:rsidRDefault="00656EC9" w:rsidP="00777858">
      <w:pPr>
        <w:spacing w:line="240" w:lineRule="auto"/>
        <w:rPr>
          <w:rFonts w:ascii="Arial Narrow" w:eastAsia="Arial Narrow" w:hAnsi="Arial Narrow" w:cs="Arial Narrow"/>
          <w:b/>
          <w:sz w:val="20"/>
          <w:szCs w:val="20"/>
        </w:rPr>
        <w:sectPr w:rsidR="00656EC9" w:rsidSect="00373FB6">
          <w:footerReference w:type="default" r:id="rId9"/>
          <w:pgSz w:w="12240" w:h="15840" w:code="1"/>
          <w:pgMar w:top="1417" w:right="1417" w:bottom="1417" w:left="1417" w:header="720" w:footer="720" w:gutter="0"/>
          <w:pgNumType w:start="1"/>
          <w:cols w:space="720"/>
          <w:docGrid w:linePitch="299"/>
        </w:sectPr>
      </w:pPr>
    </w:p>
    <w:p w14:paraId="43AFFA62" w14:textId="0B98C2B0" w:rsidR="00C30E66" w:rsidRDefault="00000000" w:rsidP="00024965">
      <w:pPr>
        <w:spacing w:line="240" w:lineRule="auto"/>
        <w:jc w:val="both"/>
        <w:rPr>
          <w:rFonts w:ascii="Arial Narrow" w:eastAsia="Arial Narrow" w:hAnsi="Arial Narrow" w:cs="Arial Narrow"/>
          <w:b/>
          <w:i/>
          <w:sz w:val="20"/>
          <w:szCs w:val="20"/>
        </w:rPr>
      </w:pPr>
      <w:r>
        <w:rPr>
          <w:rFonts w:ascii="Arial Narrow" w:eastAsia="Arial Narrow" w:hAnsi="Arial Narrow" w:cs="Arial Narrow"/>
          <w:b/>
          <w:sz w:val="20"/>
          <w:szCs w:val="20"/>
        </w:rPr>
        <w:lastRenderedPageBreak/>
        <w:t xml:space="preserve">INTRODUCTION </w:t>
      </w:r>
    </w:p>
    <w:p w14:paraId="51255E4A" w14:textId="72110A5F" w:rsidR="00C30E66" w:rsidRDefault="000B09AD" w:rsidP="00024965">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S</w:t>
      </w:r>
      <w:r w:rsidR="006E6B5D">
        <w:rPr>
          <w:rFonts w:ascii="Arial Narrow" w:eastAsia="Arial Narrow" w:hAnsi="Arial Narrow" w:cs="Arial Narrow"/>
          <w:sz w:val="20"/>
          <w:szCs w:val="20"/>
        </w:rPr>
        <w:t xml:space="preserve">ocial prescribing </w:t>
      </w:r>
      <w:r>
        <w:rPr>
          <w:rFonts w:ascii="Arial Narrow" w:eastAsia="Arial Narrow" w:hAnsi="Arial Narrow" w:cs="Arial Narrow"/>
          <w:sz w:val="20"/>
          <w:szCs w:val="20"/>
        </w:rPr>
        <w:t xml:space="preserve">is an approach to healthcare which </w:t>
      </w:r>
      <w:r w:rsidR="002676DF">
        <w:rPr>
          <w:rFonts w:ascii="Arial Narrow" w:eastAsia="Arial Narrow" w:hAnsi="Arial Narrow" w:cs="Arial Narrow"/>
          <w:sz w:val="20"/>
          <w:szCs w:val="20"/>
        </w:rPr>
        <w:t xml:space="preserve">enables </w:t>
      </w:r>
      <w:r w:rsidR="006949D0">
        <w:rPr>
          <w:rFonts w:ascii="Arial Narrow" w:eastAsia="Arial Narrow" w:hAnsi="Arial Narrow" w:cs="Arial Narrow"/>
          <w:sz w:val="20"/>
          <w:szCs w:val="20"/>
        </w:rPr>
        <w:t xml:space="preserve">patients </w:t>
      </w:r>
      <w:r w:rsidR="002676DF">
        <w:rPr>
          <w:rFonts w:ascii="Arial Narrow" w:eastAsia="Arial Narrow" w:hAnsi="Arial Narrow" w:cs="Arial Narrow"/>
          <w:sz w:val="20"/>
          <w:szCs w:val="20"/>
        </w:rPr>
        <w:t xml:space="preserve">to be supported </w:t>
      </w:r>
      <w:r w:rsidR="006949D0">
        <w:rPr>
          <w:rFonts w:ascii="Arial Narrow" w:eastAsia="Arial Narrow" w:hAnsi="Arial Narrow" w:cs="Arial Narrow"/>
          <w:sz w:val="20"/>
          <w:szCs w:val="20"/>
        </w:rPr>
        <w:t>more holistically</w:t>
      </w:r>
      <w:r w:rsidR="006E6B5D">
        <w:rPr>
          <w:rFonts w:ascii="Arial Narrow" w:eastAsia="Arial Narrow" w:hAnsi="Arial Narrow" w:cs="Arial Narrow"/>
          <w:sz w:val="20"/>
          <w:szCs w:val="20"/>
        </w:rPr>
        <w:t xml:space="preserve"> by </w:t>
      </w:r>
      <w:r w:rsidR="002676DF">
        <w:rPr>
          <w:rFonts w:ascii="Arial Narrow" w:eastAsia="Arial Narrow" w:hAnsi="Arial Narrow" w:cs="Arial Narrow"/>
          <w:sz w:val="20"/>
          <w:szCs w:val="20"/>
        </w:rPr>
        <w:t xml:space="preserve">being </w:t>
      </w:r>
      <w:r w:rsidR="006E6B5D">
        <w:rPr>
          <w:rFonts w:ascii="Arial Narrow" w:eastAsia="Arial Narrow" w:hAnsi="Arial Narrow" w:cs="Arial Narrow"/>
          <w:sz w:val="20"/>
          <w:szCs w:val="20"/>
        </w:rPr>
        <w:t>connect</w:t>
      </w:r>
      <w:r w:rsidR="002676DF">
        <w:rPr>
          <w:rFonts w:ascii="Arial Narrow" w:eastAsia="Arial Narrow" w:hAnsi="Arial Narrow" w:cs="Arial Narrow"/>
          <w:sz w:val="20"/>
          <w:szCs w:val="20"/>
        </w:rPr>
        <w:t>ed</w:t>
      </w:r>
      <w:r w:rsidR="006E6B5D">
        <w:rPr>
          <w:rFonts w:ascii="Arial Narrow" w:eastAsia="Arial Narrow" w:hAnsi="Arial Narrow" w:cs="Arial Narrow"/>
          <w:sz w:val="20"/>
          <w:szCs w:val="20"/>
        </w:rPr>
        <w:t xml:space="preserve"> with non-medical local community resources.</w:t>
      </w:r>
      <w:r w:rsidR="00B22440" w:rsidRPr="00B22440">
        <w:rPr>
          <w:rFonts w:ascii="Arial Narrow" w:eastAsia="Arial Narrow" w:hAnsi="Arial Narrow" w:cs="Arial Narrow"/>
          <w:sz w:val="20"/>
          <w:szCs w:val="20"/>
          <w:vertAlign w:val="superscript"/>
        </w:rPr>
        <w:t>1</w:t>
      </w:r>
      <w:r>
        <w:rPr>
          <w:rFonts w:ascii="Arial Narrow" w:eastAsia="Arial Narrow" w:hAnsi="Arial Narrow" w:cs="Arial Narrow"/>
          <w:sz w:val="20"/>
          <w:szCs w:val="20"/>
        </w:rPr>
        <w:t xml:space="preserve"> Social prescribing works in this way due to recognising that there are determinants of health and wellbeing wider than those considered by the traditional scope of medicine</w:t>
      </w:r>
      <w:r>
        <w:rPr>
          <w:rFonts w:ascii="Arial Narrow" w:eastAsia="Arial Narrow" w:hAnsi="Arial Narrow" w:cs="Arial Narrow"/>
          <w:sz w:val="20"/>
          <w:szCs w:val="20"/>
          <w:vertAlign w:val="subscript"/>
        </w:rPr>
        <w:t>1.</w:t>
      </w:r>
      <w:r w:rsidR="009C2FA6">
        <w:rPr>
          <w:rFonts w:ascii="Arial Narrow" w:eastAsia="Arial Narrow" w:hAnsi="Arial Narrow" w:cs="Arial Narrow"/>
          <w:sz w:val="20"/>
          <w:szCs w:val="20"/>
        </w:rPr>
        <w:t xml:space="preserve"> </w:t>
      </w:r>
      <w:r w:rsidR="006E6B5D">
        <w:rPr>
          <w:rFonts w:ascii="Arial Narrow" w:eastAsia="Arial Narrow" w:hAnsi="Arial Narrow" w:cs="Arial Narrow"/>
          <w:sz w:val="20"/>
          <w:szCs w:val="20"/>
        </w:rPr>
        <w:t>Patients who could benefit from social prescribing can be referred by healthcare practitioners or directly self-refer to social prescribing services, which are generally linked to primary care and general practitioner (GP) practices and provided by link workers</w:t>
      </w:r>
      <w:r w:rsidR="00B22440">
        <w:rPr>
          <w:rFonts w:ascii="Arial Narrow" w:eastAsia="Arial Narrow" w:hAnsi="Arial Narrow" w:cs="Arial Narrow"/>
          <w:sz w:val="20"/>
          <w:szCs w:val="20"/>
        </w:rPr>
        <w:t>.</w:t>
      </w:r>
      <w:r w:rsidR="006E6B5D" w:rsidRPr="00623FC7">
        <w:rPr>
          <w:rFonts w:ascii="Arial Narrow" w:eastAsia="Arial Narrow" w:hAnsi="Arial Narrow" w:cs="Arial Narrow"/>
          <w:sz w:val="20"/>
          <w:szCs w:val="20"/>
          <w:vertAlign w:val="superscript"/>
        </w:rPr>
        <w:t>2,3</w:t>
      </w:r>
      <w:r w:rsidR="006E6B5D">
        <w:rPr>
          <w:rFonts w:ascii="Arial Narrow" w:eastAsia="Arial Narrow" w:hAnsi="Arial Narrow" w:cs="Arial Narrow"/>
          <w:sz w:val="20"/>
          <w:szCs w:val="20"/>
        </w:rPr>
        <w:t xml:space="preserve"> Link workers </w:t>
      </w:r>
      <w:r w:rsidR="002676DF">
        <w:rPr>
          <w:rFonts w:ascii="Arial Narrow" w:eastAsia="Arial Narrow" w:hAnsi="Arial Narrow" w:cs="Arial Narrow"/>
          <w:sz w:val="20"/>
          <w:szCs w:val="20"/>
        </w:rPr>
        <w:t xml:space="preserve">are professionals trained to liaise with individuals in order to identify their goals, </w:t>
      </w:r>
      <w:r w:rsidR="0081437B">
        <w:rPr>
          <w:rFonts w:ascii="Arial Narrow" w:eastAsia="Arial Narrow" w:hAnsi="Arial Narrow" w:cs="Arial Narrow"/>
          <w:sz w:val="20"/>
          <w:szCs w:val="20"/>
        </w:rPr>
        <w:t>challenges,</w:t>
      </w:r>
      <w:r w:rsidR="002676DF">
        <w:rPr>
          <w:rFonts w:ascii="Arial Narrow" w:eastAsia="Arial Narrow" w:hAnsi="Arial Narrow" w:cs="Arial Narrow"/>
          <w:sz w:val="20"/>
          <w:szCs w:val="20"/>
        </w:rPr>
        <w:t xml:space="preserve"> and </w:t>
      </w:r>
      <w:r w:rsidR="006E6B5D">
        <w:rPr>
          <w:rFonts w:ascii="Arial Narrow" w:eastAsia="Arial Narrow" w:hAnsi="Arial Narrow" w:cs="Arial Narrow"/>
          <w:sz w:val="20"/>
          <w:szCs w:val="20"/>
        </w:rPr>
        <w:t>what matters to the</w:t>
      </w:r>
      <w:r w:rsidR="002676DF">
        <w:rPr>
          <w:rFonts w:ascii="Arial Narrow" w:eastAsia="Arial Narrow" w:hAnsi="Arial Narrow" w:cs="Arial Narrow"/>
          <w:sz w:val="20"/>
          <w:szCs w:val="20"/>
        </w:rPr>
        <w:t>m</w:t>
      </w:r>
      <w:r w:rsidR="00450A32">
        <w:rPr>
          <w:rFonts w:ascii="Arial Narrow" w:eastAsia="Arial Narrow" w:hAnsi="Arial Narrow" w:cs="Arial Narrow"/>
          <w:sz w:val="20"/>
          <w:szCs w:val="20"/>
          <w:vertAlign w:val="subscript"/>
        </w:rPr>
        <w:t>.</w:t>
      </w:r>
      <w:r w:rsidR="00450A32" w:rsidRPr="00450A32">
        <w:rPr>
          <w:rFonts w:ascii="Arial Narrow" w:eastAsia="Arial Narrow" w:hAnsi="Arial Narrow" w:cs="Arial Narrow"/>
          <w:sz w:val="20"/>
          <w:szCs w:val="20"/>
          <w:vertAlign w:val="superscript"/>
        </w:rPr>
        <w:t>3</w:t>
      </w:r>
      <w:r w:rsidR="006E6B5D">
        <w:rPr>
          <w:rFonts w:ascii="Arial Narrow" w:eastAsia="Arial Narrow" w:hAnsi="Arial Narrow" w:cs="Arial Narrow"/>
          <w:sz w:val="20"/>
          <w:szCs w:val="20"/>
        </w:rPr>
        <w:t xml:space="preserve"> To meet patient needs recognised from </w:t>
      </w:r>
      <w:r w:rsidR="002676DF">
        <w:rPr>
          <w:rFonts w:ascii="Arial Narrow" w:eastAsia="Arial Narrow" w:hAnsi="Arial Narrow" w:cs="Arial Narrow"/>
          <w:sz w:val="20"/>
          <w:szCs w:val="20"/>
        </w:rPr>
        <w:t xml:space="preserve">these </w:t>
      </w:r>
      <w:r w:rsidR="006E6B5D">
        <w:rPr>
          <w:rFonts w:ascii="Arial Narrow" w:eastAsia="Arial Narrow" w:hAnsi="Arial Narrow" w:cs="Arial Narrow"/>
          <w:sz w:val="20"/>
          <w:szCs w:val="20"/>
        </w:rPr>
        <w:t>discussions</w:t>
      </w:r>
      <w:r w:rsidR="002676DF">
        <w:rPr>
          <w:rFonts w:ascii="Arial Narrow" w:eastAsia="Arial Narrow" w:hAnsi="Arial Narrow" w:cs="Arial Narrow"/>
          <w:sz w:val="20"/>
          <w:szCs w:val="20"/>
        </w:rPr>
        <w:t>,</w:t>
      </w:r>
      <w:r w:rsidR="006E6B5D">
        <w:rPr>
          <w:rFonts w:ascii="Arial Narrow" w:eastAsia="Arial Narrow" w:hAnsi="Arial Narrow" w:cs="Arial Narrow"/>
          <w:sz w:val="20"/>
          <w:szCs w:val="20"/>
        </w:rPr>
        <w:t xml:space="preserve"> </w:t>
      </w:r>
      <w:r w:rsidR="006949D0">
        <w:rPr>
          <w:rFonts w:ascii="Arial Narrow" w:eastAsia="Arial Narrow" w:hAnsi="Arial Narrow" w:cs="Arial Narrow"/>
          <w:sz w:val="20"/>
          <w:szCs w:val="20"/>
        </w:rPr>
        <w:t>link workers</w:t>
      </w:r>
      <w:r w:rsidR="006E6B5D">
        <w:rPr>
          <w:rFonts w:ascii="Arial Narrow" w:eastAsia="Arial Narrow" w:hAnsi="Arial Narrow" w:cs="Arial Narrow"/>
          <w:sz w:val="20"/>
          <w:szCs w:val="20"/>
        </w:rPr>
        <w:t xml:space="preserve"> then signpost or support </w:t>
      </w:r>
      <w:r w:rsidR="006949D0">
        <w:rPr>
          <w:rFonts w:ascii="Arial Narrow" w:eastAsia="Arial Narrow" w:hAnsi="Arial Narrow" w:cs="Arial Narrow"/>
          <w:sz w:val="20"/>
          <w:szCs w:val="20"/>
        </w:rPr>
        <w:t>individuals to</w:t>
      </w:r>
      <w:r w:rsidR="006E6B5D">
        <w:rPr>
          <w:rFonts w:ascii="Arial Narrow" w:eastAsia="Arial Narrow" w:hAnsi="Arial Narrow" w:cs="Arial Narrow"/>
          <w:sz w:val="20"/>
          <w:szCs w:val="20"/>
        </w:rPr>
        <w:t xml:space="preserve"> access welfare, community engagement or lifestyle-related activities</w:t>
      </w:r>
      <w:r w:rsidR="00450A32">
        <w:rPr>
          <w:rFonts w:ascii="Arial Narrow" w:eastAsia="Arial Narrow" w:hAnsi="Arial Narrow" w:cs="Arial Narrow"/>
          <w:sz w:val="20"/>
          <w:szCs w:val="20"/>
        </w:rPr>
        <w:t>.</w:t>
      </w:r>
      <w:r w:rsidR="006E6B5D" w:rsidRPr="00450A32">
        <w:rPr>
          <w:rFonts w:ascii="Arial Narrow" w:eastAsia="Arial Narrow" w:hAnsi="Arial Narrow" w:cs="Arial Narrow"/>
          <w:sz w:val="20"/>
          <w:szCs w:val="20"/>
          <w:vertAlign w:val="superscript"/>
        </w:rPr>
        <w:t>3</w:t>
      </w:r>
      <w:r w:rsidR="006E6B5D">
        <w:rPr>
          <w:rFonts w:ascii="Arial Narrow" w:eastAsia="Arial Narrow" w:hAnsi="Arial Narrow" w:cs="Arial Narrow"/>
          <w:sz w:val="20"/>
          <w:szCs w:val="20"/>
        </w:rPr>
        <w:t xml:space="preserve"> These can include befriending services, exercise or cooking classes, and volunteering opportunities</w:t>
      </w:r>
      <w:r w:rsidR="006E6B5D">
        <w:rPr>
          <w:rFonts w:ascii="Arial Narrow" w:eastAsia="Arial Narrow" w:hAnsi="Arial Narrow" w:cs="Arial Narrow"/>
          <w:sz w:val="20"/>
          <w:szCs w:val="20"/>
          <w:vertAlign w:val="subscript"/>
        </w:rPr>
        <w:t>3</w:t>
      </w:r>
      <w:r w:rsidR="006E6B5D">
        <w:rPr>
          <w:rFonts w:ascii="Arial Narrow" w:eastAsia="Arial Narrow" w:hAnsi="Arial Narrow" w:cs="Arial Narrow"/>
          <w:sz w:val="20"/>
          <w:szCs w:val="20"/>
        </w:rPr>
        <w:t>. The current evidence base for social prescribing is developing, reflecting the complexities and challenges of evaluating multifaceted and very individualised interventions</w:t>
      </w:r>
      <w:r w:rsidR="00450A32">
        <w:rPr>
          <w:rFonts w:ascii="Arial Narrow" w:eastAsia="Arial Narrow" w:hAnsi="Arial Narrow" w:cs="Arial Narrow"/>
          <w:sz w:val="20"/>
          <w:szCs w:val="20"/>
        </w:rPr>
        <w:t>.</w:t>
      </w:r>
      <w:r w:rsidR="006E6B5D" w:rsidRPr="00450A32">
        <w:rPr>
          <w:rFonts w:ascii="Arial Narrow" w:eastAsia="Arial Narrow" w:hAnsi="Arial Narrow" w:cs="Arial Narrow"/>
          <w:sz w:val="20"/>
          <w:szCs w:val="20"/>
          <w:vertAlign w:val="superscript"/>
        </w:rPr>
        <w:t>3,4</w:t>
      </w:r>
      <w:r w:rsidR="006E6B5D">
        <w:rPr>
          <w:rFonts w:ascii="Arial Narrow" w:eastAsia="Arial Narrow" w:hAnsi="Arial Narrow" w:cs="Arial Narrow"/>
          <w:sz w:val="20"/>
          <w:szCs w:val="20"/>
        </w:rPr>
        <w:t xml:space="preserve"> Provisional results, however, suggest that social prescribing can benefit patients and society by improving physical health and mental wellbeing, reducing loneliness and isolation, and reducing utilisation of primary and secondary care services</w:t>
      </w:r>
      <w:r w:rsidR="00450A32">
        <w:rPr>
          <w:rFonts w:ascii="Arial Narrow" w:eastAsia="Arial Narrow" w:hAnsi="Arial Narrow" w:cs="Arial Narrow"/>
          <w:sz w:val="20"/>
          <w:szCs w:val="20"/>
        </w:rPr>
        <w:t>.</w:t>
      </w:r>
      <w:r w:rsidR="006E6B5D" w:rsidRPr="00450A32">
        <w:rPr>
          <w:rFonts w:ascii="Arial Narrow" w:eastAsia="Arial Narrow" w:hAnsi="Arial Narrow" w:cs="Arial Narrow"/>
          <w:sz w:val="20"/>
          <w:szCs w:val="20"/>
          <w:vertAlign w:val="superscript"/>
        </w:rPr>
        <w:t>3,4</w:t>
      </w:r>
      <w:r w:rsidR="006E6B5D">
        <w:rPr>
          <w:rFonts w:ascii="Arial Narrow" w:eastAsia="Arial Narrow" w:hAnsi="Arial Narrow" w:cs="Arial Narrow"/>
          <w:sz w:val="20"/>
          <w:szCs w:val="20"/>
        </w:rPr>
        <w:t xml:space="preserve"> The potential value of social prescribing within healthcare in the United Kingdom (UK) has been recognised more in recent years, as exemplified by social prescribing’s inclusion in the National Health Service’s (NHS) Long Term Plan as a key component of personalised care</w:t>
      </w:r>
      <w:r w:rsidR="006E6B5D">
        <w:rPr>
          <w:rFonts w:ascii="Arial Narrow" w:eastAsia="Arial Narrow" w:hAnsi="Arial Narrow" w:cs="Arial Narrow"/>
          <w:sz w:val="20"/>
          <w:szCs w:val="20"/>
          <w:vertAlign w:val="subscript"/>
        </w:rPr>
        <w:t>3,5</w:t>
      </w:r>
      <w:r w:rsidR="006E6B5D">
        <w:rPr>
          <w:rFonts w:ascii="Arial Narrow" w:eastAsia="Arial Narrow" w:hAnsi="Arial Narrow" w:cs="Arial Narrow"/>
          <w:sz w:val="20"/>
          <w:szCs w:val="20"/>
        </w:rPr>
        <w:t xml:space="preserve">. </w:t>
      </w:r>
    </w:p>
    <w:p w14:paraId="219F0ACF" w14:textId="77777777" w:rsidR="00C30E66" w:rsidRDefault="00C30E66" w:rsidP="00024965">
      <w:pPr>
        <w:spacing w:line="240" w:lineRule="auto"/>
        <w:jc w:val="both"/>
        <w:rPr>
          <w:rFonts w:ascii="Arial Narrow" w:eastAsia="Arial Narrow" w:hAnsi="Arial Narrow" w:cs="Arial Narrow"/>
          <w:sz w:val="20"/>
          <w:szCs w:val="20"/>
        </w:rPr>
      </w:pPr>
    </w:p>
    <w:p w14:paraId="6D6E7D70" w14:textId="3DC1AE44" w:rsidR="00C30E66" w:rsidRDefault="00000000" w:rsidP="00024965">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While given significant attention at a policy level, social prescribing has not always been a prominent feature within medical curricula</w:t>
      </w:r>
      <w:r>
        <w:rPr>
          <w:rFonts w:ascii="Arial Narrow" w:eastAsia="Arial Narrow" w:hAnsi="Arial Narrow" w:cs="Arial Narrow"/>
          <w:sz w:val="20"/>
          <w:szCs w:val="20"/>
          <w:vertAlign w:val="subscript"/>
        </w:rPr>
        <w:t>5</w:t>
      </w:r>
      <w:r>
        <w:rPr>
          <w:rFonts w:ascii="Arial Narrow" w:eastAsia="Arial Narrow" w:hAnsi="Arial Narrow" w:cs="Arial Narrow"/>
          <w:sz w:val="20"/>
          <w:szCs w:val="20"/>
        </w:rPr>
        <w:t xml:space="preserve">. Set up in 2017, the social prescribing student champion scheme (SPSCS) </w:t>
      </w:r>
      <w:proofErr w:type="gramStart"/>
      <w:r>
        <w:rPr>
          <w:rFonts w:ascii="Arial Narrow" w:eastAsia="Arial Narrow" w:hAnsi="Arial Narrow" w:cs="Arial Narrow"/>
          <w:sz w:val="20"/>
          <w:szCs w:val="20"/>
        </w:rPr>
        <w:t>recruits</w:t>
      </w:r>
      <w:proofErr w:type="gramEnd"/>
      <w:r>
        <w:rPr>
          <w:rFonts w:ascii="Arial Narrow" w:eastAsia="Arial Narrow" w:hAnsi="Arial Narrow" w:cs="Arial Narrow"/>
          <w:sz w:val="20"/>
          <w:szCs w:val="20"/>
        </w:rPr>
        <w:t xml:space="preserve"> medical students as ‘champions’ to promote social prescribing by organising teaching opportunities for their peers in university medical faculties</w:t>
      </w:r>
      <w:r w:rsidR="00450A32">
        <w:rPr>
          <w:rFonts w:ascii="Arial Narrow" w:eastAsia="Arial Narrow" w:hAnsi="Arial Narrow" w:cs="Arial Narrow"/>
          <w:sz w:val="20"/>
          <w:szCs w:val="20"/>
        </w:rPr>
        <w:t>.</w:t>
      </w:r>
      <w:r w:rsidRPr="00450A32">
        <w:rPr>
          <w:rFonts w:ascii="Arial Narrow" w:eastAsia="Arial Narrow" w:hAnsi="Arial Narrow" w:cs="Arial Narrow"/>
          <w:sz w:val="20"/>
          <w:szCs w:val="20"/>
          <w:vertAlign w:val="superscript"/>
        </w:rPr>
        <w:t>7</w:t>
      </w:r>
      <w:r>
        <w:rPr>
          <w:rFonts w:ascii="Arial Narrow" w:eastAsia="Arial Narrow" w:hAnsi="Arial Narrow" w:cs="Arial Narrow"/>
          <w:sz w:val="20"/>
          <w:szCs w:val="20"/>
        </w:rPr>
        <w:t xml:space="preserve"> An evaluation of the medical SPSCS found increased understanding and perceived relevance of social prescribing for participants</w:t>
      </w:r>
      <w:r w:rsidR="00450A32">
        <w:rPr>
          <w:rFonts w:ascii="Arial Narrow" w:eastAsia="Arial Narrow" w:hAnsi="Arial Narrow" w:cs="Arial Narrow"/>
          <w:sz w:val="20"/>
          <w:szCs w:val="20"/>
        </w:rPr>
        <w:t>.</w:t>
      </w:r>
      <w:r w:rsidRPr="00450A32">
        <w:rPr>
          <w:rFonts w:ascii="Arial Narrow" w:eastAsia="Arial Narrow" w:hAnsi="Arial Narrow" w:cs="Arial Narrow"/>
          <w:sz w:val="20"/>
          <w:szCs w:val="20"/>
          <w:vertAlign w:val="superscript"/>
        </w:rPr>
        <w:t>6</w:t>
      </w:r>
      <w:r>
        <w:rPr>
          <w:rFonts w:ascii="Arial Narrow" w:eastAsia="Arial Narrow" w:hAnsi="Arial Narrow" w:cs="Arial Narrow"/>
          <w:sz w:val="20"/>
          <w:szCs w:val="20"/>
        </w:rPr>
        <w:t xml:space="preserve"> Until 2021, however, the SPSCS excluded non-medical professions, including within the allied health umbrella</w:t>
      </w:r>
      <w:r w:rsidR="00DE5238">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This felt timely to change, given that allied health professionals can have vital contributions to social prescribing, </w:t>
      </w:r>
      <w:r w:rsidR="006949D0">
        <w:rPr>
          <w:rFonts w:ascii="Arial Narrow" w:eastAsia="Arial Narrow" w:hAnsi="Arial Narrow" w:cs="Arial Narrow"/>
          <w:sz w:val="20"/>
          <w:szCs w:val="20"/>
        </w:rPr>
        <w:t xml:space="preserve">including </w:t>
      </w:r>
      <w:proofErr w:type="gramStart"/>
      <w:r w:rsidR="006949D0">
        <w:rPr>
          <w:rFonts w:ascii="Arial Narrow" w:eastAsia="Arial Narrow" w:hAnsi="Arial Narrow" w:cs="Arial Narrow"/>
          <w:sz w:val="20"/>
          <w:szCs w:val="20"/>
        </w:rPr>
        <w:t>from</w:t>
      </w:r>
      <w:r>
        <w:rPr>
          <w:rFonts w:ascii="Arial Narrow" w:eastAsia="Arial Narrow" w:hAnsi="Arial Narrow" w:cs="Arial Narrow"/>
          <w:sz w:val="20"/>
          <w:szCs w:val="20"/>
        </w:rPr>
        <w:t xml:space="preserve"> active signposting,</w:t>
      </w:r>
      <w:proofErr w:type="gramEnd"/>
      <w:r>
        <w:rPr>
          <w:rFonts w:ascii="Arial Narrow" w:eastAsia="Arial Narrow" w:hAnsi="Arial Narrow" w:cs="Arial Narrow"/>
          <w:sz w:val="20"/>
          <w:szCs w:val="20"/>
        </w:rPr>
        <w:t xml:space="preserve"> to strategic and senior roles</w:t>
      </w:r>
      <w:r w:rsidR="00450A32">
        <w:rPr>
          <w:rFonts w:ascii="Arial Narrow" w:eastAsia="Arial Narrow" w:hAnsi="Arial Narrow" w:cs="Arial Narrow"/>
          <w:sz w:val="20"/>
          <w:szCs w:val="20"/>
        </w:rPr>
        <w:t>.</w:t>
      </w:r>
      <w:r w:rsidRPr="00450A32">
        <w:rPr>
          <w:rFonts w:ascii="Arial Narrow" w:eastAsia="Arial Narrow" w:hAnsi="Arial Narrow" w:cs="Arial Narrow"/>
          <w:sz w:val="20"/>
          <w:szCs w:val="20"/>
          <w:vertAlign w:val="superscript"/>
        </w:rPr>
        <w:t>8,9</w:t>
      </w:r>
      <w:r>
        <w:rPr>
          <w:rFonts w:ascii="Arial Narrow" w:eastAsia="Arial Narrow" w:hAnsi="Arial Narrow" w:cs="Arial Narrow"/>
          <w:sz w:val="20"/>
          <w:szCs w:val="20"/>
        </w:rPr>
        <w:t xml:space="preserve"> </w:t>
      </w:r>
    </w:p>
    <w:p w14:paraId="42CF3483" w14:textId="77777777" w:rsidR="00C30E66" w:rsidRDefault="00C30E66" w:rsidP="00024965">
      <w:pPr>
        <w:spacing w:line="240" w:lineRule="auto"/>
        <w:jc w:val="both"/>
        <w:rPr>
          <w:rFonts w:ascii="Arial Narrow" w:eastAsia="Arial Narrow" w:hAnsi="Arial Narrow" w:cs="Arial Narrow"/>
          <w:sz w:val="20"/>
          <w:szCs w:val="20"/>
        </w:rPr>
      </w:pPr>
    </w:p>
    <w:p w14:paraId="221E6520" w14:textId="5EC1A5DE" w:rsidR="00C30E66" w:rsidRDefault="00000000" w:rsidP="00024965">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In 2020, conversations began on Twitter to include allied health professions (AHP) students within the SPSCS, resulting in the expansion of the 2021 core team to include an AHP Lead and Co-ordinator, to develop a new cohort of AHP champions</w:t>
      </w:r>
      <w:r w:rsidR="00024965">
        <w:rPr>
          <w:rFonts w:ascii="Arial Narrow" w:eastAsia="Arial Narrow" w:hAnsi="Arial Narrow" w:cs="Arial Narrow"/>
          <w:sz w:val="20"/>
          <w:szCs w:val="20"/>
        </w:rPr>
        <w:t>.</w:t>
      </w:r>
      <w:r w:rsidRPr="00024965">
        <w:rPr>
          <w:rFonts w:ascii="Arial Narrow" w:eastAsia="Arial Narrow" w:hAnsi="Arial Narrow" w:cs="Arial Narrow"/>
          <w:sz w:val="20"/>
          <w:szCs w:val="20"/>
          <w:vertAlign w:val="superscript"/>
        </w:rPr>
        <w:t>10</w:t>
      </w:r>
      <w:r>
        <w:rPr>
          <w:rFonts w:ascii="Arial Narrow" w:eastAsia="Arial Narrow" w:hAnsi="Arial Narrow" w:cs="Arial Narrow"/>
          <w:sz w:val="20"/>
          <w:szCs w:val="20"/>
        </w:rPr>
        <w:t xml:space="preserve"> Ten of the fourteen professional bodies within the AHP umbrella endorsed the SPSCS, and applications opened in September 2021 for the recruitment of AHP champions for the inaugural year of the AHP SPSCS. The requirement for the AHP champion role was that the applicant should be an AHP student at a university in the </w:t>
      </w:r>
      <w:r w:rsidR="006949D0">
        <w:rPr>
          <w:rFonts w:ascii="Arial Narrow" w:eastAsia="Arial Narrow" w:hAnsi="Arial Narrow" w:cs="Arial Narrow"/>
          <w:sz w:val="20"/>
          <w:szCs w:val="20"/>
        </w:rPr>
        <w:t>UK during</w:t>
      </w:r>
      <w:r>
        <w:rPr>
          <w:rFonts w:ascii="Arial Narrow" w:eastAsia="Arial Narrow" w:hAnsi="Arial Narrow" w:cs="Arial Narrow"/>
          <w:sz w:val="20"/>
          <w:szCs w:val="20"/>
        </w:rPr>
        <w:t xml:space="preserve"> the champion year. The role of the champion was defined as a student representative who would advertise and run </w:t>
      </w:r>
      <w:r w:rsidR="004B3EE8">
        <w:rPr>
          <w:rFonts w:ascii="Arial Narrow" w:eastAsia="Arial Narrow" w:hAnsi="Arial Narrow" w:cs="Arial Narrow"/>
          <w:sz w:val="20"/>
          <w:szCs w:val="20"/>
        </w:rPr>
        <w:t xml:space="preserve">activities </w:t>
      </w:r>
      <w:r>
        <w:rPr>
          <w:rFonts w:ascii="Arial Narrow" w:eastAsia="Arial Narrow" w:hAnsi="Arial Narrow" w:cs="Arial Narrow"/>
          <w:sz w:val="20"/>
          <w:szCs w:val="20"/>
        </w:rPr>
        <w:t xml:space="preserve">at their university </w:t>
      </w:r>
      <w:proofErr w:type="gramStart"/>
      <w:r>
        <w:rPr>
          <w:rFonts w:ascii="Arial Narrow" w:eastAsia="Arial Narrow" w:hAnsi="Arial Narrow" w:cs="Arial Narrow"/>
          <w:sz w:val="20"/>
          <w:szCs w:val="20"/>
        </w:rPr>
        <w:t>in order to</w:t>
      </w:r>
      <w:proofErr w:type="gramEnd"/>
      <w:r>
        <w:rPr>
          <w:rFonts w:ascii="Arial Narrow" w:eastAsia="Arial Narrow" w:hAnsi="Arial Narrow" w:cs="Arial Narrow"/>
          <w:sz w:val="20"/>
          <w:szCs w:val="20"/>
        </w:rPr>
        <w:t xml:space="preserve"> raise their peers’ awareness and understanding of social prescribing. The recruitment strategy involved the AHP Lead and Coordinator contacting university faculties, </w:t>
      </w:r>
      <w:proofErr w:type="gramStart"/>
      <w:r>
        <w:rPr>
          <w:rFonts w:ascii="Arial Narrow" w:eastAsia="Arial Narrow" w:hAnsi="Arial Narrow" w:cs="Arial Narrow"/>
          <w:sz w:val="20"/>
          <w:szCs w:val="20"/>
        </w:rPr>
        <w:t>societies</w:t>
      </w:r>
      <w:proofErr w:type="gramEnd"/>
      <w:r>
        <w:rPr>
          <w:rFonts w:ascii="Arial Narrow" w:eastAsia="Arial Narrow" w:hAnsi="Arial Narrow" w:cs="Arial Narrow"/>
          <w:sz w:val="20"/>
          <w:szCs w:val="20"/>
        </w:rPr>
        <w:t xml:space="preserve"> and professional bodies to disseminate promotional materials. These materials outlined the champion role and the application process. The latter consisted of a Google form with questions on candidates’ understanding of the importance of social prescribing, motivation to become a champion, and relevant experience.</w:t>
      </w:r>
    </w:p>
    <w:p w14:paraId="031A46CF" w14:textId="77777777" w:rsidR="00C30E66" w:rsidRDefault="00C30E66" w:rsidP="00024965">
      <w:pPr>
        <w:spacing w:line="240" w:lineRule="auto"/>
        <w:jc w:val="both"/>
        <w:rPr>
          <w:rFonts w:ascii="Arial Narrow" w:eastAsia="Arial Narrow" w:hAnsi="Arial Narrow" w:cs="Arial Narrow"/>
          <w:sz w:val="20"/>
          <w:szCs w:val="20"/>
        </w:rPr>
      </w:pPr>
    </w:p>
    <w:p w14:paraId="221B1FEF" w14:textId="4A8B4828" w:rsidR="00C30E66" w:rsidRDefault="00000000" w:rsidP="00024965">
      <w:pPr>
        <w:spacing w:line="240" w:lineRule="auto"/>
        <w:jc w:val="both"/>
        <w:rPr>
          <w:rFonts w:ascii="Arial Narrow" w:eastAsia="Arial Narrow" w:hAnsi="Arial Narrow" w:cs="Arial Narrow"/>
          <w:b/>
          <w:color w:val="333333"/>
          <w:sz w:val="20"/>
          <w:szCs w:val="20"/>
        </w:rPr>
      </w:pPr>
      <w:r>
        <w:rPr>
          <w:rFonts w:ascii="Arial Narrow" w:eastAsia="Arial Narrow" w:hAnsi="Arial Narrow" w:cs="Arial Narrow"/>
          <w:sz w:val="20"/>
          <w:szCs w:val="20"/>
        </w:rPr>
        <w:t xml:space="preserve">The applications were objectively scored and 40 AHP students out of 44 applicants were selected as champions, from 23 universities across the UK. Four applicants were rejected as they were either not eligible due to not being UK or AHP students, or they provided insufficient detail in their applications. Three students awarded the champion role dropped out. The AHP </w:t>
      </w:r>
      <w:r w:rsidR="006949D0">
        <w:rPr>
          <w:rFonts w:ascii="Arial Narrow" w:eastAsia="Arial Narrow" w:hAnsi="Arial Narrow" w:cs="Arial Narrow"/>
          <w:sz w:val="20"/>
          <w:szCs w:val="20"/>
        </w:rPr>
        <w:t>backgrounds of</w:t>
      </w:r>
      <w:r>
        <w:rPr>
          <w:rFonts w:ascii="Arial Narrow" w:eastAsia="Arial Narrow" w:hAnsi="Arial Narrow" w:cs="Arial Narrow"/>
          <w:sz w:val="20"/>
          <w:szCs w:val="20"/>
        </w:rPr>
        <w:t xml:space="preserve"> the remaining 37 champions are </w:t>
      </w:r>
      <w:r w:rsidR="006949D0">
        <w:rPr>
          <w:rFonts w:ascii="Arial Narrow" w:eastAsia="Arial Narrow" w:hAnsi="Arial Narrow" w:cs="Arial Narrow"/>
          <w:sz w:val="20"/>
          <w:szCs w:val="20"/>
        </w:rPr>
        <w:t>detailed in</w:t>
      </w:r>
      <w:r>
        <w:rPr>
          <w:rFonts w:ascii="Arial Narrow" w:eastAsia="Arial Narrow" w:hAnsi="Arial Narrow" w:cs="Arial Narrow"/>
          <w:sz w:val="20"/>
          <w:szCs w:val="20"/>
        </w:rPr>
        <w:t xml:space="preserve"> Table 1. An online induction for selected champions was held on Zoom (November 2022) to explain the AHP SPSCS and provide an opportunity to ask any questions</w:t>
      </w:r>
      <w:r w:rsidR="009C2FA6">
        <w:rPr>
          <w:rFonts w:ascii="Arial Narrow" w:eastAsia="Arial Narrow" w:hAnsi="Arial Narrow" w:cs="Arial Narrow"/>
          <w:sz w:val="20"/>
          <w:szCs w:val="20"/>
        </w:rPr>
        <w:t xml:space="preserve">. </w:t>
      </w:r>
      <w:r w:rsidR="004B3EE8">
        <w:rPr>
          <w:rFonts w:ascii="Arial Narrow" w:eastAsia="Arial Narrow" w:hAnsi="Arial Narrow" w:cs="Arial Narrow"/>
          <w:sz w:val="20"/>
          <w:szCs w:val="20"/>
        </w:rPr>
        <w:t>To provide additional support and inspiration, an ‘onboarding pack’ was shared with champions.</w:t>
      </w:r>
      <w:r w:rsidR="003676DD">
        <w:rPr>
          <w:rFonts w:ascii="Arial Narrow" w:eastAsia="Arial Narrow" w:hAnsi="Arial Narrow" w:cs="Arial Narrow"/>
          <w:sz w:val="20"/>
          <w:szCs w:val="20"/>
        </w:rPr>
        <w:t xml:space="preserve"> </w:t>
      </w:r>
      <w:r w:rsidR="004B3EE8">
        <w:rPr>
          <w:rFonts w:ascii="Arial Narrow" w:eastAsia="Arial Narrow" w:hAnsi="Arial Narrow" w:cs="Arial Narrow"/>
          <w:sz w:val="20"/>
          <w:szCs w:val="20"/>
        </w:rPr>
        <w:t xml:space="preserve">This included written role requirements and a library of teaching materials, such as videos and presentation slides, that they could choose to use during their activities. </w:t>
      </w:r>
      <w:r w:rsidR="005730F3">
        <w:rPr>
          <w:rFonts w:ascii="Arial Narrow" w:eastAsia="Arial Narrow" w:hAnsi="Arial Narrow" w:cs="Arial Narrow"/>
          <w:sz w:val="20"/>
          <w:szCs w:val="20"/>
        </w:rPr>
        <w:t>The s</w:t>
      </w:r>
      <w:r w:rsidR="004B3EE8">
        <w:rPr>
          <w:rFonts w:ascii="Arial Narrow" w:eastAsia="Arial Narrow" w:hAnsi="Arial Narrow" w:cs="Arial Narrow"/>
          <w:sz w:val="20"/>
          <w:szCs w:val="20"/>
        </w:rPr>
        <w:t xml:space="preserve">tandardised materials </w:t>
      </w:r>
      <w:r w:rsidR="005730F3">
        <w:rPr>
          <w:rFonts w:ascii="Arial Narrow" w:eastAsia="Arial Narrow" w:hAnsi="Arial Narrow" w:cs="Arial Narrow"/>
          <w:sz w:val="20"/>
          <w:szCs w:val="20"/>
        </w:rPr>
        <w:t xml:space="preserve">which </w:t>
      </w:r>
      <w:r w:rsidR="00621697">
        <w:rPr>
          <w:rFonts w:ascii="Arial Narrow" w:eastAsia="Arial Narrow" w:hAnsi="Arial Narrow" w:cs="Arial Narrow"/>
          <w:sz w:val="20"/>
          <w:szCs w:val="20"/>
        </w:rPr>
        <w:t xml:space="preserve">champions had access to covered what the SPSCS </w:t>
      </w:r>
      <w:r w:rsidR="005730F3">
        <w:rPr>
          <w:rFonts w:ascii="Arial Narrow" w:eastAsia="Arial Narrow" w:hAnsi="Arial Narrow" w:cs="Arial Narrow"/>
          <w:sz w:val="20"/>
          <w:szCs w:val="20"/>
        </w:rPr>
        <w:t xml:space="preserve">informally </w:t>
      </w:r>
      <w:r w:rsidR="00621697">
        <w:rPr>
          <w:rFonts w:ascii="Arial Narrow" w:eastAsia="Arial Narrow" w:hAnsi="Arial Narrow" w:cs="Arial Narrow"/>
          <w:sz w:val="20"/>
          <w:szCs w:val="20"/>
        </w:rPr>
        <w:t xml:space="preserve">considers </w:t>
      </w:r>
      <w:r w:rsidR="005730F3">
        <w:rPr>
          <w:rFonts w:ascii="Arial Narrow" w:eastAsia="Arial Narrow" w:hAnsi="Arial Narrow" w:cs="Arial Narrow"/>
          <w:sz w:val="20"/>
          <w:szCs w:val="20"/>
        </w:rPr>
        <w:t>to be</w:t>
      </w:r>
      <w:r w:rsidR="00621697">
        <w:rPr>
          <w:rFonts w:ascii="Arial Narrow" w:eastAsia="Arial Narrow" w:hAnsi="Arial Narrow" w:cs="Arial Narrow"/>
          <w:sz w:val="20"/>
          <w:szCs w:val="20"/>
        </w:rPr>
        <w:t xml:space="preserve"> core principles </w:t>
      </w:r>
      <w:r w:rsidR="005730F3">
        <w:rPr>
          <w:rFonts w:ascii="Arial Narrow" w:eastAsia="Arial Narrow" w:hAnsi="Arial Narrow" w:cs="Arial Narrow"/>
          <w:sz w:val="20"/>
          <w:szCs w:val="20"/>
        </w:rPr>
        <w:t xml:space="preserve">of education sessions </w:t>
      </w:r>
      <w:r w:rsidR="00621697">
        <w:rPr>
          <w:rFonts w:ascii="Arial Narrow" w:eastAsia="Arial Narrow" w:hAnsi="Arial Narrow" w:cs="Arial Narrow"/>
          <w:sz w:val="20"/>
          <w:szCs w:val="20"/>
        </w:rPr>
        <w:t>for understanding social prescribing</w:t>
      </w:r>
      <w:r w:rsidR="005730F3">
        <w:rPr>
          <w:rFonts w:ascii="Arial Narrow" w:eastAsia="Arial Narrow" w:hAnsi="Arial Narrow" w:cs="Arial Narrow"/>
          <w:sz w:val="20"/>
          <w:szCs w:val="20"/>
        </w:rPr>
        <w:t>. This is based on the effectiveness of previous medical SPSCS scheme sessions run using these and similar resources</w:t>
      </w:r>
      <w:r w:rsidR="00621697">
        <w:rPr>
          <w:rFonts w:ascii="Arial Narrow" w:eastAsia="Arial Narrow" w:hAnsi="Arial Narrow" w:cs="Arial Narrow"/>
          <w:sz w:val="20"/>
          <w:szCs w:val="20"/>
          <w:vertAlign w:val="subscript"/>
        </w:rPr>
        <w:t>6</w:t>
      </w:r>
      <w:r w:rsidR="00621697">
        <w:rPr>
          <w:rFonts w:ascii="Arial Narrow" w:eastAsia="Arial Narrow" w:hAnsi="Arial Narrow" w:cs="Arial Narrow"/>
          <w:sz w:val="20"/>
          <w:szCs w:val="20"/>
        </w:rPr>
        <w:t xml:space="preserve">. </w:t>
      </w:r>
      <w:r w:rsidR="005730F3">
        <w:rPr>
          <w:rFonts w:ascii="Arial Narrow" w:eastAsia="Arial Narrow" w:hAnsi="Arial Narrow" w:cs="Arial Narrow"/>
          <w:sz w:val="20"/>
          <w:szCs w:val="20"/>
        </w:rPr>
        <w:t>Core teaching principles</w:t>
      </w:r>
      <w:r w:rsidR="00621697">
        <w:rPr>
          <w:rFonts w:ascii="Arial Narrow" w:eastAsia="Arial Narrow" w:hAnsi="Arial Narrow" w:cs="Arial Narrow"/>
          <w:sz w:val="20"/>
          <w:szCs w:val="20"/>
        </w:rPr>
        <w:t xml:space="preserve"> include the definition and organisation of social prescribing, examples of social prescribing interventions, patient case studies and evaluation</w:t>
      </w:r>
      <w:r w:rsidR="005730F3">
        <w:rPr>
          <w:rFonts w:ascii="Arial Narrow" w:eastAsia="Arial Narrow" w:hAnsi="Arial Narrow" w:cs="Arial Narrow"/>
          <w:sz w:val="20"/>
          <w:szCs w:val="20"/>
        </w:rPr>
        <w:t>s</w:t>
      </w:r>
      <w:r w:rsidR="00621697">
        <w:rPr>
          <w:rFonts w:ascii="Arial Narrow" w:eastAsia="Arial Narrow" w:hAnsi="Arial Narrow" w:cs="Arial Narrow"/>
          <w:sz w:val="20"/>
          <w:szCs w:val="20"/>
        </w:rPr>
        <w:t xml:space="preserve"> of </w:t>
      </w:r>
      <w:r w:rsidR="005730F3">
        <w:rPr>
          <w:rFonts w:ascii="Arial Narrow" w:eastAsia="Arial Narrow" w:hAnsi="Arial Narrow" w:cs="Arial Narrow"/>
          <w:sz w:val="20"/>
          <w:szCs w:val="20"/>
        </w:rPr>
        <w:t>social prescribing</w:t>
      </w:r>
      <w:r w:rsidR="00621697">
        <w:rPr>
          <w:rFonts w:ascii="Arial Narrow" w:eastAsia="Arial Narrow" w:hAnsi="Arial Narrow" w:cs="Arial Narrow"/>
          <w:sz w:val="20"/>
          <w:szCs w:val="20"/>
        </w:rPr>
        <w:t xml:space="preserve">. </w:t>
      </w:r>
      <w:r w:rsidR="005730F3">
        <w:rPr>
          <w:rFonts w:ascii="Arial Narrow" w:eastAsia="Arial Narrow" w:hAnsi="Arial Narrow" w:cs="Arial Narrow"/>
          <w:sz w:val="20"/>
          <w:szCs w:val="20"/>
        </w:rPr>
        <w:t>T</w:t>
      </w:r>
      <w:r w:rsidR="00621697">
        <w:rPr>
          <w:rFonts w:ascii="Arial Narrow" w:eastAsia="Arial Narrow" w:hAnsi="Arial Narrow" w:cs="Arial Narrow"/>
          <w:sz w:val="20"/>
          <w:szCs w:val="20"/>
        </w:rPr>
        <w:t>o enable personalisation to the learning needs and preferences of each university,</w:t>
      </w:r>
      <w:r w:rsidR="005730F3">
        <w:rPr>
          <w:rFonts w:ascii="Arial Narrow" w:eastAsia="Arial Narrow" w:hAnsi="Arial Narrow" w:cs="Arial Narrow"/>
          <w:sz w:val="20"/>
          <w:szCs w:val="20"/>
        </w:rPr>
        <w:t xml:space="preserve"> however,</w:t>
      </w:r>
      <w:r w:rsidR="00621697">
        <w:rPr>
          <w:rFonts w:ascii="Arial Narrow" w:eastAsia="Arial Narrow" w:hAnsi="Arial Narrow" w:cs="Arial Narrow"/>
          <w:sz w:val="20"/>
          <w:szCs w:val="20"/>
        </w:rPr>
        <w:t xml:space="preserve"> it was explained that champions would have autonomy over the content </w:t>
      </w:r>
      <w:r w:rsidR="005730F3">
        <w:rPr>
          <w:rFonts w:ascii="Arial Narrow" w:eastAsia="Arial Narrow" w:hAnsi="Arial Narrow" w:cs="Arial Narrow"/>
          <w:sz w:val="20"/>
          <w:szCs w:val="20"/>
        </w:rPr>
        <w:t xml:space="preserve">and structures </w:t>
      </w:r>
      <w:r w:rsidR="00621697">
        <w:rPr>
          <w:rFonts w:ascii="Arial Narrow" w:eastAsia="Arial Narrow" w:hAnsi="Arial Narrow" w:cs="Arial Narrow"/>
          <w:sz w:val="20"/>
          <w:szCs w:val="20"/>
        </w:rPr>
        <w:t xml:space="preserve">of their activities. </w:t>
      </w:r>
      <w:r w:rsidR="00D5784A">
        <w:rPr>
          <w:rFonts w:ascii="Arial Narrow" w:eastAsia="Arial Narrow" w:hAnsi="Arial Narrow" w:cs="Arial Narrow"/>
          <w:sz w:val="20"/>
          <w:szCs w:val="20"/>
        </w:rPr>
        <w:t>This</w:t>
      </w:r>
      <w:r w:rsidR="00120532">
        <w:rPr>
          <w:rFonts w:ascii="Arial Narrow" w:eastAsia="Arial Narrow" w:hAnsi="Arial Narrow" w:cs="Arial Narrow"/>
          <w:sz w:val="20"/>
          <w:szCs w:val="20"/>
        </w:rPr>
        <w:t xml:space="preserve"> also</w:t>
      </w:r>
      <w:r w:rsidR="00D5784A">
        <w:rPr>
          <w:rFonts w:ascii="Arial Narrow" w:eastAsia="Arial Narrow" w:hAnsi="Arial Narrow" w:cs="Arial Narrow"/>
          <w:sz w:val="20"/>
          <w:szCs w:val="20"/>
        </w:rPr>
        <w:t xml:space="preserve"> facilitated</w:t>
      </w:r>
      <w:r w:rsidR="00D5784A" w:rsidRPr="00D5784A">
        <w:rPr>
          <w:rFonts w:ascii="Arial Narrow" w:eastAsia="Arial Narrow" w:hAnsi="Arial Narrow" w:cs="Arial Narrow"/>
          <w:sz w:val="20"/>
          <w:szCs w:val="20"/>
        </w:rPr>
        <w:t xml:space="preserve"> local and profession</w:t>
      </w:r>
      <w:r w:rsidR="00D5784A">
        <w:rPr>
          <w:rFonts w:ascii="Arial Narrow" w:eastAsia="Arial Narrow" w:hAnsi="Arial Narrow" w:cs="Arial Narrow"/>
          <w:sz w:val="20"/>
          <w:szCs w:val="20"/>
        </w:rPr>
        <w:t>-</w:t>
      </w:r>
      <w:r w:rsidR="00D5784A" w:rsidRPr="00D5784A">
        <w:rPr>
          <w:rFonts w:ascii="Arial Narrow" w:eastAsia="Arial Narrow" w:hAnsi="Arial Narrow" w:cs="Arial Narrow"/>
          <w:sz w:val="20"/>
          <w:szCs w:val="20"/>
        </w:rPr>
        <w:t>specific angles</w:t>
      </w:r>
      <w:r w:rsidR="00D5784A">
        <w:rPr>
          <w:rFonts w:ascii="Arial Narrow" w:eastAsia="Arial Narrow" w:hAnsi="Arial Narrow" w:cs="Arial Narrow"/>
          <w:sz w:val="20"/>
          <w:szCs w:val="20"/>
        </w:rPr>
        <w:t xml:space="preserve"> to be taken by </w:t>
      </w:r>
      <w:r w:rsidR="003676DD">
        <w:rPr>
          <w:rFonts w:ascii="Arial Narrow" w:eastAsia="Arial Narrow" w:hAnsi="Arial Narrow" w:cs="Arial Narrow"/>
          <w:sz w:val="20"/>
          <w:szCs w:val="20"/>
        </w:rPr>
        <w:t>champions</w:t>
      </w:r>
      <w:r w:rsidR="003676DD" w:rsidRPr="00D5784A">
        <w:rPr>
          <w:rFonts w:ascii="Arial Narrow" w:eastAsia="Arial Narrow" w:hAnsi="Arial Narrow" w:cs="Arial Narrow"/>
          <w:sz w:val="20"/>
          <w:szCs w:val="20"/>
        </w:rPr>
        <w:t xml:space="preserve"> and</w:t>
      </w:r>
      <w:r w:rsidR="00D5784A" w:rsidRPr="00D5784A">
        <w:rPr>
          <w:rFonts w:ascii="Arial Narrow" w:eastAsia="Arial Narrow" w:hAnsi="Arial Narrow" w:cs="Arial Narrow"/>
          <w:sz w:val="20"/>
          <w:szCs w:val="20"/>
        </w:rPr>
        <w:t xml:space="preserve"> support</w:t>
      </w:r>
      <w:r w:rsidR="00D5784A">
        <w:rPr>
          <w:rFonts w:ascii="Arial Narrow" w:eastAsia="Arial Narrow" w:hAnsi="Arial Narrow" w:cs="Arial Narrow"/>
          <w:sz w:val="20"/>
          <w:szCs w:val="20"/>
        </w:rPr>
        <w:t>ed</w:t>
      </w:r>
      <w:r w:rsidR="00D5784A" w:rsidRPr="00D5784A">
        <w:rPr>
          <w:rFonts w:ascii="Arial Narrow" w:eastAsia="Arial Narrow" w:hAnsi="Arial Narrow" w:cs="Arial Narrow"/>
          <w:sz w:val="20"/>
          <w:szCs w:val="20"/>
        </w:rPr>
        <w:t xml:space="preserve"> </w:t>
      </w:r>
      <w:r w:rsidR="00D5784A">
        <w:rPr>
          <w:rFonts w:ascii="Arial Narrow" w:eastAsia="Arial Narrow" w:hAnsi="Arial Narrow" w:cs="Arial Narrow"/>
          <w:sz w:val="20"/>
          <w:szCs w:val="20"/>
        </w:rPr>
        <w:t xml:space="preserve">them </w:t>
      </w:r>
      <w:r w:rsidR="00D5784A" w:rsidRPr="00D5784A">
        <w:rPr>
          <w:rFonts w:ascii="Arial Narrow" w:eastAsia="Arial Narrow" w:hAnsi="Arial Narrow" w:cs="Arial Narrow"/>
          <w:sz w:val="20"/>
          <w:szCs w:val="20"/>
        </w:rPr>
        <w:t>to develop important professional skil</w:t>
      </w:r>
      <w:r w:rsidR="00D5784A">
        <w:rPr>
          <w:rFonts w:ascii="Arial Narrow" w:eastAsia="Arial Narrow" w:hAnsi="Arial Narrow" w:cs="Arial Narrow"/>
          <w:sz w:val="20"/>
          <w:szCs w:val="20"/>
        </w:rPr>
        <w:t>ls related to</w:t>
      </w:r>
      <w:r w:rsidR="00D5784A" w:rsidRPr="00D5784A">
        <w:rPr>
          <w:rFonts w:ascii="Arial Narrow" w:eastAsia="Arial Narrow" w:hAnsi="Arial Narrow" w:cs="Arial Narrow"/>
          <w:sz w:val="20"/>
          <w:szCs w:val="20"/>
        </w:rPr>
        <w:t xml:space="preserve"> </w:t>
      </w:r>
      <w:r w:rsidR="00D5784A">
        <w:rPr>
          <w:rFonts w:ascii="Arial Narrow" w:eastAsia="Arial Narrow" w:hAnsi="Arial Narrow" w:cs="Arial Narrow"/>
          <w:sz w:val="20"/>
          <w:szCs w:val="20"/>
        </w:rPr>
        <w:t>managing</w:t>
      </w:r>
      <w:r w:rsidR="00D5784A" w:rsidRPr="00D5784A">
        <w:rPr>
          <w:rFonts w:ascii="Arial Narrow" w:eastAsia="Arial Narrow" w:hAnsi="Arial Narrow" w:cs="Arial Narrow"/>
          <w:sz w:val="20"/>
          <w:szCs w:val="20"/>
        </w:rPr>
        <w:t xml:space="preserve"> teaching activities</w:t>
      </w:r>
      <w:r w:rsidR="00D5784A">
        <w:rPr>
          <w:rFonts w:ascii="Arial Narrow" w:eastAsia="Arial Narrow" w:hAnsi="Arial Narrow" w:cs="Arial Narrow"/>
          <w:sz w:val="20"/>
          <w:szCs w:val="20"/>
        </w:rPr>
        <w:t>.</w:t>
      </w:r>
      <w:r w:rsidR="00D5784A" w:rsidRPr="00D5784A">
        <w:rPr>
          <w:rFonts w:ascii="Arial Narrow" w:eastAsia="Arial Narrow" w:hAnsi="Arial Narrow" w:cs="Arial Narrow"/>
          <w:sz w:val="20"/>
          <w:szCs w:val="20"/>
        </w:rPr>
        <w:t xml:space="preserve"> </w:t>
      </w:r>
      <w:r w:rsidR="00621697">
        <w:rPr>
          <w:rFonts w:ascii="Arial Narrow" w:eastAsia="Arial Narrow" w:hAnsi="Arial Narrow" w:cs="Arial Narrow"/>
          <w:sz w:val="20"/>
          <w:szCs w:val="20"/>
        </w:rPr>
        <w:t>E</w:t>
      </w:r>
      <w:r>
        <w:rPr>
          <w:rFonts w:ascii="Arial Narrow" w:eastAsia="Arial Narrow" w:hAnsi="Arial Narrow" w:cs="Arial Narrow"/>
          <w:sz w:val="20"/>
          <w:szCs w:val="20"/>
        </w:rPr>
        <w:t xml:space="preserve">ight AHP professionals were assigned to virtually mentor and liaise with between three to six champions </w:t>
      </w:r>
      <w:proofErr w:type="gramStart"/>
      <w:r>
        <w:rPr>
          <w:rFonts w:ascii="Arial Narrow" w:eastAsia="Arial Narrow" w:hAnsi="Arial Narrow" w:cs="Arial Narrow"/>
          <w:sz w:val="20"/>
          <w:szCs w:val="20"/>
        </w:rPr>
        <w:t>in order to</w:t>
      </w:r>
      <w:proofErr w:type="gramEnd"/>
      <w:r>
        <w:rPr>
          <w:rFonts w:ascii="Arial Narrow" w:eastAsia="Arial Narrow" w:hAnsi="Arial Narrow" w:cs="Arial Narrow"/>
          <w:sz w:val="20"/>
          <w:szCs w:val="20"/>
        </w:rPr>
        <w:t xml:space="preserve"> directly support them with their roles throughout the year.</w:t>
      </w:r>
    </w:p>
    <w:p w14:paraId="05A4D82A" w14:textId="77777777" w:rsidR="00C30E66" w:rsidRDefault="00C30E66" w:rsidP="00024965">
      <w:pPr>
        <w:spacing w:line="240" w:lineRule="auto"/>
        <w:jc w:val="both"/>
        <w:rPr>
          <w:rFonts w:ascii="Arial Narrow" w:eastAsia="Arial Narrow" w:hAnsi="Arial Narrow" w:cs="Arial Narrow"/>
          <w:sz w:val="20"/>
          <w:szCs w:val="20"/>
        </w:rPr>
      </w:pPr>
    </w:p>
    <w:p w14:paraId="2005808D" w14:textId="4A974795" w:rsidR="00C30E66" w:rsidRDefault="00000000" w:rsidP="00024965">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The novelty of the AHP SPSCS warrants formal evaluation of its impact in disseminating social prescribing information to AHP students. Therefore, this paper will analyse the impact of the AHP SPSCS on participants by assessing their subjective experience of champion-led activities, their resultant changes in social prescribing knowledge, and their confidence with clinically applying social prescribing. </w:t>
      </w:r>
      <w:r w:rsidR="003676DD">
        <w:rPr>
          <w:rFonts w:ascii="Arial Narrow" w:eastAsia="Arial Narrow" w:hAnsi="Arial Narrow" w:cs="Arial Narrow"/>
          <w:sz w:val="20"/>
          <w:szCs w:val="20"/>
        </w:rPr>
        <w:t xml:space="preserve">Considerations are also made about </w:t>
      </w:r>
      <w:r>
        <w:rPr>
          <w:rFonts w:ascii="Arial Narrow" w:eastAsia="Arial Narrow" w:hAnsi="Arial Narrow" w:cs="Arial Narrow"/>
          <w:sz w:val="20"/>
          <w:szCs w:val="20"/>
        </w:rPr>
        <w:t>the future of the SPSCS.</w:t>
      </w:r>
    </w:p>
    <w:p w14:paraId="4CFBEB64" w14:textId="77777777" w:rsidR="00024965" w:rsidRDefault="00024965" w:rsidP="00777858">
      <w:pPr>
        <w:spacing w:line="240" w:lineRule="auto"/>
        <w:rPr>
          <w:rFonts w:ascii="Arial Narrow" w:eastAsia="Arial Narrow" w:hAnsi="Arial Narrow" w:cs="Arial Narrow"/>
          <w:b/>
          <w:sz w:val="20"/>
          <w:szCs w:val="20"/>
        </w:rPr>
      </w:pPr>
    </w:p>
    <w:p w14:paraId="7A7C716C" w14:textId="77777777" w:rsidR="00084C75" w:rsidRDefault="00084C75" w:rsidP="00084C75">
      <w:pPr>
        <w:spacing w:line="240" w:lineRule="auto"/>
        <w:rPr>
          <w:rFonts w:ascii="Arial Narrow" w:eastAsia="Arial Narrow" w:hAnsi="Arial Narrow" w:cs="Arial Narrow"/>
          <w:sz w:val="20"/>
          <w:szCs w:val="20"/>
        </w:rPr>
      </w:pPr>
      <w:r w:rsidRPr="00084C75">
        <w:rPr>
          <w:rFonts w:ascii="Arial Narrow" w:eastAsia="Arial Narrow" w:hAnsi="Arial Narrow" w:cs="Arial Narrow"/>
          <w:b/>
          <w:bCs/>
          <w:sz w:val="20"/>
          <w:szCs w:val="20"/>
        </w:rPr>
        <w:lastRenderedPageBreak/>
        <w:t>Table 1.</w:t>
      </w:r>
      <w:r>
        <w:rPr>
          <w:rFonts w:ascii="Arial Narrow" w:eastAsia="Arial Narrow" w:hAnsi="Arial Narrow" w:cs="Arial Narrow"/>
          <w:sz w:val="20"/>
          <w:szCs w:val="20"/>
        </w:rPr>
        <w:t xml:space="preserve"> The AHP Backgrounds of the Champions </w:t>
      </w:r>
    </w:p>
    <w:tbl>
      <w:tblPr>
        <w:tblStyle w:val="af4"/>
        <w:tblW w:w="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30"/>
        <w:gridCol w:w="990"/>
      </w:tblGrid>
      <w:tr w:rsidR="00084C75" w14:paraId="5F722B15" w14:textId="77777777" w:rsidTr="00084C75">
        <w:tc>
          <w:tcPr>
            <w:tcW w:w="3230" w:type="dxa"/>
            <w:shd w:val="clear" w:color="auto" w:fill="DBE5F1" w:themeFill="accent1" w:themeFillTint="33"/>
            <w:tcMar>
              <w:top w:w="100" w:type="dxa"/>
              <w:left w:w="100" w:type="dxa"/>
              <w:bottom w:w="100" w:type="dxa"/>
              <w:right w:w="100" w:type="dxa"/>
            </w:tcMar>
          </w:tcPr>
          <w:p w14:paraId="0F0E9DA9"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background </w:t>
            </w:r>
          </w:p>
        </w:tc>
        <w:tc>
          <w:tcPr>
            <w:tcW w:w="990" w:type="dxa"/>
            <w:shd w:val="clear" w:color="auto" w:fill="DBE5F1" w:themeFill="accent1" w:themeFillTint="33"/>
            <w:tcMar>
              <w:top w:w="100" w:type="dxa"/>
              <w:left w:w="100" w:type="dxa"/>
              <w:bottom w:w="100" w:type="dxa"/>
              <w:right w:w="100" w:type="dxa"/>
            </w:tcMar>
          </w:tcPr>
          <w:p w14:paraId="3EC32513" w14:textId="45BC0346"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Number</w:t>
            </w:r>
          </w:p>
        </w:tc>
      </w:tr>
      <w:tr w:rsidR="00084C75" w14:paraId="47D997AD" w14:textId="77777777" w:rsidTr="00084C75">
        <w:tc>
          <w:tcPr>
            <w:tcW w:w="3230" w:type="dxa"/>
            <w:shd w:val="clear" w:color="auto" w:fill="auto"/>
            <w:tcMar>
              <w:top w:w="100" w:type="dxa"/>
              <w:left w:w="100" w:type="dxa"/>
              <w:bottom w:w="100" w:type="dxa"/>
              <w:right w:w="100" w:type="dxa"/>
            </w:tcMar>
          </w:tcPr>
          <w:p w14:paraId="39EBB506"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Art Therapists </w:t>
            </w:r>
          </w:p>
          <w:p w14:paraId="228C6C57"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Chiropodists / Podiatrists </w:t>
            </w:r>
          </w:p>
          <w:p w14:paraId="00251230"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Dieticians</w:t>
            </w:r>
          </w:p>
          <w:p w14:paraId="293760FA"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Drama Therapists </w:t>
            </w:r>
          </w:p>
          <w:p w14:paraId="4C9030BC"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Music Therapists </w:t>
            </w:r>
          </w:p>
          <w:p w14:paraId="52AA8353"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Occupational Therapists</w:t>
            </w:r>
          </w:p>
          <w:p w14:paraId="727CD79F"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Operating Department Practitioners</w:t>
            </w:r>
          </w:p>
          <w:p w14:paraId="3A68F21D"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Orthoptists </w:t>
            </w:r>
          </w:p>
          <w:p w14:paraId="671D060B"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Osteopaths </w:t>
            </w:r>
          </w:p>
          <w:p w14:paraId="5F7DC716"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Paramedics </w:t>
            </w:r>
          </w:p>
          <w:p w14:paraId="774B70D4"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Physiotherapists </w:t>
            </w:r>
          </w:p>
          <w:p w14:paraId="24346D0E"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Prosthetists and Orthotists </w:t>
            </w:r>
          </w:p>
          <w:p w14:paraId="0A486544"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Radiographers</w:t>
            </w:r>
          </w:p>
          <w:p w14:paraId="16619781" w14:textId="77777777" w:rsidR="00084C75" w:rsidRDefault="00084C75"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Speech and Language Therapists </w:t>
            </w:r>
          </w:p>
        </w:tc>
        <w:tc>
          <w:tcPr>
            <w:tcW w:w="990" w:type="dxa"/>
            <w:shd w:val="clear" w:color="auto" w:fill="auto"/>
            <w:tcMar>
              <w:top w:w="100" w:type="dxa"/>
              <w:left w:w="100" w:type="dxa"/>
              <w:bottom w:w="100" w:type="dxa"/>
              <w:right w:w="100" w:type="dxa"/>
            </w:tcMar>
          </w:tcPr>
          <w:p w14:paraId="38FDF360"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p w14:paraId="016E769B"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p w14:paraId="05C8CBCA"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p w14:paraId="033EAFB2"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p w14:paraId="16E6FE31"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p w14:paraId="36B24CB0"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16</w:t>
            </w:r>
          </w:p>
          <w:p w14:paraId="7134BB61"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p w14:paraId="0F057A8B"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p w14:paraId="603AD52D"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p w14:paraId="4C10FF68"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p w14:paraId="43230D60"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p w14:paraId="32C4F87D"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w:t>
            </w:r>
          </w:p>
          <w:p w14:paraId="497D9A5E"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p w14:paraId="7297E282" w14:textId="77777777" w:rsidR="00084C75" w:rsidRDefault="00084C75" w:rsidP="00D536B2">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6</w:t>
            </w:r>
          </w:p>
        </w:tc>
      </w:tr>
    </w:tbl>
    <w:p w14:paraId="720C0DB5" w14:textId="77777777" w:rsidR="00084C75" w:rsidRDefault="00084C75" w:rsidP="00777858">
      <w:pPr>
        <w:spacing w:line="240" w:lineRule="auto"/>
        <w:rPr>
          <w:rFonts w:ascii="Arial Narrow" w:eastAsia="Arial Narrow" w:hAnsi="Arial Narrow" w:cs="Arial Narrow"/>
          <w:b/>
          <w:sz w:val="20"/>
          <w:szCs w:val="20"/>
        </w:rPr>
      </w:pPr>
    </w:p>
    <w:p w14:paraId="3313C229" w14:textId="7A8E56D2" w:rsidR="00C30E66" w:rsidRDefault="00000000" w:rsidP="00826912">
      <w:pPr>
        <w:spacing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 xml:space="preserve">METHODS </w:t>
      </w:r>
    </w:p>
    <w:p w14:paraId="180C77D6" w14:textId="77777777" w:rsidR="00C30E66" w:rsidRDefault="00000000" w:rsidP="00826912">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Because of the multifaceted nature of the scheme, several strategies were required to collect and analyse data which are summarised in Table 2. Data collection forms are detailed in Appendices 1 and 2. The champions’ activities data were analysed using basic descriptive statistics, because the numbers of responses did not warrant further statistical methods. </w:t>
      </w:r>
    </w:p>
    <w:p w14:paraId="315E1786" w14:textId="26A4F72A" w:rsidR="00C30E66" w:rsidRDefault="001E28A1"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45C4B6C8">
          <v:rect id="_x0000_i1038" alt="" style="width:468pt;height:.75pt;mso-width-percent:0;mso-height-percent:0;mso-width-percent:0;mso-height-percent:0" o:hrstd="t" o:hr="t" fillcolor="#a0a0a0" stroked="f"/>
        </w:pict>
      </w:r>
    </w:p>
    <w:p w14:paraId="76B03E1F" w14:textId="1D2CCDFE" w:rsidR="00D536B2" w:rsidRDefault="00D536B2" w:rsidP="00D536B2">
      <w:pPr>
        <w:spacing w:line="240" w:lineRule="auto"/>
        <w:rPr>
          <w:rFonts w:ascii="Arial Narrow" w:eastAsia="Arial Narrow" w:hAnsi="Arial Narrow" w:cs="Arial Narrow"/>
          <w:sz w:val="20"/>
          <w:szCs w:val="20"/>
        </w:rPr>
      </w:pPr>
      <w:r w:rsidRPr="00D536B2">
        <w:rPr>
          <w:rFonts w:ascii="Arial Narrow" w:eastAsia="Arial Narrow" w:hAnsi="Arial Narrow" w:cs="Arial Narrow"/>
          <w:b/>
          <w:bCs/>
          <w:sz w:val="20"/>
          <w:szCs w:val="20"/>
        </w:rPr>
        <w:t>Table 2.</w:t>
      </w:r>
      <w:r>
        <w:rPr>
          <w:rFonts w:ascii="Arial Narrow" w:eastAsia="Arial Narrow" w:hAnsi="Arial Narrow" w:cs="Arial Narrow"/>
          <w:sz w:val="20"/>
          <w:szCs w:val="20"/>
        </w:rPr>
        <w:t xml:space="preserve"> Overview of </w:t>
      </w:r>
      <w:r>
        <w:rPr>
          <w:rFonts w:ascii="Arial Narrow" w:eastAsia="Arial Narrow" w:hAnsi="Arial Narrow" w:cs="Arial Narrow"/>
          <w:sz w:val="20"/>
          <w:szCs w:val="20"/>
        </w:rPr>
        <w:t>M</w:t>
      </w:r>
      <w:r>
        <w:rPr>
          <w:rFonts w:ascii="Arial Narrow" w:eastAsia="Arial Narrow" w:hAnsi="Arial Narrow" w:cs="Arial Narrow"/>
          <w:sz w:val="20"/>
          <w:szCs w:val="20"/>
        </w:rPr>
        <w:t xml:space="preserve">ethods for </w:t>
      </w:r>
      <w:r>
        <w:rPr>
          <w:rFonts w:ascii="Arial Narrow" w:eastAsia="Arial Narrow" w:hAnsi="Arial Narrow" w:cs="Arial Narrow"/>
          <w:sz w:val="20"/>
          <w:szCs w:val="20"/>
        </w:rPr>
        <w:t>S</w:t>
      </w:r>
      <w:r>
        <w:rPr>
          <w:rFonts w:ascii="Arial Narrow" w:eastAsia="Arial Narrow" w:hAnsi="Arial Narrow" w:cs="Arial Narrow"/>
          <w:sz w:val="20"/>
          <w:szCs w:val="20"/>
        </w:rPr>
        <w:t xml:space="preserve">cheme </w:t>
      </w:r>
      <w:r>
        <w:rPr>
          <w:rFonts w:ascii="Arial Narrow" w:eastAsia="Arial Narrow" w:hAnsi="Arial Narrow" w:cs="Arial Narrow"/>
          <w:sz w:val="20"/>
          <w:szCs w:val="20"/>
        </w:rPr>
        <w:t>E</w:t>
      </w:r>
      <w:r>
        <w:rPr>
          <w:rFonts w:ascii="Arial Narrow" w:eastAsia="Arial Narrow" w:hAnsi="Arial Narrow" w:cs="Arial Narrow"/>
          <w:sz w:val="20"/>
          <w:szCs w:val="20"/>
        </w:rPr>
        <w:t>valuation</w:t>
      </w:r>
    </w:p>
    <w:tbl>
      <w:tblPr>
        <w:tblStyle w:val="af5"/>
        <w:tblW w:w="87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6"/>
        <w:gridCol w:w="2185"/>
        <w:gridCol w:w="2185"/>
        <w:gridCol w:w="2185"/>
      </w:tblGrid>
      <w:tr w:rsidR="00D536B2" w14:paraId="7E4A9187" w14:textId="77777777" w:rsidTr="00D536B2">
        <w:tc>
          <w:tcPr>
            <w:tcW w:w="2186" w:type="dxa"/>
            <w:shd w:val="clear" w:color="auto" w:fill="DBE5F1" w:themeFill="accent1" w:themeFillTint="33"/>
            <w:tcMar>
              <w:top w:w="100" w:type="dxa"/>
              <w:left w:w="100" w:type="dxa"/>
              <w:bottom w:w="100" w:type="dxa"/>
              <w:right w:w="100" w:type="dxa"/>
            </w:tcMar>
          </w:tcPr>
          <w:p w14:paraId="3FC75364" w14:textId="77777777" w:rsidR="00D536B2" w:rsidRDefault="00D536B2" w:rsidP="00800120">
            <w:pPr>
              <w:widowControl w:val="0"/>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SPSCS Component</w:t>
            </w:r>
          </w:p>
        </w:tc>
        <w:tc>
          <w:tcPr>
            <w:tcW w:w="2185" w:type="dxa"/>
            <w:shd w:val="clear" w:color="auto" w:fill="DBE5F1" w:themeFill="accent1" w:themeFillTint="33"/>
            <w:tcMar>
              <w:top w:w="100" w:type="dxa"/>
              <w:left w:w="100" w:type="dxa"/>
              <w:bottom w:w="100" w:type="dxa"/>
              <w:right w:w="100" w:type="dxa"/>
            </w:tcMar>
          </w:tcPr>
          <w:p w14:paraId="5CD6E9FC" w14:textId="77777777" w:rsidR="00D536B2" w:rsidRDefault="00D536B2" w:rsidP="00800120">
            <w:pPr>
              <w:widowControl w:val="0"/>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Data Collection Strategy </w:t>
            </w:r>
          </w:p>
        </w:tc>
        <w:tc>
          <w:tcPr>
            <w:tcW w:w="2185" w:type="dxa"/>
            <w:shd w:val="clear" w:color="auto" w:fill="DBE5F1" w:themeFill="accent1" w:themeFillTint="33"/>
            <w:tcMar>
              <w:top w:w="100" w:type="dxa"/>
              <w:left w:w="100" w:type="dxa"/>
              <w:bottom w:w="100" w:type="dxa"/>
              <w:right w:w="100" w:type="dxa"/>
            </w:tcMar>
          </w:tcPr>
          <w:p w14:paraId="3BDB4D67" w14:textId="77777777" w:rsidR="00D536B2" w:rsidRDefault="00D536B2" w:rsidP="00800120">
            <w:pPr>
              <w:widowControl w:val="0"/>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Focus of Collected Data</w:t>
            </w:r>
          </w:p>
        </w:tc>
        <w:tc>
          <w:tcPr>
            <w:tcW w:w="2185" w:type="dxa"/>
            <w:shd w:val="clear" w:color="auto" w:fill="DBE5F1" w:themeFill="accent1" w:themeFillTint="33"/>
            <w:tcMar>
              <w:top w:w="100" w:type="dxa"/>
              <w:left w:w="100" w:type="dxa"/>
              <w:bottom w:w="100" w:type="dxa"/>
              <w:right w:w="100" w:type="dxa"/>
            </w:tcMar>
          </w:tcPr>
          <w:p w14:paraId="67352EA0" w14:textId="77777777" w:rsidR="00D536B2" w:rsidRDefault="00D536B2" w:rsidP="00800120">
            <w:pPr>
              <w:widowControl w:val="0"/>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Data Analysis Strategy </w:t>
            </w:r>
          </w:p>
        </w:tc>
      </w:tr>
      <w:tr w:rsidR="00D536B2" w14:paraId="2856D856" w14:textId="77777777" w:rsidTr="00D536B2">
        <w:tc>
          <w:tcPr>
            <w:tcW w:w="2186" w:type="dxa"/>
            <w:shd w:val="clear" w:color="auto" w:fill="auto"/>
            <w:tcMar>
              <w:top w:w="100" w:type="dxa"/>
              <w:left w:w="100" w:type="dxa"/>
              <w:bottom w:w="100" w:type="dxa"/>
              <w:right w:w="100" w:type="dxa"/>
            </w:tcMar>
          </w:tcPr>
          <w:p w14:paraId="0DBDED58"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Champion-led Activities </w:t>
            </w:r>
          </w:p>
        </w:tc>
        <w:tc>
          <w:tcPr>
            <w:tcW w:w="2185" w:type="dxa"/>
            <w:shd w:val="clear" w:color="auto" w:fill="auto"/>
            <w:tcMar>
              <w:top w:w="100" w:type="dxa"/>
              <w:left w:w="100" w:type="dxa"/>
              <w:bottom w:w="100" w:type="dxa"/>
              <w:right w:w="100" w:type="dxa"/>
            </w:tcMar>
          </w:tcPr>
          <w:p w14:paraId="4A4701D7"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Google form (Appendix 1) completed by champions after delivering their activities</w:t>
            </w:r>
          </w:p>
        </w:tc>
        <w:tc>
          <w:tcPr>
            <w:tcW w:w="2185" w:type="dxa"/>
            <w:shd w:val="clear" w:color="auto" w:fill="auto"/>
            <w:tcMar>
              <w:top w:w="100" w:type="dxa"/>
              <w:left w:w="100" w:type="dxa"/>
              <w:bottom w:w="100" w:type="dxa"/>
              <w:right w:w="100" w:type="dxa"/>
            </w:tcMar>
          </w:tcPr>
          <w:p w14:paraId="211E69C7"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Activity Descriptions</w:t>
            </w:r>
          </w:p>
          <w:p w14:paraId="26CCB483"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 Attendee Statistics </w:t>
            </w:r>
          </w:p>
        </w:tc>
        <w:tc>
          <w:tcPr>
            <w:tcW w:w="2185" w:type="dxa"/>
            <w:shd w:val="clear" w:color="auto" w:fill="auto"/>
            <w:tcMar>
              <w:top w:w="100" w:type="dxa"/>
              <w:left w:w="100" w:type="dxa"/>
              <w:bottom w:w="100" w:type="dxa"/>
              <w:right w:w="100" w:type="dxa"/>
            </w:tcMar>
          </w:tcPr>
          <w:p w14:paraId="1635C86E"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Descriptive statistics</w:t>
            </w:r>
          </w:p>
        </w:tc>
      </w:tr>
      <w:tr w:rsidR="00D536B2" w14:paraId="1E4C4188" w14:textId="77777777" w:rsidTr="00D536B2">
        <w:tc>
          <w:tcPr>
            <w:tcW w:w="2186" w:type="dxa"/>
            <w:shd w:val="clear" w:color="auto" w:fill="auto"/>
            <w:tcMar>
              <w:top w:w="100" w:type="dxa"/>
              <w:left w:w="100" w:type="dxa"/>
              <w:bottom w:w="100" w:type="dxa"/>
              <w:right w:w="100" w:type="dxa"/>
            </w:tcMar>
          </w:tcPr>
          <w:p w14:paraId="26B633CF"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Participants’ experiences of champion-led activities </w:t>
            </w:r>
          </w:p>
        </w:tc>
        <w:tc>
          <w:tcPr>
            <w:tcW w:w="2185" w:type="dxa"/>
            <w:shd w:val="clear" w:color="auto" w:fill="auto"/>
            <w:tcMar>
              <w:top w:w="100" w:type="dxa"/>
              <w:left w:w="100" w:type="dxa"/>
              <w:bottom w:w="100" w:type="dxa"/>
              <w:right w:w="100" w:type="dxa"/>
            </w:tcMar>
          </w:tcPr>
          <w:p w14:paraId="36EE5A80"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Google form </w:t>
            </w:r>
          </w:p>
          <w:p w14:paraId="7112B338" w14:textId="77777777" w:rsidR="00D536B2" w:rsidRDefault="00D536B2"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(Appendix 2) completed by participants both before and after attending champion-run activities.</w:t>
            </w:r>
          </w:p>
        </w:tc>
        <w:tc>
          <w:tcPr>
            <w:tcW w:w="2185" w:type="dxa"/>
            <w:shd w:val="clear" w:color="auto" w:fill="auto"/>
            <w:tcMar>
              <w:top w:w="100" w:type="dxa"/>
              <w:left w:w="100" w:type="dxa"/>
              <w:bottom w:w="100" w:type="dxa"/>
              <w:right w:w="100" w:type="dxa"/>
            </w:tcMar>
          </w:tcPr>
          <w:p w14:paraId="7572598F" w14:textId="77777777" w:rsidR="00D536B2" w:rsidRDefault="00D536B2"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Participants’ demographics</w:t>
            </w:r>
          </w:p>
          <w:p w14:paraId="3EE2CAA5" w14:textId="77777777" w:rsidR="00D536B2" w:rsidRDefault="00D536B2"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Participants’ learning about social prescribing</w:t>
            </w:r>
          </w:p>
          <w:p w14:paraId="1D84F3FC" w14:textId="77777777" w:rsidR="00D536B2" w:rsidRDefault="00D536B2"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Participants’ experiences of activities</w:t>
            </w:r>
          </w:p>
        </w:tc>
        <w:tc>
          <w:tcPr>
            <w:tcW w:w="2185" w:type="dxa"/>
            <w:shd w:val="clear" w:color="auto" w:fill="auto"/>
            <w:tcMar>
              <w:top w:w="100" w:type="dxa"/>
              <w:left w:w="100" w:type="dxa"/>
              <w:bottom w:w="100" w:type="dxa"/>
              <w:right w:w="100" w:type="dxa"/>
            </w:tcMar>
          </w:tcPr>
          <w:p w14:paraId="1090CE6F" w14:textId="77777777" w:rsidR="00D536B2" w:rsidRDefault="00D536B2"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Descriptive statistics and summary of qualitative data </w:t>
            </w:r>
          </w:p>
        </w:tc>
      </w:tr>
    </w:tbl>
    <w:p w14:paraId="32E3DCB7" w14:textId="7BD46D78" w:rsidR="00D536B2" w:rsidRDefault="001E28A1" w:rsidP="00826912">
      <w:pPr>
        <w:spacing w:line="240" w:lineRule="auto"/>
        <w:jc w:val="both"/>
        <w:rPr>
          <w:rFonts w:ascii="Arial Narrow" w:eastAsia="Arial Narrow" w:hAnsi="Arial Narrow" w:cs="Arial Narrow"/>
          <w:b/>
          <w:sz w:val="20"/>
          <w:szCs w:val="20"/>
        </w:rPr>
      </w:pPr>
      <w:r>
        <w:rPr>
          <w:rFonts w:ascii="Arial Narrow" w:eastAsia="Calibri" w:hAnsi="Arial Narrow"/>
          <w:noProof/>
          <w:szCs w:val="20"/>
          <w:lang w:val="en-CA"/>
        </w:rPr>
        <w:pict w14:anchorId="6E9240FF">
          <v:rect id="_x0000_i1039" alt="" style="width:468pt;height:.75pt;mso-width-percent:0;mso-height-percent:0;mso-width-percent:0;mso-height-percent:0" o:hrstd="t" o:hr="t" fillcolor="#a0a0a0" stroked="f"/>
        </w:pict>
      </w:r>
    </w:p>
    <w:p w14:paraId="01B92DCD" w14:textId="118C6070" w:rsidR="00C30E66" w:rsidRDefault="00000000" w:rsidP="00826912">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Quantitative data from the pre- and post-activity forms participants completed were compared by the researchers to identify trends in participant ratings of their awareness and understanding of and confidence with using social prescribing. Anonymity of the forms meant it was not possible to pair participants' responses in the pre- and post-session forms, nor could it be confirmed if each participant had completed both forms. Therefore, it was not possible to perform a statistical analysis to compare individual participants</w:t>
      </w:r>
      <w:r w:rsidR="006949D0">
        <w:rPr>
          <w:rFonts w:ascii="Arial Narrow" w:eastAsia="Arial Narrow" w:hAnsi="Arial Narrow" w:cs="Arial Narrow"/>
          <w:sz w:val="20"/>
          <w:szCs w:val="20"/>
        </w:rPr>
        <w:t>’ before</w:t>
      </w:r>
      <w:r>
        <w:rPr>
          <w:rFonts w:ascii="Arial Narrow" w:eastAsia="Arial Narrow" w:hAnsi="Arial Narrow" w:cs="Arial Narrow"/>
          <w:sz w:val="20"/>
          <w:szCs w:val="20"/>
        </w:rPr>
        <w:t xml:space="preserve"> and after event responses</w:t>
      </w:r>
      <w:r>
        <w:rPr>
          <w:rFonts w:ascii="Arial Narrow" w:eastAsia="Arial Narrow" w:hAnsi="Arial Narrow" w:cs="Arial Narrow"/>
          <w:sz w:val="20"/>
          <w:szCs w:val="20"/>
          <w:vertAlign w:val="subscript"/>
        </w:rPr>
        <w:t>11</w:t>
      </w:r>
      <w:r>
        <w:rPr>
          <w:rFonts w:ascii="Arial Narrow" w:eastAsia="Arial Narrow" w:hAnsi="Arial Narrow" w:cs="Arial Narrow"/>
          <w:sz w:val="20"/>
          <w:szCs w:val="20"/>
        </w:rPr>
        <w:t xml:space="preserve">. Qualitative data were summarised by the researchers to contextualise the quantitative results. </w:t>
      </w:r>
    </w:p>
    <w:p w14:paraId="6B4AE8C1" w14:textId="77777777" w:rsidR="00024965" w:rsidRDefault="00024965" w:rsidP="00826912">
      <w:pPr>
        <w:spacing w:line="240" w:lineRule="auto"/>
        <w:jc w:val="both"/>
        <w:rPr>
          <w:rFonts w:ascii="Arial Narrow" w:eastAsia="Arial Narrow" w:hAnsi="Arial Narrow" w:cs="Arial Narrow"/>
          <w:sz w:val="20"/>
          <w:szCs w:val="20"/>
        </w:rPr>
      </w:pPr>
    </w:p>
    <w:p w14:paraId="381EB4D7" w14:textId="5E57D9C9" w:rsidR="00C30E66" w:rsidRDefault="00000000" w:rsidP="00826912">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Formal ethical approval was not required because the purpose of this study was to evaluate a teaching approach. This is in line with the ethical guidelines followed in the evaluation of the medical SPSCS</w:t>
      </w:r>
      <w:r>
        <w:rPr>
          <w:rFonts w:ascii="Arial Narrow" w:eastAsia="Arial Narrow" w:hAnsi="Arial Narrow" w:cs="Arial Narrow"/>
          <w:sz w:val="20"/>
          <w:szCs w:val="20"/>
          <w:vertAlign w:val="subscript"/>
        </w:rPr>
        <w:t>6</w:t>
      </w:r>
      <w:r>
        <w:rPr>
          <w:rFonts w:ascii="Arial Narrow" w:eastAsia="Arial Narrow" w:hAnsi="Arial Narrow" w:cs="Arial Narrow"/>
          <w:sz w:val="20"/>
          <w:szCs w:val="20"/>
        </w:rPr>
        <w:t>. In relation to informed consent, surveys included clear explanations of how responses would be used for evaluation purposes. All data were stored securely on an online drive to which only the authors had access.</w:t>
      </w:r>
    </w:p>
    <w:p w14:paraId="5819517C" w14:textId="77777777" w:rsidR="00024965" w:rsidRDefault="00024965" w:rsidP="00826912">
      <w:pPr>
        <w:spacing w:line="240" w:lineRule="auto"/>
        <w:jc w:val="both"/>
        <w:rPr>
          <w:rFonts w:ascii="Arial Narrow" w:eastAsia="Arial Narrow" w:hAnsi="Arial Narrow" w:cs="Arial Narrow"/>
          <w:b/>
          <w:sz w:val="20"/>
          <w:szCs w:val="20"/>
        </w:rPr>
      </w:pPr>
    </w:p>
    <w:p w14:paraId="0D0C6BC3" w14:textId="77822D85" w:rsidR="00C30E66" w:rsidRDefault="00000000" w:rsidP="00777858">
      <w:pPr>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RESULTS </w:t>
      </w:r>
    </w:p>
    <w:p w14:paraId="308EBF2E" w14:textId="77777777" w:rsidR="00C30E66" w:rsidRDefault="00000000" w:rsidP="00777858">
      <w:pPr>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Summary of Champion-led Activities</w:t>
      </w:r>
    </w:p>
    <w:p w14:paraId="6F49090C" w14:textId="7A82351A" w:rsidR="00C30E66" w:rsidRDefault="00000000" w:rsidP="00EE63EA">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In total, 21 activities were run by 14 champions to educate participants about social prescribing. </w:t>
      </w:r>
      <w:r w:rsidR="006949D0">
        <w:rPr>
          <w:rFonts w:ascii="Arial Narrow" w:eastAsia="Arial Narrow" w:hAnsi="Arial Narrow" w:cs="Arial Narrow"/>
          <w:sz w:val="20"/>
          <w:szCs w:val="20"/>
        </w:rPr>
        <w:t>The champions documented that 524 students</w:t>
      </w:r>
      <w:r>
        <w:rPr>
          <w:rFonts w:ascii="Arial Narrow" w:eastAsia="Arial Narrow" w:hAnsi="Arial Narrow" w:cs="Arial Narrow"/>
          <w:sz w:val="20"/>
          <w:szCs w:val="20"/>
        </w:rPr>
        <w:t xml:space="preserve"> participated in AHP SPSCS activities. Most activities provided an opportunity for interdisciplinary learning by involving </w:t>
      </w:r>
      <w:r>
        <w:rPr>
          <w:rFonts w:ascii="Arial Narrow" w:eastAsia="Arial Narrow" w:hAnsi="Arial Narrow" w:cs="Arial Narrow"/>
          <w:sz w:val="20"/>
          <w:szCs w:val="20"/>
        </w:rPr>
        <w:lastRenderedPageBreak/>
        <w:t xml:space="preserve">an audience of participants from at least two different professional backgrounds. Twitter analytics completed by champions for conducted virtual activities indicated over 40,000 impressions (virtual reach). </w:t>
      </w:r>
    </w:p>
    <w:p w14:paraId="5FECFA2F" w14:textId="77777777" w:rsidR="00C30E66" w:rsidRDefault="00C30E66" w:rsidP="00EE63EA">
      <w:pPr>
        <w:spacing w:line="240" w:lineRule="auto"/>
        <w:jc w:val="both"/>
        <w:rPr>
          <w:rFonts w:ascii="Arial Narrow" w:eastAsia="Arial Narrow" w:hAnsi="Arial Narrow" w:cs="Arial Narrow"/>
          <w:sz w:val="20"/>
          <w:szCs w:val="20"/>
        </w:rPr>
      </w:pPr>
    </w:p>
    <w:p w14:paraId="2146BB69" w14:textId="5F4D7BCC" w:rsidR="00C30E66" w:rsidRDefault="00A059EC" w:rsidP="00EE63EA">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Seven-</w:t>
      </w:r>
      <w:r w:rsidR="00C472D3">
        <w:rPr>
          <w:rFonts w:ascii="Arial Narrow" w:eastAsia="Arial Narrow" w:hAnsi="Arial Narrow" w:cs="Arial Narrow"/>
          <w:sz w:val="20"/>
          <w:szCs w:val="20"/>
        </w:rPr>
        <w:t>hundred-eighty (</w:t>
      </w:r>
      <w:r w:rsidR="00000000">
        <w:rPr>
          <w:rFonts w:ascii="Arial Narrow" w:eastAsia="Arial Narrow" w:hAnsi="Arial Narrow" w:cs="Arial Narrow"/>
          <w:sz w:val="20"/>
          <w:szCs w:val="20"/>
        </w:rPr>
        <w:t>780</w:t>
      </w:r>
      <w:r w:rsidR="00C472D3">
        <w:rPr>
          <w:rFonts w:ascii="Arial Narrow" w:eastAsia="Arial Narrow" w:hAnsi="Arial Narrow" w:cs="Arial Narrow"/>
          <w:sz w:val="20"/>
          <w:szCs w:val="20"/>
        </w:rPr>
        <w:t>)</w:t>
      </w:r>
      <w:r w:rsidR="00000000">
        <w:rPr>
          <w:rFonts w:ascii="Arial Narrow" w:eastAsia="Arial Narrow" w:hAnsi="Arial Narrow" w:cs="Arial Narrow"/>
          <w:sz w:val="20"/>
          <w:szCs w:val="20"/>
        </w:rPr>
        <w:t xml:space="preserve"> minutes of social prescribing activities were organised by the champions. Two activities (9.5%) were held face to face on campus and the rest online, which </w:t>
      </w:r>
      <w:r w:rsidR="006949D0">
        <w:rPr>
          <w:rFonts w:ascii="Arial Narrow" w:eastAsia="Arial Narrow" w:hAnsi="Arial Narrow" w:cs="Arial Narrow"/>
          <w:sz w:val="20"/>
          <w:szCs w:val="20"/>
        </w:rPr>
        <w:t>reflected government</w:t>
      </w:r>
      <w:r w:rsidR="00000000">
        <w:rPr>
          <w:rFonts w:ascii="Arial Narrow" w:eastAsia="Arial Narrow" w:hAnsi="Arial Narrow" w:cs="Arial Narrow"/>
          <w:sz w:val="20"/>
          <w:szCs w:val="20"/>
        </w:rPr>
        <w:t xml:space="preserve"> COVID-19 guidelines at the time. The activities run by champions included 14 talks, </w:t>
      </w:r>
      <w:r w:rsidR="00DE5238">
        <w:rPr>
          <w:rFonts w:ascii="Arial Narrow" w:eastAsia="Arial Narrow" w:hAnsi="Arial Narrow" w:cs="Arial Narrow"/>
          <w:sz w:val="20"/>
          <w:szCs w:val="20"/>
        </w:rPr>
        <w:t>three</w:t>
      </w:r>
      <w:r w:rsidR="00000000">
        <w:rPr>
          <w:rFonts w:ascii="Arial Narrow" w:eastAsia="Arial Narrow" w:hAnsi="Arial Narrow" w:cs="Arial Narrow"/>
          <w:sz w:val="20"/>
          <w:szCs w:val="20"/>
        </w:rPr>
        <w:t xml:space="preserve"> social media activities such as take-overs, a podcast, a viewing party for a national SP event, </w:t>
      </w:r>
      <w:r w:rsidR="003676DD">
        <w:rPr>
          <w:rFonts w:ascii="Arial Narrow" w:eastAsia="Arial Narrow" w:hAnsi="Arial Narrow" w:cs="Arial Narrow"/>
          <w:sz w:val="20"/>
          <w:szCs w:val="20"/>
        </w:rPr>
        <w:t>posters,</w:t>
      </w:r>
      <w:r w:rsidR="00000000">
        <w:rPr>
          <w:rFonts w:ascii="Arial Narrow" w:eastAsia="Arial Narrow" w:hAnsi="Arial Narrow" w:cs="Arial Narrow"/>
          <w:sz w:val="20"/>
          <w:szCs w:val="20"/>
        </w:rPr>
        <w:t xml:space="preserve"> and further dissemination of SP information via faculties (Figure 1). </w:t>
      </w:r>
      <w:r w:rsidR="004B3EE8">
        <w:rPr>
          <w:rFonts w:ascii="Arial Narrow" w:eastAsia="Arial Narrow" w:hAnsi="Arial Narrow" w:cs="Arial Narrow"/>
          <w:sz w:val="20"/>
          <w:szCs w:val="20"/>
        </w:rPr>
        <w:t>Exhaustive</w:t>
      </w:r>
      <w:r w:rsidR="001C652A">
        <w:rPr>
          <w:rFonts w:ascii="Arial Narrow" w:eastAsia="Arial Narrow" w:hAnsi="Arial Narrow" w:cs="Arial Narrow"/>
          <w:sz w:val="20"/>
          <w:szCs w:val="20"/>
        </w:rPr>
        <w:t xml:space="preserve"> details of the learning points covered</w:t>
      </w:r>
      <w:r w:rsidR="004B3EE8">
        <w:rPr>
          <w:rFonts w:ascii="Arial Narrow" w:eastAsia="Arial Narrow" w:hAnsi="Arial Narrow" w:cs="Arial Narrow"/>
          <w:sz w:val="20"/>
          <w:szCs w:val="20"/>
        </w:rPr>
        <w:t xml:space="preserve"> in activities was not disclosed in the feedback forms</w:t>
      </w:r>
      <w:r w:rsidR="001C652A">
        <w:rPr>
          <w:rFonts w:ascii="Arial Narrow" w:eastAsia="Arial Narrow" w:hAnsi="Arial Narrow" w:cs="Arial Narrow"/>
          <w:sz w:val="20"/>
          <w:szCs w:val="20"/>
        </w:rPr>
        <w:t xml:space="preserve">. </w:t>
      </w:r>
      <w:proofErr w:type="gramStart"/>
      <w:r w:rsidR="00000000">
        <w:rPr>
          <w:rFonts w:ascii="Arial Narrow" w:eastAsia="Arial Narrow" w:hAnsi="Arial Narrow" w:cs="Arial Narrow"/>
          <w:sz w:val="20"/>
          <w:szCs w:val="20"/>
        </w:rPr>
        <w:t>In order to</w:t>
      </w:r>
      <w:proofErr w:type="gramEnd"/>
      <w:r w:rsidR="00000000">
        <w:rPr>
          <w:rFonts w:ascii="Arial Narrow" w:eastAsia="Arial Narrow" w:hAnsi="Arial Narrow" w:cs="Arial Narrow"/>
          <w:sz w:val="20"/>
          <w:szCs w:val="20"/>
        </w:rPr>
        <w:t xml:space="preserve"> deliver their activities, champions had worked with university faculties, professional societies and local NHS and social prescribing organisations.</w:t>
      </w:r>
    </w:p>
    <w:p w14:paraId="4F8EF34D" w14:textId="77777777" w:rsidR="00826912" w:rsidRDefault="00826912" w:rsidP="00777858">
      <w:pPr>
        <w:spacing w:line="240" w:lineRule="auto"/>
        <w:rPr>
          <w:rFonts w:ascii="Arial Narrow" w:eastAsia="Arial Narrow" w:hAnsi="Arial Narrow" w:cs="Arial Narrow"/>
          <w:b/>
          <w:sz w:val="20"/>
          <w:szCs w:val="20"/>
        </w:rPr>
      </w:pPr>
    </w:p>
    <w:p w14:paraId="217450FD" w14:textId="187F7519" w:rsidR="00EE63EA" w:rsidRDefault="00EE63EA" w:rsidP="00777858">
      <w:pPr>
        <w:spacing w:line="240" w:lineRule="auto"/>
        <w:rPr>
          <w:rFonts w:ascii="Arial Narrow" w:eastAsia="Arial Narrow" w:hAnsi="Arial Narrow" w:cs="Arial Narrow"/>
          <w:b/>
          <w:sz w:val="20"/>
          <w:szCs w:val="20"/>
        </w:rPr>
      </w:pPr>
      <w:r>
        <w:rPr>
          <w:rFonts w:ascii="Arial Narrow" w:eastAsia="Arial Narrow" w:hAnsi="Arial Narrow" w:cs="Arial Narrow"/>
          <w:noProof/>
          <w:color w:val="333333"/>
          <w:sz w:val="20"/>
          <w:szCs w:val="20"/>
        </w:rPr>
        <w:drawing>
          <wp:inline distT="114300" distB="114300" distL="114300" distR="114300" wp14:anchorId="6CBC1067" wp14:editId="796043EB">
            <wp:extent cx="5972810" cy="3098800"/>
            <wp:effectExtent l="19050" t="19050" r="27940" b="25400"/>
            <wp:docPr id="1406874926" name="Picture 140687492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72810" cy="3098800"/>
                    </a:xfrm>
                    <a:prstGeom prst="rect">
                      <a:avLst/>
                    </a:prstGeom>
                    <a:ln>
                      <a:solidFill>
                        <a:schemeClr val="tx1"/>
                      </a:solidFill>
                    </a:ln>
                  </pic:spPr>
                </pic:pic>
              </a:graphicData>
            </a:graphic>
          </wp:inline>
        </w:drawing>
      </w:r>
    </w:p>
    <w:p w14:paraId="5800A928" w14:textId="6D30D5A1" w:rsidR="00EE63EA" w:rsidRDefault="00EE63EA" w:rsidP="00777858">
      <w:pPr>
        <w:spacing w:line="240" w:lineRule="auto"/>
        <w:rPr>
          <w:rFonts w:ascii="Arial Narrow" w:eastAsia="Arial Narrow" w:hAnsi="Arial Narrow" w:cs="Arial Narrow"/>
          <w:b/>
          <w:sz w:val="20"/>
          <w:szCs w:val="20"/>
        </w:rPr>
      </w:pPr>
      <w:r w:rsidRPr="00EE63EA">
        <w:rPr>
          <w:rFonts w:ascii="Arial Narrow" w:eastAsia="Arial Narrow" w:hAnsi="Arial Narrow" w:cs="Arial Narrow"/>
          <w:b/>
          <w:bCs/>
          <w:color w:val="333333"/>
          <w:sz w:val="20"/>
          <w:szCs w:val="20"/>
        </w:rPr>
        <w:t>Figure 1.</w:t>
      </w:r>
      <w:r>
        <w:rPr>
          <w:rFonts w:ascii="Arial Narrow" w:eastAsia="Arial Narrow" w:hAnsi="Arial Narrow" w:cs="Arial Narrow"/>
          <w:color w:val="333333"/>
          <w:sz w:val="20"/>
          <w:szCs w:val="20"/>
        </w:rPr>
        <w:t xml:space="preserve"> Distribution of Types of Champion Activities</w:t>
      </w:r>
    </w:p>
    <w:p w14:paraId="68C05D85" w14:textId="77777777" w:rsidR="00EE63EA" w:rsidRDefault="00EE63EA" w:rsidP="00777858">
      <w:pPr>
        <w:spacing w:line="240" w:lineRule="auto"/>
        <w:rPr>
          <w:rFonts w:ascii="Arial Narrow" w:eastAsia="Arial Narrow" w:hAnsi="Arial Narrow" w:cs="Arial Narrow"/>
          <w:b/>
          <w:sz w:val="20"/>
          <w:szCs w:val="20"/>
        </w:rPr>
      </w:pPr>
    </w:p>
    <w:p w14:paraId="319078EC" w14:textId="645FF034" w:rsidR="00C30E66" w:rsidRDefault="00000000" w:rsidP="000403BF">
      <w:pPr>
        <w:spacing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Summary of Activity Evaluation </w:t>
      </w:r>
    </w:p>
    <w:p w14:paraId="0E7BBE0B" w14:textId="72368117" w:rsidR="00C30E66" w:rsidRDefault="00000000" w:rsidP="000403BF">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68 pre-session responses were received, with 37% from occupational therapy students, 16% from speech and language therapy students, and the remainder from other AHP or wider professional backgrounds (Table 3). 29 (43%) were studying at an undergraduate level (BSc), and 17 (25%) were studying at a post-graduate level. </w:t>
      </w:r>
      <w:r w:rsidR="006949D0">
        <w:rPr>
          <w:rFonts w:ascii="Arial Narrow" w:eastAsia="Arial Narrow" w:hAnsi="Arial Narrow" w:cs="Arial Narrow"/>
          <w:sz w:val="20"/>
          <w:szCs w:val="20"/>
        </w:rPr>
        <w:t>Most participants were evenly distributed across being in</w:t>
      </w:r>
      <w:r>
        <w:rPr>
          <w:rFonts w:ascii="Arial Narrow" w:eastAsia="Arial Narrow" w:hAnsi="Arial Narrow" w:cs="Arial Narrow"/>
          <w:sz w:val="20"/>
          <w:szCs w:val="20"/>
        </w:rPr>
        <w:t xml:space="preserve"> their first, second and subsequent years of training. The remainder declined to respond to this question. </w:t>
      </w:r>
    </w:p>
    <w:p w14:paraId="3C366A56" w14:textId="1A68EFBB" w:rsidR="00C30E66" w:rsidRDefault="001E28A1"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6FC2ACB8">
          <v:rect id="_x0000_i1036" alt="" style="width:468pt;height:.75pt;mso-width-percent:0;mso-height-percent:0;mso-width-percent:0;mso-height-percent:0" o:hrstd="t" o:hr="t" fillcolor="#a0a0a0" stroked="f"/>
        </w:pict>
      </w:r>
    </w:p>
    <w:p w14:paraId="3BEA2F8A" w14:textId="6DEFF60B" w:rsidR="000403BF" w:rsidRDefault="000403BF" w:rsidP="000403BF">
      <w:pPr>
        <w:spacing w:line="240" w:lineRule="auto"/>
        <w:rPr>
          <w:rFonts w:ascii="Arial Narrow" w:eastAsia="Arial Narrow" w:hAnsi="Arial Narrow" w:cs="Arial Narrow"/>
          <w:sz w:val="20"/>
          <w:szCs w:val="20"/>
        </w:rPr>
      </w:pPr>
      <w:r w:rsidRPr="000403BF">
        <w:rPr>
          <w:rFonts w:ascii="Arial Narrow" w:eastAsia="Arial Narrow" w:hAnsi="Arial Narrow" w:cs="Arial Narrow"/>
          <w:b/>
          <w:bCs/>
          <w:sz w:val="20"/>
          <w:szCs w:val="20"/>
        </w:rPr>
        <w:t>Table 3.</w:t>
      </w:r>
      <w:r>
        <w:rPr>
          <w:rFonts w:ascii="Arial Narrow" w:eastAsia="Arial Narrow" w:hAnsi="Arial Narrow" w:cs="Arial Narrow"/>
          <w:sz w:val="20"/>
          <w:szCs w:val="20"/>
        </w:rPr>
        <w:t xml:space="preserve"> The </w:t>
      </w:r>
      <w:r w:rsidR="00590D46">
        <w:rPr>
          <w:rFonts w:ascii="Arial Narrow" w:eastAsia="Arial Narrow" w:hAnsi="Arial Narrow" w:cs="Arial Narrow"/>
          <w:sz w:val="20"/>
          <w:szCs w:val="20"/>
        </w:rPr>
        <w:t>P</w:t>
      </w:r>
      <w:r>
        <w:rPr>
          <w:rFonts w:ascii="Arial Narrow" w:eastAsia="Arial Narrow" w:hAnsi="Arial Narrow" w:cs="Arial Narrow"/>
          <w:sz w:val="20"/>
          <w:szCs w:val="20"/>
        </w:rPr>
        <w:t xml:space="preserve">rofessional </w:t>
      </w:r>
      <w:r w:rsidR="00590D46">
        <w:rPr>
          <w:rFonts w:ascii="Arial Narrow" w:eastAsia="Arial Narrow" w:hAnsi="Arial Narrow" w:cs="Arial Narrow"/>
          <w:sz w:val="20"/>
          <w:szCs w:val="20"/>
        </w:rPr>
        <w:t>B</w:t>
      </w:r>
      <w:r>
        <w:rPr>
          <w:rFonts w:ascii="Arial Narrow" w:eastAsia="Arial Narrow" w:hAnsi="Arial Narrow" w:cs="Arial Narrow"/>
          <w:sz w:val="20"/>
          <w:szCs w:val="20"/>
        </w:rPr>
        <w:t xml:space="preserve">ackgrounds of </w:t>
      </w:r>
      <w:r w:rsidR="00590D46">
        <w:rPr>
          <w:rFonts w:ascii="Arial Narrow" w:eastAsia="Arial Narrow" w:hAnsi="Arial Narrow" w:cs="Arial Narrow"/>
          <w:sz w:val="20"/>
          <w:szCs w:val="20"/>
        </w:rPr>
        <w:t>S</w:t>
      </w:r>
      <w:r>
        <w:rPr>
          <w:rFonts w:ascii="Arial Narrow" w:eastAsia="Arial Narrow" w:hAnsi="Arial Narrow" w:cs="Arial Narrow"/>
          <w:sz w:val="20"/>
          <w:szCs w:val="20"/>
        </w:rPr>
        <w:t xml:space="preserve">tudent </w:t>
      </w:r>
      <w:r w:rsidR="00590D46">
        <w:rPr>
          <w:rFonts w:ascii="Arial Narrow" w:eastAsia="Arial Narrow" w:hAnsi="Arial Narrow" w:cs="Arial Narrow"/>
          <w:sz w:val="20"/>
          <w:szCs w:val="20"/>
        </w:rPr>
        <w:t>P</w:t>
      </w:r>
      <w:r>
        <w:rPr>
          <w:rFonts w:ascii="Arial Narrow" w:eastAsia="Arial Narrow" w:hAnsi="Arial Narrow" w:cs="Arial Narrow"/>
          <w:sz w:val="20"/>
          <w:szCs w:val="20"/>
        </w:rPr>
        <w:t xml:space="preserve">articipants of </w:t>
      </w:r>
      <w:r w:rsidR="00590D46">
        <w:rPr>
          <w:rFonts w:ascii="Arial Narrow" w:eastAsia="Arial Narrow" w:hAnsi="Arial Narrow" w:cs="Arial Narrow"/>
          <w:sz w:val="20"/>
          <w:szCs w:val="20"/>
        </w:rPr>
        <w:t>C</w:t>
      </w:r>
      <w:r>
        <w:rPr>
          <w:rFonts w:ascii="Arial Narrow" w:eastAsia="Arial Narrow" w:hAnsi="Arial Narrow" w:cs="Arial Narrow"/>
          <w:sz w:val="20"/>
          <w:szCs w:val="20"/>
        </w:rPr>
        <w:t xml:space="preserve">hampion </w:t>
      </w:r>
      <w:r w:rsidR="00590D46">
        <w:rPr>
          <w:rFonts w:ascii="Arial Narrow" w:eastAsia="Arial Narrow" w:hAnsi="Arial Narrow" w:cs="Arial Narrow"/>
          <w:sz w:val="20"/>
          <w:szCs w:val="20"/>
        </w:rPr>
        <w:t>A</w:t>
      </w:r>
      <w:r>
        <w:rPr>
          <w:rFonts w:ascii="Arial Narrow" w:eastAsia="Arial Narrow" w:hAnsi="Arial Narrow" w:cs="Arial Narrow"/>
          <w:sz w:val="20"/>
          <w:szCs w:val="20"/>
        </w:rPr>
        <w:t xml:space="preserve">ctivities </w:t>
      </w:r>
      <w:r w:rsidR="00590D46">
        <w:rPr>
          <w:rFonts w:ascii="Arial Narrow" w:eastAsia="Arial Narrow" w:hAnsi="Arial Narrow" w:cs="Arial Narrow"/>
          <w:sz w:val="20"/>
          <w:szCs w:val="20"/>
        </w:rPr>
        <w:t>W</w:t>
      </w:r>
      <w:r>
        <w:rPr>
          <w:rFonts w:ascii="Arial Narrow" w:eastAsia="Arial Narrow" w:hAnsi="Arial Narrow" w:cs="Arial Narrow"/>
          <w:sz w:val="20"/>
          <w:szCs w:val="20"/>
        </w:rPr>
        <w:t xml:space="preserve">ho </w:t>
      </w:r>
      <w:r w:rsidR="00590D46">
        <w:rPr>
          <w:rFonts w:ascii="Arial Narrow" w:eastAsia="Arial Narrow" w:hAnsi="Arial Narrow" w:cs="Arial Narrow"/>
          <w:sz w:val="20"/>
          <w:szCs w:val="20"/>
        </w:rPr>
        <w:t>C</w:t>
      </w:r>
      <w:r>
        <w:rPr>
          <w:rFonts w:ascii="Arial Narrow" w:eastAsia="Arial Narrow" w:hAnsi="Arial Narrow" w:cs="Arial Narrow"/>
          <w:sz w:val="20"/>
          <w:szCs w:val="20"/>
        </w:rPr>
        <w:t xml:space="preserve">ompleted </w:t>
      </w:r>
      <w:r w:rsidR="00590D46">
        <w:rPr>
          <w:rFonts w:ascii="Arial Narrow" w:eastAsia="Arial Narrow" w:hAnsi="Arial Narrow" w:cs="Arial Narrow"/>
          <w:sz w:val="20"/>
          <w:szCs w:val="20"/>
        </w:rPr>
        <w:t>P</w:t>
      </w:r>
      <w:r>
        <w:rPr>
          <w:rFonts w:ascii="Arial Narrow" w:eastAsia="Arial Narrow" w:hAnsi="Arial Narrow" w:cs="Arial Narrow"/>
          <w:sz w:val="20"/>
          <w:szCs w:val="20"/>
        </w:rPr>
        <w:t xml:space="preserve">re- or </w:t>
      </w:r>
      <w:r w:rsidR="00590D46">
        <w:rPr>
          <w:rFonts w:ascii="Arial Narrow" w:eastAsia="Arial Narrow" w:hAnsi="Arial Narrow" w:cs="Arial Narrow"/>
          <w:sz w:val="20"/>
          <w:szCs w:val="20"/>
        </w:rPr>
        <w:t>P</w:t>
      </w:r>
      <w:r>
        <w:rPr>
          <w:rFonts w:ascii="Arial Narrow" w:eastAsia="Arial Narrow" w:hAnsi="Arial Narrow" w:cs="Arial Narrow"/>
          <w:sz w:val="20"/>
          <w:szCs w:val="20"/>
        </w:rPr>
        <w:t xml:space="preserve">ost- </w:t>
      </w:r>
      <w:r w:rsidR="00590D46">
        <w:rPr>
          <w:rFonts w:ascii="Arial Narrow" w:eastAsia="Arial Narrow" w:hAnsi="Arial Narrow" w:cs="Arial Narrow"/>
          <w:sz w:val="20"/>
          <w:szCs w:val="20"/>
        </w:rPr>
        <w:t>S</w:t>
      </w:r>
      <w:r>
        <w:rPr>
          <w:rFonts w:ascii="Arial Narrow" w:eastAsia="Arial Narrow" w:hAnsi="Arial Narrow" w:cs="Arial Narrow"/>
          <w:sz w:val="20"/>
          <w:szCs w:val="20"/>
        </w:rPr>
        <w:t xml:space="preserve">ession </w:t>
      </w:r>
      <w:r w:rsidR="00590D46">
        <w:rPr>
          <w:rFonts w:ascii="Arial Narrow" w:eastAsia="Arial Narrow" w:hAnsi="Arial Narrow" w:cs="Arial Narrow"/>
          <w:sz w:val="20"/>
          <w:szCs w:val="20"/>
        </w:rPr>
        <w:t>F</w:t>
      </w:r>
      <w:r>
        <w:rPr>
          <w:rFonts w:ascii="Arial Narrow" w:eastAsia="Arial Narrow" w:hAnsi="Arial Narrow" w:cs="Arial Narrow"/>
          <w:sz w:val="20"/>
          <w:szCs w:val="20"/>
        </w:rPr>
        <w:t xml:space="preserve">orms. </w:t>
      </w:r>
    </w:p>
    <w:tbl>
      <w:tblPr>
        <w:tblStyle w:val="af6"/>
        <w:tblW w:w="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60"/>
        <w:gridCol w:w="1080"/>
        <w:gridCol w:w="1080"/>
      </w:tblGrid>
      <w:tr w:rsidR="000403BF" w14:paraId="63FD7622" w14:textId="77777777" w:rsidTr="000403BF">
        <w:trPr>
          <w:tblHeader/>
        </w:trPr>
        <w:tc>
          <w:tcPr>
            <w:tcW w:w="2960" w:type="dxa"/>
            <w:shd w:val="clear" w:color="auto" w:fill="DBE5F1" w:themeFill="accent1" w:themeFillTint="33"/>
            <w:tcMar>
              <w:top w:w="100" w:type="dxa"/>
              <w:left w:w="100" w:type="dxa"/>
              <w:bottom w:w="100" w:type="dxa"/>
              <w:right w:w="100" w:type="dxa"/>
            </w:tcMar>
          </w:tcPr>
          <w:p w14:paraId="14970945"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Professional Background of Student</w:t>
            </w:r>
          </w:p>
        </w:tc>
        <w:tc>
          <w:tcPr>
            <w:tcW w:w="1080" w:type="dxa"/>
            <w:shd w:val="clear" w:color="auto" w:fill="DBE5F1" w:themeFill="accent1" w:themeFillTint="33"/>
            <w:tcMar>
              <w:top w:w="100" w:type="dxa"/>
              <w:left w:w="100" w:type="dxa"/>
              <w:bottom w:w="100" w:type="dxa"/>
              <w:right w:w="100" w:type="dxa"/>
            </w:tcMar>
          </w:tcPr>
          <w:p w14:paraId="014B4B5A"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Number completing pre-session form </w:t>
            </w:r>
          </w:p>
        </w:tc>
        <w:tc>
          <w:tcPr>
            <w:tcW w:w="1080" w:type="dxa"/>
            <w:shd w:val="clear" w:color="auto" w:fill="DBE5F1" w:themeFill="accent1" w:themeFillTint="33"/>
            <w:tcMar>
              <w:top w:w="100" w:type="dxa"/>
              <w:left w:w="100" w:type="dxa"/>
              <w:bottom w:w="100" w:type="dxa"/>
              <w:right w:w="100" w:type="dxa"/>
            </w:tcMar>
          </w:tcPr>
          <w:p w14:paraId="40966069"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Number completing post-session form </w:t>
            </w:r>
          </w:p>
        </w:tc>
      </w:tr>
      <w:tr w:rsidR="000403BF" w14:paraId="2017A332" w14:textId="77777777" w:rsidTr="000403BF">
        <w:tc>
          <w:tcPr>
            <w:tcW w:w="2960" w:type="dxa"/>
            <w:shd w:val="clear" w:color="auto" w:fill="auto"/>
            <w:tcMar>
              <w:top w:w="100" w:type="dxa"/>
              <w:left w:w="100" w:type="dxa"/>
              <w:bottom w:w="100" w:type="dxa"/>
              <w:right w:w="100" w:type="dxa"/>
            </w:tcMar>
          </w:tcPr>
          <w:p w14:paraId="0DA9E16D"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Art Therapists </w:t>
            </w:r>
          </w:p>
        </w:tc>
        <w:tc>
          <w:tcPr>
            <w:tcW w:w="1080" w:type="dxa"/>
            <w:shd w:val="clear" w:color="auto" w:fill="auto"/>
            <w:tcMar>
              <w:top w:w="100" w:type="dxa"/>
              <w:left w:w="100" w:type="dxa"/>
              <w:bottom w:w="100" w:type="dxa"/>
              <w:right w:w="100" w:type="dxa"/>
            </w:tcMar>
          </w:tcPr>
          <w:p w14:paraId="4939DBBA"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w:t>
            </w:r>
          </w:p>
        </w:tc>
        <w:tc>
          <w:tcPr>
            <w:tcW w:w="1080" w:type="dxa"/>
            <w:shd w:val="clear" w:color="auto" w:fill="auto"/>
            <w:tcMar>
              <w:top w:w="100" w:type="dxa"/>
              <w:left w:w="100" w:type="dxa"/>
              <w:bottom w:w="100" w:type="dxa"/>
              <w:right w:w="100" w:type="dxa"/>
            </w:tcMar>
          </w:tcPr>
          <w:p w14:paraId="4BAF5333"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w:t>
            </w:r>
          </w:p>
        </w:tc>
      </w:tr>
      <w:tr w:rsidR="000403BF" w14:paraId="41B2BCBD" w14:textId="77777777" w:rsidTr="000403BF">
        <w:tc>
          <w:tcPr>
            <w:tcW w:w="2960" w:type="dxa"/>
            <w:shd w:val="clear" w:color="auto" w:fill="auto"/>
            <w:tcMar>
              <w:top w:w="100" w:type="dxa"/>
              <w:left w:w="100" w:type="dxa"/>
              <w:bottom w:w="100" w:type="dxa"/>
              <w:right w:w="100" w:type="dxa"/>
            </w:tcMar>
          </w:tcPr>
          <w:p w14:paraId="45DC7C92"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Chiropodists / Podiatrists </w:t>
            </w:r>
          </w:p>
        </w:tc>
        <w:tc>
          <w:tcPr>
            <w:tcW w:w="1080" w:type="dxa"/>
            <w:shd w:val="clear" w:color="auto" w:fill="auto"/>
            <w:tcMar>
              <w:top w:w="100" w:type="dxa"/>
              <w:left w:w="100" w:type="dxa"/>
              <w:bottom w:w="100" w:type="dxa"/>
              <w:right w:w="100" w:type="dxa"/>
            </w:tcMar>
          </w:tcPr>
          <w:p w14:paraId="36A3CADA"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80" w:type="dxa"/>
            <w:shd w:val="clear" w:color="auto" w:fill="auto"/>
            <w:tcMar>
              <w:top w:w="100" w:type="dxa"/>
              <w:left w:w="100" w:type="dxa"/>
              <w:bottom w:w="100" w:type="dxa"/>
              <w:right w:w="100" w:type="dxa"/>
            </w:tcMar>
          </w:tcPr>
          <w:p w14:paraId="44A9D08E"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2D9917DF" w14:textId="77777777" w:rsidTr="000403BF">
        <w:tc>
          <w:tcPr>
            <w:tcW w:w="2960" w:type="dxa"/>
            <w:shd w:val="clear" w:color="auto" w:fill="auto"/>
            <w:tcMar>
              <w:top w:w="100" w:type="dxa"/>
              <w:left w:w="100" w:type="dxa"/>
              <w:bottom w:w="100" w:type="dxa"/>
              <w:right w:w="100" w:type="dxa"/>
            </w:tcMar>
          </w:tcPr>
          <w:p w14:paraId="00FF80BF"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AHP - Dieticians</w:t>
            </w:r>
          </w:p>
        </w:tc>
        <w:tc>
          <w:tcPr>
            <w:tcW w:w="1080" w:type="dxa"/>
            <w:shd w:val="clear" w:color="auto" w:fill="auto"/>
            <w:tcMar>
              <w:top w:w="100" w:type="dxa"/>
              <w:left w:w="100" w:type="dxa"/>
              <w:bottom w:w="100" w:type="dxa"/>
              <w:right w:w="100" w:type="dxa"/>
            </w:tcMar>
          </w:tcPr>
          <w:p w14:paraId="64FAC9F2"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1080" w:type="dxa"/>
            <w:shd w:val="clear" w:color="auto" w:fill="auto"/>
            <w:tcMar>
              <w:top w:w="100" w:type="dxa"/>
              <w:left w:w="100" w:type="dxa"/>
              <w:bottom w:w="100" w:type="dxa"/>
              <w:right w:w="100" w:type="dxa"/>
            </w:tcMar>
          </w:tcPr>
          <w:p w14:paraId="0422295A"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3BF194E7" w14:textId="77777777" w:rsidTr="000403BF">
        <w:tc>
          <w:tcPr>
            <w:tcW w:w="2960" w:type="dxa"/>
            <w:shd w:val="clear" w:color="auto" w:fill="auto"/>
            <w:tcMar>
              <w:top w:w="100" w:type="dxa"/>
              <w:left w:w="100" w:type="dxa"/>
              <w:bottom w:w="100" w:type="dxa"/>
              <w:right w:w="100" w:type="dxa"/>
            </w:tcMar>
          </w:tcPr>
          <w:p w14:paraId="65358600"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Drama Therapists </w:t>
            </w:r>
          </w:p>
        </w:tc>
        <w:tc>
          <w:tcPr>
            <w:tcW w:w="1080" w:type="dxa"/>
            <w:shd w:val="clear" w:color="auto" w:fill="auto"/>
            <w:tcMar>
              <w:top w:w="100" w:type="dxa"/>
              <w:left w:w="100" w:type="dxa"/>
              <w:bottom w:w="100" w:type="dxa"/>
              <w:right w:w="100" w:type="dxa"/>
            </w:tcMar>
          </w:tcPr>
          <w:p w14:paraId="51628C7C"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1080" w:type="dxa"/>
            <w:shd w:val="clear" w:color="auto" w:fill="auto"/>
            <w:tcMar>
              <w:top w:w="100" w:type="dxa"/>
              <w:left w:w="100" w:type="dxa"/>
              <w:bottom w:w="100" w:type="dxa"/>
              <w:right w:w="100" w:type="dxa"/>
            </w:tcMar>
          </w:tcPr>
          <w:p w14:paraId="4CB44CC2"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w:t>
            </w:r>
          </w:p>
        </w:tc>
      </w:tr>
      <w:tr w:rsidR="000403BF" w14:paraId="628A85D1" w14:textId="77777777" w:rsidTr="000403BF">
        <w:tc>
          <w:tcPr>
            <w:tcW w:w="2960" w:type="dxa"/>
            <w:shd w:val="clear" w:color="auto" w:fill="auto"/>
            <w:tcMar>
              <w:top w:w="100" w:type="dxa"/>
              <w:left w:w="100" w:type="dxa"/>
              <w:bottom w:w="100" w:type="dxa"/>
              <w:right w:w="100" w:type="dxa"/>
            </w:tcMar>
          </w:tcPr>
          <w:p w14:paraId="3DEA475F"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AHP - Music Therapists </w:t>
            </w:r>
          </w:p>
        </w:tc>
        <w:tc>
          <w:tcPr>
            <w:tcW w:w="1080" w:type="dxa"/>
            <w:shd w:val="clear" w:color="auto" w:fill="auto"/>
            <w:tcMar>
              <w:top w:w="100" w:type="dxa"/>
              <w:left w:w="100" w:type="dxa"/>
              <w:bottom w:w="100" w:type="dxa"/>
              <w:right w:w="100" w:type="dxa"/>
            </w:tcMar>
          </w:tcPr>
          <w:p w14:paraId="5FC0DF1A"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w:t>
            </w:r>
          </w:p>
        </w:tc>
        <w:tc>
          <w:tcPr>
            <w:tcW w:w="1080" w:type="dxa"/>
            <w:shd w:val="clear" w:color="auto" w:fill="auto"/>
            <w:tcMar>
              <w:top w:w="100" w:type="dxa"/>
              <w:left w:w="100" w:type="dxa"/>
              <w:bottom w:w="100" w:type="dxa"/>
              <w:right w:w="100" w:type="dxa"/>
            </w:tcMar>
          </w:tcPr>
          <w:p w14:paraId="053BCF40" w14:textId="77777777" w:rsidR="000403BF" w:rsidRDefault="000403BF" w:rsidP="000403BF">
            <w:pPr>
              <w:widowControl w:val="0"/>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1C188546" w14:textId="77777777" w:rsidTr="000403BF">
        <w:tc>
          <w:tcPr>
            <w:tcW w:w="2960" w:type="dxa"/>
            <w:shd w:val="clear" w:color="auto" w:fill="auto"/>
            <w:tcMar>
              <w:top w:w="100" w:type="dxa"/>
              <w:left w:w="100" w:type="dxa"/>
              <w:bottom w:w="100" w:type="dxa"/>
              <w:right w:w="100" w:type="dxa"/>
            </w:tcMar>
          </w:tcPr>
          <w:p w14:paraId="773C8C46"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AHP - Occupational Therapists</w:t>
            </w:r>
          </w:p>
        </w:tc>
        <w:tc>
          <w:tcPr>
            <w:tcW w:w="1080" w:type="dxa"/>
            <w:shd w:val="clear" w:color="auto" w:fill="auto"/>
            <w:tcMar>
              <w:top w:w="100" w:type="dxa"/>
              <w:left w:w="100" w:type="dxa"/>
              <w:bottom w:w="100" w:type="dxa"/>
              <w:right w:w="100" w:type="dxa"/>
            </w:tcMar>
          </w:tcPr>
          <w:p w14:paraId="68DE421A"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25</w:t>
            </w:r>
          </w:p>
        </w:tc>
        <w:tc>
          <w:tcPr>
            <w:tcW w:w="1080" w:type="dxa"/>
            <w:shd w:val="clear" w:color="auto" w:fill="auto"/>
            <w:tcMar>
              <w:top w:w="100" w:type="dxa"/>
              <w:left w:w="100" w:type="dxa"/>
              <w:bottom w:w="100" w:type="dxa"/>
              <w:right w:w="100" w:type="dxa"/>
            </w:tcMar>
          </w:tcPr>
          <w:p w14:paraId="319AD635"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34</w:t>
            </w:r>
          </w:p>
        </w:tc>
      </w:tr>
      <w:tr w:rsidR="000403BF" w14:paraId="0C7FBB38" w14:textId="77777777" w:rsidTr="000403BF">
        <w:tc>
          <w:tcPr>
            <w:tcW w:w="2960" w:type="dxa"/>
            <w:shd w:val="clear" w:color="auto" w:fill="auto"/>
            <w:tcMar>
              <w:top w:w="100" w:type="dxa"/>
              <w:left w:w="100" w:type="dxa"/>
              <w:bottom w:w="100" w:type="dxa"/>
              <w:right w:w="100" w:type="dxa"/>
            </w:tcMar>
          </w:tcPr>
          <w:p w14:paraId="73BD95FC"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AHP - Operating Department Practitioners</w:t>
            </w:r>
          </w:p>
        </w:tc>
        <w:tc>
          <w:tcPr>
            <w:tcW w:w="1080" w:type="dxa"/>
            <w:shd w:val="clear" w:color="auto" w:fill="auto"/>
            <w:tcMar>
              <w:top w:w="100" w:type="dxa"/>
              <w:left w:w="100" w:type="dxa"/>
              <w:bottom w:w="100" w:type="dxa"/>
              <w:right w:w="100" w:type="dxa"/>
            </w:tcMar>
          </w:tcPr>
          <w:p w14:paraId="4B2FD04B"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80" w:type="dxa"/>
            <w:shd w:val="clear" w:color="auto" w:fill="auto"/>
            <w:tcMar>
              <w:top w:w="100" w:type="dxa"/>
              <w:left w:w="100" w:type="dxa"/>
              <w:bottom w:w="100" w:type="dxa"/>
              <w:right w:w="100" w:type="dxa"/>
            </w:tcMar>
          </w:tcPr>
          <w:p w14:paraId="0456AEE2"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2</w:t>
            </w:r>
          </w:p>
        </w:tc>
      </w:tr>
      <w:tr w:rsidR="000403BF" w14:paraId="14C7FAA5" w14:textId="77777777" w:rsidTr="000403BF">
        <w:tc>
          <w:tcPr>
            <w:tcW w:w="2960" w:type="dxa"/>
            <w:shd w:val="clear" w:color="auto" w:fill="auto"/>
            <w:tcMar>
              <w:top w:w="100" w:type="dxa"/>
              <w:left w:w="100" w:type="dxa"/>
              <w:bottom w:w="100" w:type="dxa"/>
              <w:right w:w="100" w:type="dxa"/>
            </w:tcMar>
          </w:tcPr>
          <w:p w14:paraId="1B3DFFC7"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Orthoptists </w:t>
            </w:r>
          </w:p>
        </w:tc>
        <w:tc>
          <w:tcPr>
            <w:tcW w:w="1080" w:type="dxa"/>
            <w:shd w:val="clear" w:color="auto" w:fill="auto"/>
            <w:tcMar>
              <w:top w:w="100" w:type="dxa"/>
              <w:left w:w="100" w:type="dxa"/>
              <w:bottom w:w="100" w:type="dxa"/>
              <w:right w:w="100" w:type="dxa"/>
            </w:tcMar>
          </w:tcPr>
          <w:p w14:paraId="348A441E"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c>
          <w:tcPr>
            <w:tcW w:w="1080" w:type="dxa"/>
            <w:shd w:val="clear" w:color="auto" w:fill="auto"/>
            <w:tcMar>
              <w:top w:w="100" w:type="dxa"/>
              <w:left w:w="100" w:type="dxa"/>
              <w:bottom w:w="100" w:type="dxa"/>
              <w:right w:w="100" w:type="dxa"/>
            </w:tcMar>
          </w:tcPr>
          <w:p w14:paraId="37641009"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35600BDD" w14:textId="77777777" w:rsidTr="000403BF">
        <w:tc>
          <w:tcPr>
            <w:tcW w:w="2960" w:type="dxa"/>
            <w:shd w:val="clear" w:color="auto" w:fill="auto"/>
            <w:tcMar>
              <w:top w:w="100" w:type="dxa"/>
              <w:left w:w="100" w:type="dxa"/>
              <w:bottom w:w="100" w:type="dxa"/>
              <w:right w:w="100" w:type="dxa"/>
            </w:tcMar>
          </w:tcPr>
          <w:p w14:paraId="56E74975"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Osteopaths </w:t>
            </w:r>
          </w:p>
        </w:tc>
        <w:tc>
          <w:tcPr>
            <w:tcW w:w="1080" w:type="dxa"/>
            <w:shd w:val="clear" w:color="auto" w:fill="auto"/>
            <w:tcMar>
              <w:top w:w="100" w:type="dxa"/>
              <w:left w:w="100" w:type="dxa"/>
              <w:bottom w:w="100" w:type="dxa"/>
              <w:right w:w="100" w:type="dxa"/>
            </w:tcMar>
          </w:tcPr>
          <w:p w14:paraId="01F9EC38"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c>
          <w:tcPr>
            <w:tcW w:w="1080" w:type="dxa"/>
            <w:shd w:val="clear" w:color="auto" w:fill="auto"/>
            <w:tcMar>
              <w:top w:w="100" w:type="dxa"/>
              <w:left w:w="100" w:type="dxa"/>
              <w:bottom w:w="100" w:type="dxa"/>
              <w:right w:w="100" w:type="dxa"/>
            </w:tcMar>
          </w:tcPr>
          <w:p w14:paraId="6BE7C43B"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71FF6854" w14:textId="77777777" w:rsidTr="000403BF">
        <w:tc>
          <w:tcPr>
            <w:tcW w:w="2960" w:type="dxa"/>
            <w:shd w:val="clear" w:color="auto" w:fill="auto"/>
            <w:tcMar>
              <w:top w:w="100" w:type="dxa"/>
              <w:left w:w="100" w:type="dxa"/>
              <w:bottom w:w="100" w:type="dxa"/>
              <w:right w:w="100" w:type="dxa"/>
            </w:tcMar>
          </w:tcPr>
          <w:p w14:paraId="40B3F494"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Paramedics </w:t>
            </w:r>
          </w:p>
        </w:tc>
        <w:tc>
          <w:tcPr>
            <w:tcW w:w="1080" w:type="dxa"/>
            <w:shd w:val="clear" w:color="auto" w:fill="auto"/>
            <w:tcMar>
              <w:top w:w="100" w:type="dxa"/>
              <w:left w:w="100" w:type="dxa"/>
              <w:bottom w:w="100" w:type="dxa"/>
              <w:right w:w="100" w:type="dxa"/>
            </w:tcMar>
          </w:tcPr>
          <w:p w14:paraId="52BA9CB1"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5</w:t>
            </w:r>
          </w:p>
        </w:tc>
        <w:tc>
          <w:tcPr>
            <w:tcW w:w="1080" w:type="dxa"/>
            <w:shd w:val="clear" w:color="auto" w:fill="auto"/>
            <w:tcMar>
              <w:top w:w="100" w:type="dxa"/>
              <w:left w:w="100" w:type="dxa"/>
              <w:bottom w:w="100" w:type="dxa"/>
              <w:right w:w="100" w:type="dxa"/>
            </w:tcMar>
          </w:tcPr>
          <w:p w14:paraId="5C1A24B7"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3</w:t>
            </w:r>
          </w:p>
        </w:tc>
      </w:tr>
      <w:tr w:rsidR="000403BF" w14:paraId="582AA568" w14:textId="77777777" w:rsidTr="000403BF">
        <w:tc>
          <w:tcPr>
            <w:tcW w:w="2960" w:type="dxa"/>
            <w:shd w:val="clear" w:color="auto" w:fill="auto"/>
            <w:tcMar>
              <w:top w:w="100" w:type="dxa"/>
              <w:left w:w="100" w:type="dxa"/>
              <w:bottom w:w="100" w:type="dxa"/>
              <w:right w:w="100" w:type="dxa"/>
            </w:tcMar>
          </w:tcPr>
          <w:p w14:paraId="6E525546"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Physiotherapists </w:t>
            </w:r>
          </w:p>
        </w:tc>
        <w:tc>
          <w:tcPr>
            <w:tcW w:w="1080" w:type="dxa"/>
            <w:shd w:val="clear" w:color="auto" w:fill="auto"/>
            <w:tcMar>
              <w:top w:w="100" w:type="dxa"/>
              <w:left w:w="100" w:type="dxa"/>
              <w:bottom w:w="100" w:type="dxa"/>
              <w:right w:w="100" w:type="dxa"/>
            </w:tcMar>
          </w:tcPr>
          <w:p w14:paraId="679E5AE2"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c>
          <w:tcPr>
            <w:tcW w:w="1080" w:type="dxa"/>
            <w:shd w:val="clear" w:color="auto" w:fill="auto"/>
            <w:tcMar>
              <w:top w:w="100" w:type="dxa"/>
              <w:left w:w="100" w:type="dxa"/>
              <w:bottom w:w="100" w:type="dxa"/>
              <w:right w:w="100" w:type="dxa"/>
            </w:tcMar>
          </w:tcPr>
          <w:p w14:paraId="41118511"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1</w:t>
            </w:r>
          </w:p>
        </w:tc>
      </w:tr>
      <w:tr w:rsidR="000403BF" w14:paraId="77B66110" w14:textId="77777777" w:rsidTr="000403BF">
        <w:tc>
          <w:tcPr>
            <w:tcW w:w="2960" w:type="dxa"/>
            <w:shd w:val="clear" w:color="auto" w:fill="auto"/>
            <w:tcMar>
              <w:top w:w="100" w:type="dxa"/>
              <w:left w:w="100" w:type="dxa"/>
              <w:bottom w:w="100" w:type="dxa"/>
              <w:right w:w="100" w:type="dxa"/>
            </w:tcMar>
          </w:tcPr>
          <w:p w14:paraId="77186483"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AHP - Prosthetists and Orthotists </w:t>
            </w:r>
          </w:p>
        </w:tc>
        <w:tc>
          <w:tcPr>
            <w:tcW w:w="1080" w:type="dxa"/>
            <w:shd w:val="clear" w:color="auto" w:fill="auto"/>
            <w:tcMar>
              <w:top w:w="100" w:type="dxa"/>
              <w:left w:w="100" w:type="dxa"/>
              <w:bottom w:w="100" w:type="dxa"/>
              <w:right w:w="100" w:type="dxa"/>
            </w:tcMar>
          </w:tcPr>
          <w:p w14:paraId="7DD4FEB5"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c>
          <w:tcPr>
            <w:tcW w:w="1080" w:type="dxa"/>
            <w:shd w:val="clear" w:color="auto" w:fill="auto"/>
            <w:tcMar>
              <w:top w:w="100" w:type="dxa"/>
              <w:left w:w="100" w:type="dxa"/>
              <w:bottom w:w="100" w:type="dxa"/>
              <w:right w:w="100" w:type="dxa"/>
            </w:tcMar>
          </w:tcPr>
          <w:p w14:paraId="6F3C4F2D"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337062BA" w14:textId="77777777" w:rsidTr="000403BF">
        <w:tc>
          <w:tcPr>
            <w:tcW w:w="2960" w:type="dxa"/>
            <w:shd w:val="clear" w:color="auto" w:fill="auto"/>
            <w:tcMar>
              <w:top w:w="100" w:type="dxa"/>
              <w:left w:w="100" w:type="dxa"/>
              <w:bottom w:w="100" w:type="dxa"/>
              <w:right w:w="100" w:type="dxa"/>
            </w:tcMar>
          </w:tcPr>
          <w:p w14:paraId="2AB69C6C"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AHP - Radiographers</w:t>
            </w:r>
          </w:p>
        </w:tc>
        <w:tc>
          <w:tcPr>
            <w:tcW w:w="1080" w:type="dxa"/>
            <w:shd w:val="clear" w:color="auto" w:fill="auto"/>
            <w:tcMar>
              <w:top w:w="100" w:type="dxa"/>
              <w:left w:w="100" w:type="dxa"/>
              <w:bottom w:w="100" w:type="dxa"/>
              <w:right w:w="100" w:type="dxa"/>
            </w:tcMar>
          </w:tcPr>
          <w:p w14:paraId="3A9BAD95"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80" w:type="dxa"/>
            <w:shd w:val="clear" w:color="auto" w:fill="auto"/>
            <w:tcMar>
              <w:top w:w="100" w:type="dxa"/>
              <w:left w:w="100" w:type="dxa"/>
              <w:bottom w:w="100" w:type="dxa"/>
              <w:right w:w="100" w:type="dxa"/>
            </w:tcMar>
          </w:tcPr>
          <w:p w14:paraId="015EF883"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0</w:t>
            </w:r>
          </w:p>
        </w:tc>
      </w:tr>
      <w:tr w:rsidR="000403BF" w14:paraId="2A27E5C1" w14:textId="77777777" w:rsidTr="000403BF">
        <w:tc>
          <w:tcPr>
            <w:tcW w:w="2960" w:type="dxa"/>
            <w:shd w:val="clear" w:color="auto" w:fill="auto"/>
            <w:tcMar>
              <w:top w:w="100" w:type="dxa"/>
              <w:left w:w="100" w:type="dxa"/>
              <w:bottom w:w="100" w:type="dxa"/>
              <w:right w:w="100" w:type="dxa"/>
            </w:tcMar>
          </w:tcPr>
          <w:p w14:paraId="798848B1"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AHP - Speech and Language Therapists</w:t>
            </w:r>
          </w:p>
        </w:tc>
        <w:tc>
          <w:tcPr>
            <w:tcW w:w="1080" w:type="dxa"/>
            <w:shd w:val="clear" w:color="auto" w:fill="auto"/>
            <w:tcMar>
              <w:top w:w="100" w:type="dxa"/>
              <w:left w:w="100" w:type="dxa"/>
              <w:bottom w:w="100" w:type="dxa"/>
              <w:right w:w="100" w:type="dxa"/>
            </w:tcMar>
          </w:tcPr>
          <w:p w14:paraId="7C59B2CF"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11</w:t>
            </w:r>
          </w:p>
        </w:tc>
        <w:tc>
          <w:tcPr>
            <w:tcW w:w="1080" w:type="dxa"/>
            <w:shd w:val="clear" w:color="auto" w:fill="auto"/>
            <w:tcMar>
              <w:top w:w="100" w:type="dxa"/>
              <w:left w:w="100" w:type="dxa"/>
              <w:bottom w:w="100" w:type="dxa"/>
              <w:right w:w="100" w:type="dxa"/>
            </w:tcMar>
          </w:tcPr>
          <w:p w14:paraId="182DA537"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5</w:t>
            </w:r>
          </w:p>
        </w:tc>
      </w:tr>
      <w:tr w:rsidR="000403BF" w14:paraId="3BC64774" w14:textId="77777777" w:rsidTr="000403BF">
        <w:tc>
          <w:tcPr>
            <w:tcW w:w="2960" w:type="dxa"/>
            <w:shd w:val="clear" w:color="auto" w:fill="auto"/>
            <w:tcMar>
              <w:top w:w="100" w:type="dxa"/>
              <w:left w:w="100" w:type="dxa"/>
              <w:bottom w:w="100" w:type="dxa"/>
              <w:right w:w="100" w:type="dxa"/>
            </w:tcMar>
          </w:tcPr>
          <w:p w14:paraId="57A5EE7C"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Other - Medicine </w:t>
            </w:r>
          </w:p>
        </w:tc>
        <w:tc>
          <w:tcPr>
            <w:tcW w:w="1080" w:type="dxa"/>
            <w:shd w:val="clear" w:color="auto" w:fill="auto"/>
            <w:tcMar>
              <w:top w:w="100" w:type="dxa"/>
              <w:left w:w="100" w:type="dxa"/>
              <w:bottom w:w="100" w:type="dxa"/>
              <w:right w:w="100" w:type="dxa"/>
            </w:tcMar>
          </w:tcPr>
          <w:p w14:paraId="13BAEEEE"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80" w:type="dxa"/>
            <w:shd w:val="clear" w:color="auto" w:fill="auto"/>
            <w:tcMar>
              <w:top w:w="100" w:type="dxa"/>
              <w:left w:w="100" w:type="dxa"/>
              <w:bottom w:w="100" w:type="dxa"/>
              <w:right w:w="100" w:type="dxa"/>
            </w:tcMar>
          </w:tcPr>
          <w:p w14:paraId="056CD8D0"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1</w:t>
            </w:r>
          </w:p>
        </w:tc>
      </w:tr>
      <w:tr w:rsidR="000403BF" w14:paraId="2DD7671D" w14:textId="77777777" w:rsidTr="000403BF">
        <w:tc>
          <w:tcPr>
            <w:tcW w:w="2960" w:type="dxa"/>
            <w:shd w:val="clear" w:color="auto" w:fill="auto"/>
            <w:tcMar>
              <w:top w:w="100" w:type="dxa"/>
              <w:left w:w="100" w:type="dxa"/>
              <w:bottom w:w="100" w:type="dxa"/>
              <w:right w:w="100" w:type="dxa"/>
            </w:tcMar>
          </w:tcPr>
          <w:p w14:paraId="40B00734"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Other - Nursing &amp; Midwifery </w:t>
            </w:r>
          </w:p>
        </w:tc>
        <w:tc>
          <w:tcPr>
            <w:tcW w:w="1080" w:type="dxa"/>
            <w:shd w:val="clear" w:color="auto" w:fill="auto"/>
            <w:tcMar>
              <w:top w:w="100" w:type="dxa"/>
              <w:left w:w="100" w:type="dxa"/>
              <w:bottom w:w="100" w:type="dxa"/>
              <w:right w:w="100" w:type="dxa"/>
            </w:tcMar>
          </w:tcPr>
          <w:p w14:paraId="3C113C78"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7</w:t>
            </w:r>
          </w:p>
        </w:tc>
        <w:tc>
          <w:tcPr>
            <w:tcW w:w="1080" w:type="dxa"/>
            <w:shd w:val="clear" w:color="auto" w:fill="auto"/>
            <w:tcMar>
              <w:top w:w="100" w:type="dxa"/>
              <w:left w:w="100" w:type="dxa"/>
              <w:bottom w:w="100" w:type="dxa"/>
              <w:right w:w="100" w:type="dxa"/>
            </w:tcMar>
          </w:tcPr>
          <w:p w14:paraId="7C49949E"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5</w:t>
            </w:r>
          </w:p>
        </w:tc>
      </w:tr>
      <w:tr w:rsidR="000403BF" w14:paraId="0F838BF9" w14:textId="77777777" w:rsidTr="000403BF">
        <w:tc>
          <w:tcPr>
            <w:tcW w:w="2960" w:type="dxa"/>
            <w:shd w:val="clear" w:color="auto" w:fill="auto"/>
            <w:tcMar>
              <w:top w:w="100" w:type="dxa"/>
              <w:left w:w="100" w:type="dxa"/>
              <w:bottom w:w="100" w:type="dxa"/>
              <w:right w:w="100" w:type="dxa"/>
            </w:tcMar>
          </w:tcPr>
          <w:p w14:paraId="3B9B84CC"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Other - Pharmacy </w:t>
            </w:r>
          </w:p>
        </w:tc>
        <w:tc>
          <w:tcPr>
            <w:tcW w:w="1080" w:type="dxa"/>
            <w:shd w:val="clear" w:color="auto" w:fill="auto"/>
            <w:tcMar>
              <w:top w:w="100" w:type="dxa"/>
              <w:left w:w="100" w:type="dxa"/>
              <w:bottom w:w="100" w:type="dxa"/>
              <w:right w:w="100" w:type="dxa"/>
            </w:tcMar>
          </w:tcPr>
          <w:p w14:paraId="584267F7"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2</w:t>
            </w:r>
          </w:p>
        </w:tc>
        <w:tc>
          <w:tcPr>
            <w:tcW w:w="1080" w:type="dxa"/>
            <w:shd w:val="clear" w:color="auto" w:fill="auto"/>
            <w:tcMar>
              <w:top w:w="100" w:type="dxa"/>
              <w:left w:w="100" w:type="dxa"/>
              <w:bottom w:w="100" w:type="dxa"/>
              <w:right w:w="100" w:type="dxa"/>
            </w:tcMar>
          </w:tcPr>
          <w:p w14:paraId="069B511D"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2</w:t>
            </w:r>
          </w:p>
        </w:tc>
      </w:tr>
      <w:tr w:rsidR="000403BF" w14:paraId="272F2781" w14:textId="77777777" w:rsidTr="000403BF">
        <w:tc>
          <w:tcPr>
            <w:tcW w:w="2960" w:type="dxa"/>
            <w:shd w:val="clear" w:color="auto" w:fill="auto"/>
            <w:tcMar>
              <w:top w:w="100" w:type="dxa"/>
              <w:left w:w="100" w:type="dxa"/>
              <w:bottom w:w="100" w:type="dxa"/>
              <w:right w:w="100" w:type="dxa"/>
            </w:tcMar>
          </w:tcPr>
          <w:p w14:paraId="449D790B"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Other - Other </w:t>
            </w:r>
          </w:p>
        </w:tc>
        <w:tc>
          <w:tcPr>
            <w:tcW w:w="1080" w:type="dxa"/>
            <w:shd w:val="clear" w:color="auto" w:fill="auto"/>
            <w:tcMar>
              <w:top w:w="100" w:type="dxa"/>
              <w:left w:w="100" w:type="dxa"/>
              <w:bottom w:w="100" w:type="dxa"/>
              <w:right w:w="100" w:type="dxa"/>
            </w:tcMar>
          </w:tcPr>
          <w:p w14:paraId="68396D91"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3</w:t>
            </w:r>
          </w:p>
        </w:tc>
        <w:tc>
          <w:tcPr>
            <w:tcW w:w="1080" w:type="dxa"/>
            <w:shd w:val="clear" w:color="auto" w:fill="auto"/>
            <w:tcMar>
              <w:top w:w="100" w:type="dxa"/>
              <w:left w:w="100" w:type="dxa"/>
              <w:bottom w:w="100" w:type="dxa"/>
              <w:right w:w="100" w:type="dxa"/>
            </w:tcMar>
          </w:tcPr>
          <w:p w14:paraId="7E2D33F5" w14:textId="77777777" w:rsidR="000403BF" w:rsidRDefault="000403BF" w:rsidP="00800120">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2</w:t>
            </w:r>
          </w:p>
        </w:tc>
      </w:tr>
    </w:tbl>
    <w:p w14:paraId="4D8F4322" w14:textId="20F3D87B" w:rsidR="000403BF" w:rsidRDefault="001E28A1"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2798835A">
          <v:rect id="_x0000_i1037" alt="" style="width:468pt;height:.75pt;mso-width-percent:0;mso-height-percent:0;mso-width-percent:0;mso-height-percent:0" o:hrstd="t" o:hr="t" fillcolor="#a0a0a0" stroked="f"/>
        </w:pict>
      </w:r>
    </w:p>
    <w:p w14:paraId="0E9A43E1" w14:textId="25CF9673" w:rsidR="00C30E66" w:rsidRDefault="000403BF"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Sixty (</w:t>
      </w:r>
      <w:r w:rsidR="00000000">
        <w:rPr>
          <w:rFonts w:ascii="Arial Narrow" w:eastAsia="Arial Narrow" w:hAnsi="Arial Narrow" w:cs="Arial Narrow"/>
          <w:sz w:val="20"/>
          <w:szCs w:val="20"/>
        </w:rPr>
        <w:t>60</w:t>
      </w:r>
      <w:r>
        <w:rPr>
          <w:rFonts w:ascii="Arial Narrow" w:eastAsia="Arial Narrow" w:hAnsi="Arial Narrow" w:cs="Arial Narrow"/>
          <w:sz w:val="20"/>
          <w:szCs w:val="20"/>
        </w:rPr>
        <w:t>)</w:t>
      </w:r>
      <w:r w:rsidR="00000000">
        <w:rPr>
          <w:rFonts w:ascii="Arial Narrow" w:eastAsia="Arial Narrow" w:hAnsi="Arial Narrow" w:cs="Arial Narrow"/>
          <w:sz w:val="20"/>
          <w:szCs w:val="20"/>
        </w:rPr>
        <w:t xml:space="preserve"> post-session responses were received, with 57% from occupational therapy students, and the remainder from other AHP or wider professional backgrounds (Table 3). 27 (44%) and 13 (21%) were Bachelor of Science (BSc) or </w:t>
      </w:r>
      <w:r w:rsidR="006949D0">
        <w:rPr>
          <w:rFonts w:ascii="Arial Narrow" w:eastAsia="Arial Narrow" w:hAnsi="Arial Narrow" w:cs="Arial Narrow"/>
          <w:sz w:val="20"/>
          <w:szCs w:val="20"/>
        </w:rPr>
        <w:t>Master of Science</w:t>
      </w:r>
      <w:r w:rsidR="00000000">
        <w:rPr>
          <w:rFonts w:ascii="Arial Narrow" w:eastAsia="Arial Narrow" w:hAnsi="Arial Narrow" w:cs="Arial Narrow"/>
          <w:sz w:val="20"/>
          <w:szCs w:val="20"/>
        </w:rPr>
        <w:t xml:space="preserve"> (MSc) students respectively, again spread evenly through their first, second and subsequent years of training. Overall, ten out of 14 of the different AHP disciplines were represented by activity participants (Table 3).</w:t>
      </w:r>
    </w:p>
    <w:p w14:paraId="4F2AD206" w14:textId="77777777" w:rsidR="00C30E66" w:rsidRDefault="00C30E66" w:rsidP="00777858">
      <w:pPr>
        <w:spacing w:line="240" w:lineRule="auto"/>
        <w:rPr>
          <w:rFonts w:ascii="Arial Narrow" w:eastAsia="Arial Narrow" w:hAnsi="Arial Narrow" w:cs="Arial Narrow"/>
          <w:sz w:val="20"/>
          <w:szCs w:val="20"/>
        </w:rPr>
      </w:pPr>
    </w:p>
    <w:p w14:paraId="38C80E5E" w14:textId="113C560F" w:rsidR="00C30E66" w:rsidRDefault="00000000"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Table 4 compares pre- and post-session responses to questions regarding awareness, understanding and confidence using social prescribing. Participants on average gained an increased understanding, </w:t>
      </w:r>
      <w:proofErr w:type="gramStart"/>
      <w:r>
        <w:rPr>
          <w:rFonts w:ascii="Arial Narrow" w:eastAsia="Arial Narrow" w:hAnsi="Arial Narrow" w:cs="Arial Narrow"/>
          <w:sz w:val="20"/>
          <w:szCs w:val="20"/>
        </w:rPr>
        <w:t>awareness</w:t>
      </w:r>
      <w:proofErr w:type="gramEnd"/>
      <w:r>
        <w:rPr>
          <w:rFonts w:ascii="Arial Narrow" w:eastAsia="Arial Narrow" w:hAnsi="Arial Narrow" w:cs="Arial Narrow"/>
          <w:sz w:val="20"/>
          <w:szCs w:val="20"/>
        </w:rPr>
        <w:t xml:space="preserve"> and confidence with using social prescribing after the activities, and ratings of which were also more consistent between participants post-teaching.</w:t>
      </w:r>
    </w:p>
    <w:p w14:paraId="6DDBEBFC" w14:textId="706FA22A" w:rsidR="00C30E66" w:rsidRDefault="001E28A1"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1F789818">
          <v:rect id="_x0000_i1040" alt="" style="width:468pt;height:.75pt;mso-width-percent:0;mso-height-percent:0;mso-width-percent:0;mso-height-percent:0" o:hrstd="t" o:hr="t" fillcolor="#a0a0a0" stroked="f"/>
        </w:pict>
      </w:r>
    </w:p>
    <w:p w14:paraId="58484E3C" w14:textId="77777777" w:rsidR="00590D46" w:rsidRDefault="00590D46" w:rsidP="00590D46">
      <w:pPr>
        <w:spacing w:line="240" w:lineRule="auto"/>
        <w:rPr>
          <w:rFonts w:ascii="Arial Narrow" w:eastAsia="Arial Narrow" w:hAnsi="Arial Narrow" w:cs="Arial Narrow"/>
          <w:sz w:val="20"/>
          <w:szCs w:val="20"/>
        </w:rPr>
      </w:pPr>
      <w:r w:rsidRPr="00590D46">
        <w:rPr>
          <w:rFonts w:ascii="Arial Narrow" w:eastAsia="Arial Narrow" w:hAnsi="Arial Narrow" w:cs="Arial Narrow"/>
          <w:b/>
          <w:bCs/>
          <w:sz w:val="20"/>
          <w:szCs w:val="20"/>
        </w:rPr>
        <w:t>Table 4.</w:t>
      </w:r>
      <w:r>
        <w:rPr>
          <w:rFonts w:ascii="Arial Narrow" w:eastAsia="Arial Narrow" w:hAnsi="Arial Narrow" w:cs="Arial Narrow"/>
          <w:sz w:val="20"/>
          <w:szCs w:val="20"/>
        </w:rPr>
        <w:t xml:space="preserve"> Comparison of pre- and post- activity scores for Likert scale questions where 1 represented low/negative responses and 5 represented high/positive responses.</w:t>
      </w:r>
    </w:p>
    <w:tbl>
      <w:tblPr>
        <w:tblStyle w:val="af7"/>
        <w:tblW w:w="89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2"/>
        <w:gridCol w:w="3005"/>
        <w:gridCol w:w="3006"/>
      </w:tblGrid>
      <w:tr w:rsidR="00590D46" w14:paraId="3964D064" w14:textId="77777777" w:rsidTr="00FC2107">
        <w:trPr>
          <w:tblHeader/>
        </w:trPr>
        <w:tc>
          <w:tcPr>
            <w:tcW w:w="2902" w:type="dxa"/>
            <w:shd w:val="clear" w:color="auto" w:fill="DBE5F1" w:themeFill="accent1" w:themeFillTint="33"/>
          </w:tcPr>
          <w:p w14:paraId="586F514B" w14:textId="77777777" w:rsidR="00590D46" w:rsidRDefault="00590D46"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Question </w:t>
            </w:r>
          </w:p>
        </w:tc>
        <w:tc>
          <w:tcPr>
            <w:tcW w:w="3005" w:type="dxa"/>
            <w:shd w:val="clear" w:color="auto" w:fill="DBE5F1" w:themeFill="accent1" w:themeFillTint="33"/>
          </w:tcPr>
          <w:p w14:paraId="418E92FF" w14:textId="77777777" w:rsidR="00590D46" w:rsidRDefault="00590D46"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Pre-session Mean Score (</w:t>
            </w:r>
            <w:r>
              <w:rPr>
                <w:rFonts w:ascii="Arial Narrow" w:eastAsia="Arial Narrow" w:hAnsi="Arial Narrow" w:cs="Arial Narrow"/>
                <w:sz w:val="20"/>
                <w:szCs w:val="20"/>
                <w:highlight w:val="white"/>
              </w:rPr>
              <w:t>±</w:t>
            </w:r>
            <w:r>
              <w:rPr>
                <w:rFonts w:ascii="Arial Narrow" w:eastAsia="Arial Narrow" w:hAnsi="Arial Narrow" w:cs="Arial Narrow"/>
                <w:sz w:val="20"/>
                <w:szCs w:val="20"/>
              </w:rPr>
              <w:t>Standard Deviation)</w:t>
            </w:r>
          </w:p>
        </w:tc>
        <w:tc>
          <w:tcPr>
            <w:tcW w:w="3006" w:type="dxa"/>
            <w:shd w:val="clear" w:color="auto" w:fill="DBE5F1" w:themeFill="accent1" w:themeFillTint="33"/>
          </w:tcPr>
          <w:p w14:paraId="15AA17EE" w14:textId="77777777" w:rsidR="00590D46" w:rsidRDefault="00590D46"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Post-session Mean Score (Standard Deviation) </w:t>
            </w:r>
          </w:p>
        </w:tc>
      </w:tr>
      <w:tr w:rsidR="00590D46" w14:paraId="32A4ECE0" w14:textId="77777777" w:rsidTr="00590D46">
        <w:tc>
          <w:tcPr>
            <w:tcW w:w="2902" w:type="dxa"/>
          </w:tcPr>
          <w:p w14:paraId="6B9B5861" w14:textId="77777777" w:rsidR="00590D46" w:rsidRDefault="00590D46"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Awareness of SP </w:t>
            </w:r>
          </w:p>
        </w:tc>
        <w:tc>
          <w:tcPr>
            <w:tcW w:w="3005" w:type="dxa"/>
          </w:tcPr>
          <w:p w14:paraId="419A6917"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2.9(</w:t>
            </w:r>
            <w:r>
              <w:rPr>
                <w:rFonts w:ascii="Arial Narrow" w:eastAsia="Arial Narrow" w:hAnsi="Arial Narrow" w:cs="Arial Narrow"/>
                <w:sz w:val="20"/>
                <w:szCs w:val="20"/>
                <w:highlight w:val="white"/>
              </w:rPr>
              <w:t>±1.3)</w:t>
            </w:r>
          </w:p>
        </w:tc>
        <w:tc>
          <w:tcPr>
            <w:tcW w:w="3006" w:type="dxa"/>
          </w:tcPr>
          <w:p w14:paraId="5BBE67E7"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3.7(</w:t>
            </w:r>
            <w:r>
              <w:rPr>
                <w:rFonts w:ascii="Arial Narrow" w:eastAsia="Arial Narrow" w:hAnsi="Arial Narrow" w:cs="Arial Narrow"/>
                <w:sz w:val="20"/>
                <w:szCs w:val="20"/>
                <w:highlight w:val="white"/>
              </w:rPr>
              <w:t>±0.6)</w:t>
            </w:r>
          </w:p>
        </w:tc>
      </w:tr>
      <w:tr w:rsidR="00590D46" w14:paraId="383F0FF9" w14:textId="77777777" w:rsidTr="00590D46">
        <w:tc>
          <w:tcPr>
            <w:tcW w:w="2902" w:type="dxa"/>
          </w:tcPr>
          <w:p w14:paraId="7C200CB0" w14:textId="77777777" w:rsidR="00590D46" w:rsidRDefault="00590D46"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Understanding of SP </w:t>
            </w:r>
          </w:p>
        </w:tc>
        <w:tc>
          <w:tcPr>
            <w:tcW w:w="3005" w:type="dxa"/>
          </w:tcPr>
          <w:p w14:paraId="7493A86E" w14:textId="26AC21C1"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2.4(</w:t>
            </w:r>
            <w:r>
              <w:rPr>
                <w:rFonts w:ascii="Arial Narrow" w:eastAsia="Arial Narrow" w:hAnsi="Arial Narrow" w:cs="Arial Narrow"/>
                <w:sz w:val="20"/>
                <w:szCs w:val="20"/>
                <w:highlight w:val="white"/>
              </w:rPr>
              <w:t>±1.0)</w:t>
            </w:r>
          </w:p>
        </w:tc>
        <w:tc>
          <w:tcPr>
            <w:tcW w:w="3006" w:type="dxa"/>
          </w:tcPr>
          <w:p w14:paraId="5FB184C3"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4.5(</w:t>
            </w:r>
            <w:r>
              <w:rPr>
                <w:rFonts w:ascii="Arial Narrow" w:eastAsia="Arial Narrow" w:hAnsi="Arial Narrow" w:cs="Arial Narrow"/>
                <w:sz w:val="20"/>
                <w:szCs w:val="20"/>
                <w:highlight w:val="white"/>
              </w:rPr>
              <w:t>±0.5)</w:t>
            </w:r>
          </w:p>
        </w:tc>
      </w:tr>
      <w:tr w:rsidR="00590D46" w14:paraId="1A211683" w14:textId="77777777" w:rsidTr="00590D46">
        <w:tc>
          <w:tcPr>
            <w:tcW w:w="2902" w:type="dxa"/>
          </w:tcPr>
          <w:p w14:paraId="665482D8" w14:textId="77777777" w:rsidR="00590D46" w:rsidRDefault="00590D46" w:rsidP="00800120">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Confidence of SP </w:t>
            </w:r>
          </w:p>
        </w:tc>
        <w:tc>
          <w:tcPr>
            <w:tcW w:w="3005" w:type="dxa"/>
          </w:tcPr>
          <w:p w14:paraId="532C8BEF"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2.1 (</w:t>
            </w:r>
            <w:r>
              <w:rPr>
                <w:rFonts w:ascii="Arial Narrow" w:eastAsia="Arial Narrow" w:hAnsi="Arial Narrow" w:cs="Arial Narrow"/>
                <w:sz w:val="20"/>
                <w:szCs w:val="20"/>
                <w:highlight w:val="white"/>
              </w:rPr>
              <w:t>±1.0)</w:t>
            </w:r>
          </w:p>
        </w:tc>
        <w:tc>
          <w:tcPr>
            <w:tcW w:w="3006" w:type="dxa"/>
          </w:tcPr>
          <w:p w14:paraId="6F012624"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4.0(</w:t>
            </w:r>
            <w:r>
              <w:rPr>
                <w:rFonts w:ascii="Arial Narrow" w:eastAsia="Arial Narrow" w:hAnsi="Arial Narrow" w:cs="Arial Narrow"/>
                <w:sz w:val="20"/>
                <w:szCs w:val="20"/>
                <w:highlight w:val="white"/>
              </w:rPr>
              <w:t>±0.7)</w:t>
            </w:r>
          </w:p>
        </w:tc>
      </w:tr>
      <w:tr w:rsidR="00590D46" w14:paraId="03604242" w14:textId="77777777" w:rsidTr="002A511A">
        <w:trPr>
          <w:trHeight w:val="700"/>
        </w:trPr>
        <w:tc>
          <w:tcPr>
            <w:tcW w:w="2902" w:type="dxa"/>
          </w:tcPr>
          <w:p w14:paraId="1DDE0243" w14:textId="031E38E0" w:rsidR="00590D46" w:rsidRDefault="00590D46" w:rsidP="00FC2107">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lastRenderedPageBreak/>
              <w:t>Opportunity for interaction with other AHP and medical students at activities.</w:t>
            </w:r>
          </w:p>
        </w:tc>
        <w:tc>
          <w:tcPr>
            <w:tcW w:w="3005" w:type="dxa"/>
          </w:tcPr>
          <w:p w14:paraId="69099809"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3006" w:type="dxa"/>
          </w:tcPr>
          <w:p w14:paraId="301A7DFE" w14:textId="34979DF0"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3.9(</w:t>
            </w:r>
            <w:r>
              <w:rPr>
                <w:rFonts w:ascii="Arial Narrow" w:eastAsia="Arial Narrow" w:hAnsi="Arial Narrow" w:cs="Arial Narrow"/>
                <w:sz w:val="20"/>
                <w:szCs w:val="20"/>
                <w:highlight w:val="white"/>
              </w:rPr>
              <w:t>±1.0)</w:t>
            </w:r>
          </w:p>
        </w:tc>
      </w:tr>
      <w:tr w:rsidR="00590D46" w14:paraId="736764E6" w14:textId="77777777" w:rsidTr="002A511A">
        <w:trPr>
          <w:trHeight w:val="561"/>
        </w:trPr>
        <w:tc>
          <w:tcPr>
            <w:tcW w:w="2902" w:type="dxa"/>
          </w:tcPr>
          <w:p w14:paraId="4192263F" w14:textId="58B181A5" w:rsidR="00590D46" w:rsidRDefault="00590D46" w:rsidP="002A511A">
            <w:pPr>
              <w:widowControl w:val="0"/>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Overall experience of attending champion-led activities </w:t>
            </w:r>
          </w:p>
        </w:tc>
        <w:tc>
          <w:tcPr>
            <w:tcW w:w="3005" w:type="dxa"/>
          </w:tcPr>
          <w:p w14:paraId="1ED2058C" w14:textId="77777777"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3006" w:type="dxa"/>
          </w:tcPr>
          <w:p w14:paraId="7A2B8A59" w14:textId="3792DC33" w:rsidR="00590D46" w:rsidRDefault="00590D46" w:rsidP="002A511A">
            <w:pPr>
              <w:spacing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4.4(</w:t>
            </w:r>
            <w:r>
              <w:rPr>
                <w:rFonts w:ascii="Arial Narrow" w:eastAsia="Arial Narrow" w:hAnsi="Arial Narrow" w:cs="Arial Narrow"/>
                <w:sz w:val="20"/>
                <w:szCs w:val="20"/>
                <w:highlight w:val="white"/>
              </w:rPr>
              <w:t>±0.9)</w:t>
            </w:r>
          </w:p>
        </w:tc>
      </w:tr>
    </w:tbl>
    <w:p w14:paraId="4DC21678" w14:textId="5B4FB68C" w:rsidR="00590D46" w:rsidRDefault="001E28A1"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05AD101C">
          <v:rect id="_x0000_i1041" alt="" style="width:468pt;height:.75pt;mso-width-percent:0;mso-height-percent:0;mso-width-percent:0;mso-height-percent:0" o:hrstd="t" o:hr="t" fillcolor="#a0a0a0" stroked="f"/>
        </w:pict>
      </w:r>
    </w:p>
    <w:p w14:paraId="28F91976" w14:textId="0ACFB88F"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In response to the question about how they see social prescribing applying to their role once qualified, pre-session, 20 students </w:t>
      </w:r>
      <w:r w:rsidR="006949D0">
        <w:rPr>
          <w:rFonts w:ascii="Arial Narrow" w:eastAsia="Arial Narrow" w:hAnsi="Arial Narrow" w:cs="Arial Narrow"/>
          <w:sz w:val="20"/>
          <w:szCs w:val="20"/>
        </w:rPr>
        <w:t>responded that they were</w:t>
      </w:r>
      <w:r>
        <w:rPr>
          <w:rFonts w:ascii="Arial Narrow" w:eastAsia="Arial Narrow" w:hAnsi="Arial Narrow" w:cs="Arial Narrow"/>
          <w:sz w:val="20"/>
          <w:szCs w:val="20"/>
        </w:rPr>
        <w:t xml:space="preserve"> ‘not sure’. The remainder referenced signposting or general importance. Post-session, all students responded positively about its relevance and application. </w:t>
      </w:r>
    </w:p>
    <w:p w14:paraId="77528188" w14:textId="77777777" w:rsidR="00C30E66" w:rsidRDefault="00C30E66" w:rsidP="001E28A1">
      <w:pPr>
        <w:spacing w:line="240" w:lineRule="auto"/>
        <w:jc w:val="both"/>
        <w:rPr>
          <w:rFonts w:ascii="Arial Narrow" w:eastAsia="Arial Narrow" w:hAnsi="Arial Narrow" w:cs="Arial Narrow"/>
          <w:b/>
          <w:sz w:val="20"/>
          <w:szCs w:val="20"/>
        </w:rPr>
      </w:pPr>
    </w:p>
    <w:p w14:paraId="33402B0E" w14:textId="77777777" w:rsidR="00C30E66" w:rsidRDefault="00000000" w:rsidP="001E28A1">
      <w:pPr>
        <w:spacing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Participants’ Experiences of Champion-Led Activities </w:t>
      </w:r>
    </w:p>
    <w:p w14:paraId="3FC07A3F" w14:textId="4BE573E7" w:rsidR="00C30E66" w:rsidRDefault="00000000" w:rsidP="001E28A1">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Participants’ comments on their experiences of </w:t>
      </w:r>
      <w:r w:rsidR="003676DD">
        <w:rPr>
          <w:rFonts w:ascii="Arial Narrow" w:eastAsia="Arial Narrow" w:hAnsi="Arial Narrow" w:cs="Arial Narrow"/>
          <w:sz w:val="20"/>
          <w:szCs w:val="20"/>
        </w:rPr>
        <w:t>the social prescribing peer teaching</w:t>
      </w:r>
      <w:r>
        <w:rPr>
          <w:rFonts w:ascii="Arial Narrow" w:eastAsia="Arial Narrow" w:hAnsi="Arial Narrow" w:cs="Arial Narrow"/>
          <w:sz w:val="20"/>
          <w:szCs w:val="20"/>
        </w:rPr>
        <w:t xml:space="preserve"> were generally positive. Many students</w:t>
      </w:r>
      <w:r w:rsidR="00371EF1">
        <w:rPr>
          <w:rFonts w:ascii="Arial Narrow" w:eastAsia="Arial Narrow" w:hAnsi="Arial Narrow" w:cs="Arial Narrow"/>
          <w:sz w:val="20"/>
          <w:szCs w:val="20"/>
        </w:rPr>
        <w:t xml:space="preserve"> in open questions of the post-session feedback form</w:t>
      </w:r>
      <w:r>
        <w:rPr>
          <w:rFonts w:ascii="Arial Narrow" w:eastAsia="Arial Narrow" w:hAnsi="Arial Narrow" w:cs="Arial Narrow"/>
          <w:sz w:val="20"/>
          <w:szCs w:val="20"/>
        </w:rPr>
        <w:t xml:space="preserve"> </w:t>
      </w:r>
      <w:r w:rsidR="006949D0">
        <w:rPr>
          <w:rFonts w:ascii="Arial Narrow" w:eastAsia="Arial Narrow" w:hAnsi="Arial Narrow" w:cs="Arial Narrow"/>
          <w:sz w:val="20"/>
          <w:szCs w:val="20"/>
        </w:rPr>
        <w:t>thanked the</w:t>
      </w:r>
      <w:r>
        <w:rPr>
          <w:rFonts w:ascii="Arial Narrow" w:eastAsia="Arial Narrow" w:hAnsi="Arial Narrow" w:cs="Arial Narrow"/>
          <w:sz w:val="20"/>
          <w:szCs w:val="20"/>
        </w:rPr>
        <w:t xml:space="preserve"> champion for the event and reflected on the</w:t>
      </w:r>
      <w:r w:rsidR="00371EF1">
        <w:rPr>
          <w:rFonts w:ascii="Arial Narrow" w:eastAsia="Arial Narrow" w:hAnsi="Arial Narrow" w:cs="Arial Narrow"/>
          <w:sz w:val="20"/>
          <w:szCs w:val="20"/>
        </w:rPr>
        <w:t>ir activities</w:t>
      </w:r>
      <w:r>
        <w:rPr>
          <w:rFonts w:ascii="Arial Narrow" w:eastAsia="Arial Narrow" w:hAnsi="Arial Narrow" w:cs="Arial Narrow"/>
          <w:sz w:val="20"/>
          <w:szCs w:val="20"/>
        </w:rPr>
        <w:t xml:space="preserve"> as being ‘good</w:t>
      </w:r>
      <w:r w:rsidR="00DE5238">
        <w:rPr>
          <w:rFonts w:ascii="Arial Narrow" w:eastAsia="Arial Narrow" w:hAnsi="Arial Narrow" w:cs="Arial Narrow"/>
          <w:sz w:val="20"/>
          <w:szCs w:val="20"/>
        </w:rPr>
        <w:t>’</w:t>
      </w:r>
      <w:r w:rsidR="009C2FA6">
        <w:rPr>
          <w:rFonts w:ascii="Arial Narrow" w:eastAsia="Arial Narrow" w:hAnsi="Arial Narrow" w:cs="Arial Narrow"/>
          <w:sz w:val="20"/>
          <w:szCs w:val="20"/>
        </w:rPr>
        <w:t>,</w:t>
      </w:r>
      <w:r>
        <w:rPr>
          <w:rFonts w:ascii="Arial Narrow" w:eastAsia="Arial Narrow" w:hAnsi="Arial Narrow" w:cs="Arial Narrow"/>
          <w:sz w:val="20"/>
          <w:szCs w:val="20"/>
        </w:rPr>
        <w:t xml:space="preserve"> ‘really interesting</w:t>
      </w:r>
      <w:r w:rsidR="00DE5238">
        <w:rPr>
          <w:rFonts w:ascii="Arial Narrow" w:eastAsia="Arial Narrow" w:hAnsi="Arial Narrow" w:cs="Arial Narrow"/>
          <w:sz w:val="20"/>
          <w:szCs w:val="20"/>
        </w:rPr>
        <w:t>’</w:t>
      </w:r>
      <w:r w:rsidR="009C2FA6">
        <w:rPr>
          <w:rFonts w:ascii="Arial Narrow" w:eastAsia="Arial Narrow" w:hAnsi="Arial Narrow" w:cs="Arial Narrow"/>
          <w:sz w:val="20"/>
          <w:szCs w:val="20"/>
        </w:rPr>
        <w:t>,</w:t>
      </w:r>
      <w:r>
        <w:rPr>
          <w:rFonts w:ascii="Arial Narrow" w:eastAsia="Arial Narrow" w:hAnsi="Arial Narrow" w:cs="Arial Narrow"/>
          <w:sz w:val="20"/>
          <w:szCs w:val="20"/>
        </w:rPr>
        <w:t xml:space="preserve"> ‘brilliant’, ‘fantastic opportunity’, ‘very informative and useful’ </w:t>
      </w:r>
      <w:r w:rsidR="006949D0">
        <w:rPr>
          <w:rFonts w:ascii="Arial Narrow" w:eastAsia="Arial Narrow" w:hAnsi="Arial Narrow" w:cs="Arial Narrow"/>
          <w:sz w:val="20"/>
          <w:szCs w:val="20"/>
        </w:rPr>
        <w:t>and ‘</w:t>
      </w:r>
      <w:r>
        <w:rPr>
          <w:rFonts w:ascii="Arial Narrow" w:eastAsia="Arial Narrow" w:hAnsi="Arial Narrow" w:cs="Arial Narrow"/>
          <w:sz w:val="20"/>
          <w:szCs w:val="20"/>
        </w:rPr>
        <w:t>amazing’. Others highlighted the learning they gained, and some shared ideas for future development (within the scheme or wider curriculum).</w:t>
      </w:r>
    </w:p>
    <w:p w14:paraId="561EABA3" w14:textId="77777777" w:rsidR="00C30E66" w:rsidRDefault="00C30E66" w:rsidP="001E28A1">
      <w:pPr>
        <w:spacing w:line="240" w:lineRule="auto"/>
        <w:jc w:val="both"/>
        <w:rPr>
          <w:rFonts w:ascii="Arial Narrow" w:eastAsia="Arial Narrow" w:hAnsi="Arial Narrow" w:cs="Arial Narrow"/>
          <w:b/>
          <w:sz w:val="20"/>
          <w:szCs w:val="20"/>
        </w:rPr>
      </w:pPr>
    </w:p>
    <w:p w14:paraId="71AB6381" w14:textId="3C9C4354" w:rsidR="00C30E66" w:rsidRDefault="00000000" w:rsidP="001E28A1">
      <w:pPr>
        <w:spacing w:line="240" w:lineRule="auto"/>
        <w:jc w:val="both"/>
        <w:rPr>
          <w:rFonts w:ascii="Arial Narrow" w:eastAsia="Arial Narrow" w:hAnsi="Arial Narrow" w:cs="Arial Narrow"/>
          <w:sz w:val="20"/>
          <w:szCs w:val="20"/>
        </w:rPr>
      </w:pPr>
      <w:r>
        <w:rPr>
          <w:rFonts w:ascii="Arial Narrow" w:eastAsia="Arial Narrow" w:hAnsi="Arial Narrow" w:cs="Arial Narrow"/>
          <w:b/>
          <w:sz w:val="20"/>
          <w:szCs w:val="20"/>
        </w:rPr>
        <w:t>DISCUSSION</w:t>
      </w:r>
    </w:p>
    <w:p w14:paraId="57153D27" w14:textId="0B0E1B85" w:rsidR="00C30E66" w:rsidRDefault="00000000" w:rsidP="001E28A1">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Overall, the AHP branch of the SPSCS has helped improve participant knowledge and confidence in using social </w:t>
      </w:r>
      <w:r w:rsidR="009C2FA6">
        <w:rPr>
          <w:rFonts w:ascii="Arial Narrow" w:eastAsia="Arial Narrow" w:hAnsi="Arial Narrow" w:cs="Arial Narrow"/>
          <w:sz w:val="20"/>
          <w:szCs w:val="20"/>
        </w:rPr>
        <w:t>prescribing and</w:t>
      </w:r>
      <w:r>
        <w:rPr>
          <w:rFonts w:ascii="Arial Narrow" w:eastAsia="Arial Narrow" w:hAnsi="Arial Narrow" w:cs="Arial Narrow"/>
          <w:sz w:val="20"/>
          <w:szCs w:val="20"/>
        </w:rPr>
        <w:t xml:space="preserve"> may therefore benefit the wider social prescribing movement. Champions appeared to have found it feasible to run a range of education activities at their universities to provide peer</w:t>
      </w:r>
      <w:r w:rsidR="003676DD">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teaching about social prescribing. The participant feedback suggests that champion activities had effectively explained what social prescribing is and </w:t>
      </w:r>
      <w:r w:rsidR="006949D0">
        <w:rPr>
          <w:rFonts w:ascii="Arial Narrow" w:eastAsia="Arial Narrow" w:hAnsi="Arial Narrow" w:cs="Arial Narrow"/>
          <w:sz w:val="20"/>
          <w:szCs w:val="20"/>
        </w:rPr>
        <w:t>its relevance to</w:t>
      </w:r>
      <w:r>
        <w:rPr>
          <w:rFonts w:ascii="Arial Narrow" w:eastAsia="Arial Narrow" w:hAnsi="Arial Narrow" w:cs="Arial Narrow"/>
          <w:sz w:val="20"/>
          <w:szCs w:val="20"/>
        </w:rPr>
        <w:t xml:space="preserve"> their future clinical allied health roles. This expands on the findings from the evaluation of the medical student scheme by suggesting that </w:t>
      </w:r>
      <w:r w:rsidR="0081437B">
        <w:rPr>
          <w:rFonts w:ascii="Arial Narrow" w:eastAsia="Arial Narrow" w:hAnsi="Arial Narrow" w:cs="Arial Narrow"/>
          <w:sz w:val="20"/>
          <w:szCs w:val="20"/>
        </w:rPr>
        <w:t>peer</w:t>
      </w:r>
      <w:r w:rsidR="003676DD">
        <w:rPr>
          <w:rFonts w:ascii="Arial Narrow" w:eastAsia="Arial Narrow" w:hAnsi="Arial Narrow" w:cs="Arial Narrow"/>
          <w:sz w:val="20"/>
          <w:szCs w:val="20"/>
        </w:rPr>
        <w:t xml:space="preserve"> </w:t>
      </w:r>
      <w:r w:rsidR="0081437B">
        <w:rPr>
          <w:rFonts w:ascii="Arial Narrow" w:eastAsia="Arial Narrow" w:hAnsi="Arial Narrow" w:cs="Arial Narrow"/>
          <w:sz w:val="20"/>
          <w:szCs w:val="20"/>
        </w:rPr>
        <w:t xml:space="preserve">teaching about social prescribing through the </w:t>
      </w:r>
      <w:r>
        <w:rPr>
          <w:rFonts w:ascii="Arial Narrow" w:eastAsia="Arial Narrow" w:hAnsi="Arial Narrow" w:cs="Arial Narrow"/>
          <w:sz w:val="20"/>
          <w:szCs w:val="20"/>
        </w:rPr>
        <w:t>SPSCS is also impactful for students from a variety of allied health professions</w:t>
      </w:r>
      <w:r>
        <w:rPr>
          <w:rFonts w:ascii="Arial Narrow" w:eastAsia="Arial Narrow" w:hAnsi="Arial Narrow" w:cs="Arial Narrow"/>
          <w:sz w:val="20"/>
          <w:szCs w:val="20"/>
          <w:vertAlign w:val="subscript"/>
        </w:rPr>
        <w:t>6</w:t>
      </w:r>
      <w:r>
        <w:rPr>
          <w:rFonts w:ascii="Arial Narrow" w:eastAsia="Arial Narrow" w:hAnsi="Arial Narrow" w:cs="Arial Narrow"/>
          <w:sz w:val="20"/>
          <w:szCs w:val="20"/>
        </w:rPr>
        <w:t xml:space="preserve">. </w:t>
      </w:r>
    </w:p>
    <w:p w14:paraId="64D7F395" w14:textId="77777777" w:rsidR="00C30E66" w:rsidRDefault="00C30E66" w:rsidP="001E28A1">
      <w:pPr>
        <w:spacing w:line="240" w:lineRule="auto"/>
        <w:jc w:val="both"/>
        <w:rPr>
          <w:rFonts w:ascii="Arial Narrow" w:eastAsia="Arial Narrow" w:hAnsi="Arial Narrow" w:cs="Arial Narrow"/>
          <w:sz w:val="20"/>
          <w:szCs w:val="20"/>
        </w:rPr>
      </w:pPr>
    </w:p>
    <w:p w14:paraId="4BA882FB" w14:textId="25C77DA7" w:rsidR="00C30E66" w:rsidRDefault="00000000" w:rsidP="001E28A1">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Due to its non-clinical nature, social prescribing lends itself to interdisciplinary cooperation. Of the 14 AHP disciplines, nine were represented through the Champions and ten through the participants</w:t>
      </w:r>
      <w:r w:rsidR="006949D0">
        <w:rPr>
          <w:rFonts w:ascii="Arial Narrow" w:eastAsia="Arial Narrow" w:hAnsi="Arial Narrow" w:cs="Arial Narrow"/>
          <w:sz w:val="20"/>
          <w:szCs w:val="20"/>
        </w:rPr>
        <w:t>. This d</w:t>
      </w:r>
      <w:r>
        <w:rPr>
          <w:rFonts w:ascii="Arial Narrow" w:eastAsia="Arial Narrow" w:hAnsi="Arial Narrow" w:cs="Arial Narrow"/>
          <w:sz w:val="20"/>
          <w:szCs w:val="20"/>
        </w:rPr>
        <w:t>emonstrat</w:t>
      </w:r>
      <w:r w:rsidR="006949D0">
        <w:rPr>
          <w:rFonts w:ascii="Arial Narrow" w:eastAsia="Arial Narrow" w:hAnsi="Arial Narrow" w:cs="Arial Narrow"/>
          <w:sz w:val="20"/>
          <w:szCs w:val="20"/>
        </w:rPr>
        <w:t>es</w:t>
      </w:r>
      <w:r>
        <w:rPr>
          <w:rFonts w:ascii="Arial Narrow" w:eastAsia="Arial Narrow" w:hAnsi="Arial Narrow" w:cs="Arial Narrow"/>
          <w:sz w:val="20"/>
          <w:szCs w:val="20"/>
        </w:rPr>
        <w:t xml:space="preserve"> the scheme’s applicability and ability to unite a variety of </w:t>
      </w:r>
      <w:r w:rsidR="006949D0">
        <w:rPr>
          <w:rFonts w:ascii="Arial Narrow" w:eastAsia="Arial Narrow" w:hAnsi="Arial Narrow" w:cs="Arial Narrow"/>
          <w:sz w:val="20"/>
          <w:szCs w:val="20"/>
        </w:rPr>
        <w:t>disciplines</w:t>
      </w:r>
      <w:r>
        <w:rPr>
          <w:rFonts w:ascii="Arial Narrow" w:eastAsia="Arial Narrow" w:hAnsi="Arial Narrow" w:cs="Arial Narrow"/>
          <w:sz w:val="20"/>
          <w:szCs w:val="20"/>
        </w:rPr>
        <w:t>. Further benefits of the scheme from an interdisciplinary perspective have been articulated recently in published correspondence</w:t>
      </w:r>
      <w:r w:rsidR="001E28A1">
        <w:rPr>
          <w:rFonts w:ascii="Arial Narrow" w:eastAsia="Arial Narrow" w:hAnsi="Arial Narrow" w:cs="Arial Narrow"/>
          <w:sz w:val="20"/>
          <w:szCs w:val="20"/>
        </w:rPr>
        <w:t>.</w:t>
      </w:r>
      <w:r w:rsidRPr="001E28A1">
        <w:rPr>
          <w:rFonts w:ascii="Arial Narrow" w:eastAsia="Arial Narrow" w:hAnsi="Arial Narrow" w:cs="Arial Narrow"/>
          <w:sz w:val="20"/>
          <w:szCs w:val="20"/>
          <w:vertAlign w:val="superscript"/>
        </w:rPr>
        <w:t>12</w:t>
      </w:r>
      <w:r w:rsidR="00DE5238">
        <w:rPr>
          <w:rFonts w:ascii="Arial Narrow" w:eastAsia="Arial Narrow" w:hAnsi="Arial Narrow" w:cs="Arial Narrow"/>
          <w:sz w:val="20"/>
          <w:szCs w:val="20"/>
        </w:rPr>
        <w:t xml:space="preserve"> </w:t>
      </w:r>
      <w:r>
        <w:rPr>
          <w:rFonts w:ascii="Arial Narrow" w:eastAsia="Arial Narrow" w:hAnsi="Arial Narrow" w:cs="Arial Narrow"/>
          <w:sz w:val="20"/>
          <w:szCs w:val="20"/>
        </w:rPr>
        <w:t xml:space="preserve">The spread of professional backgrounds of activity </w:t>
      </w:r>
      <w:r w:rsidR="006949D0">
        <w:rPr>
          <w:rFonts w:ascii="Arial Narrow" w:eastAsia="Arial Narrow" w:hAnsi="Arial Narrow" w:cs="Arial Narrow"/>
          <w:sz w:val="20"/>
          <w:szCs w:val="20"/>
        </w:rPr>
        <w:t>participants showed</w:t>
      </w:r>
      <w:r>
        <w:rPr>
          <w:rFonts w:ascii="Arial Narrow" w:eastAsia="Arial Narrow" w:hAnsi="Arial Narrow" w:cs="Arial Narrow"/>
          <w:sz w:val="20"/>
          <w:szCs w:val="20"/>
        </w:rPr>
        <w:t xml:space="preserve"> that occupational therapists (OTs) and speech and language therapists (SLTs) students attended activities the most, suggesting a perceived relevance to their professional roles not mirrored among students from other disciplines. While </w:t>
      </w:r>
      <w:r w:rsidR="00BB7852">
        <w:rPr>
          <w:rFonts w:ascii="Arial Narrow" w:eastAsia="Arial Narrow" w:hAnsi="Arial Narrow" w:cs="Arial Narrow"/>
          <w:sz w:val="20"/>
          <w:szCs w:val="20"/>
        </w:rPr>
        <w:t xml:space="preserve">core education </w:t>
      </w:r>
      <w:r>
        <w:rPr>
          <w:rFonts w:ascii="Arial Narrow" w:eastAsia="Arial Narrow" w:hAnsi="Arial Narrow" w:cs="Arial Narrow"/>
          <w:sz w:val="20"/>
          <w:szCs w:val="20"/>
        </w:rPr>
        <w:t xml:space="preserve">principles of social prescribing are </w:t>
      </w:r>
      <w:r w:rsidR="00BB7852">
        <w:rPr>
          <w:rFonts w:ascii="Arial Narrow" w:eastAsia="Arial Narrow" w:hAnsi="Arial Narrow" w:cs="Arial Narrow"/>
          <w:sz w:val="20"/>
          <w:szCs w:val="20"/>
        </w:rPr>
        <w:t>important for all professions to understand</w:t>
      </w:r>
      <w:r>
        <w:rPr>
          <w:rFonts w:ascii="Arial Narrow" w:eastAsia="Arial Narrow" w:hAnsi="Arial Narrow" w:cs="Arial Narrow"/>
          <w:sz w:val="20"/>
          <w:szCs w:val="20"/>
        </w:rPr>
        <w:t xml:space="preserve">, it may be helpful for future champions to deliver profession-specific </w:t>
      </w:r>
      <w:r w:rsidR="006949D0">
        <w:rPr>
          <w:rFonts w:ascii="Arial Narrow" w:eastAsia="Arial Narrow" w:hAnsi="Arial Narrow" w:cs="Arial Narrow"/>
          <w:sz w:val="20"/>
          <w:szCs w:val="20"/>
        </w:rPr>
        <w:t>guidance on</w:t>
      </w:r>
      <w:r>
        <w:rPr>
          <w:rFonts w:ascii="Arial Narrow" w:eastAsia="Arial Narrow" w:hAnsi="Arial Narrow" w:cs="Arial Narrow"/>
          <w:sz w:val="20"/>
          <w:szCs w:val="20"/>
        </w:rPr>
        <w:t xml:space="preserve"> social prescribing’s application within specific AHP roles, as despite the commonality of the professions within the AHP umbrella, they are far from a homogenous group. Of additional interest was that participants of activities included those from wider healthcare backgrounds than AHP and medicine, such as nursing and social work, highlighting a potential interest among these professional groups. This indicates an appetite for further expansion of the SPSCS scheme into a wider multidisciplinary movement including </w:t>
      </w:r>
      <w:r w:rsidR="006949D0">
        <w:rPr>
          <w:rFonts w:ascii="Arial Narrow" w:eastAsia="Arial Narrow" w:hAnsi="Arial Narrow" w:cs="Arial Narrow"/>
          <w:sz w:val="20"/>
          <w:szCs w:val="20"/>
        </w:rPr>
        <w:t>further professions</w:t>
      </w:r>
      <w:r>
        <w:rPr>
          <w:rFonts w:ascii="Arial Narrow" w:eastAsia="Arial Narrow" w:hAnsi="Arial Narrow" w:cs="Arial Narrow"/>
          <w:sz w:val="20"/>
          <w:szCs w:val="20"/>
        </w:rPr>
        <w:t xml:space="preserve">. </w:t>
      </w:r>
    </w:p>
    <w:p w14:paraId="1AB5A796" w14:textId="77777777" w:rsidR="00C30E66" w:rsidRDefault="00C30E66" w:rsidP="00025488">
      <w:pPr>
        <w:spacing w:line="240" w:lineRule="auto"/>
        <w:jc w:val="both"/>
        <w:rPr>
          <w:rFonts w:ascii="Arial Narrow" w:eastAsia="Arial Narrow" w:hAnsi="Arial Narrow" w:cs="Arial Narrow"/>
          <w:sz w:val="20"/>
          <w:szCs w:val="20"/>
        </w:rPr>
      </w:pPr>
    </w:p>
    <w:p w14:paraId="45EAD526" w14:textId="4DAB8BBA" w:rsidR="00C30E66" w:rsidRDefault="00000000" w:rsidP="00025488">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The AHP SPSCS has offered </w:t>
      </w:r>
      <w:proofErr w:type="gramStart"/>
      <w:r>
        <w:rPr>
          <w:rFonts w:ascii="Arial Narrow" w:eastAsia="Arial Narrow" w:hAnsi="Arial Narrow" w:cs="Arial Narrow"/>
          <w:sz w:val="20"/>
          <w:szCs w:val="20"/>
        </w:rPr>
        <w:t>a large number of</w:t>
      </w:r>
      <w:proofErr w:type="gramEnd"/>
      <w:r>
        <w:rPr>
          <w:rFonts w:ascii="Arial Narrow" w:eastAsia="Arial Narrow" w:hAnsi="Arial Narrow" w:cs="Arial Narrow"/>
          <w:sz w:val="20"/>
          <w:szCs w:val="20"/>
        </w:rPr>
        <w:t xml:space="preserve"> students an opportunity to be exposed to social prescribing during their programmes, through the varied activities delivered which included in-person events; dissemination through posters, podcasts and university faculties; and social media opportunities. This may have helped to address the challenges identified by Clifford et al. regarding how students can be helped to meaningfully support social prescribing, particularly as the limited exposure to social prescribing in university and placements settings impairs confidence using it within practice</w:t>
      </w:r>
      <w:r w:rsidR="002A1465">
        <w:rPr>
          <w:rFonts w:ascii="Arial Narrow" w:eastAsia="Arial Narrow" w:hAnsi="Arial Narrow" w:cs="Arial Narrow"/>
          <w:sz w:val="20"/>
          <w:szCs w:val="20"/>
        </w:rPr>
        <w:t>.</w:t>
      </w:r>
      <w:r w:rsidRPr="002A1465">
        <w:rPr>
          <w:rFonts w:ascii="Arial Narrow" w:eastAsia="Arial Narrow" w:hAnsi="Arial Narrow" w:cs="Arial Narrow"/>
          <w:sz w:val="20"/>
          <w:szCs w:val="20"/>
          <w:vertAlign w:val="superscript"/>
        </w:rPr>
        <w:t>13</w:t>
      </w:r>
      <w:r>
        <w:rPr>
          <w:rFonts w:ascii="Arial Narrow" w:eastAsia="Arial Narrow" w:hAnsi="Arial Narrow" w:cs="Arial Narrow"/>
          <w:sz w:val="20"/>
          <w:szCs w:val="20"/>
        </w:rPr>
        <w:t xml:space="preserve"> Other studies have found that students struggle to initiate social prescribing opportunities themselves</w:t>
      </w:r>
      <w:r w:rsidR="00025488">
        <w:rPr>
          <w:rFonts w:ascii="Arial Narrow" w:eastAsia="Arial Narrow" w:hAnsi="Arial Narrow" w:cs="Arial Narrow"/>
          <w:sz w:val="20"/>
          <w:szCs w:val="20"/>
        </w:rPr>
        <w:t>.</w:t>
      </w:r>
      <w:r w:rsidRPr="00025488">
        <w:rPr>
          <w:rFonts w:ascii="Arial Narrow" w:eastAsia="Arial Narrow" w:hAnsi="Arial Narrow" w:cs="Arial Narrow"/>
          <w:sz w:val="20"/>
          <w:szCs w:val="20"/>
          <w:vertAlign w:val="superscript"/>
        </w:rPr>
        <w:t>14</w:t>
      </w:r>
      <w:r>
        <w:rPr>
          <w:rFonts w:ascii="Arial Narrow" w:eastAsia="Arial Narrow" w:hAnsi="Arial Narrow" w:cs="Arial Narrow"/>
          <w:sz w:val="20"/>
          <w:szCs w:val="20"/>
        </w:rPr>
        <w:t xml:space="preserve"> This further demonstrates how the structure of the AHP SPSCS </w:t>
      </w:r>
      <w:r w:rsidR="006949D0">
        <w:rPr>
          <w:rFonts w:ascii="Arial Narrow" w:eastAsia="Arial Narrow" w:hAnsi="Arial Narrow" w:cs="Arial Narrow"/>
          <w:sz w:val="20"/>
          <w:szCs w:val="20"/>
        </w:rPr>
        <w:t>can</w:t>
      </w:r>
      <w:r>
        <w:rPr>
          <w:rFonts w:ascii="Arial Narrow" w:eastAsia="Arial Narrow" w:hAnsi="Arial Narrow" w:cs="Arial Narrow"/>
          <w:sz w:val="20"/>
          <w:szCs w:val="20"/>
        </w:rPr>
        <w:t xml:space="preserve"> actively promote and support social prescribing education for students. </w:t>
      </w:r>
    </w:p>
    <w:p w14:paraId="4669A74F" w14:textId="77777777" w:rsidR="001E28A1" w:rsidRDefault="001E28A1" w:rsidP="00025488">
      <w:pPr>
        <w:spacing w:line="240" w:lineRule="auto"/>
        <w:jc w:val="both"/>
        <w:rPr>
          <w:rFonts w:ascii="Arial Narrow" w:eastAsia="Arial Narrow" w:hAnsi="Arial Narrow" w:cs="Arial Narrow"/>
          <w:sz w:val="20"/>
          <w:szCs w:val="20"/>
        </w:rPr>
      </w:pPr>
    </w:p>
    <w:p w14:paraId="5E68E72B" w14:textId="594E3598" w:rsidR="00C30E66" w:rsidRDefault="00000000" w:rsidP="00025488">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Given the prominence of social prescribing within the healthcare landscape and specifically within primary care through link workers in Primary Care Networks, it is widely recognised as a key part of any professional's role</w:t>
      </w:r>
      <w:r w:rsidR="002A1465">
        <w:rPr>
          <w:rFonts w:ascii="Arial Narrow" w:eastAsia="Arial Narrow" w:hAnsi="Arial Narrow" w:cs="Arial Narrow"/>
          <w:sz w:val="20"/>
          <w:szCs w:val="20"/>
        </w:rPr>
        <w:t>.</w:t>
      </w:r>
      <w:r w:rsidRPr="002A1465">
        <w:rPr>
          <w:rFonts w:ascii="Arial Narrow" w:eastAsia="Arial Narrow" w:hAnsi="Arial Narrow" w:cs="Arial Narrow"/>
          <w:sz w:val="20"/>
          <w:szCs w:val="20"/>
          <w:vertAlign w:val="superscript"/>
        </w:rPr>
        <w:t>1,9</w:t>
      </w:r>
      <w:r>
        <w:rPr>
          <w:rFonts w:ascii="Arial Narrow" w:eastAsia="Arial Narrow" w:hAnsi="Arial Narrow" w:cs="Arial Narrow"/>
          <w:sz w:val="20"/>
          <w:szCs w:val="20"/>
        </w:rPr>
        <w:t xml:space="preserve"> The opportunities for students to become familiar and confident with integrating social prescribing into their clinical practice is therefore likely to be vital to prepare them for the modern workforce. The findings of this evaluation and previous research therefore indicate that SPSCS can be a valuable part of the infrastructure for pre-registration AHP students, as well as being a valuable part of the social prescribing jigsaw generally, an area that is receiving increased prominence within health and social care</w:t>
      </w:r>
      <w:r w:rsidR="00025488">
        <w:rPr>
          <w:rFonts w:ascii="Arial Narrow" w:eastAsia="Arial Narrow" w:hAnsi="Arial Narrow" w:cs="Arial Narrow"/>
          <w:sz w:val="20"/>
          <w:szCs w:val="20"/>
        </w:rPr>
        <w:t>.</w:t>
      </w:r>
      <w:r w:rsidRPr="00025488">
        <w:rPr>
          <w:rFonts w:ascii="Arial Narrow" w:eastAsia="Arial Narrow" w:hAnsi="Arial Narrow" w:cs="Arial Narrow"/>
          <w:sz w:val="20"/>
          <w:szCs w:val="20"/>
          <w:vertAlign w:val="superscript"/>
        </w:rPr>
        <w:t>8,</w:t>
      </w:r>
      <w:proofErr w:type="gramStart"/>
      <w:r w:rsidRPr="00025488">
        <w:rPr>
          <w:rFonts w:ascii="Arial Narrow" w:eastAsia="Arial Narrow" w:hAnsi="Arial Narrow" w:cs="Arial Narrow"/>
          <w:sz w:val="20"/>
          <w:szCs w:val="20"/>
          <w:vertAlign w:val="superscript"/>
        </w:rPr>
        <w:t>9</w:t>
      </w:r>
      <w:proofErr w:type="gramEnd"/>
    </w:p>
    <w:p w14:paraId="134D9E5F" w14:textId="77777777" w:rsidR="00C30E66" w:rsidRDefault="00000000" w:rsidP="00A059EC">
      <w:pPr>
        <w:spacing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lastRenderedPageBreak/>
        <w:t>Limitations</w:t>
      </w:r>
    </w:p>
    <w:p w14:paraId="23C17097" w14:textId="2449FD7C" w:rsidR="00C30E66" w:rsidRDefault="00000000"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Due to the self-selecting style of responses to the surveys, the sample was small. However, there was a range of perspectives among the respondents, from </w:t>
      </w:r>
      <w:proofErr w:type="gramStart"/>
      <w:r>
        <w:rPr>
          <w:rFonts w:ascii="Arial Narrow" w:eastAsia="Arial Narrow" w:hAnsi="Arial Narrow" w:cs="Arial Narrow"/>
          <w:sz w:val="20"/>
          <w:szCs w:val="20"/>
        </w:rPr>
        <w:t>a number of</w:t>
      </w:r>
      <w:proofErr w:type="gramEnd"/>
      <w:r>
        <w:rPr>
          <w:rFonts w:ascii="Arial Narrow" w:eastAsia="Arial Narrow" w:hAnsi="Arial Narrow" w:cs="Arial Narrow"/>
          <w:sz w:val="20"/>
          <w:szCs w:val="20"/>
        </w:rPr>
        <w:t xml:space="preserve"> professional backgrounds and universities, suggesting it was sufficient to capture a variety </w:t>
      </w:r>
      <w:r w:rsidR="006949D0">
        <w:rPr>
          <w:rFonts w:ascii="Arial Narrow" w:eastAsia="Arial Narrow" w:hAnsi="Arial Narrow" w:cs="Arial Narrow"/>
          <w:sz w:val="20"/>
          <w:szCs w:val="20"/>
        </w:rPr>
        <w:t>of experiences</w:t>
      </w:r>
      <w:r>
        <w:rPr>
          <w:rFonts w:ascii="Arial Narrow" w:eastAsia="Arial Narrow" w:hAnsi="Arial Narrow" w:cs="Arial Narrow"/>
          <w:sz w:val="20"/>
          <w:szCs w:val="20"/>
        </w:rPr>
        <w:t xml:space="preserve">. The proportion of champions actively engaging with the scheme was also lower than hoped. Improving champion </w:t>
      </w:r>
      <w:r w:rsidR="006949D0">
        <w:rPr>
          <w:rFonts w:ascii="Arial Narrow" w:eastAsia="Arial Narrow" w:hAnsi="Arial Narrow" w:cs="Arial Narrow"/>
          <w:sz w:val="20"/>
          <w:szCs w:val="20"/>
        </w:rPr>
        <w:t>engagement is</w:t>
      </w:r>
      <w:r>
        <w:rPr>
          <w:rFonts w:ascii="Arial Narrow" w:eastAsia="Arial Narrow" w:hAnsi="Arial Narrow" w:cs="Arial Narrow"/>
          <w:sz w:val="20"/>
          <w:szCs w:val="20"/>
        </w:rPr>
        <w:t xml:space="preserve"> a key aim for developing SPSCS, and improvement points raised by champions within evaluations not published here can assist with this.</w:t>
      </w:r>
    </w:p>
    <w:p w14:paraId="4F090EAC" w14:textId="77777777" w:rsidR="00C30E66" w:rsidRDefault="00C30E66" w:rsidP="00A059EC">
      <w:pPr>
        <w:spacing w:line="240" w:lineRule="auto"/>
        <w:jc w:val="both"/>
        <w:rPr>
          <w:rFonts w:ascii="Arial Narrow" w:eastAsia="Arial Narrow" w:hAnsi="Arial Narrow" w:cs="Arial Narrow"/>
          <w:sz w:val="20"/>
          <w:szCs w:val="20"/>
        </w:rPr>
      </w:pPr>
    </w:p>
    <w:p w14:paraId="2984B0B5" w14:textId="2EBFBC27" w:rsidR="00C30E66" w:rsidRDefault="00000000"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The lack of paired evaluation data meant the detection of individual participant level changes in pre- and post- session results was limited. Further, participants were not asked to name their champion or activity specifically in the session evaluation forms,</w:t>
      </w:r>
      <w:r w:rsidR="00BB7852">
        <w:rPr>
          <w:rFonts w:ascii="Arial Narrow" w:eastAsia="Arial Narrow" w:hAnsi="Arial Narrow" w:cs="Arial Narrow"/>
          <w:sz w:val="20"/>
          <w:szCs w:val="20"/>
        </w:rPr>
        <w:t xml:space="preserve"> nor was exhaustive information collected from champions about the educational content of their activities. Therefore,</w:t>
      </w:r>
      <w:r>
        <w:rPr>
          <w:rFonts w:ascii="Arial Narrow" w:eastAsia="Arial Narrow" w:hAnsi="Arial Narrow" w:cs="Arial Narrow"/>
          <w:sz w:val="20"/>
          <w:szCs w:val="20"/>
        </w:rPr>
        <w:t xml:space="preserve"> it was not possible to correlate how a champion’s AHP discipline or chosen activity type</w:t>
      </w:r>
      <w:r w:rsidR="00BB7852">
        <w:rPr>
          <w:rFonts w:ascii="Arial Narrow" w:eastAsia="Arial Narrow" w:hAnsi="Arial Narrow" w:cs="Arial Narrow"/>
          <w:sz w:val="20"/>
          <w:szCs w:val="20"/>
        </w:rPr>
        <w:t xml:space="preserve"> and structure</w:t>
      </w:r>
      <w:r>
        <w:rPr>
          <w:rFonts w:ascii="Arial Narrow" w:eastAsia="Arial Narrow" w:hAnsi="Arial Narrow" w:cs="Arial Narrow"/>
          <w:sz w:val="20"/>
          <w:szCs w:val="20"/>
        </w:rPr>
        <w:t xml:space="preserve"> related to participant outcomes. This evaluation process has prompted reflection regarding how data collection forms could be updated to include fields collecting this data </w:t>
      </w:r>
      <w:proofErr w:type="gramStart"/>
      <w:r>
        <w:rPr>
          <w:rFonts w:ascii="Arial Narrow" w:eastAsia="Arial Narrow" w:hAnsi="Arial Narrow" w:cs="Arial Narrow"/>
          <w:sz w:val="20"/>
          <w:szCs w:val="20"/>
        </w:rPr>
        <w:t>in order to</w:t>
      </w:r>
      <w:proofErr w:type="gramEnd"/>
      <w:r>
        <w:rPr>
          <w:rFonts w:ascii="Arial Narrow" w:eastAsia="Arial Narrow" w:hAnsi="Arial Narrow" w:cs="Arial Narrow"/>
          <w:sz w:val="20"/>
          <w:szCs w:val="20"/>
        </w:rPr>
        <w:t xml:space="preserve"> enable more insightful analysis in further work. </w:t>
      </w:r>
    </w:p>
    <w:p w14:paraId="627BC986" w14:textId="77777777" w:rsidR="00C30E66" w:rsidRDefault="00C30E66" w:rsidP="00A059EC">
      <w:pPr>
        <w:spacing w:line="240" w:lineRule="auto"/>
        <w:jc w:val="both"/>
        <w:rPr>
          <w:rFonts w:ascii="Arial Narrow" w:eastAsia="Arial Narrow" w:hAnsi="Arial Narrow" w:cs="Arial Narrow"/>
          <w:sz w:val="20"/>
          <w:szCs w:val="20"/>
        </w:rPr>
      </w:pPr>
    </w:p>
    <w:p w14:paraId="41EEF53E" w14:textId="0D5DB15C" w:rsidR="00C30E66" w:rsidRDefault="00000000"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In future years, consideration will be given to the appropriateness of collecting more detailed demographic data to ensure the scheme is accessible and reaching a wider range of students from </w:t>
      </w:r>
      <w:r w:rsidR="009C2FA6">
        <w:rPr>
          <w:rFonts w:ascii="Arial Narrow" w:eastAsia="Arial Narrow" w:hAnsi="Arial Narrow" w:cs="Arial Narrow"/>
          <w:sz w:val="20"/>
          <w:szCs w:val="20"/>
        </w:rPr>
        <w:t>diverse backgrounds</w:t>
      </w:r>
      <w:r>
        <w:rPr>
          <w:rFonts w:ascii="Arial Narrow" w:eastAsia="Arial Narrow" w:hAnsi="Arial Narrow" w:cs="Arial Narrow"/>
          <w:sz w:val="20"/>
          <w:szCs w:val="20"/>
        </w:rPr>
        <w:t xml:space="preserve">. The outcomes for participants and champions across both the AHP and medical cohort could be combined and compared for future years as well. However, given it was the first year of the AHP scheme, it felt important to focus on the unique AHP learning needs in this context. </w:t>
      </w:r>
    </w:p>
    <w:p w14:paraId="07432404" w14:textId="77777777" w:rsidR="00C30E66" w:rsidRDefault="00C30E66" w:rsidP="00A059EC">
      <w:pPr>
        <w:spacing w:line="240" w:lineRule="auto"/>
        <w:jc w:val="both"/>
        <w:rPr>
          <w:rFonts w:ascii="Arial Narrow" w:eastAsia="Arial Narrow" w:hAnsi="Arial Narrow" w:cs="Arial Narrow"/>
          <w:sz w:val="20"/>
          <w:szCs w:val="20"/>
        </w:rPr>
      </w:pPr>
    </w:p>
    <w:p w14:paraId="5585DA50" w14:textId="2A5C4887" w:rsidR="006949D0" w:rsidRDefault="00000000" w:rsidP="00A059EC">
      <w:pPr>
        <w:spacing w:line="240" w:lineRule="auto"/>
        <w:jc w:val="both"/>
        <w:rPr>
          <w:rFonts w:ascii="Arial Narrow" w:eastAsia="Arial Narrow" w:hAnsi="Arial Narrow" w:cs="Arial Narrow"/>
          <w:b/>
          <w:sz w:val="20"/>
          <w:szCs w:val="20"/>
        </w:rPr>
      </w:pPr>
      <w:r>
        <w:rPr>
          <w:rFonts w:ascii="Arial Narrow" w:eastAsia="Arial Narrow" w:hAnsi="Arial Narrow" w:cs="Arial Narrow"/>
          <w:b/>
          <w:sz w:val="20"/>
          <w:szCs w:val="20"/>
        </w:rPr>
        <w:t>CONCLUSION</w:t>
      </w:r>
    </w:p>
    <w:p w14:paraId="0C9219DD" w14:textId="48B51E42" w:rsidR="00C30E66" w:rsidRPr="006949D0" w:rsidRDefault="00000000" w:rsidP="00A059EC">
      <w:pPr>
        <w:spacing w:line="240" w:lineRule="auto"/>
        <w:jc w:val="both"/>
        <w:rPr>
          <w:rFonts w:ascii="Arial Narrow" w:eastAsia="Arial Narrow" w:hAnsi="Arial Narrow" w:cs="Arial Narrow"/>
          <w:b/>
          <w:sz w:val="20"/>
          <w:szCs w:val="20"/>
        </w:rPr>
      </w:pPr>
      <w:r>
        <w:rPr>
          <w:rFonts w:ascii="Arial Narrow" w:eastAsia="Arial Narrow" w:hAnsi="Arial Narrow" w:cs="Arial Narrow"/>
          <w:sz w:val="20"/>
          <w:szCs w:val="20"/>
        </w:rPr>
        <w:t>The potential for a peer</w:t>
      </w:r>
      <w:r w:rsidR="003676DD">
        <w:rPr>
          <w:rFonts w:ascii="Arial Narrow" w:eastAsia="Arial Narrow" w:hAnsi="Arial Narrow" w:cs="Arial Narrow"/>
          <w:sz w:val="20"/>
          <w:szCs w:val="20"/>
        </w:rPr>
        <w:t xml:space="preserve"> </w:t>
      </w:r>
      <w:r>
        <w:rPr>
          <w:rFonts w:ascii="Arial Narrow" w:eastAsia="Arial Narrow" w:hAnsi="Arial Narrow" w:cs="Arial Narrow"/>
          <w:sz w:val="20"/>
          <w:szCs w:val="20"/>
        </w:rPr>
        <w:t>learning scheme led by AHP students to positively impact participants' understanding, confidence and awareness of social prescribing has been evidenced. Additionally, evaluation of participants' experiences has demonstrated the valuable multidisciplinary aspects of the SPSCS and its contribution more broadly to the social prescribing movement</w:t>
      </w:r>
      <w:r w:rsidR="00DE5238">
        <w:rPr>
          <w:rFonts w:ascii="Arial Narrow" w:eastAsia="Arial Narrow" w:hAnsi="Arial Narrow" w:cs="Arial Narrow"/>
          <w:sz w:val="20"/>
          <w:szCs w:val="20"/>
        </w:rPr>
        <w:t xml:space="preserve">. </w:t>
      </w:r>
    </w:p>
    <w:p w14:paraId="5BF6FAC4" w14:textId="77777777" w:rsidR="00C30E66" w:rsidRDefault="00C30E66" w:rsidP="00A059EC">
      <w:pPr>
        <w:spacing w:line="240" w:lineRule="auto"/>
        <w:jc w:val="both"/>
        <w:rPr>
          <w:rFonts w:ascii="Arial Narrow" w:eastAsia="Arial Narrow" w:hAnsi="Arial Narrow" w:cs="Arial Narrow"/>
          <w:sz w:val="20"/>
          <w:szCs w:val="20"/>
        </w:rPr>
      </w:pPr>
    </w:p>
    <w:p w14:paraId="354FC750" w14:textId="11825627" w:rsidR="00373FB6" w:rsidRPr="00332814" w:rsidRDefault="00000000"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This evaluation has also informed future developments of the scheme, specifically the need for ongoing evaluation and methodological considerations for this, and scope and interest for involvement of students from wider healthcare professional backgrounds to extend the valuable multidisciplinary opportunities afforded within the scheme</w:t>
      </w:r>
      <w:r w:rsidR="00DE5238">
        <w:rPr>
          <w:rFonts w:ascii="Arial Narrow" w:eastAsia="Arial Narrow" w:hAnsi="Arial Narrow" w:cs="Arial Narrow"/>
          <w:sz w:val="20"/>
          <w:szCs w:val="20"/>
        </w:rPr>
        <w:t xml:space="preserve">. </w:t>
      </w:r>
    </w:p>
    <w:p w14:paraId="5A908EBB" w14:textId="03541690" w:rsidR="00373FB6" w:rsidRDefault="00332814" w:rsidP="00A059EC">
      <w:pPr>
        <w:spacing w:line="240" w:lineRule="auto"/>
        <w:jc w:val="both"/>
        <w:rPr>
          <w:rFonts w:ascii="Arial Narrow" w:eastAsia="Arial Narrow" w:hAnsi="Arial Narrow" w:cs="Arial Narrow"/>
          <w:b/>
          <w:sz w:val="20"/>
          <w:szCs w:val="20"/>
        </w:rPr>
      </w:pPr>
      <w:r>
        <w:rPr>
          <w:rFonts w:ascii="Arial Narrow" w:eastAsia="Calibri" w:hAnsi="Arial Narrow"/>
          <w:noProof/>
          <w:szCs w:val="20"/>
          <w:lang w:val="en-CA"/>
        </w:rPr>
        <w:pict w14:anchorId="692D20E6">
          <v:rect id="_x0000_i1044" alt="" style="width:468pt;height:.75pt;mso-width-percent:0;mso-height-percent:0;mso-width-percent:0;mso-height-percent:0" o:hrstd="t" o:hr="t" fillcolor="#a0a0a0" stroked="f"/>
        </w:pict>
      </w:r>
    </w:p>
    <w:p w14:paraId="50FB23C9" w14:textId="509E0E1F" w:rsidR="00C30E66" w:rsidRDefault="00000000" w:rsidP="00777858">
      <w:pPr>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Declaration of Interest</w:t>
      </w:r>
    </w:p>
    <w:p w14:paraId="4D98BB8C" w14:textId="77777777" w:rsidR="00C30E66" w:rsidRDefault="00000000" w:rsidP="00A059EC">
      <w:pPr>
        <w:spacing w:line="240" w:lineRule="auto"/>
        <w:jc w:val="both"/>
        <w:rPr>
          <w:rFonts w:ascii="Arial Narrow" w:eastAsia="Arial Narrow" w:hAnsi="Arial Narrow" w:cs="Arial Narrow"/>
          <w:sz w:val="20"/>
          <w:szCs w:val="20"/>
        </w:rPr>
      </w:pPr>
      <w:r>
        <w:rPr>
          <w:rFonts w:ascii="Arial Narrow" w:eastAsia="Arial Narrow" w:hAnsi="Arial Narrow" w:cs="Arial Narrow"/>
          <w:sz w:val="20"/>
          <w:szCs w:val="20"/>
        </w:rPr>
        <w:t xml:space="preserve">The authors all received small honorary studentships from the National Academy for Social Prescribing (NASP) and both authors were involved in the scheme during 2021-22. </w:t>
      </w:r>
    </w:p>
    <w:p w14:paraId="7C4382BD" w14:textId="6E5BEC84" w:rsidR="00C30E66" w:rsidRDefault="00332814"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39543401">
          <v:rect id="_x0000_i1043" alt="" style="width:468pt;height:.75pt;mso-width-percent:0;mso-height-percent:0;mso-width-percent:0;mso-height-percent:0" o:hrstd="t" o:hr="t" fillcolor="#a0a0a0" stroked="f"/>
        </w:pict>
      </w:r>
    </w:p>
    <w:p w14:paraId="44FB82F9"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b/>
          <w:sz w:val="20"/>
          <w:szCs w:val="20"/>
        </w:rPr>
        <w:t xml:space="preserve">REFERENCES </w:t>
      </w:r>
    </w:p>
    <w:p w14:paraId="7FDC5D19" w14:textId="77777777" w:rsidR="00C30E66" w:rsidRDefault="00C30E66" w:rsidP="00777858">
      <w:pPr>
        <w:shd w:val="clear" w:color="auto" w:fill="FFFFFF"/>
        <w:spacing w:line="240" w:lineRule="auto"/>
        <w:rPr>
          <w:rFonts w:ascii="Arial Narrow" w:eastAsia="Arial Narrow" w:hAnsi="Arial Narrow" w:cs="Arial Narrow"/>
          <w:color w:val="333333"/>
          <w:sz w:val="20"/>
          <w:szCs w:val="20"/>
        </w:rPr>
      </w:pPr>
    </w:p>
    <w:p w14:paraId="43EC95B2" w14:textId="238CC425"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rPr>
      </w:pPr>
      <w:r>
        <w:rPr>
          <w:rFonts w:ascii="Arial Narrow" w:eastAsia="Arial Narrow" w:hAnsi="Arial Narrow" w:cs="Arial Narrow"/>
          <w:sz w:val="20"/>
          <w:szCs w:val="20"/>
          <w:highlight w:val="white"/>
        </w:rPr>
        <w:t>NHS England. Universal Personalised Care: Implementing the Comprehensive Model. London: NHS England; 2019</w:t>
      </w:r>
      <w:r w:rsidR="00DE5238">
        <w:rPr>
          <w:rFonts w:ascii="Arial Narrow" w:eastAsia="Arial Narrow" w:hAnsi="Arial Narrow" w:cs="Arial Narrow"/>
          <w:sz w:val="20"/>
          <w:szCs w:val="20"/>
          <w:highlight w:val="white"/>
        </w:rPr>
        <w:t xml:space="preserve">. </w:t>
      </w:r>
      <w:hyperlink r:id="rId11">
        <w:r>
          <w:rPr>
            <w:rFonts w:ascii="Arial Narrow" w:eastAsia="Arial Narrow" w:hAnsi="Arial Narrow" w:cs="Arial Narrow"/>
            <w:sz w:val="20"/>
            <w:szCs w:val="20"/>
            <w:highlight w:val="white"/>
            <w:u w:val="single"/>
          </w:rPr>
          <w:t>https://www.england.nhs.uk/wp-content/uploads/2019/01/universal-personalised-care.pdf</w:t>
        </w:r>
      </w:hyperlink>
      <w:r>
        <w:rPr>
          <w:rFonts w:ascii="Arial Narrow" w:eastAsia="Arial Narrow" w:hAnsi="Arial Narrow" w:cs="Arial Narrow"/>
          <w:sz w:val="20"/>
          <w:szCs w:val="20"/>
          <w:highlight w:val="white"/>
        </w:rPr>
        <w:t xml:space="preserve"> </w:t>
      </w:r>
    </w:p>
    <w:p w14:paraId="6637B331" w14:textId="77777777" w:rsidR="00C30E66" w:rsidRDefault="00000000" w:rsidP="00777858">
      <w:pPr>
        <w:numPr>
          <w:ilvl w:val="0"/>
          <w:numId w:val="1"/>
        </w:numPr>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Polley, M.J. et al. (2017) Making Sense of Social Prescribing. Technical report. London: University of Westminster. Available at: https://www.westminster.ac.uk/patient-outcomes-in-health-research-group/projects/social-prescribing-network (Accessed: 4 August 2022).</w:t>
      </w:r>
    </w:p>
    <w:p w14:paraId="01E23D5D"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Drinkwater, C., Wildman, J. and Moffatt, S. (2019) ‘Social prescribing’, BMJ (Clinical research ed.), 364, p. l1285. Available at: https://doi.org/10.1136/bmj.l1285.</w:t>
      </w:r>
    </w:p>
    <w:p w14:paraId="5F58D51A"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Chatterjee, H.J. et al. (2018) ‘</w:t>
      </w:r>
      <w:proofErr w:type="gramStart"/>
      <w:r>
        <w:rPr>
          <w:rFonts w:ascii="Arial Narrow" w:eastAsia="Arial Narrow" w:hAnsi="Arial Narrow" w:cs="Arial Narrow"/>
          <w:sz w:val="20"/>
          <w:szCs w:val="20"/>
          <w:highlight w:val="white"/>
        </w:rPr>
        <w:t>Non-clinical</w:t>
      </w:r>
      <w:proofErr w:type="gramEnd"/>
      <w:r>
        <w:rPr>
          <w:rFonts w:ascii="Arial Narrow" w:eastAsia="Arial Narrow" w:hAnsi="Arial Narrow" w:cs="Arial Narrow"/>
          <w:sz w:val="20"/>
          <w:szCs w:val="20"/>
          <w:highlight w:val="white"/>
        </w:rPr>
        <w:t xml:space="preserve"> community interventions: a systematised review of social prescribing schemes’, Arts &amp; Health, 10(2), pp. 97–123. Available at: https://doi.org/10.1080/17533015.2017.1334002.</w:t>
      </w:r>
    </w:p>
    <w:p w14:paraId="6DF428C0"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t xml:space="preserve">NHS England. The Long Term Plan. London: NHS England; 2019 </w:t>
      </w:r>
      <w:hyperlink r:id="rId12">
        <w:r>
          <w:rPr>
            <w:rFonts w:ascii="Arial Narrow" w:eastAsia="Arial Narrow" w:hAnsi="Arial Narrow" w:cs="Arial Narrow"/>
            <w:sz w:val="20"/>
            <w:szCs w:val="20"/>
            <w:highlight w:val="white"/>
            <w:u w:val="single"/>
          </w:rPr>
          <w:t>https://www.longtermplan.nhs.uk/wp-content/uploads/2019/08/nhs-long-term-plan-version-1.2.pdf</w:t>
        </w:r>
      </w:hyperlink>
      <w:r>
        <w:rPr>
          <w:rFonts w:ascii="Arial Narrow" w:eastAsia="Arial Narrow" w:hAnsi="Arial Narrow" w:cs="Arial Narrow"/>
          <w:sz w:val="20"/>
          <w:szCs w:val="20"/>
          <w:highlight w:val="white"/>
        </w:rPr>
        <w:t xml:space="preserve"> </w:t>
      </w:r>
    </w:p>
    <w:p w14:paraId="4ACC4A95"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 xml:space="preserve">Santoni C, </w:t>
      </w:r>
      <w:proofErr w:type="spellStart"/>
      <w:r>
        <w:rPr>
          <w:rFonts w:ascii="Arial Narrow" w:eastAsia="Arial Narrow" w:hAnsi="Arial Narrow" w:cs="Arial Narrow"/>
          <w:sz w:val="20"/>
          <w:szCs w:val="20"/>
        </w:rPr>
        <w:t>Chiva</w:t>
      </w:r>
      <w:proofErr w:type="spellEnd"/>
      <w:r>
        <w:rPr>
          <w:rFonts w:ascii="Arial Narrow" w:eastAsia="Arial Narrow" w:hAnsi="Arial Narrow" w:cs="Arial Narrow"/>
          <w:sz w:val="20"/>
          <w:szCs w:val="20"/>
        </w:rPr>
        <w:t xml:space="preserve"> Giurca B, Li T, et al. Evaluating student perceptions and awareness of social prescribing. Educ Prim Care. 2019;30(6):361-367. [PMID: 31581895]</w:t>
      </w:r>
    </w:p>
    <w:p w14:paraId="1A560149"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proofErr w:type="spellStart"/>
      <w:r>
        <w:rPr>
          <w:rFonts w:ascii="Arial Narrow" w:eastAsia="Arial Narrow" w:hAnsi="Arial Narrow" w:cs="Arial Narrow"/>
          <w:sz w:val="20"/>
          <w:szCs w:val="20"/>
        </w:rPr>
        <w:t>Chiva</w:t>
      </w:r>
      <w:proofErr w:type="spellEnd"/>
      <w:r>
        <w:rPr>
          <w:rFonts w:ascii="Arial Narrow" w:eastAsia="Arial Narrow" w:hAnsi="Arial Narrow" w:cs="Arial Narrow"/>
          <w:sz w:val="20"/>
          <w:szCs w:val="20"/>
        </w:rPr>
        <w:t xml:space="preserve"> Giurca B. Social prescribing student champion scheme: a novel peer-assisted-learning approach to teaching social prescribing and social determinants of health. Educ Prim Care. 2018;29(5);307-309. [PMID: 30063878]</w:t>
      </w:r>
    </w:p>
    <w:p w14:paraId="707C081C" w14:textId="19990391" w:rsidR="00C30E66" w:rsidRDefault="00000000" w:rsidP="00777858">
      <w:pPr>
        <w:numPr>
          <w:ilvl w:val="0"/>
          <w:numId w:val="1"/>
        </w:numPr>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Council of Deans of Health. Guidance: Public Health content within the pre-registration curricula for Allied Health Professions. London: Council of Deans of Health; 2021</w:t>
      </w:r>
      <w:r w:rsidR="009C2FA6">
        <w:rPr>
          <w:rFonts w:ascii="Arial Narrow" w:eastAsia="Arial Narrow" w:hAnsi="Arial Narrow" w:cs="Arial Narrow"/>
          <w:sz w:val="20"/>
          <w:szCs w:val="20"/>
        </w:rPr>
        <w:t xml:space="preserve">. </w:t>
      </w:r>
    </w:p>
    <w:p w14:paraId="61501C05" w14:textId="77777777" w:rsidR="00C30E66" w:rsidRDefault="00000000" w:rsidP="00777858">
      <w:pPr>
        <w:numPr>
          <w:ilvl w:val="0"/>
          <w:numId w:val="1"/>
        </w:numPr>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 xml:space="preserve">Royal Society for Public Health, NHS Improvement and Public Health England. Driving forward social prescribing: A framework for Allied Health Professionals. London: Royal Society for Public Health, NHS Improvement and Public Health England; 2019. </w:t>
      </w:r>
    </w:p>
    <w:p w14:paraId="594FE3C6" w14:textId="77777777" w:rsidR="00C30E66" w:rsidRDefault="00000000" w:rsidP="00777858">
      <w:pPr>
        <w:numPr>
          <w:ilvl w:val="0"/>
          <w:numId w:val="1"/>
        </w:numPr>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 xml:space="preserve">Anya de </w:t>
      </w:r>
      <w:proofErr w:type="spellStart"/>
      <w:r>
        <w:rPr>
          <w:rFonts w:ascii="Arial Narrow" w:eastAsia="Arial Narrow" w:hAnsi="Arial Narrow" w:cs="Arial Narrow"/>
          <w:sz w:val="20"/>
          <w:szCs w:val="20"/>
        </w:rPr>
        <w:t>Iongh</w:t>
      </w:r>
      <w:proofErr w:type="spellEnd"/>
      <w:r>
        <w:rPr>
          <w:rFonts w:ascii="Arial Narrow" w:eastAsia="Arial Narrow" w:hAnsi="Arial Narrow" w:cs="Arial Narrow"/>
          <w:sz w:val="20"/>
          <w:szCs w:val="20"/>
        </w:rPr>
        <w:t xml:space="preserve"> Tweet [Internet]. de </w:t>
      </w:r>
      <w:proofErr w:type="spellStart"/>
      <w:r>
        <w:rPr>
          <w:rFonts w:ascii="Arial Narrow" w:eastAsia="Arial Narrow" w:hAnsi="Arial Narrow" w:cs="Arial Narrow"/>
          <w:sz w:val="20"/>
          <w:szCs w:val="20"/>
        </w:rPr>
        <w:t>Iongh</w:t>
      </w:r>
      <w:proofErr w:type="spellEnd"/>
      <w:r>
        <w:rPr>
          <w:rFonts w:ascii="Arial Narrow" w:eastAsia="Arial Narrow" w:hAnsi="Arial Narrow" w:cs="Arial Narrow"/>
          <w:sz w:val="20"/>
          <w:szCs w:val="20"/>
        </w:rPr>
        <w:t xml:space="preserve"> A. 2020 Sept 11. Available from: </w:t>
      </w:r>
      <w:hyperlink r:id="rId13">
        <w:r>
          <w:rPr>
            <w:rFonts w:ascii="Arial Narrow" w:eastAsia="Arial Narrow" w:hAnsi="Arial Narrow" w:cs="Arial Narrow"/>
            <w:sz w:val="20"/>
            <w:szCs w:val="20"/>
            <w:highlight w:val="white"/>
            <w:u w:val="single"/>
          </w:rPr>
          <w:t>https://twitter.com/anyadei/status/1304312056183771136?s=20&amp;t=JEQUkjdwowH-o0Q-wbVGuw</w:t>
        </w:r>
      </w:hyperlink>
      <w:r>
        <w:rPr>
          <w:rFonts w:ascii="Arial Narrow" w:eastAsia="Arial Narrow" w:hAnsi="Arial Narrow" w:cs="Arial Narrow"/>
          <w:sz w:val="20"/>
          <w:szCs w:val="20"/>
          <w:highlight w:val="white"/>
        </w:rPr>
        <w:t xml:space="preserve"> </w:t>
      </w:r>
    </w:p>
    <w:p w14:paraId="68E21BB6"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highlight w:val="white"/>
        </w:rPr>
        <w:lastRenderedPageBreak/>
        <w:t>Derrick B, Dobson-</w:t>
      </w:r>
      <w:proofErr w:type="spellStart"/>
      <w:r>
        <w:rPr>
          <w:rFonts w:ascii="Arial Narrow" w:eastAsia="Arial Narrow" w:hAnsi="Arial Narrow" w:cs="Arial Narrow"/>
          <w:sz w:val="20"/>
          <w:szCs w:val="20"/>
          <w:highlight w:val="white"/>
        </w:rPr>
        <w:t>Mckittrick</w:t>
      </w:r>
      <w:proofErr w:type="spellEnd"/>
      <w:r>
        <w:rPr>
          <w:rFonts w:ascii="Arial Narrow" w:eastAsia="Arial Narrow" w:hAnsi="Arial Narrow" w:cs="Arial Narrow"/>
          <w:sz w:val="20"/>
          <w:szCs w:val="20"/>
          <w:highlight w:val="white"/>
        </w:rPr>
        <w:t xml:space="preserve"> A, Toher D, et al. Test statistics for comparing two proportions with partially overlapping samples. JAQM. 2015;10(3).</w:t>
      </w:r>
    </w:p>
    <w:p w14:paraId="454E0DD4"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 xml:space="preserve">de </w:t>
      </w:r>
      <w:proofErr w:type="spellStart"/>
      <w:r>
        <w:rPr>
          <w:rFonts w:ascii="Arial Narrow" w:eastAsia="Arial Narrow" w:hAnsi="Arial Narrow" w:cs="Arial Narrow"/>
          <w:sz w:val="20"/>
          <w:szCs w:val="20"/>
        </w:rPr>
        <w:t>Iongh</w:t>
      </w:r>
      <w:proofErr w:type="spellEnd"/>
      <w:r>
        <w:rPr>
          <w:rFonts w:ascii="Arial Narrow" w:eastAsia="Arial Narrow" w:hAnsi="Arial Narrow" w:cs="Arial Narrow"/>
          <w:sz w:val="20"/>
          <w:szCs w:val="20"/>
        </w:rPr>
        <w:t>, A. and Kirtley, D. (2023) ‘The benefits of the expansion of the Social Prescribing Student Champion Scheme into Allied Health Professionals’, Education for Primary Care, pp. 1–2. doi:10.1080/14739879.2023.2204307.</w:t>
      </w:r>
    </w:p>
    <w:p w14:paraId="5E754964"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 xml:space="preserve">Clifford R, George T, Button F. et al. Are MSc (pre-reg) Physiotherapy students likely to promote parkrun as a social form of physical activity? A pilot </w:t>
      </w:r>
      <w:proofErr w:type="gramStart"/>
      <w:r>
        <w:rPr>
          <w:rFonts w:ascii="Arial Narrow" w:eastAsia="Arial Narrow" w:hAnsi="Arial Narrow" w:cs="Arial Narrow"/>
          <w:sz w:val="20"/>
          <w:szCs w:val="20"/>
        </w:rPr>
        <w:t>study</w:t>
      </w:r>
      <w:proofErr w:type="gramEnd"/>
      <w:r>
        <w:rPr>
          <w:rFonts w:ascii="Arial Narrow" w:eastAsia="Arial Narrow" w:hAnsi="Arial Narrow" w:cs="Arial Narrow"/>
          <w:sz w:val="20"/>
          <w:szCs w:val="20"/>
        </w:rPr>
        <w:t>. Physiotherapy. 2021;113(1</w:t>
      </w:r>
      <w:proofErr w:type="gramStart"/>
      <w:r>
        <w:rPr>
          <w:rFonts w:ascii="Arial Narrow" w:eastAsia="Arial Narrow" w:hAnsi="Arial Narrow" w:cs="Arial Narrow"/>
          <w:sz w:val="20"/>
          <w:szCs w:val="20"/>
        </w:rPr>
        <w:t>):e</w:t>
      </w:r>
      <w:proofErr w:type="gramEnd"/>
      <w:r>
        <w:rPr>
          <w:rFonts w:ascii="Arial Narrow" w:eastAsia="Arial Narrow" w:hAnsi="Arial Narrow" w:cs="Arial Narrow"/>
          <w:sz w:val="20"/>
          <w:szCs w:val="20"/>
        </w:rPr>
        <w:t xml:space="preserve">81-e82. </w:t>
      </w:r>
    </w:p>
    <w:p w14:paraId="548D7730" w14:textId="77777777" w:rsidR="00C30E66" w:rsidRDefault="00000000" w:rsidP="00777858">
      <w:pPr>
        <w:numPr>
          <w:ilvl w:val="0"/>
          <w:numId w:val="1"/>
        </w:numPr>
        <w:shd w:val="clear" w:color="auto" w:fill="FFFFFF"/>
        <w:spacing w:line="240" w:lineRule="auto"/>
        <w:rPr>
          <w:rFonts w:ascii="Arial Narrow" w:eastAsia="Arial Narrow" w:hAnsi="Arial Narrow" w:cs="Arial Narrow"/>
          <w:sz w:val="20"/>
          <w:szCs w:val="20"/>
          <w:highlight w:val="white"/>
        </w:rPr>
      </w:pPr>
      <w:r>
        <w:rPr>
          <w:rFonts w:ascii="Arial Narrow" w:eastAsia="Arial Narrow" w:hAnsi="Arial Narrow" w:cs="Arial Narrow"/>
          <w:sz w:val="20"/>
          <w:szCs w:val="20"/>
        </w:rPr>
        <w:t xml:space="preserve">Ainsworth J. Exploring medical students’ early experiences of interacting with the multidisciplinary team (MDT): A qualitative study. </w:t>
      </w:r>
      <w:proofErr w:type="spellStart"/>
      <w:r>
        <w:rPr>
          <w:rFonts w:ascii="Arial Narrow" w:eastAsia="Arial Narrow" w:hAnsi="Arial Narrow" w:cs="Arial Narrow"/>
          <w:sz w:val="20"/>
          <w:szCs w:val="20"/>
        </w:rPr>
        <w:t>MedEdPublish</w:t>
      </w:r>
      <w:proofErr w:type="spellEnd"/>
      <w:r>
        <w:rPr>
          <w:rFonts w:ascii="Arial Narrow" w:eastAsia="Arial Narrow" w:hAnsi="Arial Narrow" w:cs="Arial Narrow"/>
          <w:sz w:val="20"/>
          <w:szCs w:val="20"/>
        </w:rPr>
        <w:t xml:space="preserve">. 2021;10(30). </w:t>
      </w:r>
    </w:p>
    <w:p w14:paraId="522261ED" w14:textId="4094E0A5" w:rsidR="00C30E66" w:rsidRDefault="00025488" w:rsidP="00777858">
      <w:pPr>
        <w:shd w:val="clear" w:color="auto" w:fill="FFFFFF"/>
        <w:spacing w:line="240" w:lineRule="auto"/>
        <w:rPr>
          <w:rFonts w:ascii="Arial Narrow" w:eastAsia="Arial Narrow" w:hAnsi="Arial Narrow" w:cs="Arial Narrow"/>
          <w:sz w:val="20"/>
          <w:szCs w:val="20"/>
        </w:rPr>
      </w:pPr>
      <w:r>
        <w:rPr>
          <w:rFonts w:ascii="Arial Narrow" w:eastAsia="Calibri" w:hAnsi="Arial Narrow"/>
          <w:noProof/>
          <w:szCs w:val="20"/>
          <w:lang w:val="en-CA"/>
        </w:rPr>
        <w:pict w14:anchorId="1FF62277">
          <v:rect id="_x0000_i1042" alt="" style="width:468pt;height:.75pt;mso-width-percent:0;mso-height-percent:0;mso-width-percent:0;mso-height-percent:0" o:hrstd="t" o:hr="t" fillcolor="#a0a0a0" stroked="f"/>
        </w:pict>
      </w:r>
    </w:p>
    <w:p w14:paraId="625277E6" w14:textId="2DC6A571" w:rsidR="009C2FA6" w:rsidRPr="00332814" w:rsidRDefault="00332814" w:rsidP="00332814">
      <w:pPr>
        <w:shd w:val="clear" w:color="auto" w:fill="FFFFFF"/>
        <w:spacing w:line="240" w:lineRule="auto"/>
        <w:jc w:val="center"/>
        <w:rPr>
          <w:rFonts w:ascii="Arial Narrow" w:eastAsia="Arial Narrow" w:hAnsi="Arial Narrow" w:cs="Arial Narrow"/>
          <w:b/>
          <w:bCs/>
          <w:sz w:val="20"/>
          <w:szCs w:val="20"/>
        </w:rPr>
      </w:pPr>
      <w:r w:rsidRPr="00332814">
        <w:rPr>
          <w:rFonts w:ascii="Arial Narrow" w:eastAsia="Arial Narrow" w:hAnsi="Arial Narrow" w:cs="Arial Narrow"/>
          <w:b/>
          <w:bCs/>
          <w:sz w:val="20"/>
          <w:szCs w:val="20"/>
        </w:rPr>
        <w:t>APPENDIX 1</w:t>
      </w:r>
    </w:p>
    <w:p w14:paraId="5FDE4580" w14:textId="77777777" w:rsidR="009C2FA6" w:rsidRDefault="009C2FA6" w:rsidP="00777858">
      <w:pPr>
        <w:shd w:val="clear" w:color="auto" w:fill="FFFFFF"/>
        <w:spacing w:line="240" w:lineRule="auto"/>
        <w:rPr>
          <w:rFonts w:ascii="Arial Narrow" w:eastAsia="Arial Narrow" w:hAnsi="Arial Narrow" w:cs="Arial Narrow"/>
          <w:sz w:val="20"/>
          <w:szCs w:val="20"/>
        </w:rPr>
      </w:pPr>
    </w:p>
    <w:p w14:paraId="395B9936" w14:textId="0024B655" w:rsidR="00C30E66" w:rsidRDefault="00000000" w:rsidP="00777858">
      <w:pPr>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Champion Activity Data Collection </w:t>
      </w:r>
    </w:p>
    <w:p w14:paraId="0A118E2D" w14:textId="3C04B7C0" w:rsidR="00C30E66" w:rsidRDefault="006949D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The survey was formatted within Google Forms, but covered the following fields: Name (First &amp; Last) </w:t>
      </w:r>
    </w:p>
    <w:p w14:paraId="5E881ADB" w14:textId="77777777"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AHP Profession</w:t>
      </w:r>
    </w:p>
    <w:p w14:paraId="267B1A7A" w14:textId="556703BD"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Description of your activity - for example, a talk, information stand, networking with local groups, social media event, creation of a resource for staff while on placement or anything else creative you have </w:t>
      </w:r>
      <w:r w:rsidR="006949D0">
        <w:rPr>
          <w:rFonts w:ascii="Arial Narrow" w:eastAsia="Arial Narrow" w:hAnsi="Arial Narrow" w:cs="Arial Narrow"/>
          <w:sz w:val="20"/>
          <w:szCs w:val="20"/>
        </w:rPr>
        <w:t>done.</w:t>
      </w:r>
    </w:p>
    <w:p w14:paraId="5BB388C5" w14:textId="1E926088"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Organisations involved (</w:t>
      </w:r>
      <w:r w:rsidR="006949D0">
        <w:rPr>
          <w:rFonts w:ascii="Arial Narrow" w:eastAsia="Arial Narrow" w:hAnsi="Arial Narrow" w:cs="Arial Narrow"/>
          <w:sz w:val="20"/>
          <w:szCs w:val="20"/>
        </w:rPr>
        <w:t>e.g.,</w:t>
      </w:r>
      <w:r>
        <w:rPr>
          <w:rFonts w:ascii="Arial Narrow" w:eastAsia="Arial Narrow" w:hAnsi="Arial Narrow" w:cs="Arial Narrow"/>
          <w:sz w:val="20"/>
          <w:szCs w:val="20"/>
        </w:rPr>
        <w:t xml:space="preserve"> University, Society, NHS </w:t>
      </w:r>
      <w:r w:rsidR="00DE5238">
        <w:rPr>
          <w:rFonts w:ascii="Arial Narrow" w:eastAsia="Arial Narrow" w:hAnsi="Arial Narrow" w:cs="Arial Narrow"/>
          <w:sz w:val="20"/>
          <w:szCs w:val="20"/>
        </w:rPr>
        <w:t>Trust,</w:t>
      </w:r>
      <w:r>
        <w:rPr>
          <w:rFonts w:ascii="Arial Narrow" w:eastAsia="Arial Narrow" w:hAnsi="Arial Narrow" w:cs="Arial Narrow"/>
          <w:sz w:val="20"/>
          <w:szCs w:val="20"/>
        </w:rPr>
        <w:t xml:space="preserve"> or local group)</w:t>
      </w:r>
    </w:p>
    <w:p w14:paraId="1192CE3A" w14:textId="19A31F7A"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How many students attended? (</w:t>
      </w:r>
      <w:r w:rsidR="006949D0">
        <w:rPr>
          <w:rFonts w:ascii="Arial Narrow" w:eastAsia="Arial Narrow" w:hAnsi="Arial Narrow" w:cs="Arial Narrow"/>
          <w:sz w:val="20"/>
          <w:szCs w:val="20"/>
        </w:rPr>
        <w:t>Or</w:t>
      </w:r>
      <w:r>
        <w:rPr>
          <w:rFonts w:ascii="Arial Narrow" w:eastAsia="Arial Narrow" w:hAnsi="Arial Narrow" w:cs="Arial Narrow"/>
          <w:sz w:val="20"/>
          <w:szCs w:val="20"/>
        </w:rPr>
        <w:t xml:space="preserve"> how many students did you reach?)</w:t>
      </w:r>
    </w:p>
    <w:p w14:paraId="47FE46AF" w14:textId="1E2AA081"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What professions were these students? (</w:t>
      </w:r>
      <w:r w:rsidR="006949D0">
        <w:rPr>
          <w:rFonts w:ascii="Arial Narrow" w:eastAsia="Arial Narrow" w:hAnsi="Arial Narrow" w:cs="Arial Narrow"/>
          <w:sz w:val="20"/>
          <w:szCs w:val="20"/>
        </w:rPr>
        <w:t>All</w:t>
      </w:r>
      <w:r>
        <w:rPr>
          <w:rFonts w:ascii="Arial Narrow" w:eastAsia="Arial Narrow" w:hAnsi="Arial Narrow" w:cs="Arial Narrow"/>
          <w:sz w:val="20"/>
          <w:szCs w:val="20"/>
        </w:rPr>
        <w:t xml:space="preserve"> occupational therapists for example, or 10 dieticians and 5 physios etc.) </w:t>
      </w:r>
    </w:p>
    <w:p w14:paraId="00EA8996" w14:textId="77777777"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If your session was a teaching session or talk, how long did it last? Please give time in minutes</w:t>
      </w:r>
    </w:p>
    <w:p w14:paraId="40ACE315" w14:textId="77777777" w:rsidR="00C30E66" w:rsidRDefault="00000000" w:rsidP="00777858">
      <w:pPr>
        <w:numPr>
          <w:ilvl w:val="0"/>
          <w:numId w:val="2"/>
        </w:num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Was it virtual (Zoom, Teams etc) or face to face? </w:t>
      </w:r>
    </w:p>
    <w:p w14:paraId="092B6237" w14:textId="73CA441C" w:rsidR="00C30E66" w:rsidRPr="009C2FA6" w:rsidRDefault="00000000" w:rsidP="00777858">
      <w:pPr>
        <w:numPr>
          <w:ilvl w:val="0"/>
          <w:numId w:val="2"/>
        </w:numPr>
        <w:spacing w:line="240" w:lineRule="auto"/>
        <w:rPr>
          <w:rFonts w:ascii="Arial Narrow" w:eastAsia="Arial Narrow" w:hAnsi="Arial Narrow" w:cs="Arial Narrow"/>
          <w:sz w:val="20"/>
          <w:szCs w:val="20"/>
        </w:rPr>
      </w:pPr>
      <w:r w:rsidRPr="009C2FA6">
        <w:rPr>
          <w:rFonts w:ascii="Arial Narrow" w:eastAsia="Arial Narrow" w:hAnsi="Arial Narrow" w:cs="Arial Narrow"/>
          <w:sz w:val="20"/>
          <w:szCs w:val="20"/>
        </w:rPr>
        <w:t xml:space="preserve">Anything else you’d like to tell us about the session? For example, if it was a social media event, do you have impressions or other analytics? </w:t>
      </w:r>
    </w:p>
    <w:p w14:paraId="39D2FA1F" w14:textId="5271802F" w:rsidR="00332814" w:rsidRDefault="00332814" w:rsidP="00777858">
      <w:pPr>
        <w:spacing w:line="240" w:lineRule="auto"/>
        <w:rPr>
          <w:rFonts w:ascii="Arial Narrow" w:eastAsia="Arial Narrow" w:hAnsi="Arial Narrow" w:cs="Arial Narrow"/>
          <w:b/>
          <w:sz w:val="20"/>
          <w:szCs w:val="20"/>
        </w:rPr>
      </w:pPr>
      <w:r>
        <w:rPr>
          <w:rFonts w:ascii="Arial Narrow" w:eastAsia="Calibri" w:hAnsi="Arial Narrow"/>
          <w:noProof/>
          <w:szCs w:val="20"/>
          <w:lang w:val="en-CA"/>
        </w:rPr>
        <w:pict w14:anchorId="28DD722A">
          <v:rect id="_x0000_i1045" alt="" style="width:468pt;height:.75pt;mso-width-percent:0;mso-height-percent:0;mso-width-percent:0;mso-height-percent:0" o:hrstd="t" o:hr="t" fillcolor="#a0a0a0" stroked="f"/>
        </w:pict>
      </w:r>
    </w:p>
    <w:p w14:paraId="3955BA6B" w14:textId="6AC87B6E" w:rsidR="00332814" w:rsidRDefault="0018699D" w:rsidP="0018699D">
      <w:pPr>
        <w:spacing w:line="240" w:lineRule="auto"/>
        <w:jc w:val="center"/>
        <w:rPr>
          <w:rFonts w:ascii="Arial Narrow" w:eastAsia="Arial Narrow" w:hAnsi="Arial Narrow" w:cs="Arial Narrow"/>
          <w:b/>
          <w:sz w:val="20"/>
          <w:szCs w:val="20"/>
        </w:rPr>
      </w:pPr>
      <w:r>
        <w:rPr>
          <w:rFonts w:ascii="Arial Narrow" w:eastAsia="Arial Narrow" w:hAnsi="Arial Narrow" w:cs="Arial Narrow"/>
          <w:b/>
          <w:sz w:val="20"/>
          <w:szCs w:val="20"/>
        </w:rPr>
        <w:t>APPENDIX 2</w:t>
      </w:r>
    </w:p>
    <w:p w14:paraId="1FEF49E8" w14:textId="77777777" w:rsidR="0018699D" w:rsidRDefault="0018699D" w:rsidP="00777858">
      <w:pPr>
        <w:spacing w:line="240" w:lineRule="auto"/>
        <w:rPr>
          <w:rFonts w:ascii="Arial Narrow" w:eastAsia="Arial Narrow" w:hAnsi="Arial Narrow" w:cs="Arial Narrow"/>
          <w:b/>
          <w:sz w:val="20"/>
          <w:szCs w:val="20"/>
        </w:rPr>
      </w:pPr>
    </w:p>
    <w:p w14:paraId="71A978BE" w14:textId="38A39AEB" w:rsidR="00C30E66" w:rsidRDefault="00000000" w:rsidP="00777858">
      <w:pPr>
        <w:spacing w:line="240" w:lineRule="auto"/>
        <w:rPr>
          <w:rFonts w:ascii="Arial Narrow" w:eastAsia="Arial Narrow" w:hAnsi="Arial Narrow" w:cs="Arial Narrow"/>
          <w:b/>
          <w:sz w:val="20"/>
          <w:szCs w:val="20"/>
        </w:rPr>
      </w:pPr>
      <w:r>
        <w:rPr>
          <w:rFonts w:ascii="Arial Narrow" w:eastAsia="Arial Narrow" w:hAnsi="Arial Narrow" w:cs="Arial Narrow"/>
          <w:b/>
          <w:sz w:val="20"/>
          <w:szCs w:val="20"/>
        </w:rPr>
        <w:t xml:space="preserve">Pre- and Post- </w:t>
      </w:r>
      <w:r w:rsidR="00A059EC">
        <w:rPr>
          <w:rFonts w:ascii="Arial Narrow" w:eastAsia="Arial Narrow" w:hAnsi="Arial Narrow" w:cs="Arial Narrow"/>
          <w:b/>
          <w:sz w:val="20"/>
          <w:szCs w:val="20"/>
        </w:rPr>
        <w:t>S</w:t>
      </w:r>
      <w:r>
        <w:rPr>
          <w:rFonts w:ascii="Arial Narrow" w:eastAsia="Arial Narrow" w:hAnsi="Arial Narrow" w:cs="Arial Narrow"/>
          <w:b/>
          <w:sz w:val="20"/>
          <w:szCs w:val="20"/>
        </w:rPr>
        <w:t xml:space="preserve">ession </w:t>
      </w:r>
      <w:r w:rsidR="00A059EC">
        <w:rPr>
          <w:rFonts w:ascii="Arial Narrow" w:eastAsia="Arial Narrow" w:hAnsi="Arial Narrow" w:cs="Arial Narrow"/>
          <w:b/>
          <w:sz w:val="20"/>
          <w:szCs w:val="20"/>
        </w:rPr>
        <w:t>F</w:t>
      </w:r>
      <w:r>
        <w:rPr>
          <w:rFonts w:ascii="Arial Narrow" w:eastAsia="Arial Narrow" w:hAnsi="Arial Narrow" w:cs="Arial Narrow"/>
          <w:b/>
          <w:sz w:val="20"/>
          <w:szCs w:val="20"/>
        </w:rPr>
        <w:t xml:space="preserve">orms for Participants </w:t>
      </w:r>
    </w:p>
    <w:p w14:paraId="0D8A04CB" w14:textId="5EC82AE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These</w:t>
      </w:r>
      <w:r w:rsidR="006949D0">
        <w:rPr>
          <w:rFonts w:ascii="Arial Narrow" w:eastAsia="Arial Narrow" w:hAnsi="Arial Narrow" w:cs="Arial Narrow"/>
          <w:sz w:val="20"/>
          <w:szCs w:val="20"/>
        </w:rPr>
        <w:t xml:space="preserve"> surveys</w:t>
      </w:r>
      <w:r>
        <w:rPr>
          <w:rFonts w:ascii="Arial Narrow" w:eastAsia="Arial Narrow" w:hAnsi="Arial Narrow" w:cs="Arial Narrow"/>
          <w:sz w:val="20"/>
          <w:szCs w:val="20"/>
        </w:rPr>
        <w:t xml:space="preserve"> were formatted via Google Forms, and covered the following domains: </w:t>
      </w:r>
    </w:p>
    <w:p w14:paraId="02E6854A" w14:textId="77777777" w:rsidR="00C30E66" w:rsidRDefault="00000000" w:rsidP="00777858">
      <w:pPr>
        <w:spacing w:line="240" w:lineRule="auto"/>
        <w:rPr>
          <w:rFonts w:ascii="Arial Narrow" w:eastAsia="Arial Narrow" w:hAnsi="Arial Narrow" w:cs="Arial Narrow"/>
          <w:b/>
          <w:i/>
          <w:sz w:val="20"/>
          <w:szCs w:val="20"/>
        </w:rPr>
      </w:pPr>
      <w:r>
        <w:rPr>
          <w:rFonts w:ascii="Arial Narrow" w:eastAsia="Arial Narrow" w:hAnsi="Arial Narrow" w:cs="Arial Narrow"/>
          <w:b/>
          <w:i/>
          <w:sz w:val="20"/>
          <w:szCs w:val="20"/>
        </w:rPr>
        <w:t xml:space="preserve">Pre-session </w:t>
      </w:r>
    </w:p>
    <w:p w14:paraId="60941B6F"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Which AHP profession are you studying? </w:t>
      </w:r>
      <w:r>
        <w:rPr>
          <w:rFonts w:ascii="Arial Narrow" w:eastAsia="Arial Narrow" w:hAnsi="Arial Narrow" w:cs="Arial Narrow"/>
          <w:sz w:val="20"/>
          <w:szCs w:val="20"/>
        </w:rPr>
        <w:tab/>
      </w:r>
    </w:p>
    <w:p w14:paraId="2CED49F8"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What university are you studying at? </w:t>
      </w:r>
      <w:r>
        <w:rPr>
          <w:rFonts w:ascii="Arial Narrow" w:eastAsia="Arial Narrow" w:hAnsi="Arial Narrow" w:cs="Arial Narrow"/>
          <w:sz w:val="20"/>
          <w:szCs w:val="20"/>
        </w:rPr>
        <w:tab/>
      </w:r>
    </w:p>
    <w:p w14:paraId="263B7501" w14:textId="1093B84E"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What year are you</w:t>
      </w:r>
      <w:r w:rsidR="00DE5238">
        <w:rPr>
          <w:rFonts w:ascii="Arial Narrow" w:eastAsia="Arial Narrow" w:hAnsi="Arial Narrow" w:cs="Arial Narrow"/>
          <w:sz w:val="20"/>
          <w:szCs w:val="20"/>
        </w:rPr>
        <w:t xml:space="preserve">? </w:t>
      </w:r>
      <w:r>
        <w:rPr>
          <w:rFonts w:ascii="Arial Narrow" w:eastAsia="Arial Narrow" w:hAnsi="Arial Narrow" w:cs="Arial Narrow"/>
          <w:sz w:val="20"/>
          <w:szCs w:val="20"/>
        </w:rPr>
        <w:t>(</w:t>
      </w:r>
      <w:r w:rsidR="006949D0">
        <w:rPr>
          <w:rFonts w:ascii="Arial Narrow" w:eastAsia="Arial Narrow" w:hAnsi="Arial Narrow" w:cs="Arial Narrow"/>
          <w:sz w:val="20"/>
          <w:szCs w:val="20"/>
        </w:rPr>
        <w:t>e.g.,</w:t>
      </w:r>
      <w:r>
        <w:rPr>
          <w:rFonts w:ascii="Arial Narrow" w:eastAsia="Arial Narrow" w:hAnsi="Arial Narrow" w:cs="Arial Narrow"/>
          <w:sz w:val="20"/>
          <w:szCs w:val="20"/>
        </w:rPr>
        <w:t xml:space="preserve"> BSc 2nd year or MSc 1st year for example) </w:t>
      </w:r>
      <w:r>
        <w:rPr>
          <w:rFonts w:ascii="Arial Narrow" w:eastAsia="Arial Narrow" w:hAnsi="Arial Narrow" w:cs="Arial Narrow"/>
          <w:sz w:val="20"/>
          <w:szCs w:val="20"/>
        </w:rPr>
        <w:tab/>
      </w:r>
    </w:p>
    <w:p w14:paraId="52046CE5"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How aware are you of Social Prescribing (1-5 Likert scale) </w:t>
      </w:r>
      <w:r>
        <w:rPr>
          <w:rFonts w:ascii="Arial Narrow" w:eastAsia="Arial Narrow" w:hAnsi="Arial Narrow" w:cs="Arial Narrow"/>
          <w:sz w:val="20"/>
          <w:szCs w:val="20"/>
        </w:rPr>
        <w:tab/>
      </w:r>
    </w:p>
    <w:p w14:paraId="0ED27C9D"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How would you rate your understanding of social prescribing? (1-5 Likert scale) </w:t>
      </w:r>
      <w:r>
        <w:rPr>
          <w:rFonts w:ascii="Arial Narrow" w:eastAsia="Arial Narrow" w:hAnsi="Arial Narrow" w:cs="Arial Narrow"/>
          <w:sz w:val="20"/>
          <w:szCs w:val="20"/>
        </w:rPr>
        <w:tab/>
      </w:r>
    </w:p>
    <w:p w14:paraId="3C034A55" w14:textId="79DD19A8"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How do you see social prescribing applying to your role as an AHP once qualified? (</w:t>
      </w:r>
      <w:r w:rsidR="006949D0">
        <w:rPr>
          <w:rFonts w:ascii="Arial Narrow" w:eastAsia="Arial Narrow" w:hAnsi="Arial Narrow" w:cs="Arial Narrow"/>
          <w:sz w:val="20"/>
          <w:szCs w:val="20"/>
        </w:rPr>
        <w:t>Free</w:t>
      </w:r>
      <w:r>
        <w:rPr>
          <w:rFonts w:ascii="Arial Narrow" w:eastAsia="Arial Narrow" w:hAnsi="Arial Narrow" w:cs="Arial Narrow"/>
          <w:sz w:val="20"/>
          <w:szCs w:val="20"/>
        </w:rPr>
        <w:t xml:space="preserve"> text)</w:t>
      </w:r>
    </w:p>
    <w:p w14:paraId="65477AAA" w14:textId="77777777" w:rsidR="00C30E66" w:rsidRDefault="00000000" w:rsidP="00777858">
      <w:pPr>
        <w:spacing w:line="240" w:lineRule="auto"/>
        <w:rPr>
          <w:rFonts w:ascii="Arial Narrow" w:eastAsia="Arial Narrow" w:hAnsi="Arial Narrow" w:cs="Arial Narrow"/>
          <w:b/>
          <w:sz w:val="20"/>
          <w:szCs w:val="20"/>
        </w:rPr>
      </w:pPr>
      <w:r>
        <w:rPr>
          <w:rFonts w:ascii="Arial Narrow" w:eastAsia="Arial Narrow" w:hAnsi="Arial Narrow" w:cs="Arial Narrow"/>
          <w:sz w:val="20"/>
          <w:szCs w:val="20"/>
        </w:rPr>
        <w:t>How confident do you feel about using social prescribing within your clinical practice as an AHP? (1-5 Likert scale)</w:t>
      </w:r>
    </w:p>
    <w:p w14:paraId="0239B928" w14:textId="1D1E4E53" w:rsidR="00C30E66" w:rsidRDefault="009C2FA6" w:rsidP="00777858">
      <w:pPr>
        <w:spacing w:line="240" w:lineRule="auto"/>
        <w:rPr>
          <w:rFonts w:ascii="Arial Narrow" w:eastAsia="Arial Narrow" w:hAnsi="Arial Narrow" w:cs="Arial Narrow"/>
          <w:b/>
          <w:i/>
          <w:sz w:val="20"/>
          <w:szCs w:val="20"/>
        </w:rPr>
      </w:pPr>
      <w:r>
        <w:rPr>
          <w:rFonts w:ascii="Arial Narrow" w:eastAsia="Arial Narrow" w:hAnsi="Arial Narrow" w:cs="Arial Narrow"/>
          <w:b/>
          <w:i/>
          <w:sz w:val="20"/>
          <w:szCs w:val="20"/>
        </w:rPr>
        <w:t xml:space="preserve">Post-session </w:t>
      </w:r>
    </w:p>
    <w:p w14:paraId="7B80EE7F"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Which AHP profession are you studying? </w:t>
      </w:r>
      <w:r>
        <w:rPr>
          <w:rFonts w:ascii="Arial Narrow" w:eastAsia="Arial Narrow" w:hAnsi="Arial Narrow" w:cs="Arial Narrow"/>
          <w:sz w:val="20"/>
          <w:szCs w:val="20"/>
        </w:rPr>
        <w:tab/>
      </w:r>
    </w:p>
    <w:p w14:paraId="1C4A7C78"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Which event did you attend?</w:t>
      </w:r>
      <w:r>
        <w:rPr>
          <w:rFonts w:ascii="Arial Narrow" w:eastAsia="Arial Narrow" w:hAnsi="Arial Narrow" w:cs="Arial Narrow"/>
          <w:sz w:val="20"/>
          <w:szCs w:val="20"/>
        </w:rPr>
        <w:tab/>
      </w:r>
    </w:p>
    <w:p w14:paraId="7095DB96" w14:textId="3CAE0FF3"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What university are you studying at? </w:t>
      </w:r>
      <w:r w:rsidR="006949D0">
        <w:rPr>
          <w:rFonts w:ascii="Arial Narrow" w:eastAsia="Arial Narrow" w:hAnsi="Arial Narrow" w:cs="Arial Narrow"/>
          <w:sz w:val="20"/>
          <w:szCs w:val="20"/>
        </w:rPr>
        <w:t>e.g.,</w:t>
      </w:r>
      <w:r>
        <w:rPr>
          <w:rFonts w:ascii="Arial Narrow" w:eastAsia="Arial Narrow" w:hAnsi="Arial Narrow" w:cs="Arial Narrow"/>
          <w:sz w:val="20"/>
          <w:szCs w:val="20"/>
        </w:rPr>
        <w:t xml:space="preserve"> University of the West of England </w:t>
      </w:r>
      <w:r>
        <w:rPr>
          <w:rFonts w:ascii="Arial Narrow" w:eastAsia="Arial Narrow" w:hAnsi="Arial Narrow" w:cs="Arial Narrow"/>
          <w:sz w:val="20"/>
          <w:szCs w:val="20"/>
        </w:rPr>
        <w:tab/>
      </w:r>
    </w:p>
    <w:p w14:paraId="4015FB15" w14:textId="442752BC"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What year are you? - </w:t>
      </w:r>
      <w:r w:rsidR="006949D0">
        <w:rPr>
          <w:rFonts w:ascii="Arial Narrow" w:eastAsia="Arial Narrow" w:hAnsi="Arial Narrow" w:cs="Arial Narrow"/>
          <w:sz w:val="20"/>
          <w:szCs w:val="20"/>
        </w:rPr>
        <w:t>e.g.,</w:t>
      </w:r>
      <w:r>
        <w:rPr>
          <w:rFonts w:ascii="Arial Narrow" w:eastAsia="Arial Narrow" w:hAnsi="Arial Narrow" w:cs="Arial Narrow"/>
          <w:sz w:val="20"/>
          <w:szCs w:val="20"/>
        </w:rPr>
        <w:t xml:space="preserve"> Bachelor of Science 2nd </w:t>
      </w:r>
      <w:r w:rsidR="006949D0">
        <w:rPr>
          <w:rFonts w:ascii="Arial Narrow" w:eastAsia="Arial Narrow" w:hAnsi="Arial Narrow" w:cs="Arial Narrow"/>
          <w:sz w:val="20"/>
          <w:szCs w:val="20"/>
        </w:rPr>
        <w:t>year?</w:t>
      </w:r>
      <w:r>
        <w:rPr>
          <w:rFonts w:ascii="Arial Narrow" w:eastAsia="Arial Narrow" w:hAnsi="Arial Narrow" w:cs="Arial Narrow"/>
          <w:sz w:val="20"/>
          <w:szCs w:val="20"/>
        </w:rPr>
        <w:tab/>
      </w:r>
    </w:p>
    <w:p w14:paraId="264E3C8E"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How aware are you of Social Prescribing, now having attended the event run by the AHP SP Champion? (1-5 Likert scale) </w:t>
      </w:r>
      <w:r>
        <w:rPr>
          <w:rFonts w:ascii="Arial Narrow" w:eastAsia="Arial Narrow" w:hAnsi="Arial Narrow" w:cs="Arial Narrow"/>
          <w:sz w:val="20"/>
          <w:szCs w:val="20"/>
        </w:rPr>
        <w:tab/>
      </w:r>
    </w:p>
    <w:p w14:paraId="2275EAF4"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How would you rate your understanding of social prescribing, now having attended the event run by the AHP SP Champion? (1-5 Likert scale) </w:t>
      </w:r>
      <w:r>
        <w:rPr>
          <w:rFonts w:ascii="Arial Narrow" w:eastAsia="Arial Narrow" w:hAnsi="Arial Narrow" w:cs="Arial Narrow"/>
          <w:sz w:val="20"/>
          <w:szCs w:val="20"/>
        </w:rPr>
        <w:tab/>
      </w:r>
    </w:p>
    <w:p w14:paraId="20C3648A" w14:textId="4521D292"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How do you see social prescribing applying to your role as an AHP once qualified? (</w:t>
      </w:r>
      <w:r w:rsidR="006949D0">
        <w:rPr>
          <w:rFonts w:ascii="Arial Narrow" w:eastAsia="Arial Narrow" w:hAnsi="Arial Narrow" w:cs="Arial Narrow"/>
          <w:sz w:val="20"/>
          <w:szCs w:val="20"/>
        </w:rPr>
        <w:t>Free</w:t>
      </w:r>
      <w:r>
        <w:rPr>
          <w:rFonts w:ascii="Arial Narrow" w:eastAsia="Arial Narrow" w:hAnsi="Arial Narrow" w:cs="Arial Narrow"/>
          <w:sz w:val="20"/>
          <w:szCs w:val="20"/>
        </w:rPr>
        <w:t xml:space="preserve"> text)</w:t>
      </w:r>
      <w:r>
        <w:rPr>
          <w:rFonts w:ascii="Arial Narrow" w:eastAsia="Arial Narrow" w:hAnsi="Arial Narrow" w:cs="Arial Narrow"/>
          <w:sz w:val="20"/>
          <w:szCs w:val="20"/>
        </w:rPr>
        <w:tab/>
      </w:r>
    </w:p>
    <w:p w14:paraId="02F4CA11"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How confident do you feel about using social prescribing within your clinical practice as an AHP? (1-5 Likert scale)</w:t>
      </w:r>
      <w:r>
        <w:rPr>
          <w:rFonts w:ascii="Arial Narrow" w:eastAsia="Arial Narrow" w:hAnsi="Arial Narrow" w:cs="Arial Narrow"/>
          <w:sz w:val="20"/>
          <w:szCs w:val="20"/>
        </w:rPr>
        <w:tab/>
      </w:r>
    </w:p>
    <w:p w14:paraId="03F8B00B"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How would you rate the opportunity you have had to interact with other AHPs and medical students through the event run by your local SP Student Champion? (1-5 Likert scale) </w:t>
      </w:r>
      <w:r>
        <w:rPr>
          <w:rFonts w:ascii="Arial Narrow" w:eastAsia="Arial Narrow" w:hAnsi="Arial Narrow" w:cs="Arial Narrow"/>
          <w:sz w:val="20"/>
          <w:szCs w:val="20"/>
        </w:rPr>
        <w:tab/>
      </w:r>
    </w:p>
    <w:p w14:paraId="76863C82" w14:textId="77777777"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Please rate your experience of the champion-run activities that you have participated in (1-5 Likert scale)</w:t>
      </w:r>
    </w:p>
    <w:p w14:paraId="1B7F02C7" w14:textId="7FC68746" w:rsidR="00C30E66" w:rsidRDefault="00000000" w:rsidP="00777858">
      <w:pPr>
        <w:spacing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Please use this final space to share any reflections, </w:t>
      </w:r>
      <w:r w:rsidR="00DE5238">
        <w:rPr>
          <w:rFonts w:ascii="Arial Narrow" w:eastAsia="Arial Narrow" w:hAnsi="Arial Narrow" w:cs="Arial Narrow"/>
          <w:sz w:val="20"/>
          <w:szCs w:val="20"/>
        </w:rPr>
        <w:t>feedback,</w:t>
      </w:r>
      <w:r>
        <w:rPr>
          <w:rFonts w:ascii="Arial Narrow" w:eastAsia="Arial Narrow" w:hAnsi="Arial Narrow" w:cs="Arial Narrow"/>
          <w:sz w:val="20"/>
          <w:szCs w:val="20"/>
        </w:rPr>
        <w:t xml:space="preserve"> or thoughts about how you found the event, social prescribing in general, or the student Champion Scheme (free</w:t>
      </w:r>
      <w:r w:rsidR="0018699D">
        <w:rPr>
          <w:rFonts w:ascii="Arial Narrow" w:eastAsia="Arial Narrow" w:hAnsi="Arial Narrow" w:cs="Arial Narrow"/>
          <w:sz w:val="20"/>
          <w:szCs w:val="20"/>
        </w:rPr>
        <w:t xml:space="preserve"> text)</w:t>
      </w:r>
    </w:p>
    <w:p w14:paraId="5AF83537" w14:textId="4DEB57CD" w:rsidR="00A059EC" w:rsidRPr="0059417A" w:rsidRDefault="00A059EC" w:rsidP="00777858">
      <w:pPr>
        <w:spacing w:line="240" w:lineRule="auto"/>
        <w:rPr>
          <w:rFonts w:ascii="Arial Narrow" w:eastAsia="Arial Narrow" w:hAnsi="Arial Narrow" w:cs="Arial Narrow"/>
          <w:sz w:val="20"/>
          <w:szCs w:val="20"/>
        </w:rPr>
      </w:pPr>
      <w:r>
        <w:rPr>
          <w:rFonts w:ascii="Arial Narrow" w:eastAsia="Calibri" w:hAnsi="Arial Narrow"/>
          <w:noProof/>
          <w:szCs w:val="20"/>
          <w:lang w:val="en-CA"/>
        </w:rPr>
        <w:pict w14:anchorId="7F1E713E">
          <v:rect id="_x0000_i1046" alt="" style="width:468pt;height:.75pt;mso-width-percent:0;mso-height-percent:0;mso-width-percent:0;mso-height-percent:0" o:hrstd="t" o:hr="t" fillcolor="#a0a0a0" stroked="f"/>
        </w:pict>
      </w:r>
    </w:p>
    <w:sectPr w:rsidR="00A059EC" w:rsidRPr="0059417A" w:rsidSect="00373FB6">
      <w:headerReference w:type="default" r:id="rId14"/>
      <w:pgSz w:w="12240" w:h="15840" w:code="1"/>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7A2FB" w14:textId="77777777" w:rsidR="00B05A18" w:rsidRDefault="00B05A18" w:rsidP="00777858">
      <w:pPr>
        <w:spacing w:line="240" w:lineRule="auto"/>
      </w:pPr>
      <w:r>
        <w:separator/>
      </w:r>
    </w:p>
  </w:endnote>
  <w:endnote w:type="continuationSeparator" w:id="0">
    <w:p w14:paraId="679AE057" w14:textId="77777777" w:rsidR="00B05A18" w:rsidRDefault="00B05A18" w:rsidP="00777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346A" w14:textId="139E2157" w:rsidR="00777858" w:rsidRDefault="00777858">
    <w:pPr>
      <w:pStyle w:val="Footer"/>
    </w:pPr>
    <w:bookmarkStart w:id="6" w:name="_Hlk148787034"/>
    <w:r>
      <w:rPr>
        <w:rFonts w:ascii="Arial Narrow" w:hAnsi="Arial Narrow"/>
        <w:bCs/>
        <w:noProof/>
        <w:color w:val="244061" w:themeColor="accent1" w:themeShade="80"/>
        <w:sz w:val="18"/>
        <w:szCs w:val="18"/>
        <w:lang w:val="en-CA"/>
      </w:rPr>
      <w:pict w14:anchorId="1317D048">
        <v:rect id="_x0000_i1031" alt="" style="width:468pt;height:1pt;mso-width-percent:0;mso-height-percent:0;mso-width-percent:0;mso-height-percent:0" o:hrstd="t" o:hr="t" fillcolor="#aca899" stroked="f"/>
      </w:pict>
    </w:r>
    <w:bookmarkEnd w:id="6"/>
    <w:r w:rsidRPr="000A2ACD">
      <w:rPr>
        <w:rFonts w:ascii="Arial Narrow" w:hAnsi="Arial Narrow"/>
        <w:bCs/>
        <w:noProof/>
        <w:sz w:val="18"/>
        <w:szCs w:val="18"/>
        <w:lang w:val="en-CA"/>
      </w:rPr>
      <w:t>©The Internet Journal of Allied Health Sciences and Practice,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9322C" w14:textId="77777777" w:rsidR="00B05A18" w:rsidRDefault="00B05A18" w:rsidP="00777858">
      <w:pPr>
        <w:spacing w:line="240" w:lineRule="auto"/>
      </w:pPr>
      <w:r>
        <w:separator/>
      </w:r>
    </w:p>
  </w:footnote>
  <w:footnote w:type="continuationSeparator" w:id="0">
    <w:p w14:paraId="5E7CDE4E" w14:textId="77777777" w:rsidR="00B05A18" w:rsidRDefault="00B05A18" w:rsidP="00777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44629927"/>
      <w:docPartObj>
        <w:docPartGallery w:val="Page Numbers (Top of Page)"/>
        <w:docPartUnique/>
      </w:docPartObj>
    </w:sdtPr>
    <w:sdtEndPr>
      <w:rPr>
        <w:rFonts w:ascii="Arial" w:hAnsi="Arial"/>
        <w:noProof/>
        <w:sz w:val="22"/>
        <w:szCs w:val="22"/>
      </w:rPr>
    </w:sdtEndPr>
    <w:sdtContent>
      <w:p w14:paraId="33792DB1" w14:textId="55637C3F" w:rsidR="005D25A5" w:rsidRDefault="00B22440" w:rsidP="00B22440">
        <w:pPr>
          <w:pStyle w:val="Header"/>
          <w:tabs>
            <w:tab w:val="clear" w:pos="4680"/>
          </w:tabs>
          <w:jc w:val="right"/>
        </w:pPr>
        <w:r w:rsidRPr="00B22440">
          <w:rPr>
            <w:rFonts w:ascii="Arial Narrow" w:hAnsi="Arial Narrow"/>
            <w:sz w:val="18"/>
            <w:szCs w:val="18"/>
          </w:rPr>
          <w:t>SOCIAL PRESCRIBING SCHEME</w:t>
        </w:r>
        <w:r>
          <w:rPr>
            <w:rFonts w:ascii="Arial Narrow" w:hAnsi="Arial Narrow"/>
            <w:sz w:val="18"/>
            <w:szCs w:val="18"/>
          </w:rPr>
          <w:tab/>
        </w:r>
        <w:r w:rsidR="005D25A5" w:rsidRPr="00B22440">
          <w:rPr>
            <w:rFonts w:ascii="Arial Narrow" w:hAnsi="Arial Narrow"/>
            <w:sz w:val="18"/>
            <w:szCs w:val="18"/>
          </w:rPr>
          <w:fldChar w:fldCharType="begin"/>
        </w:r>
        <w:r w:rsidR="005D25A5" w:rsidRPr="00B22440">
          <w:rPr>
            <w:rFonts w:ascii="Arial Narrow" w:hAnsi="Arial Narrow"/>
            <w:sz w:val="18"/>
            <w:szCs w:val="18"/>
          </w:rPr>
          <w:instrText xml:space="preserve"> PAGE   \* MERGEFORMAT </w:instrText>
        </w:r>
        <w:r w:rsidR="005D25A5" w:rsidRPr="00B22440">
          <w:rPr>
            <w:rFonts w:ascii="Arial Narrow" w:hAnsi="Arial Narrow"/>
            <w:sz w:val="18"/>
            <w:szCs w:val="18"/>
          </w:rPr>
          <w:fldChar w:fldCharType="separate"/>
        </w:r>
        <w:r w:rsidR="005D25A5" w:rsidRPr="00B22440">
          <w:rPr>
            <w:rFonts w:ascii="Arial Narrow" w:hAnsi="Arial Narrow"/>
            <w:noProof/>
            <w:sz w:val="18"/>
            <w:szCs w:val="18"/>
          </w:rPr>
          <w:t>2</w:t>
        </w:r>
        <w:r w:rsidR="005D25A5" w:rsidRPr="00B22440">
          <w:rPr>
            <w:rFonts w:ascii="Arial Narrow" w:hAnsi="Arial Narrow"/>
            <w:noProof/>
            <w:sz w:val="18"/>
            <w:szCs w:val="18"/>
          </w:rPr>
          <w:fldChar w:fldCharType="end"/>
        </w:r>
      </w:p>
    </w:sdtContent>
  </w:sdt>
  <w:p w14:paraId="633DE3D4" w14:textId="6D0CEB16" w:rsidR="005D25A5" w:rsidRDefault="00B22440">
    <w:pPr>
      <w:pStyle w:val="Header"/>
    </w:pPr>
    <w:r>
      <w:rPr>
        <w:rFonts w:ascii="Arial Narrow" w:hAnsi="Arial Narrow"/>
        <w:bCs/>
        <w:noProof/>
        <w:color w:val="244061" w:themeColor="accent1" w:themeShade="80"/>
        <w:sz w:val="18"/>
        <w:szCs w:val="18"/>
        <w:lang w:val="en-CA"/>
      </w:rPr>
      <w:pict w14:anchorId="504E75E0">
        <v:rect id="_x0000_i1035" alt="" style="width:468pt;height:1pt;mso-width-percent:0;mso-height-percent:0;mso-width-percent:0;mso-height-percent:0"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C4E43"/>
    <w:multiLevelType w:val="multilevel"/>
    <w:tmpl w:val="3F0644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B52ED9"/>
    <w:multiLevelType w:val="multilevel"/>
    <w:tmpl w:val="F3CC5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FB587D"/>
    <w:multiLevelType w:val="hybridMultilevel"/>
    <w:tmpl w:val="6E646BC6"/>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09886818">
    <w:abstractNumId w:val="1"/>
  </w:num>
  <w:num w:numId="2" w16cid:durableId="886646801">
    <w:abstractNumId w:val="0"/>
  </w:num>
  <w:num w:numId="3" w16cid:durableId="1613172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C30E66"/>
    <w:rsid w:val="00024965"/>
    <w:rsid w:val="00025488"/>
    <w:rsid w:val="000403BF"/>
    <w:rsid w:val="000700E2"/>
    <w:rsid w:val="00084C75"/>
    <w:rsid w:val="000B09AD"/>
    <w:rsid w:val="000F694C"/>
    <w:rsid w:val="000F7AA4"/>
    <w:rsid w:val="00120532"/>
    <w:rsid w:val="001303C4"/>
    <w:rsid w:val="0018699D"/>
    <w:rsid w:val="001C652A"/>
    <w:rsid w:val="001E28A1"/>
    <w:rsid w:val="002676DF"/>
    <w:rsid w:val="002A1465"/>
    <w:rsid w:val="002A511A"/>
    <w:rsid w:val="00332814"/>
    <w:rsid w:val="003676DD"/>
    <w:rsid w:val="00371EF1"/>
    <w:rsid w:val="00373FB6"/>
    <w:rsid w:val="00450A32"/>
    <w:rsid w:val="004B3EE8"/>
    <w:rsid w:val="004C2EEB"/>
    <w:rsid w:val="005730F3"/>
    <w:rsid w:val="00590D46"/>
    <w:rsid w:val="0059417A"/>
    <w:rsid w:val="005B4A0B"/>
    <w:rsid w:val="005D25A5"/>
    <w:rsid w:val="00621697"/>
    <w:rsid w:val="00623FC7"/>
    <w:rsid w:val="00656EC9"/>
    <w:rsid w:val="006949D0"/>
    <w:rsid w:val="006E6B5D"/>
    <w:rsid w:val="00777858"/>
    <w:rsid w:val="00804F4D"/>
    <w:rsid w:val="0081437B"/>
    <w:rsid w:val="00826912"/>
    <w:rsid w:val="009C2FA6"/>
    <w:rsid w:val="00A059EC"/>
    <w:rsid w:val="00B05A18"/>
    <w:rsid w:val="00B22440"/>
    <w:rsid w:val="00BB7852"/>
    <w:rsid w:val="00BD1C2A"/>
    <w:rsid w:val="00C30E66"/>
    <w:rsid w:val="00C472D3"/>
    <w:rsid w:val="00C83151"/>
    <w:rsid w:val="00D52E98"/>
    <w:rsid w:val="00D536B2"/>
    <w:rsid w:val="00D5784A"/>
    <w:rsid w:val="00DE5238"/>
    <w:rsid w:val="00EB7C88"/>
    <w:rsid w:val="00EE63EA"/>
    <w:rsid w:val="00FC2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7678"/>
  <w15:docId w15:val="{3A1C3E17-1995-41E8-84B6-9EC67929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9289F"/>
    <w:rPr>
      <w:b/>
      <w:bCs/>
    </w:rPr>
  </w:style>
  <w:style w:type="character" w:customStyle="1" w:styleId="CommentSubjectChar">
    <w:name w:val="Comment Subject Char"/>
    <w:basedOn w:val="CommentTextChar"/>
    <w:link w:val="CommentSubject"/>
    <w:uiPriority w:val="99"/>
    <w:semiHidden/>
    <w:rsid w:val="00B9289F"/>
    <w:rPr>
      <w:b/>
      <w:bCs/>
      <w:sz w:val="20"/>
      <w:szCs w:val="20"/>
    </w:r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B09AD"/>
    <w:pPr>
      <w:spacing w:line="240" w:lineRule="auto"/>
    </w:pPr>
  </w:style>
  <w:style w:type="paragraph" w:customStyle="1" w:styleId="paragraph">
    <w:name w:val="paragraph"/>
    <w:basedOn w:val="Normal"/>
    <w:rsid w:val="0077785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777858"/>
  </w:style>
  <w:style w:type="character" w:customStyle="1" w:styleId="eop">
    <w:name w:val="eop"/>
    <w:basedOn w:val="DefaultParagraphFont"/>
    <w:rsid w:val="00777858"/>
  </w:style>
  <w:style w:type="paragraph" w:styleId="Header">
    <w:name w:val="header"/>
    <w:basedOn w:val="Normal"/>
    <w:link w:val="HeaderChar"/>
    <w:uiPriority w:val="99"/>
    <w:unhideWhenUsed/>
    <w:rsid w:val="00777858"/>
    <w:pPr>
      <w:tabs>
        <w:tab w:val="center" w:pos="4680"/>
        <w:tab w:val="right" w:pos="9360"/>
      </w:tabs>
      <w:spacing w:line="240" w:lineRule="auto"/>
    </w:pPr>
  </w:style>
  <w:style w:type="character" w:customStyle="1" w:styleId="HeaderChar">
    <w:name w:val="Header Char"/>
    <w:basedOn w:val="DefaultParagraphFont"/>
    <w:link w:val="Header"/>
    <w:uiPriority w:val="99"/>
    <w:rsid w:val="00777858"/>
  </w:style>
  <w:style w:type="paragraph" w:styleId="Footer">
    <w:name w:val="footer"/>
    <w:basedOn w:val="Normal"/>
    <w:link w:val="FooterChar"/>
    <w:uiPriority w:val="99"/>
    <w:unhideWhenUsed/>
    <w:rsid w:val="00777858"/>
    <w:pPr>
      <w:tabs>
        <w:tab w:val="center" w:pos="4680"/>
        <w:tab w:val="right" w:pos="9360"/>
      </w:tabs>
      <w:spacing w:line="240" w:lineRule="auto"/>
    </w:pPr>
  </w:style>
  <w:style w:type="character" w:customStyle="1" w:styleId="FooterChar">
    <w:name w:val="Footer Char"/>
    <w:basedOn w:val="DefaultParagraphFont"/>
    <w:link w:val="Footer"/>
    <w:uiPriority w:val="99"/>
    <w:rsid w:val="00777858"/>
  </w:style>
  <w:style w:type="paragraph" w:styleId="NormalWeb">
    <w:name w:val="Normal (Web)"/>
    <w:basedOn w:val="Normal"/>
    <w:uiPriority w:val="99"/>
    <w:semiHidden/>
    <w:unhideWhenUsed/>
    <w:rsid w:val="00804F4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4C2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0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witter.com/anyadei/status/1304312056183771136?s=20&amp;t=JEQUkjdwowH-o0Q-wbVGu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ngtermplan.nhs.uk/wp-content/uploads/2019/08/nhs-long-term-plan-version-1.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wp-content/uploads/2019/01/universal-personalised-ca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A66fdyq/hgHELhJyHWCv3EFCCg==">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Template>
  <TotalTime>46</TotalTime>
  <Pages>8</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Taylor (HSC - Staff)</dc:creator>
  <cp:lastModifiedBy>Cheryl Hill</cp:lastModifiedBy>
  <cp:revision>31</cp:revision>
  <dcterms:created xsi:type="dcterms:W3CDTF">2023-12-05T14:30:00Z</dcterms:created>
  <dcterms:modified xsi:type="dcterms:W3CDTF">2023-12-05T15:11:00Z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-1460427052</vt:i4>
  </property>
  <property fmtid="{D5CDD505-2E9C-101B-9397-08002B2CF9AE}" pid="3" name="_NewReviewCycle">
    <vt:lpwstr/>
  </property>
  <property fmtid="{D5CDD505-2E9C-101B-9397-08002B2CF9AE}" pid="4" name="_EmailSubject">
    <vt:lpwstr>Informal peer review</vt:lpwstr>
  </property>
  <property fmtid="{D5CDD505-2E9C-101B-9397-08002B2CF9AE}" pid="5" name="_AuthorEmail">
    <vt:lpwstr>Lisa.Taylor@uea.ac.uk</vt:lpwstr>
  </property>
  <property fmtid="{D5CDD505-2E9C-101B-9397-08002B2CF9AE}" pid="6" name="_AuthorEmailDisplayName">
    <vt:lpwstr>Lisa Taylor (HSC - Staff)</vt:lpwstr>
  </property>
  <property fmtid="{D5CDD505-2E9C-101B-9397-08002B2CF9AE}" pid="7" name="_ReviewingToolsShownOnce">
    <vt:lpwstr/>
  </property>
</Properties>
</file>