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A035" w14:textId="010FBE7E" w:rsidR="008D7E5B" w:rsidRDefault="009D3BD4" w:rsidP="003863D9">
      <w:pPr>
        <w:spacing w:line="360" w:lineRule="auto"/>
        <w:jc w:val="center"/>
        <w:rPr>
          <w:b/>
          <w:bCs/>
          <w:u w:val="single"/>
        </w:rPr>
      </w:pPr>
      <w:bookmarkStart w:id="0" w:name="_Hlk159405658"/>
      <w:r>
        <w:rPr>
          <w:b/>
          <w:bCs/>
          <w:u w:val="single"/>
        </w:rPr>
        <w:t xml:space="preserve">CASE COMMENT – </w:t>
      </w:r>
      <w:r>
        <w:rPr>
          <w:b/>
          <w:bCs/>
          <w:i/>
          <w:iCs/>
          <w:u w:val="single"/>
        </w:rPr>
        <w:t>JJ V SPECTRUM COMMUNITY HEALTH</w:t>
      </w:r>
      <w:r w:rsidR="008D7E5B" w:rsidRPr="008D7E5B">
        <w:rPr>
          <w:b/>
          <w:bCs/>
          <w:u w:val="single"/>
        </w:rPr>
        <w:t xml:space="preserve"> </w:t>
      </w:r>
    </w:p>
    <w:p w14:paraId="57C01659" w14:textId="1D7FD506" w:rsidR="00822CE9" w:rsidRPr="000F09CF" w:rsidRDefault="009D3BD4" w:rsidP="003863D9">
      <w:pPr>
        <w:spacing w:line="360" w:lineRule="auto"/>
        <w:jc w:val="center"/>
        <w:rPr>
          <w:b/>
          <w:bCs/>
          <w:u w:val="single"/>
        </w:rPr>
      </w:pPr>
      <w:r>
        <w:rPr>
          <w:b/>
          <w:bCs/>
          <w:u w:val="single"/>
        </w:rPr>
        <w:t>WHEN MEDICAL PATERNALISM MEETS PRISONERS’ DIGNITY</w:t>
      </w:r>
    </w:p>
    <w:bookmarkEnd w:id="0"/>
    <w:p w14:paraId="2814D6EC" w14:textId="77777777" w:rsidR="000F09CF" w:rsidRDefault="000F09CF" w:rsidP="003863D9">
      <w:pPr>
        <w:spacing w:line="360" w:lineRule="auto"/>
        <w:jc w:val="both"/>
        <w:rPr>
          <w:u w:val="single"/>
        </w:rPr>
      </w:pPr>
    </w:p>
    <w:p w14:paraId="53675388" w14:textId="7DF02FD9" w:rsidR="002F1AD2" w:rsidRPr="009D3BD4" w:rsidRDefault="009D3BD4" w:rsidP="009D3BD4">
      <w:pPr>
        <w:pStyle w:val="ListParagraph"/>
        <w:spacing w:line="360" w:lineRule="auto"/>
        <w:jc w:val="center"/>
      </w:pPr>
      <w:r w:rsidRPr="009D3BD4">
        <w:t>THE CASE</w:t>
      </w:r>
    </w:p>
    <w:p w14:paraId="0FE5F4D7" w14:textId="49D9AAE9" w:rsidR="00AC2C6E" w:rsidRDefault="00E2678C" w:rsidP="003863D9">
      <w:pPr>
        <w:spacing w:line="360" w:lineRule="auto"/>
        <w:jc w:val="both"/>
      </w:pPr>
      <w:r>
        <w:t>The</w:t>
      </w:r>
      <w:r w:rsidR="00AC2C6E">
        <w:t xml:space="preserve"> case </w:t>
      </w:r>
      <w:bookmarkStart w:id="1" w:name="_Hlk150873063"/>
      <w:r w:rsidR="00AC2C6E" w:rsidRPr="00006B43">
        <w:rPr>
          <w:i/>
          <w:iCs/>
        </w:rPr>
        <w:t>JJ v Spectrum Community Health</w:t>
      </w:r>
      <w:bookmarkEnd w:id="1"/>
      <w:r w:rsidR="00AC2C6E" w:rsidRPr="00006B43">
        <w:rPr>
          <w:rStyle w:val="FootnoteReference"/>
          <w:i/>
          <w:iCs/>
        </w:rPr>
        <w:footnoteReference w:id="1"/>
      </w:r>
      <w:r w:rsidR="00AC2C6E">
        <w:t xml:space="preserve"> could be read as a </w:t>
      </w:r>
      <w:r w:rsidR="00874023">
        <w:t>straightforward</w:t>
      </w:r>
      <w:r w:rsidR="00AC2C6E">
        <w:t xml:space="preserve"> case on patient autonomy, </w:t>
      </w:r>
      <w:r>
        <w:t xml:space="preserve">however, </w:t>
      </w:r>
      <w:r w:rsidR="00AC2C6E">
        <w:t xml:space="preserve">it raises more issues than it solves. </w:t>
      </w:r>
      <w:r w:rsidR="00874023">
        <w:t>In the initial hearing</w:t>
      </w:r>
      <w:r w:rsidR="00AC2C6E">
        <w:t>,</w:t>
      </w:r>
      <w:r w:rsidR="00AC2C6E">
        <w:rPr>
          <w:rStyle w:val="FootnoteReference"/>
        </w:rPr>
        <w:footnoteReference w:id="2"/>
      </w:r>
      <w:r w:rsidR="00AC2C6E">
        <w:t xml:space="preserve"> a bed bound prisoner</w:t>
      </w:r>
      <w:r w:rsidR="00874023">
        <w:t>, JJ,</w:t>
      </w:r>
      <w:r w:rsidR="00AC2C6E">
        <w:t xml:space="preserve"> </w:t>
      </w:r>
      <w:r>
        <w:t xml:space="preserve">called </w:t>
      </w:r>
      <w:r w:rsidR="00AC2C6E">
        <w:t xml:space="preserve">for </w:t>
      </w:r>
      <w:r w:rsidR="00874023">
        <w:t xml:space="preserve">judicial review of the respondent’s decision </w:t>
      </w:r>
      <w:r>
        <w:t>not to</w:t>
      </w:r>
      <w:r w:rsidR="00874023">
        <w:t xml:space="preserve"> provide him with boiled sweets, biscuits and crisps</w:t>
      </w:r>
      <w:r w:rsidR="00006B43">
        <w:t xml:space="preserve">. </w:t>
      </w:r>
      <w:r w:rsidR="00874023">
        <w:t xml:space="preserve">The judicial review was dismissed by HHJ </w:t>
      </w:r>
      <w:proofErr w:type="spellStart"/>
      <w:r w:rsidR="00874023">
        <w:t>Sephton</w:t>
      </w:r>
      <w:proofErr w:type="spellEnd"/>
      <w:r w:rsidR="00874023">
        <w:t xml:space="preserve"> KC</w:t>
      </w:r>
      <w:r w:rsidR="00006B43">
        <w:t xml:space="preserve"> in the administrative court in 2022, as well as</w:t>
      </w:r>
      <w:r w:rsidR="00245254">
        <w:t xml:space="preserve"> in the </w:t>
      </w:r>
      <w:r w:rsidR="00666AD1">
        <w:t>Court of Appeal</w:t>
      </w:r>
      <w:r w:rsidR="00006B43">
        <w:t xml:space="preserve"> by Lord Burnett of Maldon, Lady Justice Kin</w:t>
      </w:r>
      <w:r w:rsidR="00666AD1">
        <w:t>g</w:t>
      </w:r>
      <w:r w:rsidR="00006B43">
        <w:t xml:space="preserve"> and Lord Justice Lewis on appeal in 2023.</w:t>
      </w:r>
      <w:r w:rsidR="00874023">
        <w:t xml:space="preserve"> </w:t>
      </w:r>
    </w:p>
    <w:p w14:paraId="4601FA99" w14:textId="60CDFE98" w:rsidR="00006B43" w:rsidRDefault="00006B43" w:rsidP="003863D9">
      <w:pPr>
        <w:spacing w:line="360" w:lineRule="auto"/>
        <w:jc w:val="both"/>
      </w:pPr>
      <w:r>
        <w:t>JJ is serving a determinate sentence at HMP Liverpool, the custodial period of which will end in 2027. Due to a genetic condition</w:t>
      </w:r>
      <w:r w:rsidR="0061038A">
        <w:t xml:space="preserve"> (X-linked hypophosphatemia)</w:t>
      </w:r>
      <w:r>
        <w:t>, he is quadriplegic and has no remaining</w:t>
      </w:r>
      <w:r w:rsidR="00E2678C">
        <w:t xml:space="preserve"> teeth</w:t>
      </w:r>
      <w:r w:rsidR="0061038A">
        <w:t>, while his cognitive and communication skills remain unimpaired</w:t>
      </w:r>
      <w:r>
        <w:t xml:space="preserve">. </w:t>
      </w:r>
      <w:r w:rsidR="00E2678C">
        <w:t>Since</w:t>
      </w:r>
      <w:r>
        <w:t xml:space="preserve"> 2016</w:t>
      </w:r>
      <w:r w:rsidR="00245254">
        <w:t>,</w:t>
      </w:r>
      <w:r>
        <w:t xml:space="preserve"> he has been bed bound and care staff </w:t>
      </w:r>
      <w:r w:rsidR="00237A1C">
        <w:t xml:space="preserve">are required to </w:t>
      </w:r>
      <w:r>
        <w:t>feed</w:t>
      </w:r>
      <w:r w:rsidR="00237A1C">
        <w:t xml:space="preserve"> him.</w:t>
      </w:r>
      <w:r>
        <w:t xml:space="preserve"> The care is provided by Spectrum, a company providing NHS-funded healthcare to prisoners. He is permanently </w:t>
      </w:r>
      <w:r w:rsidR="00057B7B">
        <w:t>in a supine position</w:t>
      </w:r>
      <w:r>
        <w:t>,</w:t>
      </w:r>
      <w:r w:rsidR="0087563F">
        <w:rPr>
          <w:rStyle w:val="FootnoteReference"/>
        </w:rPr>
        <w:footnoteReference w:id="3"/>
      </w:r>
      <w:r>
        <w:t xml:space="preserve"> even during feeding, which increases risks for choking. On this basis, Spectrum is denying JJ foods that could </w:t>
      </w:r>
      <w:r w:rsidR="0061038A">
        <w:t xml:space="preserve">further increase said risk. </w:t>
      </w:r>
    </w:p>
    <w:p w14:paraId="77C35CD1" w14:textId="3119526B" w:rsidR="00030EC6" w:rsidRDefault="00CA1D99" w:rsidP="003863D9">
      <w:pPr>
        <w:spacing w:line="360" w:lineRule="auto"/>
        <w:jc w:val="both"/>
      </w:pPr>
      <w:r>
        <w:t>Until 2021</w:t>
      </w:r>
      <w:r w:rsidR="00A71291">
        <w:t>,</w:t>
      </w:r>
      <w:r>
        <w:t xml:space="preserve"> JJ had been fed on a mixed diet of soft and non-soft foods, and </w:t>
      </w:r>
      <w:r w:rsidR="00A71291">
        <w:t xml:space="preserve">had </w:t>
      </w:r>
      <w:r>
        <w:t xml:space="preserve">supplemented his diet with snacks bought from the prison canteen. </w:t>
      </w:r>
      <w:r w:rsidR="00030EC6">
        <w:t xml:space="preserve">In May 2021, JJ had a Speech and Language Therapy (SALT) assessment which </w:t>
      </w:r>
      <w:r w:rsidR="00E2678C" w:rsidRPr="00E2678C">
        <w:t>found him to be a high choking and aspiration risk, which was deemed to necessitate a diet of soft and bite sized food</w:t>
      </w:r>
      <w:r w:rsidR="00030EC6">
        <w:t xml:space="preserve"> (</w:t>
      </w:r>
      <w:r w:rsidR="000110A9">
        <w:t>l</w:t>
      </w:r>
      <w:r w:rsidR="00030EC6">
        <w:t>evel 6 diet)</w:t>
      </w:r>
      <w:r w:rsidR="00237A1C">
        <w:t>.</w:t>
      </w:r>
      <w:r w:rsidR="00030EC6">
        <w:t xml:space="preserve"> </w:t>
      </w:r>
      <w:r w:rsidR="00237A1C">
        <w:t>T</w:t>
      </w:r>
      <w:r w:rsidR="00030EC6">
        <w:t xml:space="preserve">he implementation of </w:t>
      </w:r>
      <w:r w:rsidR="00237A1C">
        <w:t>this regime</w:t>
      </w:r>
      <w:r>
        <w:t xml:space="preserve"> result</w:t>
      </w:r>
      <w:r w:rsidR="00E2678C">
        <w:t>ed</w:t>
      </w:r>
      <w:r>
        <w:t xml:space="preserve"> in JJ refusing all food in protest. </w:t>
      </w:r>
      <w:r w:rsidR="00030EC6">
        <w:t xml:space="preserve">This </w:t>
      </w:r>
      <w:r w:rsidR="00245254">
        <w:t>created</w:t>
      </w:r>
      <w:r w:rsidR="00030EC6">
        <w:t xml:space="preserve"> further risks if he were to go back to a Level 6 diet, as he could suffer </w:t>
      </w:r>
      <w:r w:rsidR="00237A1C">
        <w:t xml:space="preserve">from </w:t>
      </w:r>
      <w:r w:rsidR="00030EC6">
        <w:t xml:space="preserve">re-feeding syndrome, which can be fatal, </w:t>
      </w:r>
      <w:r w:rsidR="00237A1C">
        <w:t xml:space="preserve">and so </w:t>
      </w:r>
      <w:r w:rsidR="00030EC6">
        <w:t>requir</w:t>
      </w:r>
      <w:r w:rsidR="00237A1C">
        <w:t>es</w:t>
      </w:r>
      <w:r w:rsidR="00030EC6">
        <w:t xml:space="preserve"> careful reintroduction of foods. </w:t>
      </w:r>
      <w:r w:rsidR="000110A9">
        <w:t xml:space="preserve">In November 2021, a SALT review took place, which stated that a reassessment would be necessary before </w:t>
      </w:r>
      <w:r w:rsidR="00237A1C">
        <w:t xml:space="preserve">a change to </w:t>
      </w:r>
      <w:r w:rsidR="000110A9">
        <w:t xml:space="preserve">JJ’s diet could take place. JJ refused and instead requested a letter that would state it was his choice to decide what to eat, which was declined by Spectrum. In May 2022, Spectrum provided a letter restating the need for JJ to be on a level 6 diet, and that while JJ was free to articulate his wishes, acting on them was not an option.  </w:t>
      </w:r>
    </w:p>
    <w:p w14:paraId="592C9485" w14:textId="321E2879" w:rsidR="008036BD" w:rsidRDefault="00CA1D99" w:rsidP="003863D9">
      <w:pPr>
        <w:spacing w:line="360" w:lineRule="auto"/>
        <w:jc w:val="both"/>
      </w:pPr>
      <w:r>
        <w:lastRenderedPageBreak/>
        <w:t>Since summer 2021</w:t>
      </w:r>
      <w:r w:rsidR="00A71291">
        <w:t>,</w:t>
      </w:r>
      <w:r>
        <w:t xml:space="preserve"> </w:t>
      </w:r>
      <w:r w:rsidR="000110A9">
        <w:t>JJ</w:t>
      </w:r>
      <w:r>
        <w:t xml:space="preserve"> has been on a liquid-only diet, bar a brief stint in a hospice in May 2022 where he was also fed cake, custard and ice cream.  The concerns regarding him choking on food were not unfounded, as he had several episodes of choking during his time in custody.</w:t>
      </w:r>
      <w:r w:rsidR="00030EC6">
        <w:t xml:space="preserve"> </w:t>
      </w:r>
      <w:r>
        <w:t>JJ remain</w:t>
      </w:r>
      <w:r w:rsidR="009D1B6C">
        <w:t>ed</w:t>
      </w:r>
      <w:r>
        <w:t xml:space="preserve"> adamant that he should be able to exercise his basic freedom to choose what he wishes to eat, being fully aware of the risks. However, Spectrum continue</w:t>
      </w:r>
      <w:r w:rsidR="009D1B6C">
        <w:t>d</w:t>
      </w:r>
      <w:r>
        <w:t xml:space="preserve"> to deny JJ the snacks he wishe</w:t>
      </w:r>
      <w:r w:rsidR="009D1B6C">
        <w:t>d</w:t>
      </w:r>
      <w:r>
        <w:t xml:space="preserve"> to consume, resulting in JJ bringing the case for judicial review of Spectrum’s decision.</w:t>
      </w:r>
    </w:p>
    <w:p w14:paraId="7629C7B6" w14:textId="0AB9215C" w:rsidR="00747834" w:rsidRPr="00876BF8" w:rsidRDefault="00A57001" w:rsidP="003863D9">
      <w:pPr>
        <w:spacing w:line="360" w:lineRule="auto"/>
        <w:jc w:val="both"/>
        <w:rPr>
          <w:color w:val="FF0000"/>
        </w:rPr>
      </w:pPr>
      <w:r w:rsidRPr="007C7CE7">
        <w:rPr>
          <w:u w:val="single"/>
        </w:rPr>
        <w:t>The High Court</w:t>
      </w:r>
      <w:r w:rsidR="00C66D96">
        <w:rPr>
          <w:u w:val="single"/>
        </w:rPr>
        <w:t>:</w:t>
      </w:r>
      <w:r>
        <w:t xml:space="preserve"> </w:t>
      </w:r>
      <w:r w:rsidR="00C66D96" w:rsidRPr="00C66D96">
        <w:t xml:space="preserve">JJ submitted to the High Court in 2022 that the SALT assessment was inaccurate because he had eaten sweets in the past without </w:t>
      </w:r>
      <w:r w:rsidR="004159FE" w:rsidRPr="00C66D96">
        <w:t>incident and</w:t>
      </w:r>
      <w:r w:rsidR="00C66D96" w:rsidRPr="00C66D96">
        <w:t xml:space="preserve"> had consumed foods outside of a level 6 diet in the hospice. The court rejected the submissions: neither proved to the judge that</w:t>
      </w:r>
      <w:r w:rsidR="00C66D96">
        <w:t xml:space="preserve"> </w:t>
      </w:r>
      <w:r w:rsidR="00B10A19">
        <w:t xml:space="preserve">the risk of choking was </w:t>
      </w:r>
      <w:r w:rsidR="00284ACF">
        <w:t>lower</w:t>
      </w:r>
      <w:r w:rsidR="00B10A19">
        <w:t xml:space="preserve"> than determined by the SALT assessment. Judge </w:t>
      </w:r>
      <w:proofErr w:type="spellStart"/>
      <w:r w:rsidR="00B10A19">
        <w:t>Sephton</w:t>
      </w:r>
      <w:proofErr w:type="spellEnd"/>
      <w:r w:rsidR="00B10A19">
        <w:t xml:space="preserve"> also stressed that such an event would be harrowing to staff and would lead to an investigation under Article 2</w:t>
      </w:r>
      <w:r w:rsidR="003863D9">
        <w:t xml:space="preserve"> of the European Convention on Human Rights</w:t>
      </w:r>
      <w:r w:rsidR="00B10A19">
        <w:t xml:space="preserve"> </w:t>
      </w:r>
      <w:r w:rsidR="003863D9">
        <w:t>(</w:t>
      </w:r>
      <w:r w:rsidR="00B10A19">
        <w:t>ECHR</w:t>
      </w:r>
      <w:r w:rsidR="003863D9">
        <w:t>)</w:t>
      </w:r>
      <w:r w:rsidR="00545256">
        <w:t>, as the care staff ha</w:t>
      </w:r>
      <w:r w:rsidR="0069361A">
        <w:t>ve</w:t>
      </w:r>
      <w:r w:rsidR="00545256">
        <w:t xml:space="preserve"> a positive obligation to </w:t>
      </w:r>
      <w:r w:rsidR="007B250B">
        <w:t>protect</w:t>
      </w:r>
      <w:r w:rsidR="00545256">
        <w:t xml:space="preserve"> JJ’s </w:t>
      </w:r>
      <w:r w:rsidR="007B250B">
        <w:t>life</w:t>
      </w:r>
      <w:r w:rsidR="00B10A19">
        <w:t>.</w:t>
      </w:r>
      <w:r w:rsidR="00B10A19">
        <w:rPr>
          <w:rStyle w:val="FootnoteReference"/>
        </w:rPr>
        <w:footnoteReference w:id="4"/>
      </w:r>
      <w:r w:rsidR="00747834">
        <w:t xml:space="preserve"> </w:t>
      </w:r>
      <w:r w:rsidR="00C66D96">
        <w:t>While medical staff are under a duty to take reasonable steps to keep a patient aliv</w:t>
      </w:r>
      <w:r w:rsidR="00C66D96" w:rsidRPr="003863D9">
        <w:t>e,</w:t>
      </w:r>
      <w:r w:rsidR="00C66D96" w:rsidRPr="003863D9">
        <w:rPr>
          <w:rStyle w:val="FootnoteReference"/>
        </w:rPr>
        <w:footnoteReference w:id="5"/>
      </w:r>
      <w:r w:rsidR="00C66D96" w:rsidRPr="003863D9">
        <w:t xml:space="preserve"> </w:t>
      </w:r>
      <w:r w:rsidR="00C66D96" w:rsidRPr="000B2425">
        <w:t>a patient with capacity also ha</w:t>
      </w:r>
      <w:r w:rsidR="004159FE">
        <w:t>s</w:t>
      </w:r>
      <w:r w:rsidR="00C66D96" w:rsidRPr="000B2425">
        <w:t xml:space="preserve"> the right to refuse </w:t>
      </w:r>
      <w:r w:rsidR="00C66D96" w:rsidRPr="003863D9">
        <w:t>treatments</w:t>
      </w:r>
      <w:r w:rsidR="00C66D96" w:rsidRPr="004159FE">
        <w:t>.</w:t>
      </w:r>
      <w:r w:rsidR="00C66D96" w:rsidRPr="004159FE">
        <w:rPr>
          <w:rStyle w:val="FootnoteReference"/>
        </w:rPr>
        <w:footnoteReference w:id="6"/>
      </w:r>
      <w:r w:rsidR="00C66D96" w:rsidRPr="003863D9">
        <w:rPr>
          <w:i/>
          <w:iCs/>
        </w:rPr>
        <w:t xml:space="preserve"> </w:t>
      </w:r>
      <w:r w:rsidR="00C66D96" w:rsidRPr="000B2425">
        <w:t xml:space="preserve">However, </w:t>
      </w:r>
      <w:r w:rsidR="00C66D96">
        <w:t xml:space="preserve">there is no obligation to provide </w:t>
      </w:r>
      <w:r w:rsidR="00C66D96" w:rsidRPr="000B2425">
        <w:t>a patient</w:t>
      </w:r>
      <w:r w:rsidR="00C66D96">
        <w:t xml:space="preserve"> with any particular medical treatment they request</w:t>
      </w:r>
      <w:r w:rsidR="00C66D96" w:rsidRPr="003863D9">
        <w:rPr>
          <w:i/>
          <w:iCs/>
        </w:rPr>
        <w:t>.</w:t>
      </w:r>
      <w:r w:rsidR="00C66D96" w:rsidRPr="003863D9">
        <w:rPr>
          <w:rStyle w:val="FootnoteReference"/>
        </w:rPr>
        <w:footnoteReference w:id="7"/>
      </w:r>
      <w:r w:rsidR="00C66D96" w:rsidRPr="003863D9">
        <w:rPr>
          <w:color w:val="FF0000"/>
        </w:rPr>
        <w:t xml:space="preserve"> </w:t>
      </w:r>
      <w:r w:rsidR="00747834">
        <w:t>While acknowledging that patients ha</w:t>
      </w:r>
      <w:r w:rsidR="004159FE">
        <w:t>ve</w:t>
      </w:r>
      <w:r w:rsidR="00747834">
        <w:t xml:space="preserve"> the right to decide </w:t>
      </w:r>
      <w:r w:rsidR="0069361A">
        <w:t xml:space="preserve">which </w:t>
      </w:r>
      <w:r w:rsidR="00747834">
        <w:t>treatment</w:t>
      </w:r>
      <w:r w:rsidR="0069361A">
        <w:t xml:space="preserve">s to agree to </w:t>
      </w:r>
      <w:r w:rsidR="00747834">
        <w:t xml:space="preserve">if there </w:t>
      </w:r>
      <w:r w:rsidR="004159FE">
        <w:t>a</w:t>
      </w:r>
      <w:r w:rsidR="00747834">
        <w:t xml:space="preserve">re options, there </w:t>
      </w:r>
      <w:r w:rsidR="00284ACF">
        <w:t>are</w:t>
      </w:r>
      <w:r w:rsidR="00747834">
        <w:t xml:space="preserve"> limits to a patient’s autonomy. In this case, the limiting factor was the patient’s need to rely on others for all activities</w:t>
      </w:r>
      <w:r w:rsidR="00823A30">
        <w:t xml:space="preserve"> beyond breathing, speaking and swallowing</w:t>
      </w:r>
      <w:r w:rsidR="00747834">
        <w:t xml:space="preserve">. </w:t>
      </w:r>
      <w:r w:rsidR="00C66D96">
        <w:t xml:space="preserve">Judge </w:t>
      </w:r>
      <w:proofErr w:type="spellStart"/>
      <w:r w:rsidR="00C66D96">
        <w:t>Sephton</w:t>
      </w:r>
      <w:proofErr w:type="spellEnd"/>
      <w:r w:rsidR="00C66D96">
        <w:t xml:space="preserve"> acknowledged that while JJ could make any kind of decision he wanted, he was unable to act upon them. </w:t>
      </w:r>
      <w:r w:rsidR="000B2425" w:rsidRPr="000B2425">
        <w:t>The judge held that Spectrum did not have to act in accordance with JJ’s wishes</w:t>
      </w:r>
      <w:r w:rsidR="00816462">
        <w:t xml:space="preserve"> </w:t>
      </w:r>
      <w:r w:rsidR="000B2425" w:rsidRPr="000B2425">
        <w:t>as this would go against his clinical needs</w:t>
      </w:r>
      <w:r w:rsidR="00237A1C">
        <w:t>,</w:t>
      </w:r>
      <w:r w:rsidR="000B2425" w:rsidRPr="000B2425">
        <w:t xml:space="preserve"> and</w:t>
      </w:r>
      <w:r w:rsidR="00237A1C">
        <w:t>,</w:t>
      </w:r>
      <w:r w:rsidR="000B2425" w:rsidRPr="000B2425">
        <w:t xml:space="preserve"> therefore</w:t>
      </w:r>
      <w:r w:rsidR="00237A1C">
        <w:t>,</w:t>
      </w:r>
      <w:r w:rsidR="000B2425" w:rsidRPr="000B2425">
        <w:t xml:space="preserve"> </w:t>
      </w:r>
      <w:r w:rsidR="00816462">
        <w:t xml:space="preserve">would </w:t>
      </w:r>
      <w:r w:rsidR="000B2425" w:rsidRPr="000B2425">
        <w:t>be contra-indicated</w:t>
      </w:r>
      <w:r w:rsidR="004159FE">
        <w:t>,</w:t>
      </w:r>
      <w:r w:rsidR="00747834">
        <w:rPr>
          <w:rStyle w:val="FootnoteReference"/>
        </w:rPr>
        <w:footnoteReference w:id="8"/>
      </w:r>
      <w:r w:rsidR="00747834">
        <w:t xml:space="preserve"> </w:t>
      </w:r>
      <w:r w:rsidR="00876BF8">
        <w:t>a</w:t>
      </w:r>
      <w:r w:rsidR="004159FE">
        <w:t xml:space="preserve">s acting upon them </w:t>
      </w:r>
      <w:r w:rsidR="00876BF8">
        <w:t xml:space="preserve">could lead to harm or even death and </w:t>
      </w:r>
      <w:r w:rsidR="00284ACF">
        <w:t>c</w:t>
      </w:r>
      <w:r w:rsidR="00284ACF" w:rsidRPr="00284ACF">
        <w:t xml:space="preserve">onsequentially </w:t>
      </w:r>
      <w:r w:rsidR="00825E20">
        <w:t>expos</w:t>
      </w:r>
      <w:r w:rsidR="00DE6874">
        <w:t>e</w:t>
      </w:r>
      <w:r w:rsidR="00825E20">
        <w:t xml:space="preserve"> </w:t>
      </w:r>
      <w:r w:rsidR="004159FE">
        <w:t xml:space="preserve">Spectrum </w:t>
      </w:r>
      <w:r w:rsidR="00284ACF" w:rsidRPr="00284ACF">
        <w:t>to potential prosecution or regulatory action</w:t>
      </w:r>
      <w:r w:rsidR="00876BF8">
        <w:t>.</w:t>
      </w:r>
      <w:r w:rsidR="00747834">
        <w:rPr>
          <w:rStyle w:val="FootnoteReference"/>
        </w:rPr>
        <w:footnoteReference w:id="9"/>
      </w:r>
    </w:p>
    <w:p w14:paraId="2913449F" w14:textId="26B4021B" w:rsidR="00EF0927" w:rsidRPr="00747834" w:rsidRDefault="00EF0927" w:rsidP="003863D9">
      <w:pPr>
        <w:spacing w:line="360" w:lineRule="auto"/>
        <w:jc w:val="both"/>
      </w:pPr>
      <w:r>
        <w:t>The High Court also dismissed the argument that the refusal by Spectrum violated JJ’s article 8 ECHR rights. While clearly en</w:t>
      </w:r>
      <w:r w:rsidR="0047226B">
        <w:t xml:space="preserve">croaching on </w:t>
      </w:r>
      <w:r>
        <w:t xml:space="preserve">his personal autonomy, Spectrum’s conduct was within the law, </w:t>
      </w:r>
      <w:r w:rsidR="00823A30">
        <w:t xml:space="preserve">as </w:t>
      </w:r>
      <w:r w:rsidR="00E95E0C">
        <w:t>patients cannot request specific medical treatment</w:t>
      </w:r>
      <w:r w:rsidR="00E95E0C">
        <w:rPr>
          <w:rStyle w:val="FootnoteReference"/>
        </w:rPr>
        <w:footnoteReference w:id="10"/>
      </w:r>
      <w:r w:rsidR="00E95E0C">
        <w:t xml:space="preserve"> and nutrition is part of medical treatment.</w:t>
      </w:r>
      <w:r w:rsidR="00E95E0C">
        <w:rPr>
          <w:rStyle w:val="FootnoteReference"/>
        </w:rPr>
        <w:footnoteReference w:id="11"/>
      </w:r>
      <w:r w:rsidR="00E95E0C">
        <w:t xml:space="preserve"> </w:t>
      </w:r>
      <w:r w:rsidR="00823A30">
        <w:t>Consequently,</w:t>
      </w:r>
      <w:r>
        <w:t xml:space="preserve"> as the right to respect for private life is not absolute, the interference was permissible. </w:t>
      </w:r>
    </w:p>
    <w:p w14:paraId="7F110FAF" w14:textId="3BDF852F" w:rsidR="00747834" w:rsidRDefault="00747834" w:rsidP="003863D9">
      <w:pPr>
        <w:spacing w:line="360" w:lineRule="auto"/>
        <w:jc w:val="both"/>
      </w:pPr>
    </w:p>
    <w:p w14:paraId="5477450C" w14:textId="0140D709" w:rsidR="00CA1D99" w:rsidRPr="0052653B" w:rsidRDefault="00A71291" w:rsidP="003863D9">
      <w:pPr>
        <w:spacing w:line="360" w:lineRule="auto"/>
        <w:jc w:val="both"/>
      </w:pPr>
      <w:r w:rsidRPr="007C7CE7">
        <w:rPr>
          <w:u w:val="single"/>
        </w:rPr>
        <w:t xml:space="preserve">The </w:t>
      </w:r>
      <w:r w:rsidR="00666AD1">
        <w:rPr>
          <w:u w:val="single"/>
        </w:rPr>
        <w:t>Court of Appeal</w:t>
      </w:r>
      <w:r>
        <w:t xml:space="preserve"> </w:t>
      </w:r>
      <w:r w:rsidR="00122C6A">
        <w:t xml:space="preserve">considered </w:t>
      </w:r>
      <w:r w:rsidR="001E3FEA">
        <w:t>the</w:t>
      </w:r>
      <w:r w:rsidR="00122C6A">
        <w:t xml:space="preserve"> appeal </w:t>
      </w:r>
      <w:r w:rsidR="001E3FEA">
        <w:t>on two grounds</w:t>
      </w:r>
      <w:r w:rsidR="00816462">
        <w:t>.</w:t>
      </w:r>
      <w:r w:rsidR="001E3FEA">
        <w:t xml:space="preserve"> </w:t>
      </w:r>
      <w:r w:rsidR="00816462">
        <w:t>F</w:t>
      </w:r>
      <w:r w:rsidR="001E3FEA">
        <w:t xml:space="preserve">irst, that </w:t>
      </w:r>
      <w:r w:rsidR="00751FC5">
        <w:t>the judge should not have reached the conclusion that Spectrum could lawfully override JJ’s autonomy</w:t>
      </w:r>
      <w:r w:rsidR="00562843">
        <w:t xml:space="preserve"> based on </w:t>
      </w:r>
      <w:r w:rsidR="00284ACF">
        <w:t xml:space="preserve">the </w:t>
      </w:r>
      <w:r w:rsidR="00562843">
        <w:t>evidence</w:t>
      </w:r>
      <w:r w:rsidR="00284ACF">
        <w:t xml:space="preserve"> provided</w:t>
      </w:r>
      <w:r w:rsidR="00562843">
        <w:t xml:space="preserve"> and established case law</w:t>
      </w:r>
      <w:r w:rsidR="00816462">
        <w:t xml:space="preserve">, </w:t>
      </w:r>
      <w:r w:rsidR="00562843">
        <w:t>and second, that Spectrum’s interference with JJ’s article 8 ECHR rights was not proportionate and in accordance with the law. I</w:t>
      </w:r>
      <w:r>
        <w:t xml:space="preserve">n dismissing </w:t>
      </w:r>
      <w:r w:rsidR="00562843">
        <w:t>these</w:t>
      </w:r>
      <w:r>
        <w:t xml:space="preserve"> claim</w:t>
      </w:r>
      <w:r w:rsidR="00562843">
        <w:t>s</w:t>
      </w:r>
      <w:r>
        <w:t xml:space="preserve">, </w:t>
      </w:r>
      <w:r w:rsidR="00562843">
        <w:t xml:space="preserve">Lady Justice King </w:t>
      </w:r>
      <w:r>
        <w:t xml:space="preserve">argued that </w:t>
      </w:r>
      <w:r w:rsidR="00D02806">
        <w:t xml:space="preserve">the evidence and case law on the matter were clear – physicians cannot be told which treatment to offer, and while patients have the right to choose, they can only choose between what is offered. This was clear from </w:t>
      </w:r>
      <w:r w:rsidR="00D02806">
        <w:rPr>
          <w:i/>
          <w:iCs/>
        </w:rPr>
        <w:t>Montgomery</w:t>
      </w:r>
      <w:r w:rsidR="00D02806">
        <w:t xml:space="preserve"> in which Lord Kerr clarified that “</w:t>
      </w:r>
      <w:r w:rsidR="00F83DC4">
        <w:t>[a]</w:t>
      </w:r>
      <w:r w:rsidR="00D02806">
        <w:t>n adult person of sound mind is entitled to decide which, if any of the available forms of treatment to undergo”.</w:t>
      </w:r>
      <w:r w:rsidR="00D02806">
        <w:rPr>
          <w:rStyle w:val="FootnoteReference"/>
        </w:rPr>
        <w:footnoteReference w:id="12"/>
      </w:r>
      <w:r w:rsidR="0052653B">
        <w:t xml:space="preserve"> The most recent </w:t>
      </w:r>
      <w:r w:rsidR="00666AD1">
        <w:t xml:space="preserve">Supreme Court </w:t>
      </w:r>
      <w:r w:rsidR="0052653B">
        <w:t xml:space="preserve">case </w:t>
      </w:r>
      <w:r w:rsidR="0052653B">
        <w:rPr>
          <w:i/>
          <w:iCs/>
        </w:rPr>
        <w:t xml:space="preserve">McCulloch </w:t>
      </w:r>
      <w:r w:rsidR="0052653B">
        <w:t>further clarified that</w:t>
      </w:r>
      <w:r w:rsidR="00816462">
        <w:t xml:space="preserve"> the professional practice test applied to judging </w:t>
      </w:r>
      <w:r w:rsidR="0052653B">
        <w:t>a</w:t>
      </w:r>
      <w:r w:rsidR="00816462">
        <w:t xml:space="preserve"> healthcare professional’s obligation</w:t>
      </w:r>
      <w:r w:rsidR="0052653B">
        <w:t xml:space="preserve"> </w:t>
      </w:r>
      <w:r w:rsidR="00816462">
        <w:t xml:space="preserve">to disclose alternative </w:t>
      </w:r>
      <w:r w:rsidR="0052653B">
        <w:t>treatment</w:t>
      </w:r>
      <w:r w:rsidR="00816462">
        <w:t xml:space="preserve"> options</w:t>
      </w:r>
      <w:r w:rsidR="0052653B">
        <w:t xml:space="preserve"> in</w:t>
      </w:r>
      <w:r w:rsidR="00816462">
        <w:t xml:space="preserve"> the process of obtaining a patient’s informed consent, meaning that the conduct of healthcare professionals in this regard will be assessed by reference to their peers.</w:t>
      </w:r>
      <w:r w:rsidR="0052653B">
        <w:rPr>
          <w:rStyle w:val="FootnoteReference"/>
        </w:rPr>
        <w:footnoteReference w:id="13"/>
      </w:r>
      <w:r w:rsidR="00580A6F">
        <w:t xml:space="preserve"> Regarding the article 8 ECHR claim, Lady Justice King confirmed that the regulations governing JJ’s care f</w:t>
      </w:r>
      <w:r w:rsidR="00C66D96">
        <w:t>e</w:t>
      </w:r>
      <w:r w:rsidR="00580A6F">
        <w:t>ll under the article 8.2 ECHR provision ‘in accordance with the law’ and that for the proportionality assessment, feeding JJ in a less supine position</w:t>
      </w:r>
      <w:r w:rsidR="0069361A">
        <w:t>,</w:t>
      </w:r>
      <w:r w:rsidR="00580A6F">
        <w:t xml:space="preserve"> was not </w:t>
      </w:r>
      <w:r w:rsidR="00816462">
        <w:t xml:space="preserve">put </w:t>
      </w:r>
      <w:r w:rsidR="00580A6F">
        <w:t>before the court so did not need to be considered.</w:t>
      </w:r>
      <w:r w:rsidR="00CE76FB">
        <w:t xml:space="preserve"> There was no evidence regarding this issue and JJ had refused a SALT assessment to determine whether he could receive nutrition in a more elevated position.</w:t>
      </w:r>
      <w:r w:rsidR="00580A6F">
        <w:t xml:space="preserve"> </w:t>
      </w:r>
      <w:r w:rsidR="00CE76FB">
        <w:t xml:space="preserve">Lady Justice King </w:t>
      </w:r>
      <w:r w:rsidR="00580A6F">
        <w:t>agreed with the finding that the interference with JJ’s article 8 rights were both in accordance with the law and proportionate</w:t>
      </w:r>
      <w:r w:rsidR="00284ACF">
        <w:t>, so in consequence</w:t>
      </w:r>
      <w:r w:rsidR="00580A6F">
        <w:t xml:space="preserve"> dismissed the appeal on both the common law and the ECHR ground</w:t>
      </w:r>
      <w:r w:rsidR="00284ACF">
        <w:t>s</w:t>
      </w:r>
      <w:r w:rsidR="00580A6F">
        <w:t xml:space="preserve">, </w:t>
      </w:r>
      <w:r w:rsidR="0069361A">
        <w:t xml:space="preserve">a view with </w:t>
      </w:r>
      <w:r w:rsidR="00580A6F">
        <w:t xml:space="preserve">which Lord Justice Lewis and Lord Burnett of Maldon </w:t>
      </w:r>
      <w:r w:rsidR="0069361A">
        <w:t xml:space="preserve">also </w:t>
      </w:r>
      <w:r w:rsidR="00580A6F">
        <w:t>agreed.</w:t>
      </w:r>
    </w:p>
    <w:p w14:paraId="4EDD3C9F" w14:textId="77777777" w:rsidR="008D7E5B" w:rsidRDefault="008D7E5B" w:rsidP="003863D9">
      <w:pPr>
        <w:spacing w:line="360" w:lineRule="auto"/>
        <w:jc w:val="both"/>
        <w:rPr>
          <w:b/>
          <w:bCs/>
        </w:rPr>
      </w:pPr>
    </w:p>
    <w:p w14:paraId="611D3595" w14:textId="18BAE10F" w:rsidR="008D7E5B" w:rsidRPr="009D3BD4" w:rsidRDefault="009D3BD4" w:rsidP="009D3BD4">
      <w:pPr>
        <w:spacing w:line="360" w:lineRule="auto"/>
        <w:jc w:val="center"/>
      </w:pPr>
      <w:r w:rsidRPr="009D3BD4">
        <w:t>COMMENTARY</w:t>
      </w:r>
    </w:p>
    <w:p w14:paraId="7B3961A4" w14:textId="6ABD60AD" w:rsidR="007B250B" w:rsidRPr="00645693" w:rsidRDefault="007B250B" w:rsidP="003863D9">
      <w:pPr>
        <w:spacing w:line="360" w:lineRule="auto"/>
        <w:jc w:val="both"/>
      </w:pPr>
      <w:r w:rsidRPr="007B250B">
        <w:rPr>
          <w:i/>
          <w:iCs/>
        </w:rPr>
        <w:t>JJ</w:t>
      </w:r>
      <w:r>
        <w:rPr>
          <w:i/>
          <w:iCs/>
        </w:rPr>
        <w:t xml:space="preserve"> </w:t>
      </w:r>
      <w:r w:rsidR="00443DCD">
        <w:t xml:space="preserve">is a judicial review case regarding the care provider's decision about JJ’s diet. The question being whether it is lawful for a care provider to put restrictions on what the patient can eat. The judge found that following </w:t>
      </w:r>
      <w:r w:rsidR="00443DCD" w:rsidRPr="00CB4FDD">
        <w:rPr>
          <w:i/>
          <w:iCs/>
        </w:rPr>
        <w:t>Burke</w:t>
      </w:r>
      <w:r w:rsidR="00443DCD">
        <w:t>,</w:t>
      </w:r>
      <w:r w:rsidR="00443DCD">
        <w:rPr>
          <w:rStyle w:val="FootnoteReference"/>
        </w:rPr>
        <w:footnoteReference w:id="14"/>
      </w:r>
      <w:r w:rsidR="00443DCD">
        <w:t xml:space="preserve"> as the requested diet was not clinically indicated, there was no obligation on the care provider to provide the requested diet.</w:t>
      </w:r>
      <w:r w:rsidR="00443DCD">
        <w:rPr>
          <w:rStyle w:val="FootnoteReference"/>
        </w:rPr>
        <w:footnoteReference w:id="15"/>
      </w:r>
      <w:r w:rsidR="00443DCD">
        <w:t xml:space="preserve"> And while this was an interference with his right to private and personal life under article 8 ECHR, this interference was justified</w:t>
      </w:r>
      <w:r w:rsidR="005E2151">
        <w:t xml:space="preserve"> and that </w:t>
      </w:r>
      <w:r w:rsidR="005E2151">
        <w:rPr>
          <w:i/>
          <w:iCs/>
        </w:rPr>
        <w:t xml:space="preserve">Burke </w:t>
      </w:r>
      <w:r w:rsidR="005E2151">
        <w:t>was precise enough to fulfil the ‘in accordance with the law’ requirement for Article 8(2) ECHR.</w:t>
      </w:r>
      <w:r w:rsidR="005E2151">
        <w:rPr>
          <w:rStyle w:val="FootnoteReference"/>
        </w:rPr>
        <w:footnoteReference w:id="16"/>
      </w:r>
      <w:r w:rsidR="005E2151">
        <w:t xml:space="preserve"> The </w:t>
      </w:r>
      <w:r w:rsidR="005E2151">
        <w:lastRenderedPageBreak/>
        <w:t>reasoning as such is logical, and as a judicial review the judgment is sound. However, while</w:t>
      </w:r>
      <w:r w:rsidR="005E2151" w:rsidRPr="00443DCD">
        <w:rPr>
          <w:i/>
          <w:iCs/>
        </w:rPr>
        <w:t xml:space="preserve"> JJ </w:t>
      </w:r>
      <w:r w:rsidR="005E2151">
        <w:t>is a judicial review case, the judgment is of importance to the development of medical law cases concerning negligence, as it raises issues of patient autonomy</w:t>
      </w:r>
      <w:r w:rsidR="005003C6">
        <w:t>, and should also be considered regarding prisoners’ rights</w:t>
      </w:r>
      <w:r w:rsidR="005E2151">
        <w:t>.</w:t>
      </w:r>
      <w:r w:rsidR="00443DCD">
        <w:t xml:space="preserve"> </w:t>
      </w:r>
      <w:r w:rsidR="00645693">
        <w:t xml:space="preserve">As one of the grounds of the appeal was autonomy, and the right to choose, the court considered the development of patient autonomy in the cases </w:t>
      </w:r>
      <w:r w:rsidR="00645693">
        <w:rPr>
          <w:i/>
          <w:iCs/>
        </w:rPr>
        <w:t xml:space="preserve">Montgomery </w:t>
      </w:r>
      <w:r w:rsidR="00645693">
        <w:t xml:space="preserve">and </w:t>
      </w:r>
      <w:r w:rsidR="00645693">
        <w:rPr>
          <w:i/>
          <w:iCs/>
        </w:rPr>
        <w:t>McCulloch</w:t>
      </w:r>
      <w:r w:rsidR="00645693">
        <w:t xml:space="preserve">.  </w:t>
      </w:r>
    </w:p>
    <w:p w14:paraId="259461DB" w14:textId="77777777" w:rsidR="00680655" w:rsidRDefault="00680655" w:rsidP="003863D9">
      <w:pPr>
        <w:spacing w:line="360" w:lineRule="auto"/>
        <w:jc w:val="both"/>
        <w:rPr>
          <w:u w:val="single"/>
        </w:rPr>
      </w:pPr>
    </w:p>
    <w:p w14:paraId="6F9BED9B" w14:textId="6D2E5589" w:rsidR="002F1AD2" w:rsidRPr="009D3BD4" w:rsidRDefault="005E2151" w:rsidP="009D3BD4">
      <w:pPr>
        <w:spacing w:line="360" w:lineRule="auto"/>
        <w:jc w:val="center"/>
        <w:rPr>
          <w:i/>
          <w:iCs/>
        </w:rPr>
      </w:pPr>
      <w:r w:rsidRPr="009D3BD4">
        <w:rPr>
          <w:i/>
          <w:iCs/>
        </w:rPr>
        <w:t xml:space="preserve">Patient Autonomy </w:t>
      </w:r>
      <w:r w:rsidR="002F1AD2" w:rsidRPr="009D3BD4">
        <w:rPr>
          <w:i/>
          <w:iCs/>
        </w:rPr>
        <w:t>Post-Montgomery</w:t>
      </w:r>
    </w:p>
    <w:p w14:paraId="701DF490" w14:textId="14A15D75" w:rsidR="00284ACF" w:rsidRDefault="00A25E7D" w:rsidP="003863D9">
      <w:pPr>
        <w:spacing w:line="360" w:lineRule="auto"/>
        <w:jc w:val="both"/>
      </w:pPr>
      <w:r>
        <w:t>Through negligence cases the relationship between doctor and patient has evolved and patient autonomy has grown and curtailed medical paternalism</w:t>
      </w:r>
      <w:r w:rsidR="00CE76FB">
        <w:t>,</w:t>
      </w:r>
      <w:r w:rsidR="00E61510">
        <w:rPr>
          <w:rStyle w:val="FootnoteReference"/>
        </w:rPr>
        <w:footnoteReference w:id="17"/>
      </w:r>
      <w:r w:rsidR="00CE76FB">
        <w:t xml:space="preserve"> though </w:t>
      </w:r>
      <w:r w:rsidR="00114BD5">
        <w:t>in the most recent medical negligence case, an element of ‘doctor knows best’ resurfaced</w:t>
      </w:r>
      <w:r>
        <w:t>.</w:t>
      </w:r>
      <w:r w:rsidR="00CE76FB">
        <w:rPr>
          <w:rStyle w:val="FootnoteReference"/>
        </w:rPr>
        <w:footnoteReference w:id="18"/>
      </w:r>
      <w:r>
        <w:t xml:space="preserve"> </w:t>
      </w:r>
      <w:r w:rsidR="00284ACF">
        <w:t xml:space="preserve">While not a negligence case, </w:t>
      </w:r>
      <w:r w:rsidR="00284ACF" w:rsidRPr="00006B43">
        <w:rPr>
          <w:i/>
          <w:iCs/>
        </w:rPr>
        <w:t>JJ v Spectrum Community Health</w:t>
      </w:r>
      <w:r w:rsidR="00284ACF">
        <w:rPr>
          <w:i/>
          <w:iCs/>
        </w:rPr>
        <w:t xml:space="preserve"> </w:t>
      </w:r>
      <w:r w:rsidR="00284ACF">
        <w:t xml:space="preserve">does fall into this line of case law in that it centres around the question how far medical paternalism can curtail patient autonomy. Crucially, patient autonomy is never absolute. Following </w:t>
      </w:r>
      <w:r w:rsidR="00284ACF">
        <w:rPr>
          <w:i/>
          <w:iCs/>
        </w:rPr>
        <w:t xml:space="preserve">Burke, </w:t>
      </w:r>
      <w:r w:rsidR="00284ACF">
        <w:t xml:space="preserve">a patient cannot request specific treatments and as nutrition is part of medical treatment, specific foods cannot be requested. However, </w:t>
      </w:r>
      <w:r w:rsidR="00BB7947">
        <w:t>refusing a patient certain foods</w:t>
      </w:r>
      <w:r w:rsidR="00284ACF">
        <w:t xml:space="preserve"> should be on a sound basis, rather than a paternalistic refusal without alternatives or compromise.  </w:t>
      </w:r>
    </w:p>
    <w:p w14:paraId="7F852BFF" w14:textId="4AFA01AD" w:rsidR="00A25E7D" w:rsidRPr="00AE65DE" w:rsidRDefault="00284ACF" w:rsidP="003863D9">
      <w:pPr>
        <w:spacing w:line="360" w:lineRule="auto"/>
        <w:jc w:val="both"/>
      </w:pPr>
      <w:r>
        <w:t>In</w:t>
      </w:r>
      <w:r w:rsidR="00A25E7D">
        <w:t xml:space="preserve"> early cases a physician only needed </w:t>
      </w:r>
      <w:r>
        <w:t xml:space="preserve">the </w:t>
      </w:r>
      <w:r w:rsidR="00A25E7D">
        <w:t>agreement of another recognised medical body</w:t>
      </w:r>
      <w:r w:rsidR="00666AD1">
        <w:t xml:space="preserve"> regarding medical decisions</w:t>
      </w:r>
      <w:r w:rsidR="00C66D96">
        <w:t>;</w:t>
      </w:r>
      <w:r w:rsidR="00A25E7D">
        <w:rPr>
          <w:rStyle w:val="FootnoteReference"/>
        </w:rPr>
        <w:footnoteReference w:id="19"/>
      </w:r>
      <w:r w:rsidR="00A25E7D">
        <w:t xml:space="preserve"> this has changed to give more room to patient choice. A risk-benefit analysis of treatment is needed</w:t>
      </w:r>
      <w:r w:rsidR="00A25E7D">
        <w:rPr>
          <w:rStyle w:val="FootnoteReference"/>
        </w:rPr>
        <w:footnoteReference w:id="20"/>
      </w:r>
      <w:r w:rsidR="00A25E7D">
        <w:t xml:space="preserve"> and a patient also needs to be made aware of </w:t>
      </w:r>
      <w:r w:rsidR="00A5088D">
        <w:t xml:space="preserve">reasonable </w:t>
      </w:r>
      <w:r w:rsidR="00A25E7D">
        <w:t>alternative procedures.</w:t>
      </w:r>
      <w:r w:rsidR="00A25E7D">
        <w:rPr>
          <w:rStyle w:val="FootnoteReference"/>
        </w:rPr>
        <w:footnoteReference w:id="21"/>
      </w:r>
      <w:r w:rsidR="00A25E7D">
        <w:t xml:space="preserve"> </w:t>
      </w:r>
      <w:r w:rsidR="00163C7A">
        <w:t xml:space="preserve">Over the past </w:t>
      </w:r>
      <w:r w:rsidR="001D3642">
        <w:t>seven</w:t>
      </w:r>
      <w:r w:rsidR="00163C7A">
        <w:t xml:space="preserve"> decades, English law has given the patient increasing room to make autonomous choices.</w:t>
      </w:r>
      <w:r w:rsidR="00A25E7D">
        <w:t xml:space="preserve"> </w:t>
      </w:r>
      <w:r w:rsidR="00AE65DE">
        <w:t xml:space="preserve">In </w:t>
      </w:r>
      <w:r w:rsidR="00AE65DE">
        <w:rPr>
          <w:i/>
          <w:iCs/>
        </w:rPr>
        <w:t>Airedale</w:t>
      </w:r>
      <w:r w:rsidR="00AE65DE">
        <w:t>, Lord Hoffman defined autonomy as the right to choose how to live one’s life</w:t>
      </w:r>
      <w:r w:rsidR="00AE65DE">
        <w:rPr>
          <w:rStyle w:val="FootnoteReference"/>
        </w:rPr>
        <w:footnoteReference w:id="22"/>
      </w:r>
      <w:r w:rsidR="00AE65DE">
        <w:t xml:space="preserve"> and in </w:t>
      </w:r>
      <w:r w:rsidR="00AE65DE">
        <w:rPr>
          <w:i/>
          <w:iCs/>
        </w:rPr>
        <w:t>Montgomery</w:t>
      </w:r>
      <w:r w:rsidR="00AE65DE">
        <w:t>, Lady Hale stressed that personal autonomy meant the freedom to decide what should (or shouldn’t) be done with one’s body.</w:t>
      </w:r>
      <w:r w:rsidR="00480959">
        <w:rPr>
          <w:rStyle w:val="FootnoteReference"/>
        </w:rPr>
        <w:footnoteReference w:id="23"/>
      </w:r>
      <w:r w:rsidR="00AE65DE">
        <w:t xml:space="preserve"> </w:t>
      </w:r>
      <w:r>
        <w:t>I</w:t>
      </w:r>
      <w:r w:rsidRPr="00284ACF">
        <w:t xml:space="preserve">mportantly, </w:t>
      </w:r>
      <w:r>
        <w:t>t</w:t>
      </w:r>
      <w:r w:rsidRPr="00284ACF">
        <w:t>his right extends to patients choosing treatment even</w:t>
      </w:r>
      <w:r w:rsidR="00747834">
        <w:t xml:space="preserve"> if that treatment comes with </w:t>
      </w:r>
      <w:r w:rsidR="00666AD1">
        <w:t>negative</w:t>
      </w:r>
      <w:r w:rsidR="00747834">
        <w:t xml:space="preserve"> consequence</w:t>
      </w:r>
      <w:r w:rsidR="00666AD1">
        <w:t>s, including</w:t>
      </w:r>
      <w:r w:rsidR="00747834">
        <w:t xml:space="preserve"> their death.</w:t>
      </w:r>
      <w:r w:rsidR="00747834">
        <w:rPr>
          <w:rStyle w:val="FootnoteReference"/>
        </w:rPr>
        <w:footnoteReference w:id="24"/>
      </w:r>
      <w:r w:rsidR="00747834">
        <w:t xml:space="preserve"> </w:t>
      </w:r>
    </w:p>
    <w:p w14:paraId="0EBE4421" w14:textId="0D8B1CCF" w:rsidR="00740BEC" w:rsidRPr="000C3297" w:rsidRDefault="00245254" w:rsidP="003863D9">
      <w:pPr>
        <w:spacing w:line="360" w:lineRule="auto"/>
        <w:jc w:val="both"/>
      </w:pPr>
      <w:r>
        <w:lastRenderedPageBreak/>
        <w:t xml:space="preserve">While </w:t>
      </w:r>
      <w:r w:rsidR="00D0125E">
        <w:t>the Supreme Court under</w:t>
      </w:r>
      <w:r w:rsidR="00740BEC">
        <w:t xml:space="preserve"> Lady Hale</w:t>
      </w:r>
      <w:r w:rsidR="00D0125E">
        <w:t xml:space="preserve"> advanced patients’ rights</w:t>
      </w:r>
      <w:r w:rsidR="00740BEC">
        <w:t xml:space="preserve"> t</w:t>
      </w:r>
      <w:r w:rsidR="00284ACF">
        <w:t>o choose</w:t>
      </w:r>
      <w:r w:rsidR="001D3642">
        <w:t>,</w:t>
      </w:r>
      <w:r w:rsidR="00BB7947">
        <w:rPr>
          <w:rStyle w:val="FootnoteReference"/>
        </w:rPr>
        <w:footnoteReference w:id="25"/>
      </w:r>
      <w:r w:rsidR="00740BEC">
        <w:t xml:space="preserve"> </w:t>
      </w:r>
      <w:r w:rsidR="00A972CA">
        <w:t>the most recent Supreme Court judgment on medical negligence</w:t>
      </w:r>
      <w:r w:rsidR="00A972CA">
        <w:rPr>
          <w:rStyle w:val="FootnoteReference"/>
        </w:rPr>
        <w:footnoteReference w:id="26"/>
      </w:r>
      <w:r w:rsidR="00A972CA">
        <w:t xml:space="preserve"> might signal a turning point</w:t>
      </w:r>
      <w:r w:rsidR="00284ACF" w:rsidRPr="00284ACF">
        <w:t xml:space="preserve"> </w:t>
      </w:r>
      <w:r w:rsidR="00A972CA">
        <w:t>that could see courts curtailing patient autonomy further in future cases</w:t>
      </w:r>
      <w:r w:rsidR="00740BEC">
        <w:t>.</w:t>
      </w:r>
      <w:r w:rsidR="001D3642">
        <w:t xml:space="preserve"> </w:t>
      </w:r>
      <w:r w:rsidR="00480959">
        <w:t xml:space="preserve">Up until the decision in </w:t>
      </w:r>
      <w:r w:rsidR="00480959">
        <w:rPr>
          <w:i/>
          <w:iCs/>
        </w:rPr>
        <w:t xml:space="preserve">McCulloch, </w:t>
      </w:r>
      <w:r w:rsidR="001D3642">
        <w:t xml:space="preserve"> “we have seen both case law and legislation that places the patient at the very heart of the legal landscape”.</w:t>
      </w:r>
      <w:r w:rsidR="001D3642">
        <w:rPr>
          <w:rStyle w:val="FootnoteReference"/>
        </w:rPr>
        <w:footnoteReference w:id="27"/>
      </w:r>
      <w:r w:rsidR="00163C7A">
        <w:t xml:space="preserve"> In</w:t>
      </w:r>
      <w:r w:rsidR="00480959">
        <w:t xml:space="preserve"> </w:t>
      </w:r>
      <w:r w:rsidR="00480959" w:rsidRPr="00480959">
        <w:rPr>
          <w:i/>
          <w:iCs/>
        </w:rPr>
        <w:t>McCulloch</w:t>
      </w:r>
      <w:r w:rsidR="00480959">
        <w:t>,</w:t>
      </w:r>
      <w:r w:rsidR="00163C7A">
        <w:t xml:space="preserve"> the court set a limit to </w:t>
      </w:r>
      <w:r w:rsidR="00163C7A">
        <w:rPr>
          <w:i/>
          <w:iCs/>
        </w:rPr>
        <w:t>Montgomery</w:t>
      </w:r>
      <w:r w:rsidR="00163C7A">
        <w:t>, in that it should be left to the physician in question to determine what alternative treatments were reasonable and should be presented to the patient</w:t>
      </w:r>
      <w:r w:rsidR="00BB7947">
        <w:t xml:space="preserve"> – while still needing the support from another responsible body of medical opinion in what they decide to present to the patient</w:t>
      </w:r>
      <w:r w:rsidR="00163C7A">
        <w:t xml:space="preserve">. It could be argued that this </w:t>
      </w:r>
      <w:r w:rsidR="00A5088D">
        <w:t>has halted any</w:t>
      </w:r>
      <w:r w:rsidR="00E47ACA">
        <w:t xml:space="preserve"> progress that the law has made in respect of the broader protection it provides for</w:t>
      </w:r>
      <w:r w:rsidR="00A5088D">
        <w:t xml:space="preserve"> </w:t>
      </w:r>
      <w:r w:rsidR="00163C7A">
        <w:t xml:space="preserve">patient autonomy, </w:t>
      </w:r>
      <w:r w:rsidR="00A5088D">
        <w:t xml:space="preserve">even though </w:t>
      </w:r>
      <w:r w:rsidR="00E47ACA">
        <w:t xml:space="preserve">it may be unrealistic to expect that all </w:t>
      </w:r>
      <w:r w:rsidR="00163C7A">
        <w:t xml:space="preserve">possible </w:t>
      </w:r>
      <w:r w:rsidR="00AE65DE">
        <w:t>alternatives could</w:t>
      </w:r>
      <w:r w:rsidR="00163C7A">
        <w:t xml:space="preserve"> or should be brought to the patient’s attention.</w:t>
      </w:r>
      <w:r w:rsidR="00163C7A">
        <w:rPr>
          <w:rStyle w:val="FootnoteReference"/>
        </w:rPr>
        <w:footnoteReference w:id="28"/>
      </w:r>
      <w:r w:rsidR="00163C7A">
        <w:t xml:space="preserve"> </w:t>
      </w:r>
      <w:r w:rsidR="000C3297">
        <w:t xml:space="preserve">At the same time it can be seen as a clarification of points left open in </w:t>
      </w:r>
      <w:r w:rsidR="000C3297">
        <w:rPr>
          <w:i/>
          <w:iCs/>
        </w:rPr>
        <w:t>Montgomery</w:t>
      </w:r>
      <w:r w:rsidR="000C3297">
        <w:t xml:space="preserve"> in that it is now clear that what counts as a reasonable alternative is to be determined by the doctors, not courts.</w:t>
      </w:r>
      <w:r w:rsidR="000C3297">
        <w:rPr>
          <w:rStyle w:val="FootnoteReference"/>
        </w:rPr>
        <w:footnoteReference w:id="29"/>
      </w:r>
    </w:p>
    <w:p w14:paraId="4311E719" w14:textId="08B16607" w:rsidR="008D15B1" w:rsidRDefault="00D0125E" w:rsidP="003863D9">
      <w:pPr>
        <w:spacing w:line="360" w:lineRule="auto"/>
        <w:jc w:val="both"/>
      </w:pPr>
      <w:r>
        <w:t xml:space="preserve">The development </w:t>
      </w:r>
      <w:r w:rsidR="00962C4F">
        <w:t xml:space="preserve">of patient autonomy, </w:t>
      </w:r>
      <w:r>
        <w:t xml:space="preserve">until </w:t>
      </w:r>
      <w:r w:rsidRPr="00962C4F">
        <w:rPr>
          <w:i/>
          <w:iCs/>
        </w:rPr>
        <w:t>McCulloch</w:t>
      </w:r>
      <w:r w:rsidR="00962C4F">
        <w:rPr>
          <w:i/>
          <w:iCs/>
        </w:rPr>
        <w:t>,</w:t>
      </w:r>
      <w:r w:rsidRPr="00962C4F">
        <w:rPr>
          <w:i/>
          <w:iCs/>
        </w:rPr>
        <w:t xml:space="preserve"> </w:t>
      </w:r>
      <w:r>
        <w:t xml:space="preserve">had been one which emphasised the </w:t>
      </w:r>
      <w:r w:rsidR="001C1694">
        <w:t>role of the individual</w:t>
      </w:r>
      <w:r>
        <w:t>.</w:t>
      </w:r>
      <w:r w:rsidR="00962C4F">
        <w:t xml:space="preserve"> Patients had to be able to express preferences about the options they had</w:t>
      </w:r>
      <w:r w:rsidR="001C1694">
        <w:t>,</w:t>
      </w:r>
      <w:r>
        <w:rPr>
          <w:rStyle w:val="FootnoteReference"/>
        </w:rPr>
        <w:footnoteReference w:id="30"/>
      </w:r>
      <w:r w:rsidR="00962C4F">
        <w:t xml:space="preserve"> </w:t>
      </w:r>
      <w:r w:rsidR="001C1694">
        <w:t>w</w:t>
      </w:r>
      <w:r w:rsidR="00962C4F">
        <w:t>h</w:t>
      </w:r>
      <w:r w:rsidR="001C1694">
        <w:t>ich</w:t>
      </w:r>
      <w:r w:rsidR="00962C4F">
        <w:t xml:space="preserve"> entails the offering of options. JJ’s only option was to accept the treatment he was </w:t>
      </w:r>
      <w:r w:rsidR="00494BA9">
        <w:t>given or</w:t>
      </w:r>
      <w:r w:rsidR="00962C4F">
        <w:t xml:space="preserve"> go on hunger-strike. ‘Eat or Die’ is not the same as having options. Arguably, the issue is that patients do not have an unlimited right to demand treatments, especially if there is no therapeutic purpose to them.</w:t>
      </w:r>
      <w:r w:rsidR="00962C4F">
        <w:rPr>
          <w:rStyle w:val="FootnoteReference"/>
        </w:rPr>
        <w:footnoteReference w:id="31"/>
      </w:r>
      <w:r w:rsidR="00962C4F">
        <w:t xml:space="preserve"> Additionally, autonomy can be restricted </w:t>
      </w:r>
      <w:r w:rsidR="003F5BA9">
        <w:t>if the autonomous choice w</w:t>
      </w:r>
      <w:r w:rsidR="00494BA9">
        <w:t>as likely to cause</w:t>
      </w:r>
      <w:r w:rsidR="003F5BA9">
        <w:t xml:space="preserve"> harm </w:t>
      </w:r>
      <w:r w:rsidR="001205C8">
        <w:t xml:space="preserve">to </w:t>
      </w:r>
      <w:r w:rsidR="003F5BA9">
        <w:t>others.</w:t>
      </w:r>
      <w:r w:rsidR="003F5BA9">
        <w:rPr>
          <w:rStyle w:val="FootnoteReference"/>
        </w:rPr>
        <w:footnoteReference w:id="32"/>
      </w:r>
      <w:r w:rsidR="003F5BA9">
        <w:t xml:space="preserve"> In this case, if JJ were to choke, this would cause emotional harm to his caring staff. However, this is a theoretical harm, not a given harm.</w:t>
      </w:r>
      <w:r w:rsidR="001205C8">
        <w:t xml:space="preserve"> There is a possibility of the harm occurring – JJ might choke – but it is not clear how likely it that this harm will materialise.</w:t>
      </w:r>
      <w:r w:rsidR="003F5BA9">
        <w:t xml:space="preserve"> </w:t>
      </w:r>
      <w:r w:rsidR="001205C8">
        <w:t xml:space="preserve">In addition to the emotional harm, if the choking </w:t>
      </w:r>
      <w:r w:rsidR="0069361A">
        <w:t>did</w:t>
      </w:r>
      <w:r w:rsidR="001205C8">
        <w:t xml:space="preserve"> </w:t>
      </w:r>
      <w:r w:rsidR="0069361A">
        <w:t xml:space="preserve">occur </w:t>
      </w:r>
      <w:r w:rsidR="001205C8">
        <w:t>and lead to JJ’s death, legal harm could arise, which would entail professional ramifications. His caring staff is under a duty to protect his life, causing him to die through either negligent behaviour or mal</w:t>
      </w:r>
      <w:r w:rsidR="00AD2AAC">
        <w:t>practice</w:t>
      </w:r>
      <w:r w:rsidR="001205C8">
        <w:t xml:space="preserve"> would for example breach </w:t>
      </w:r>
      <w:r w:rsidR="00AD2AAC">
        <w:t xml:space="preserve">their positive obligations towards </w:t>
      </w:r>
      <w:r w:rsidR="00AD2AAC">
        <w:lastRenderedPageBreak/>
        <w:t xml:space="preserve">JJ under </w:t>
      </w:r>
      <w:r w:rsidR="001205C8">
        <w:t>Article 2 ECHR.</w:t>
      </w:r>
      <w:r w:rsidR="00E50EBE">
        <w:rPr>
          <w:rStyle w:val="FootnoteReference"/>
        </w:rPr>
        <w:footnoteReference w:id="33"/>
      </w:r>
      <w:r w:rsidR="00E50EBE" w:rsidRPr="00E50EBE">
        <w:rPr>
          <w:color w:val="FF0000"/>
        </w:rPr>
        <w:t xml:space="preserve"> </w:t>
      </w:r>
      <w:r w:rsidR="003F5BA9">
        <w:t xml:space="preserve">Restricting someone’s autonomy, based on </w:t>
      </w:r>
      <w:r w:rsidR="00A626BD">
        <w:t>potential harm to others</w:t>
      </w:r>
      <w:r w:rsidR="00494BA9">
        <w:t xml:space="preserve"> – </w:t>
      </w:r>
      <w:r w:rsidR="00A626BD">
        <w:t xml:space="preserve">no matter how </w:t>
      </w:r>
      <w:r w:rsidR="00627E9C">
        <w:t>likely that harm is to occur</w:t>
      </w:r>
      <w:r w:rsidR="00494BA9">
        <w:t xml:space="preserve"> – </w:t>
      </w:r>
      <w:r w:rsidR="00A626BD">
        <w:t xml:space="preserve">opens the door to overly paternalistic </w:t>
      </w:r>
      <w:r w:rsidR="00627E9C">
        <w:t>infringements</w:t>
      </w:r>
      <w:r w:rsidR="00A626BD">
        <w:t>.</w:t>
      </w:r>
      <w:r w:rsidR="003E7AC7">
        <w:t xml:space="preserve"> </w:t>
      </w:r>
      <w:r w:rsidR="001C1694">
        <w:t>Where</w:t>
      </w:r>
      <w:r w:rsidR="003E7AC7">
        <w:t xml:space="preserve"> the patient is in a</w:t>
      </w:r>
      <w:r w:rsidR="001C1694">
        <w:t>n especially</w:t>
      </w:r>
      <w:r w:rsidR="003E7AC7">
        <w:t xml:space="preserve"> vulnerable situation, as JJ is</w:t>
      </w:r>
      <w:r w:rsidR="00627E9C">
        <w:t xml:space="preserve"> in</w:t>
      </w:r>
      <w:r w:rsidR="003E7AC7">
        <w:t xml:space="preserve"> being a quadriplegic prisoner, this can lead to extensive and unwarranted limits of autonomy. </w:t>
      </w:r>
    </w:p>
    <w:p w14:paraId="4F8B4254" w14:textId="7ABB4F7C" w:rsidR="009A291E" w:rsidRDefault="009A291E" w:rsidP="003863D9">
      <w:pPr>
        <w:spacing w:line="360" w:lineRule="auto"/>
        <w:jc w:val="both"/>
      </w:pPr>
      <w:r>
        <w:t xml:space="preserve">It could also be </w:t>
      </w:r>
      <w:r w:rsidR="00627E9C">
        <w:t>argued</w:t>
      </w:r>
      <w:r>
        <w:t xml:space="preserve"> that patient autonomy needs further curtailing, as unlimited patient autonomy creates problems, for example </w:t>
      </w:r>
      <w:r w:rsidR="00627E9C">
        <w:t>set</w:t>
      </w:r>
      <w:r>
        <w:t>ting unrealistic patient expectations, by implying a wide range of choices that in reality are limited.</w:t>
      </w:r>
      <w:r>
        <w:rPr>
          <w:rStyle w:val="FootnoteReference"/>
        </w:rPr>
        <w:footnoteReference w:id="34"/>
      </w:r>
      <w:r>
        <w:t xml:space="preserve"> In addition to limiting autonomy to avoid harm to others, in the healthcare sector, allocation of resources also play a role.</w:t>
      </w:r>
      <w:r>
        <w:rPr>
          <w:rStyle w:val="FootnoteReference"/>
        </w:rPr>
        <w:footnoteReference w:id="35"/>
      </w:r>
      <w:r w:rsidR="00CF26B6">
        <w:t xml:space="preserve"> However, JJ was not requesting any kind of fanciful treatment. The ‘treatment’ in question would have been snacks bought </w:t>
      </w:r>
      <w:r w:rsidR="00C66D96">
        <w:t>with</w:t>
      </w:r>
      <w:r w:rsidR="00CF26B6">
        <w:t xml:space="preserve"> his own money. </w:t>
      </w:r>
      <w:r w:rsidR="00490B78">
        <w:t xml:space="preserve">Admittedly, at this stage, another SALT assessment would have been required, as well as a careful reintroduction of foods after </w:t>
      </w:r>
      <w:r w:rsidR="00C66D96">
        <w:t>JJ’s</w:t>
      </w:r>
      <w:r w:rsidR="00490B78">
        <w:t xml:space="preserve"> hunger strike, however, this </w:t>
      </w:r>
      <w:r w:rsidR="004159FE">
        <w:t xml:space="preserve">still requires fewer </w:t>
      </w:r>
      <w:r w:rsidR="00490B78">
        <w:t xml:space="preserve">resources than other medical treatments.  </w:t>
      </w:r>
    </w:p>
    <w:p w14:paraId="1D72882A" w14:textId="77777777" w:rsidR="008D15B1" w:rsidRPr="008D15B1" w:rsidRDefault="008D15B1" w:rsidP="003863D9">
      <w:pPr>
        <w:spacing w:line="360" w:lineRule="auto"/>
        <w:jc w:val="both"/>
      </w:pPr>
    </w:p>
    <w:p w14:paraId="4DCBBE0F" w14:textId="78588F0A" w:rsidR="002F1AD2" w:rsidRPr="009D3BD4" w:rsidRDefault="004E2DB7" w:rsidP="009D3BD4">
      <w:pPr>
        <w:spacing w:line="360" w:lineRule="auto"/>
        <w:jc w:val="center"/>
        <w:rPr>
          <w:i/>
          <w:iCs/>
        </w:rPr>
      </w:pPr>
      <w:r w:rsidRPr="009D3BD4">
        <w:rPr>
          <w:i/>
          <w:iCs/>
        </w:rPr>
        <w:t>The Prisoner as Patient</w:t>
      </w:r>
    </w:p>
    <w:p w14:paraId="16ADD86C" w14:textId="2E591F11" w:rsidR="002F1AD2" w:rsidRDefault="00784745" w:rsidP="003863D9">
      <w:pPr>
        <w:spacing w:line="360" w:lineRule="auto"/>
        <w:jc w:val="both"/>
      </w:pPr>
      <w:r>
        <w:t xml:space="preserve">While the appeal </w:t>
      </w:r>
      <w:r w:rsidR="00627E9C">
        <w:t>wa</w:t>
      </w:r>
      <w:r>
        <w:t xml:space="preserve">s not about prison or prisoners’ rights, the fact that JJ is a prisoner adds a dimension to the case that should not be ignored. </w:t>
      </w:r>
      <w:r w:rsidR="009D1B6C">
        <w:t>The medical implications of the request by JJ are clear. Through spending all his time in a supine position, the risk of choking when eating is increased. It is further increased through not having eaten for a prolonged period of time. From a purely medical point</w:t>
      </w:r>
      <w:r w:rsidR="00627E9C">
        <w:t xml:space="preserve"> of view</w:t>
      </w:r>
      <w:r w:rsidR="009D1B6C">
        <w:t xml:space="preserve">, the position taken by Spectrum and supported by the courts </w:t>
      </w:r>
      <w:r w:rsidR="00627E9C">
        <w:t xml:space="preserve">might seem </w:t>
      </w:r>
      <w:r w:rsidR="009D1B6C">
        <w:t xml:space="preserve">justified. However, leaving it at this neglects </w:t>
      </w:r>
      <w:r w:rsidR="001C1694" w:rsidRPr="001C1694">
        <w:t>to consider the patient as a human being with needs and desires</w:t>
      </w:r>
      <w:r w:rsidR="009D1B6C">
        <w:t xml:space="preserve">, which in this case </w:t>
      </w:r>
      <w:r w:rsidR="00627E9C">
        <w:t>carries</w:t>
      </w:r>
      <w:r w:rsidR="009D1B6C">
        <w:t xml:space="preserve"> the additional complication of the patient being a prisoner. </w:t>
      </w:r>
      <w:r w:rsidR="000E0BC6">
        <w:t xml:space="preserve">Following </w:t>
      </w:r>
      <w:r w:rsidR="000E0BC6">
        <w:rPr>
          <w:i/>
          <w:iCs/>
        </w:rPr>
        <w:t>Bland</w:t>
      </w:r>
      <w:r w:rsidR="000E0BC6">
        <w:t>,</w:t>
      </w:r>
      <w:r>
        <w:rPr>
          <w:rStyle w:val="FootnoteReference"/>
        </w:rPr>
        <w:footnoteReference w:id="36"/>
      </w:r>
      <w:r w:rsidR="000E0BC6">
        <w:t xml:space="preserve"> nutrition and hydration is part of medical treatment. Thus, if there are counter-indications against certain foods or drinks being administered, the care provider can refuse these being administered, without this being a breach of the patient’s rights. A patient cannot request specific medication or medical care, and consequently cannot request specific foods or dinks. However, </w:t>
      </w:r>
      <w:r w:rsidR="00803F64">
        <w:t xml:space="preserve">this approach does not acknowledge the myriad of different medical situations that can arise. At one end we might have a patient suffering </w:t>
      </w:r>
      <w:r w:rsidR="00861AA7">
        <w:t>from</w:t>
      </w:r>
      <w:r w:rsidR="00803F64">
        <w:t xml:space="preserve"> a treatable condition being refused a certain food group for the period of his medical treatment. Once recovered, he can go back to enjoying all the foods he desires. Here, the refusal of a certain food will weigh less heavily, as it is a temporary measure. At the other end of the </w:t>
      </w:r>
      <w:r w:rsidR="00627E9C">
        <w:lastRenderedPageBreak/>
        <w:t>spectrum,</w:t>
      </w:r>
      <w:r w:rsidR="00803F64">
        <w:t xml:space="preserve"> we have someone like JJ, who will not only never improve in his condition, but who also has a very limited amount of possible pleasures in his life, through being </w:t>
      </w:r>
      <w:r w:rsidR="00627E9C">
        <w:t xml:space="preserve">both quadriplegic and </w:t>
      </w:r>
      <w:r w:rsidR="00803F64">
        <w:t xml:space="preserve">imprisoned. </w:t>
      </w:r>
    </w:p>
    <w:p w14:paraId="0F8B8E4F" w14:textId="7D0536E2" w:rsidR="00803F64" w:rsidRDefault="009F4029" w:rsidP="003863D9">
      <w:pPr>
        <w:spacing w:line="360" w:lineRule="auto"/>
        <w:jc w:val="both"/>
      </w:pPr>
      <w:r>
        <w:t xml:space="preserve">‘Imprisonment as punishment, not for punishment’ is an important </w:t>
      </w:r>
      <w:r w:rsidR="00E92BD9">
        <w:t>maxim</w:t>
      </w:r>
      <w:r>
        <w:t xml:space="preserve"> in protecting prisoners’ rights. </w:t>
      </w:r>
      <w:r w:rsidR="00E92BD9">
        <w:t>While populist media present imprisonment as being too cushiony and almost like a holiday camp, in reality, imprisonment is a minimalization of existence.</w:t>
      </w:r>
      <w:r w:rsidR="00964309">
        <w:rPr>
          <w:rStyle w:val="FootnoteReference"/>
        </w:rPr>
        <w:footnoteReference w:id="37"/>
      </w:r>
      <w:r w:rsidR="00E92BD9">
        <w:t xml:space="preserve"> Very few things in imprisonment are left to the prisoners’ choice, the days are following a set structure, the options for pastimes and social interaction are starkly limited and few pleasures are available. One pleasure is the option to buy items like snacks and non-alcoholic beverages from the canteen. For JJ, this option has been taken away. Arguably, this limits his autonomy and to some degree his dignity as it renders him dependent on the goodwill of others to enable him this limited pleasure.</w:t>
      </w:r>
    </w:p>
    <w:p w14:paraId="5641E923" w14:textId="672E71FD" w:rsidR="00A330C6" w:rsidRDefault="00A330C6" w:rsidP="003863D9">
      <w:pPr>
        <w:spacing w:line="360" w:lineRule="auto"/>
        <w:jc w:val="both"/>
      </w:pPr>
      <w:r>
        <w:t xml:space="preserve">One principle underlying imprisonment in Western Europe is normalisation. </w:t>
      </w:r>
      <w:r w:rsidRPr="00A330C6">
        <w:t>The principle of normalisation is stressed by the European Prison Rules</w:t>
      </w:r>
      <w:r>
        <w:rPr>
          <w:rStyle w:val="FootnoteReference"/>
        </w:rPr>
        <w:footnoteReference w:id="38"/>
      </w:r>
      <w:r w:rsidRPr="00A330C6">
        <w:t xml:space="preserve"> as one of the fundamental principles to govern life in prison. Rule 5 states that “[l]</w:t>
      </w:r>
      <w:proofErr w:type="spellStart"/>
      <w:r w:rsidRPr="00A330C6">
        <w:t>ife</w:t>
      </w:r>
      <w:proofErr w:type="spellEnd"/>
      <w:r w:rsidRPr="00A330C6">
        <w:t xml:space="preserve"> in prison shall approximate as closely as possible the positive aspects of life in the community”. Additionally, healthcare in prison shall be equivalent to that in society (rules 40.1-40.5).</w:t>
      </w:r>
      <w:r w:rsidR="00602569">
        <w:t xml:space="preserve"> The E</w:t>
      </w:r>
      <w:r w:rsidR="0047226B">
        <w:t xml:space="preserve">uropean </w:t>
      </w:r>
      <w:r w:rsidR="00602569">
        <w:t>C</w:t>
      </w:r>
      <w:r w:rsidR="0047226B">
        <w:t>our</w:t>
      </w:r>
      <w:r w:rsidR="00602569">
        <w:t>t</w:t>
      </w:r>
      <w:r w:rsidR="0047226B">
        <w:t xml:space="preserve"> of </w:t>
      </w:r>
      <w:r w:rsidR="00602569">
        <w:t>H</w:t>
      </w:r>
      <w:r w:rsidR="0047226B">
        <w:t xml:space="preserve">uman </w:t>
      </w:r>
      <w:r w:rsidR="00602569">
        <w:t>R</w:t>
      </w:r>
      <w:r w:rsidR="0047226B">
        <w:t>ights</w:t>
      </w:r>
      <w:r w:rsidR="00602569">
        <w:t xml:space="preserve"> </w:t>
      </w:r>
      <w:r w:rsidR="0047226B">
        <w:t xml:space="preserve">(ECtHR) </w:t>
      </w:r>
      <w:r w:rsidR="00602569" w:rsidRPr="00602569">
        <w:t xml:space="preserve">stresses the need for respect for dignity </w:t>
      </w:r>
      <w:r w:rsidR="00602569">
        <w:t>of prisoners</w:t>
      </w:r>
      <w:r w:rsidR="00602569">
        <w:rPr>
          <w:rStyle w:val="FootnoteReference"/>
        </w:rPr>
        <w:footnoteReference w:id="39"/>
      </w:r>
      <w:r w:rsidR="00602569">
        <w:t>and i</w:t>
      </w:r>
      <w:r w:rsidR="00602569" w:rsidRPr="00602569">
        <w:t xml:space="preserve">n </w:t>
      </w:r>
      <w:r w:rsidR="00602569" w:rsidRPr="00602569">
        <w:rPr>
          <w:i/>
        </w:rPr>
        <w:t>Grant v Ministry of Justice,</w:t>
      </w:r>
      <w:r w:rsidR="00602569" w:rsidRPr="00602569">
        <w:t xml:space="preserve"> the High Court stated that limiting a person’s dignity can infringe their human rights under Article 8 of the ECHR</w:t>
      </w:r>
      <w:r w:rsidR="00602569">
        <w:t>.</w:t>
      </w:r>
      <w:r w:rsidR="00602569">
        <w:rPr>
          <w:rStyle w:val="FootnoteReference"/>
        </w:rPr>
        <w:footnoteReference w:id="40"/>
      </w:r>
      <w:r w:rsidR="00602569">
        <w:t xml:space="preserve"> </w:t>
      </w:r>
      <w:r w:rsidR="00602569" w:rsidRPr="00602569">
        <w:t>Dignity and imprisonment also raise issues</w:t>
      </w:r>
      <w:r w:rsidR="00602569">
        <w:t xml:space="preserve"> with regard to medical treatment in prison. For example, in</w:t>
      </w:r>
      <w:r w:rsidR="00602569" w:rsidRPr="00602569">
        <w:t xml:space="preserve"> </w:t>
      </w:r>
      <w:proofErr w:type="spellStart"/>
      <w:r w:rsidR="00602569" w:rsidRPr="00602569">
        <w:rPr>
          <w:i/>
        </w:rPr>
        <w:t>Wenerski</w:t>
      </w:r>
      <w:proofErr w:type="spellEnd"/>
      <w:r w:rsidR="00602569" w:rsidRPr="00602569">
        <w:rPr>
          <w:i/>
        </w:rPr>
        <w:t xml:space="preserve"> v Poland</w:t>
      </w:r>
      <w:r w:rsidR="00602569">
        <w:rPr>
          <w:rStyle w:val="FootnoteReference"/>
          <w:i/>
        </w:rPr>
        <w:footnoteReference w:id="41"/>
      </w:r>
      <w:r w:rsidR="00602569" w:rsidRPr="00602569">
        <w:t xml:space="preserve"> the ECtHR stressed that the lack of appropriate medical care in prison amounted to a violation of Article 3. Combining the notion of </w:t>
      </w:r>
      <w:r w:rsidR="00602569">
        <w:t>normalisation, equivalence in healthcare and</w:t>
      </w:r>
      <w:r w:rsidR="00602569" w:rsidRPr="00602569">
        <w:t xml:space="preserve"> </w:t>
      </w:r>
      <w:r w:rsidR="00602569">
        <w:t>prisoners’</w:t>
      </w:r>
      <w:r w:rsidR="00602569" w:rsidRPr="00602569">
        <w:t xml:space="preserve"> dignity</w:t>
      </w:r>
      <w:r w:rsidR="00602569">
        <w:t xml:space="preserve"> means that a lot more care should have been taken by the courts to address JJ’s status as a prisoner in this case more thoroughly.</w:t>
      </w:r>
    </w:p>
    <w:p w14:paraId="14F19396" w14:textId="2250C65C" w:rsidR="00D06090" w:rsidRDefault="00E27072" w:rsidP="003863D9">
      <w:pPr>
        <w:spacing w:line="360" w:lineRule="auto"/>
        <w:jc w:val="both"/>
      </w:pPr>
      <w:r>
        <w:t xml:space="preserve">At the same time, providing JJ with the snacks he desires has the potential of detrimental effects not just on his own life, but on those caring for him. If he were to choke, </w:t>
      </w:r>
      <w:r w:rsidR="00D06090">
        <w:t>this would not just end his own life but also have detrimental effects on the mental wellbeing of those caring for him, who would have to either watch him die or try to prevent death/bring him back to life. Autonomous choice</w:t>
      </w:r>
      <w:r w:rsidR="00627E9C">
        <w:t>s</w:t>
      </w:r>
      <w:r w:rsidR="00D06090">
        <w:t xml:space="preserve"> are </w:t>
      </w:r>
      <w:r w:rsidR="00D06090">
        <w:lastRenderedPageBreak/>
        <w:t>rightfully curtailed where they encroach on the rights of others. Here, the question is one of balance and degree</w:t>
      </w:r>
      <w:r w:rsidR="00490B78">
        <w:t>:</w:t>
      </w:r>
      <w:r w:rsidR="00D06090">
        <w:t xml:space="preserve"> Is the risk of JJ choking high enough to warrant a refusal of treats, in order to protect the carers from the consequences of him potentially choking</w:t>
      </w:r>
      <w:r w:rsidR="00490B78">
        <w:t>? In the prison setting, the individual’s right to make autonomous choices is highly limited. One of these limits is the State’s duty to protect individuals under its care</w:t>
      </w:r>
      <w:r w:rsidR="002435B9">
        <w:t>, and the public policy aspects for Spectrum to ‘comply with their civil, criminal and human rights obligations to treat the individual and keep him alive’.</w:t>
      </w:r>
      <w:r w:rsidR="002435B9">
        <w:rPr>
          <w:rStyle w:val="FootnoteReference"/>
        </w:rPr>
        <w:footnoteReference w:id="42"/>
      </w:r>
      <w:r w:rsidR="00A05671">
        <w:t xml:space="preserve"> However, even in imprisonment, this duty is not absolute, as can be seen in prisoners having the right to </w:t>
      </w:r>
      <w:r w:rsidR="00627E9C">
        <w:t>engage in</w:t>
      </w:r>
      <w:r w:rsidR="00A05671">
        <w:t xml:space="preserve"> hunger strikes.</w:t>
      </w:r>
      <w:r w:rsidR="005C45BA">
        <w:rPr>
          <w:rStyle w:val="FootnoteReference"/>
        </w:rPr>
        <w:footnoteReference w:id="43"/>
      </w:r>
    </w:p>
    <w:p w14:paraId="5A1FB335" w14:textId="659A668D" w:rsidR="005003C6" w:rsidRDefault="005003C6" w:rsidP="003863D9">
      <w:pPr>
        <w:spacing w:line="360" w:lineRule="auto"/>
        <w:jc w:val="both"/>
      </w:pPr>
      <w:r>
        <w:t>The right to engage in hunger strikes means that a prisoner can choose not to eat. A prisoner can, however, not decide when or what to eat. This distinction is not just reflected in medical law, where a (competent) patient can refuse medical treatment, but not request specific treatment, it is also reflected in the distinction of active and passive assisted dying. A doctor can let a patient die, by for example switching off the machines – if this has been requested by a competent patient or is in the patient’s best interest as treatment is futile – but a doctor cannot advance death actively (though there is criticism about this distinction, as switching off machines is also an action)</w:t>
      </w:r>
      <w:r>
        <w:rPr>
          <w:rStyle w:val="FootnoteReference"/>
        </w:rPr>
        <w:footnoteReference w:id="44"/>
      </w:r>
      <w:r>
        <w:t xml:space="preserve">.  Making these distinctions between active and passive treatments and requesting no treatment over requesting specific treatments can be logical in some instances, but not in all. </w:t>
      </w:r>
      <w:r w:rsidR="00047D8B">
        <w:t>Refusing</w:t>
      </w:r>
      <w:r>
        <w:t xml:space="preserve"> a patient medical treatment that is, for example, experimental, or not justified financially, can be justified if the treatment is provided by a general health care provider like the NHS, rather than privately. But if the treatment is available to others (as in this case the requested foods are), then the refusal is much less justified. </w:t>
      </w:r>
    </w:p>
    <w:p w14:paraId="6C7B00FE" w14:textId="4F075084" w:rsidR="00F52CB2" w:rsidRDefault="00D06090" w:rsidP="003863D9">
      <w:pPr>
        <w:spacing w:line="360" w:lineRule="auto"/>
        <w:jc w:val="both"/>
      </w:pPr>
      <w:r>
        <w:t xml:space="preserve">One </w:t>
      </w:r>
      <w:r w:rsidR="003119F1">
        <w:t xml:space="preserve">highly desirable </w:t>
      </w:r>
      <w:r>
        <w:t>element in th</w:t>
      </w:r>
      <w:r w:rsidR="005003C6">
        <w:t>e court’s</w:t>
      </w:r>
      <w:r>
        <w:t xml:space="preserve"> balancing exercise</w:t>
      </w:r>
      <w:r w:rsidR="005003C6">
        <w:t xml:space="preserve"> of considering both the patient and the care giver,</w:t>
      </w:r>
      <w:r>
        <w:t xml:space="preserve"> </w:t>
      </w:r>
      <w:r w:rsidR="00C961EB">
        <w:t>would have been to see</w:t>
      </w:r>
      <w:r>
        <w:t xml:space="preserve"> whether a compromise can be found. As </w:t>
      </w:r>
      <w:r w:rsidR="006B43C0">
        <w:t xml:space="preserve">the SALT review had suggested, a physiotherapy assessment would be required to see if JJ could be fed </w:t>
      </w:r>
      <w:r>
        <w:t>in a somewhat raised position,</w:t>
      </w:r>
      <w:r w:rsidR="006B43C0">
        <w:t xml:space="preserve"> which would</w:t>
      </w:r>
      <w:r>
        <w:t xml:space="preserve"> </w:t>
      </w:r>
      <w:r w:rsidR="006B43C0">
        <w:t xml:space="preserve">minimise </w:t>
      </w:r>
      <w:r>
        <w:t>the risk</w:t>
      </w:r>
      <w:r w:rsidR="00627E9C">
        <w:t xml:space="preserve"> of JJ choking</w:t>
      </w:r>
      <w:r>
        <w:t xml:space="preserve">. </w:t>
      </w:r>
      <w:r w:rsidR="006B43C0">
        <w:t>However, this was an element that was not part of the case and therefore not considered by the judge.</w:t>
      </w:r>
      <w:r w:rsidR="006B43C0">
        <w:rPr>
          <w:rStyle w:val="FootnoteReference"/>
        </w:rPr>
        <w:footnoteReference w:id="45"/>
      </w:r>
      <w:r w:rsidR="006B43C0">
        <w:t xml:space="preserve"> </w:t>
      </w:r>
      <w:r>
        <w:t xml:space="preserve"> </w:t>
      </w:r>
      <w:r w:rsidR="000F540D">
        <w:t xml:space="preserve">Admittedly, the role JJ played in this </w:t>
      </w:r>
      <w:r w:rsidR="00C961EB">
        <w:t>can</w:t>
      </w:r>
      <w:r w:rsidR="000F540D">
        <w:t>not be neglected</w:t>
      </w:r>
      <w:r w:rsidR="00F52CB2">
        <w:t xml:space="preserve">. </w:t>
      </w:r>
      <w:r w:rsidR="004159FE" w:rsidRPr="004159FE">
        <w:t>The reason the judge could not consider the possibility of JJ being fed in a slightly raised position is that JJ refused to have another SALT assessmen</w:t>
      </w:r>
      <w:r w:rsidR="004159FE">
        <w:t xml:space="preserve">t </w:t>
      </w:r>
      <w:r w:rsidR="00F52CB2">
        <w:t>to determine the feasibility of feeding him in a changed position.</w:t>
      </w:r>
      <w:r w:rsidR="00F52CB2">
        <w:rPr>
          <w:rStyle w:val="FootnoteReference"/>
        </w:rPr>
        <w:footnoteReference w:id="46"/>
      </w:r>
      <w:r w:rsidR="00F52CB2">
        <w:t xml:space="preserve"> JJ wanted to be able to make the autonomous decision without </w:t>
      </w:r>
      <w:r w:rsidR="00F52CB2">
        <w:lastRenderedPageBreak/>
        <w:t xml:space="preserve">further assessments. For the court to be able to make a proper and just proportionality analysis, JJ would need to show cooperation. Going forward, Spectrum and JJ should work towards finding a compromise, for example JJ agreeing to an assessment of whether he can be fed in a somewhat more raised position, thus decreasing the choking risk, and Spectrum agreeing to introduce more foods of his choice if this can be done in a safer way. While this would not take away all risks, it would enable JJ a somewhat more autonomous existence. </w:t>
      </w:r>
    </w:p>
    <w:p w14:paraId="78AE4AB7" w14:textId="08C81FE7" w:rsidR="00F52CB2" w:rsidRPr="000E0BC6" w:rsidRDefault="00F52CB2" w:rsidP="003863D9">
      <w:pPr>
        <w:spacing w:line="360" w:lineRule="auto"/>
        <w:jc w:val="both"/>
      </w:pPr>
      <w:r>
        <w:t xml:space="preserve">While JJ has not consumed anything orally in a while and would need to slowly have foods and liquids reintroduced, this should not be a barrier to JJ ever consuming items orally again. </w:t>
      </w:r>
      <w:r w:rsidR="00C961EB">
        <w:t>The court in this case had limited options for a proportionality analysis as JJ had refused a SALT assessment, still, more consideration should have been given to JJ being a prisoner, rather than dismissing his status as a vital element of the case. His autonomy is more restricted than that of the average patient, as well as the average prisoner. To protect his dignity through enabling some element of autonomy, a way should be sought to enable JJ the small pleasure he asks for.</w:t>
      </w:r>
      <w:r>
        <w:t xml:space="preserve"> </w:t>
      </w:r>
    </w:p>
    <w:p w14:paraId="3633A8E7" w14:textId="77777777" w:rsidR="002F1AD2" w:rsidRDefault="002F1AD2" w:rsidP="003863D9">
      <w:pPr>
        <w:spacing w:line="360" w:lineRule="auto"/>
      </w:pPr>
    </w:p>
    <w:sectPr w:rsidR="002F1AD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2FA7" w14:textId="77777777" w:rsidR="00B03496" w:rsidRDefault="00B03496" w:rsidP="00AC2C6E">
      <w:pPr>
        <w:spacing w:after="0" w:line="240" w:lineRule="auto"/>
      </w:pPr>
      <w:r>
        <w:separator/>
      </w:r>
    </w:p>
  </w:endnote>
  <w:endnote w:type="continuationSeparator" w:id="0">
    <w:p w14:paraId="77839809" w14:textId="77777777" w:rsidR="00B03496" w:rsidRDefault="00B03496" w:rsidP="00AC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03239"/>
      <w:docPartObj>
        <w:docPartGallery w:val="Page Numbers (Bottom of Page)"/>
        <w:docPartUnique/>
      </w:docPartObj>
    </w:sdtPr>
    <w:sdtEndPr>
      <w:rPr>
        <w:noProof/>
      </w:rPr>
    </w:sdtEndPr>
    <w:sdtContent>
      <w:p w14:paraId="48693833" w14:textId="6B609103" w:rsidR="00590D31" w:rsidRDefault="00590D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E85318" w14:textId="77777777" w:rsidR="00590D31" w:rsidRDefault="0059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C078" w14:textId="77777777" w:rsidR="00B03496" w:rsidRDefault="00B03496" w:rsidP="00AC2C6E">
      <w:pPr>
        <w:spacing w:after="0" w:line="240" w:lineRule="auto"/>
      </w:pPr>
      <w:r>
        <w:separator/>
      </w:r>
    </w:p>
  </w:footnote>
  <w:footnote w:type="continuationSeparator" w:id="0">
    <w:p w14:paraId="268F5BDE" w14:textId="77777777" w:rsidR="00B03496" w:rsidRDefault="00B03496" w:rsidP="00AC2C6E">
      <w:pPr>
        <w:spacing w:after="0" w:line="240" w:lineRule="auto"/>
      </w:pPr>
      <w:r>
        <w:continuationSeparator/>
      </w:r>
    </w:p>
  </w:footnote>
  <w:footnote w:id="1">
    <w:p w14:paraId="12A49E45" w14:textId="472D421F" w:rsidR="00AC2C6E" w:rsidRDefault="00AC2C6E">
      <w:pPr>
        <w:pStyle w:val="FootnoteText"/>
      </w:pPr>
      <w:r>
        <w:rPr>
          <w:rStyle w:val="FootnoteReference"/>
        </w:rPr>
        <w:footnoteRef/>
      </w:r>
      <w:r>
        <w:t xml:space="preserve"> [2023] EWCA </w:t>
      </w:r>
      <w:proofErr w:type="spellStart"/>
      <w:r>
        <w:t>Civ</w:t>
      </w:r>
      <w:proofErr w:type="spellEnd"/>
      <w:r>
        <w:t xml:space="preserve"> 885</w:t>
      </w:r>
      <w:r w:rsidR="00F75FB4">
        <w:t>.</w:t>
      </w:r>
    </w:p>
  </w:footnote>
  <w:footnote w:id="2">
    <w:p w14:paraId="66D1F496" w14:textId="2E4E811F" w:rsidR="00AC2C6E" w:rsidRDefault="00AC2C6E">
      <w:pPr>
        <w:pStyle w:val="FootnoteText"/>
      </w:pPr>
      <w:r>
        <w:rPr>
          <w:rStyle w:val="FootnoteReference"/>
        </w:rPr>
        <w:footnoteRef/>
      </w:r>
      <w:r>
        <w:t xml:space="preserve"> [2022] EWHC 2440 (Admin)</w:t>
      </w:r>
      <w:r w:rsidR="00F75FB4">
        <w:t>.</w:t>
      </w:r>
    </w:p>
  </w:footnote>
  <w:footnote w:id="3">
    <w:p w14:paraId="727F1DE6" w14:textId="32316A0D" w:rsidR="0087563F" w:rsidRDefault="0087563F">
      <w:pPr>
        <w:pStyle w:val="FootnoteText"/>
      </w:pPr>
      <w:r>
        <w:rPr>
          <w:rStyle w:val="FootnoteReference"/>
        </w:rPr>
        <w:footnoteRef/>
      </w:r>
      <w:r>
        <w:t xml:space="preserve"> </w:t>
      </w:r>
      <w:r w:rsidR="00E95E0C">
        <w:t>I.e. permanently l</w:t>
      </w:r>
      <w:r>
        <w:t>ying flat on his back</w:t>
      </w:r>
      <w:r w:rsidR="00E95E0C">
        <w:t>.</w:t>
      </w:r>
    </w:p>
  </w:footnote>
  <w:footnote w:id="4">
    <w:p w14:paraId="2B3BF82F" w14:textId="6AA7B02D" w:rsidR="00B10A19" w:rsidRDefault="00B10A19">
      <w:pPr>
        <w:pStyle w:val="FootnoteText"/>
      </w:pPr>
      <w:r>
        <w:rPr>
          <w:rStyle w:val="FootnoteReference"/>
        </w:rPr>
        <w:footnoteRef/>
      </w:r>
      <w:r>
        <w:t xml:space="preserve"> </w:t>
      </w:r>
      <w:r w:rsidR="00D01A81">
        <w:t>s</w:t>
      </w:r>
      <w:r w:rsidR="00D01A81">
        <w:rPr>
          <w:i/>
          <w:iCs/>
        </w:rPr>
        <w:t xml:space="preserve">upra </w:t>
      </w:r>
      <w:r w:rsidR="00D01A81">
        <w:t>n 2</w:t>
      </w:r>
      <w:r>
        <w:t xml:space="preserve">, </w:t>
      </w:r>
      <w:r w:rsidR="00D01A81">
        <w:t xml:space="preserve">at </w:t>
      </w:r>
      <w:r>
        <w:t>[32].</w:t>
      </w:r>
      <w:r w:rsidR="00823A30">
        <w:t xml:space="preserve"> Under Article 2 ECHR, the State has a duty to protect life, see for example </w:t>
      </w:r>
      <w:r w:rsidR="00823A30" w:rsidRPr="00823A30">
        <w:rPr>
          <w:i/>
        </w:rPr>
        <w:t>Osman v UK,</w:t>
      </w:r>
      <w:r w:rsidR="00823A30" w:rsidRPr="00823A30">
        <w:t xml:space="preserve"> application no. 87/1997/871/1083</w:t>
      </w:r>
      <w:r w:rsidR="00823A30">
        <w:t xml:space="preserve">. If a State authority neglects a duty towards an individual, like in this case the care staff their duty towards JJ, </w:t>
      </w:r>
      <w:r w:rsidR="00AC1667">
        <w:t>and this neglect causes</w:t>
      </w:r>
      <w:r w:rsidR="00823A30">
        <w:t xml:space="preserve"> death, this gives rise to criminal liability. </w:t>
      </w:r>
    </w:p>
  </w:footnote>
  <w:footnote w:id="5">
    <w:p w14:paraId="4FF3AA53" w14:textId="073F04C8" w:rsidR="00C66D96" w:rsidRDefault="00C66D96" w:rsidP="00C66D96">
      <w:pPr>
        <w:pStyle w:val="FootnoteText"/>
      </w:pPr>
      <w:r>
        <w:rPr>
          <w:rStyle w:val="FootnoteReference"/>
        </w:rPr>
        <w:footnoteRef/>
      </w:r>
      <w:r>
        <w:t xml:space="preserve"> </w:t>
      </w:r>
      <w:r w:rsidRPr="00747834">
        <w:rPr>
          <w:i/>
          <w:iCs/>
        </w:rPr>
        <w:t>R(Burke) v General Medical Council</w:t>
      </w:r>
      <w:r w:rsidRPr="00747834">
        <w:t> </w:t>
      </w:r>
      <w:hyperlink r:id="rId1" w:tooltip="Link to BAILII version" w:history="1">
        <w:r w:rsidRPr="00747834">
          <w:rPr>
            <w:rStyle w:val="Hyperlink"/>
          </w:rPr>
          <w:t xml:space="preserve">[2005] EWCA </w:t>
        </w:r>
        <w:proofErr w:type="spellStart"/>
        <w:r w:rsidRPr="00747834">
          <w:rPr>
            <w:rStyle w:val="Hyperlink"/>
          </w:rPr>
          <w:t>Civ</w:t>
        </w:r>
        <w:proofErr w:type="spellEnd"/>
        <w:r w:rsidRPr="00747834">
          <w:rPr>
            <w:rStyle w:val="Hyperlink"/>
          </w:rPr>
          <w:t xml:space="preserve"> 1003</w:t>
        </w:r>
      </w:hyperlink>
      <w:r w:rsidRPr="00747834">
        <w:t> </w:t>
      </w:r>
      <w:r w:rsidRPr="00747834">
        <w:rPr>
          <w:i/>
          <w:iCs/>
        </w:rPr>
        <w:t>per </w:t>
      </w:r>
      <w:r w:rsidRPr="00747834">
        <w:t>Lord Phillips MR at [3</w:t>
      </w:r>
      <w:r>
        <w:t>2]</w:t>
      </w:r>
      <w:r w:rsidR="00825E20">
        <w:t>.</w:t>
      </w:r>
    </w:p>
  </w:footnote>
  <w:footnote w:id="6">
    <w:p w14:paraId="51DA2517" w14:textId="77777777" w:rsidR="00C66D96" w:rsidRDefault="00C66D96" w:rsidP="00C66D96">
      <w:pPr>
        <w:pStyle w:val="FootnoteText"/>
      </w:pPr>
      <w:r>
        <w:rPr>
          <w:rStyle w:val="FootnoteReference"/>
        </w:rPr>
        <w:footnoteRef/>
      </w:r>
      <w:r>
        <w:t xml:space="preserve"> </w:t>
      </w:r>
      <w:r w:rsidRPr="003863D9">
        <w:rPr>
          <w:i/>
          <w:iCs/>
        </w:rPr>
        <w:t>Aintree University Hospitals NHS Foundation Trust v James</w:t>
      </w:r>
      <w:r>
        <w:t xml:space="preserve"> [2013] UKSC 67 per Lady Hale at [19].  </w:t>
      </w:r>
    </w:p>
  </w:footnote>
  <w:footnote w:id="7">
    <w:p w14:paraId="38CDD59F" w14:textId="17A717AB" w:rsidR="00C66D96" w:rsidRDefault="00C66D96" w:rsidP="00C66D96">
      <w:pPr>
        <w:pStyle w:val="FootnoteText"/>
      </w:pPr>
      <w:r>
        <w:rPr>
          <w:rStyle w:val="FootnoteReference"/>
        </w:rPr>
        <w:footnoteRef/>
      </w:r>
      <w:r>
        <w:t xml:space="preserve"> s</w:t>
      </w:r>
      <w:r>
        <w:rPr>
          <w:i/>
          <w:iCs/>
        </w:rPr>
        <w:t xml:space="preserve">upra </w:t>
      </w:r>
      <w:r>
        <w:t>n 5,</w:t>
      </w:r>
      <w:r w:rsidRPr="00747834">
        <w:t> </w:t>
      </w:r>
      <w:r w:rsidRPr="00747834">
        <w:rPr>
          <w:i/>
          <w:iCs/>
        </w:rPr>
        <w:t>per </w:t>
      </w:r>
      <w:r w:rsidRPr="00747834">
        <w:t>Lord Phillips MR at [3</w:t>
      </w:r>
      <w:r>
        <w:t>1]</w:t>
      </w:r>
      <w:r w:rsidR="00825E20">
        <w:t>.</w:t>
      </w:r>
    </w:p>
  </w:footnote>
  <w:footnote w:id="8">
    <w:p w14:paraId="4CC9A9D3" w14:textId="538A6783" w:rsidR="00747834" w:rsidRDefault="00747834">
      <w:pPr>
        <w:pStyle w:val="FootnoteText"/>
      </w:pPr>
      <w:r>
        <w:rPr>
          <w:rStyle w:val="FootnoteReference"/>
        </w:rPr>
        <w:footnoteRef/>
      </w:r>
      <w:r>
        <w:t xml:space="preserve"> </w:t>
      </w:r>
      <w:r w:rsidR="00D01A81">
        <w:t>s</w:t>
      </w:r>
      <w:r w:rsidR="00D01A81">
        <w:rPr>
          <w:i/>
          <w:iCs/>
        </w:rPr>
        <w:t xml:space="preserve">upra </w:t>
      </w:r>
      <w:r w:rsidR="00D01A81">
        <w:t>n 2</w:t>
      </w:r>
      <w:r>
        <w:t xml:space="preserve">, </w:t>
      </w:r>
      <w:r w:rsidR="00D01A81">
        <w:t xml:space="preserve">at </w:t>
      </w:r>
      <w:r>
        <w:t>[49].</w:t>
      </w:r>
    </w:p>
  </w:footnote>
  <w:footnote w:id="9">
    <w:p w14:paraId="220C3990" w14:textId="572C6FEE" w:rsidR="00747834" w:rsidRDefault="00747834">
      <w:pPr>
        <w:pStyle w:val="FootnoteText"/>
      </w:pPr>
      <w:r>
        <w:rPr>
          <w:rStyle w:val="FootnoteReference"/>
        </w:rPr>
        <w:footnoteRef/>
      </w:r>
      <w:r>
        <w:t xml:space="preserve"> </w:t>
      </w:r>
      <w:r w:rsidR="00D01A81" w:rsidRPr="00D01A81">
        <w:rPr>
          <w:i/>
          <w:iCs/>
        </w:rPr>
        <w:t>ibid</w:t>
      </w:r>
      <w:r w:rsidR="00D01A81">
        <w:t xml:space="preserve">, at </w:t>
      </w:r>
      <w:r>
        <w:t>[79].</w:t>
      </w:r>
    </w:p>
  </w:footnote>
  <w:footnote w:id="10">
    <w:p w14:paraId="6A0F0766" w14:textId="0043B8A4" w:rsidR="00E95E0C" w:rsidRDefault="00E95E0C">
      <w:pPr>
        <w:pStyle w:val="FootnoteText"/>
      </w:pPr>
      <w:r>
        <w:rPr>
          <w:rStyle w:val="FootnoteReference"/>
        </w:rPr>
        <w:footnoteRef/>
      </w:r>
      <w:r>
        <w:t xml:space="preserve"> </w:t>
      </w:r>
      <w:r w:rsidR="00D01A81">
        <w:rPr>
          <w:i/>
          <w:iCs/>
        </w:rPr>
        <w:t>s</w:t>
      </w:r>
      <w:r w:rsidR="00D01A81" w:rsidRPr="00D01A81">
        <w:rPr>
          <w:i/>
          <w:iCs/>
        </w:rPr>
        <w:t>upra</w:t>
      </w:r>
      <w:r w:rsidR="00D01A81">
        <w:t xml:space="preserve"> n 5,</w:t>
      </w:r>
      <w:r w:rsidRPr="00747834">
        <w:t> </w:t>
      </w:r>
      <w:r w:rsidRPr="00747834">
        <w:rPr>
          <w:i/>
          <w:iCs/>
        </w:rPr>
        <w:t>per </w:t>
      </w:r>
      <w:r w:rsidRPr="00747834">
        <w:t>Lord Phillips MR at [3</w:t>
      </w:r>
      <w:r>
        <w:t>1]</w:t>
      </w:r>
      <w:r w:rsidR="00825E20">
        <w:t>.</w:t>
      </w:r>
    </w:p>
  </w:footnote>
  <w:footnote w:id="11">
    <w:p w14:paraId="3C8078F0" w14:textId="0E3F6DAC" w:rsidR="00E95E0C" w:rsidRDefault="00E95E0C">
      <w:pPr>
        <w:pStyle w:val="FootnoteText"/>
      </w:pPr>
      <w:r>
        <w:rPr>
          <w:rStyle w:val="FootnoteReference"/>
        </w:rPr>
        <w:footnoteRef/>
      </w:r>
      <w:r>
        <w:t xml:space="preserve"> </w:t>
      </w:r>
      <w:r w:rsidRPr="00AE65DE">
        <w:rPr>
          <w:i/>
          <w:iCs/>
        </w:rPr>
        <w:t>Airedale NHS Trust v Bland </w:t>
      </w:r>
      <w:hyperlink r:id="rId2" w:tooltip="Link to BAILII version" w:history="1">
        <w:r w:rsidRPr="00AE65DE">
          <w:t>[1993] AC 789</w:t>
        </w:r>
      </w:hyperlink>
      <w:r>
        <w:t>, [858G].</w:t>
      </w:r>
    </w:p>
  </w:footnote>
  <w:footnote w:id="12">
    <w:p w14:paraId="482C33B4" w14:textId="0F277B93" w:rsidR="00D02806" w:rsidRDefault="00D02806">
      <w:pPr>
        <w:pStyle w:val="FootnoteText"/>
      </w:pPr>
      <w:r>
        <w:rPr>
          <w:rStyle w:val="FootnoteReference"/>
        </w:rPr>
        <w:footnoteRef/>
      </w:r>
      <w:r>
        <w:t xml:space="preserve"> </w:t>
      </w:r>
      <w:r w:rsidRPr="00AE65DE">
        <w:rPr>
          <w:i/>
          <w:iCs/>
        </w:rPr>
        <w:t>Montgomery v Lanarkshire Health Board </w:t>
      </w:r>
      <w:r w:rsidRPr="00AE65DE">
        <w:t>[2015] UK</w:t>
      </w:r>
      <w:r>
        <w:t>SC 11</w:t>
      </w:r>
      <w:r w:rsidRPr="00AE65DE">
        <w:t>,</w:t>
      </w:r>
      <w:r>
        <w:t xml:space="preserve"> [87].</w:t>
      </w:r>
      <w:r w:rsidRPr="00AE65DE">
        <w:t xml:space="preserve"> </w:t>
      </w:r>
      <w:r>
        <w:t xml:space="preserve"> </w:t>
      </w:r>
    </w:p>
  </w:footnote>
  <w:footnote w:id="13">
    <w:p w14:paraId="37ABED62" w14:textId="059830DF" w:rsidR="0052653B" w:rsidRPr="0052653B" w:rsidRDefault="0052653B">
      <w:pPr>
        <w:pStyle w:val="FootnoteText"/>
      </w:pPr>
      <w:r>
        <w:rPr>
          <w:rStyle w:val="FootnoteReference"/>
        </w:rPr>
        <w:footnoteRef/>
      </w:r>
      <w:r>
        <w:t xml:space="preserve"> </w:t>
      </w:r>
      <w:r>
        <w:rPr>
          <w:i/>
          <w:iCs/>
        </w:rPr>
        <w:t>McCulloch &amp;</w:t>
      </w:r>
      <w:r w:rsidR="00E95E0C">
        <w:rPr>
          <w:i/>
          <w:iCs/>
        </w:rPr>
        <w:t xml:space="preserve"> </w:t>
      </w:r>
      <w:r>
        <w:rPr>
          <w:i/>
          <w:iCs/>
        </w:rPr>
        <w:t xml:space="preserve">Others v Forth Valley Health Board </w:t>
      </w:r>
      <w:r>
        <w:t>[2023] UKSC 26, [59].</w:t>
      </w:r>
    </w:p>
  </w:footnote>
  <w:footnote w:id="14">
    <w:p w14:paraId="71FB511C" w14:textId="3022AA6B" w:rsidR="00443DCD" w:rsidRPr="00D01A81" w:rsidRDefault="00443DCD">
      <w:pPr>
        <w:pStyle w:val="FootnoteText"/>
      </w:pPr>
      <w:r>
        <w:rPr>
          <w:rStyle w:val="FootnoteReference"/>
        </w:rPr>
        <w:footnoteRef/>
      </w:r>
      <w:r>
        <w:t xml:space="preserve"> </w:t>
      </w:r>
      <w:r w:rsidR="00D01A81">
        <w:rPr>
          <w:i/>
          <w:iCs/>
        </w:rPr>
        <w:t xml:space="preserve">Supra </w:t>
      </w:r>
      <w:r w:rsidR="00D01A81" w:rsidRPr="00D01A81">
        <w:t>n 5</w:t>
      </w:r>
      <w:r w:rsidR="009C2405" w:rsidRPr="00D01A81">
        <w:t>.</w:t>
      </w:r>
    </w:p>
  </w:footnote>
  <w:footnote w:id="15">
    <w:p w14:paraId="3520E89E" w14:textId="6AB68043" w:rsidR="00443DCD" w:rsidRDefault="00443DCD">
      <w:pPr>
        <w:pStyle w:val="FootnoteText"/>
      </w:pPr>
      <w:r>
        <w:rPr>
          <w:rStyle w:val="FootnoteReference"/>
        </w:rPr>
        <w:footnoteRef/>
      </w:r>
      <w:r>
        <w:t xml:space="preserve"> </w:t>
      </w:r>
      <w:r w:rsidR="00F75FB4">
        <w:rPr>
          <w:i/>
          <w:iCs/>
        </w:rPr>
        <w:t xml:space="preserve">supra </w:t>
      </w:r>
      <w:r w:rsidR="00F75FB4">
        <w:t>n 1</w:t>
      </w:r>
      <w:r>
        <w:t>,</w:t>
      </w:r>
      <w:r w:rsidR="00F75FB4">
        <w:t xml:space="preserve"> at</w:t>
      </w:r>
      <w:r>
        <w:t xml:space="preserve"> [71].</w:t>
      </w:r>
    </w:p>
  </w:footnote>
  <w:footnote w:id="16">
    <w:p w14:paraId="60C09587" w14:textId="5F82794F" w:rsidR="005E2151" w:rsidRDefault="005E2151">
      <w:pPr>
        <w:pStyle w:val="FootnoteText"/>
      </w:pPr>
      <w:r>
        <w:rPr>
          <w:rStyle w:val="FootnoteReference"/>
        </w:rPr>
        <w:footnoteRef/>
      </w:r>
      <w:r>
        <w:t xml:space="preserve"> </w:t>
      </w:r>
      <w:r w:rsidR="00F75FB4">
        <w:rPr>
          <w:i/>
          <w:iCs/>
        </w:rPr>
        <w:t>ibid</w:t>
      </w:r>
      <w:r>
        <w:t xml:space="preserve">, </w:t>
      </w:r>
      <w:r w:rsidR="00F75FB4">
        <w:t xml:space="preserve">at </w:t>
      </w:r>
      <w:r>
        <w:t>[79].</w:t>
      </w:r>
    </w:p>
  </w:footnote>
  <w:footnote w:id="17">
    <w:p w14:paraId="6E0E2E85" w14:textId="7B3ABE2B" w:rsidR="00E61510" w:rsidRPr="00825E20" w:rsidRDefault="00E61510">
      <w:pPr>
        <w:pStyle w:val="FootnoteText"/>
        <w:rPr>
          <w:rFonts w:cstheme="minorHAnsi"/>
        </w:rPr>
      </w:pPr>
      <w:r>
        <w:rPr>
          <w:rStyle w:val="FootnoteReference"/>
        </w:rPr>
        <w:footnoteRef/>
      </w:r>
      <w:r>
        <w:t xml:space="preserve"> See e.g. </w:t>
      </w:r>
      <w:r w:rsidR="00BB7947">
        <w:t xml:space="preserve">R Heywood and J Miola, ‘The Changing Face of Pre-Operative Medical Disclosure: Placing the </w:t>
      </w:r>
      <w:r w:rsidR="00BB7947">
        <w:rPr>
          <w:i/>
          <w:iCs/>
        </w:rPr>
        <w:t>Patient</w:t>
      </w:r>
      <w:r w:rsidR="00BB7947">
        <w:t xml:space="preserve"> at </w:t>
      </w:r>
      <w:r w:rsidR="00BB7947" w:rsidRPr="00825E20">
        <w:rPr>
          <w:rFonts w:cstheme="minorHAnsi"/>
        </w:rPr>
        <w:t xml:space="preserve">the Heart of the Matter’, (2017) 133 </w:t>
      </w:r>
      <w:r w:rsidR="00BB7947" w:rsidRPr="00825E20">
        <w:rPr>
          <w:rFonts w:cstheme="minorHAnsi"/>
          <w:i/>
          <w:iCs/>
        </w:rPr>
        <w:t xml:space="preserve">Law Quarterly Review </w:t>
      </w:r>
      <w:r w:rsidR="00BB7947" w:rsidRPr="00825E20">
        <w:rPr>
          <w:rFonts w:cstheme="minorHAnsi"/>
        </w:rPr>
        <w:t>296</w:t>
      </w:r>
      <w:r w:rsidR="009C2405" w:rsidRPr="00825E20">
        <w:rPr>
          <w:rFonts w:cstheme="minorHAnsi"/>
        </w:rPr>
        <w:t>.</w:t>
      </w:r>
    </w:p>
  </w:footnote>
  <w:footnote w:id="18">
    <w:p w14:paraId="1C5DA2E9" w14:textId="4D1FAEEB" w:rsidR="00CE76FB" w:rsidRPr="00825E20" w:rsidRDefault="00CE76FB">
      <w:pPr>
        <w:pStyle w:val="FootnoteText"/>
        <w:rPr>
          <w:rFonts w:cstheme="minorHAnsi"/>
        </w:rPr>
      </w:pPr>
      <w:r w:rsidRPr="00825E20">
        <w:rPr>
          <w:rStyle w:val="FootnoteReference"/>
          <w:rFonts w:cstheme="minorHAnsi"/>
        </w:rPr>
        <w:footnoteRef/>
      </w:r>
      <w:r w:rsidRPr="00825E20">
        <w:rPr>
          <w:rFonts w:cstheme="minorHAnsi"/>
        </w:rPr>
        <w:t xml:space="preserve"> </w:t>
      </w:r>
      <w:r w:rsidR="00F75FB4" w:rsidRPr="00825E20">
        <w:rPr>
          <w:rFonts w:cstheme="minorHAnsi"/>
          <w:i/>
          <w:iCs/>
        </w:rPr>
        <w:t>supra n 13.</w:t>
      </w:r>
    </w:p>
  </w:footnote>
  <w:footnote w:id="19">
    <w:p w14:paraId="1A2481A7" w14:textId="4313B4A1" w:rsidR="00A25E7D" w:rsidRPr="00825E20" w:rsidRDefault="00A25E7D">
      <w:pPr>
        <w:pStyle w:val="FootnoteText"/>
        <w:rPr>
          <w:rFonts w:cstheme="minorHAnsi"/>
        </w:rPr>
      </w:pPr>
      <w:r w:rsidRPr="00825E20">
        <w:rPr>
          <w:rStyle w:val="FootnoteReference"/>
          <w:rFonts w:cstheme="minorHAnsi"/>
        </w:rPr>
        <w:footnoteRef/>
      </w:r>
      <w:r w:rsidRPr="00825E20">
        <w:rPr>
          <w:rFonts w:cstheme="minorHAnsi"/>
        </w:rPr>
        <w:t xml:space="preserve"> </w:t>
      </w:r>
      <w:r w:rsidR="001D3642" w:rsidRPr="00825E20">
        <w:rPr>
          <w:rFonts w:cstheme="minorHAnsi"/>
          <w:i/>
        </w:rPr>
        <w:t>Bolam v Friern Hospital Management Committee,</w:t>
      </w:r>
      <w:r w:rsidR="001D3642" w:rsidRPr="00825E20">
        <w:rPr>
          <w:rFonts w:cstheme="minorHAnsi"/>
        </w:rPr>
        <w:t xml:space="preserve"> [1957] 1 WLR 582</w:t>
      </w:r>
      <w:r w:rsidR="009C2405" w:rsidRPr="00825E20">
        <w:rPr>
          <w:rFonts w:cstheme="minorHAnsi"/>
        </w:rPr>
        <w:t>.</w:t>
      </w:r>
    </w:p>
  </w:footnote>
  <w:footnote w:id="20">
    <w:p w14:paraId="0C16232E" w14:textId="16E8E195" w:rsidR="00A25E7D" w:rsidRPr="00825E20" w:rsidRDefault="00A25E7D">
      <w:pPr>
        <w:pStyle w:val="FootnoteText"/>
        <w:rPr>
          <w:rFonts w:cstheme="minorHAnsi"/>
        </w:rPr>
      </w:pPr>
      <w:r w:rsidRPr="00825E20">
        <w:rPr>
          <w:rStyle w:val="FootnoteReference"/>
          <w:rFonts w:cstheme="minorHAnsi"/>
        </w:rPr>
        <w:footnoteRef/>
      </w:r>
      <w:r w:rsidRPr="00825E20">
        <w:rPr>
          <w:rFonts w:cstheme="minorHAnsi"/>
        </w:rPr>
        <w:t xml:space="preserve"> </w:t>
      </w:r>
      <w:r w:rsidR="001D3642" w:rsidRPr="00825E20">
        <w:rPr>
          <w:rFonts w:cstheme="minorHAnsi"/>
          <w:bCs/>
          <w:i/>
          <w:iCs/>
          <w:color w:val="222222"/>
          <w:shd w:val="clear" w:color="auto" w:fill="FFFFFF"/>
        </w:rPr>
        <w:t>Bolitho v City and Hackney Health Authority,</w:t>
      </w:r>
      <w:r w:rsidR="001D3642" w:rsidRPr="00825E20">
        <w:rPr>
          <w:rFonts w:cstheme="minorHAnsi"/>
        </w:rPr>
        <w:t xml:space="preserve"> [1998] AC 232</w:t>
      </w:r>
      <w:r w:rsidR="005C45BA" w:rsidRPr="00825E20">
        <w:rPr>
          <w:rFonts w:cstheme="minorHAnsi"/>
        </w:rPr>
        <w:t>.</w:t>
      </w:r>
    </w:p>
  </w:footnote>
  <w:footnote w:id="21">
    <w:p w14:paraId="4DD53384" w14:textId="0A642A49" w:rsidR="00A25E7D" w:rsidRPr="00825E20" w:rsidRDefault="00A25E7D">
      <w:pPr>
        <w:pStyle w:val="FootnoteText"/>
        <w:rPr>
          <w:rFonts w:cstheme="minorHAnsi"/>
        </w:rPr>
      </w:pPr>
      <w:r w:rsidRPr="00825E20">
        <w:rPr>
          <w:rStyle w:val="FootnoteReference"/>
          <w:rFonts w:cstheme="minorHAnsi"/>
        </w:rPr>
        <w:footnoteRef/>
      </w:r>
      <w:r w:rsidRPr="00825E20">
        <w:rPr>
          <w:rFonts w:cstheme="minorHAnsi"/>
        </w:rPr>
        <w:t xml:space="preserve"> </w:t>
      </w:r>
      <w:r w:rsidR="00F75FB4" w:rsidRPr="00825E20">
        <w:rPr>
          <w:rFonts w:cstheme="minorHAnsi"/>
          <w:i/>
        </w:rPr>
        <w:t xml:space="preserve">supra </w:t>
      </w:r>
      <w:r w:rsidR="00F75FB4" w:rsidRPr="00825E20">
        <w:rPr>
          <w:rFonts w:cstheme="minorHAnsi"/>
          <w:iCs/>
        </w:rPr>
        <w:t>n 12</w:t>
      </w:r>
      <w:r w:rsidR="001D3642" w:rsidRPr="00825E20">
        <w:rPr>
          <w:rFonts w:cstheme="minorHAnsi"/>
          <w:iCs/>
        </w:rPr>
        <w:t>.</w:t>
      </w:r>
    </w:p>
  </w:footnote>
  <w:footnote w:id="22">
    <w:p w14:paraId="5ADBAE5F" w14:textId="27AC72B0" w:rsidR="00AE65DE" w:rsidRPr="00825E20" w:rsidRDefault="00AE65DE">
      <w:pPr>
        <w:pStyle w:val="FootnoteText"/>
        <w:rPr>
          <w:rFonts w:cstheme="minorHAnsi"/>
        </w:rPr>
      </w:pPr>
      <w:r w:rsidRPr="00825E20">
        <w:rPr>
          <w:rStyle w:val="FootnoteReference"/>
          <w:rFonts w:cstheme="minorHAnsi"/>
        </w:rPr>
        <w:footnoteRef/>
      </w:r>
      <w:r w:rsidRPr="00825E20">
        <w:rPr>
          <w:rFonts w:cstheme="minorHAnsi"/>
          <w:i/>
          <w:iCs/>
        </w:rPr>
        <w:t xml:space="preserve"> </w:t>
      </w:r>
      <w:r w:rsidR="00F75FB4" w:rsidRPr="00825E20">
        <w:rPr>
          <w:rFonts w:cstheme="minorHAnsi"/>
          <w:i/>
          <w:iCs/>
        </w:rPr>
        <w:t xml:space="preserve">supra </w:t>
      </w:r>
      <w:r w:rsidR="00F75FB4" w:rsidRPr="00825E20">
        <w:rPr>
          <w:rFonts w:cstheme="minorHAnsi"/>
        </w:rPr>
        <w:t xml:space="preserve"> n 11, at</w:t>
      </w:r>
      <w:r w:rsidRPr="00825E20">
        <w:rPr>
          <w:rFonts w:cstheme="minorHAnsi"/>
        </w:rPr>
        <w:t xml:space="preserve"> [826F].</w:t>
      </w:r>
    </w:p>
  </w:footnote>
  <w:footnote w:id="23">
    <w:p w14:paraId="056DA286" w14:textId="591DCB22" w:rsidR="00480959" w:rsidRPr="00825E20" w:rsidRDefault="00480959">
      <w:pPr>
        <w:pStyle w:val="FootnoteText"/>
        <w:rPr>
          <w:rFonts w:cstheme="minorHAnsi"/>
        </w:rPr>
      </w:pPr>
      <w:r w:rsidRPr="00825E20">
        <w:rPr>
          <w:rStyle w:val="FootnoteReference"/>
          <w:rFonts w:cstheme="minorHAnsi"/>
        </w:rPr>
        <w:footnoteRef/>
      </w:r>
      <w:r w:rsidRPr="00825E20">
        <w:rPr>
          <w:rFonts w:cstheme="minorHAnsi"/>
        </w:rPr>
        <w:t xml:space="preserve"> </w:t>
      </w:r>
      <w:r w:rsidR="00F75FB4" w:rsidRPr="00825E20">
        <w:rPr>
          <w:rFonts w:cstheme="minorHAnsi"/>
          <w:i/>
          <w:iCs/>
        </w:rPr>
        <w:t xml:space="preserve">supra </w:t>
      </w:r>
      <w:r w:rsidR="00F75FB4" w:rsidRPr="00825E20">
        <w:rPr>
          <w:rFonts w:cstheme="minorHAnsi"/>
        </w:rPr>
        <w:t>n 12</w:t>
      </w:r>
      <w:r w:rsidRPr="00825E20">
        <w:rPr>
          <w:rFonts w:cstheme="minorHAnsi"/>
        </w:rPr>
        <w:t xml:space="preserve">, </w:t>
      </w:r>
      <w:r w:rsidR="00F75FB4" w:rsidRPr="00825E20">
        <w:rPr>
          <w:rFonts w:cstheme="minorHAnsi"/>
        </w:rPr>
        <w:t xml:space="preserve">at </w:t>
      </w:r>
      <w:r w:rsidRPr="00825E20">
        <w:rPr>
          <w:rFonts w:cstheme="minorHAnsi"/>
        </w:rPr>
        <w:t>[108]</w:t>
      </w:r>
      <w:r w:rsidR="009C2405" w:rsidRPr="00825E20">
        <w:rPr>
          <w:rFonts w:cstheme="minorHAnsi"/>
        </w:rPr>
        <w:t>.</w:t>
      </w:r>
    </w:p>
  </w:footnote>
  <w:footnote w:id="24">
    <w:p w14:paraId="3E134293" w14:textId="09476DB9" w:rsidR="00747834" w:rsidRDefault="00747834">
      <w:pPr>
        <w:pStyle w:val="FootnoteText"/>
      </w:pPr>
      <w:r w:rsidRPr="00825E20">
        <w:rPr>
          <w:rStyle w:val="FootnoteReference"/>
          <w:rFonts w:cstheme="minorHAnsi"/>
        </w:rPr>
        <w:footnoteRef/>
      </w:r>
      <w:r w:rsidRPr="00825E20">
        <w:rPr>
          <w:rFonts w:cstheme="minorHAnsi"/>
        </w:rPr>
        <w:t xml:space="preserve"> </w:t>
      </w:r>
      <w:proofErr w:type="spellStart"/>
      <w:r w:rsidRPr="00825E20">
        <w:rPr>
          <w:rFonts w:cstheme="minorHAnsi"/>
          <w:i/>
          <w:iCs/>
        </w:rPr>
        <w:t>Sidaway</w:t>
      </w:r>
      <w:proofErr w:type="spellEnd"/>
      <w:r w:rsidRPr="00825E20">
        <w:rPr>
          <w:rFonts w:cstheme="minorHAnsi"/>
          <w:i/>
          <w:iCs/>
        </w:rPr>
        <w:t xml:space="preserve"> v Board of Governors of the Bethlehem Royal Hospital and the Maudsley Hospital</w:t>
      </w:r>
      <w:r w:rsidRPr="00825E20">
        <w:rPr>
          <w:rFonts w:cstheme="minorHAnsi"/>
        </w:rPr>
        <w:t> </w:t>
      </w:r>
      <w:hyperlink r:id="rId3" w:tooltip="Link to BAILII version" w:history="1">
        <w:r w:rsidRPr="00825E20">
          <w:rPr>
            <w:rStyle w:val="Hyperlink"/>
            <w:rFonts w:cstheme="minorHAnsi"/>
          </w:rPr>
          <w:t>[1985] AC 871</w:t>
        </w:r>
      </w:hyperlink>
      <w:r w:rsidRPr="00825E20">
        <w:rPr>
          <w:rFonts w:cstheme="minorHAnsi"/>
        </w:rPr>
        <w:t> </w:t>
      </w:r>
      <w:r w:rsidRPr="00825E20">
        <w:rPr>
          <w:rFonts w:cstheme="minorHAnsi"/>
          <w:i/>
          <w:iCs/>
        </w:rPr>
        <w:t>per</w:t>
      </w:r>
      <w:r w:rsidRPr="00825E20">
        <w:rPr>
          <w:rFonts w:cstheme="minorHAnsi"/>
        </w:rPr>
        <w:t> Lord Templeman at p 904; </w:t>
      </w:r>
      <w:r w:rsidRPr="00825E20">
        <w:rPr>
          <w:rFonts w:cstheme="minorHAnsi"/>
          <w:i/>
          <w:iCs/>
        </w:rPr>
        <w:t>Airedale NHS Trust v</w:t>
      </w:r>
      <w:r w:rsidRPr="00825E20">
        <w:rPr>
          <w:rFonts w:cstheme="minorHAnsi"/>
        </w:rPr>
        <w:t> </w:t>
      </w:r>
      <w:r w:rsidRPr="00825E20">
        <w:rPr>
          <w:rFonts w:cstheme="minorHAnsi"/>
          <w:i/>
          <w:iCs/>
        </w:rPr>
        <w:t>Bland</w:t>
      </w:r>
      <w:r w:rsidR="00F75FB4" w:rsidRPr="00825E20">
        <w:rPr>
          <w:rFonts w:cstheme="minorHAnsi"/>
          <w:i/>
          <w:iCs/>
        </w:rPr>
        <w:t xml:space="preserve">, supra </w:t>
      </w:r>
      <w:r w:rsidR="00F75FB4" w:rsidRPr="00825E20">
        <w:rPr>
          <w:rFonts w:cstheme="minorHAnsi"/>
        </w:rPr>
        <w:t>n 11,</w:t>
      </w:r>
      <w:r w:rsidRPr="00825E20">
        <w:rPr>
          <w:rFonts w:cstheme="minorHAnsi"/>
          <w:i/>
          <w:iCs/>
        </w:rPr>
        <w:t xml:space="preserve"> </w:t>
      </w:r>
      <w:r w:rsidRPr="00825E20">
        <w:rPr>
          <w:rFonts w:cstheme="minorHAnsi"/>
        </w:rPr>
        <w:t>per Lord Mustill at p 892 H; </w:t>
      </w:r>
      <w:r w:rsidRPr="00825E20">
        <w:rPr>
          <w:rFonts w:cstheme="minorHAnsi"/>
          <w:i/>
          <w:iCs/>
        </w:rPr>
        <w:t>R(Burke) v General Medical Council</w:t>
      </w:r>
      <w:r w:rsidR="00F75FB4" w:rsidRPr="00825E20">
        <w:rPr>
          <w:rFonts w:cstheme="minorHAnsi"/>
        </w:rPr>
        <w:t xml:space="preserve">, </w:t>
      </w:r>
      <w:r w:rsidR="00F75FB4" w:rsidRPr="00825E20">
        <w:rPr>
          <w:rFonts w:cstheme="minorHAnsi"/>
          <w:i/>
          <w:iCs/>
        </w:rPr>
        <w:t>supra</w:t>
      </w:r>
      <w:r w:rsidR="00F75FB4" w:rsidRPr="00825E20">
        <w:rPr>
          <w:rFonts w:cstheme="minorHAnsi"/>
        </w:rPr>
        <w:t xml:space="preserve"> n 5,</w:t>
      </w:r>
      <w:r w:rsidRPr="00825E20">
        <w:rPr>
          <w:rFonts w:cstheme="minorHAnsi"/>
        </w:rPr>
        <w:t> </w:t>
      </w:r>
      <w:r w:rsidRPr="00825E20">
        <w:rPr>
          <w:rFonts w:cstheme="minorHAnsi"/>
          <w:i/>
          <w:iCs/>
        </w:rPr>
        <w:t>per </w:t>
      </w:r>
      <w:r w:rsidRPr="00825E20">
        <w:rPr>
          <w:rFonts w:cstheme="minorHAnsi"/>
        </w:rPr>
        <w:t>Lord Phillips MR at [30]</w:t>
      </w:r>
      <w:r w:rsidR="005C45BA" w:rsidRPr="00825E20">
        <w:rPr>
          <w:rFonts w:cstheme="minorHAnsi"/>
        </w:rPr>
        <w:t>.</w:t>
      </w:r>
    </w:p>
  </w:footnote>
  <w:footnote w:id="25">
    <w:p w14:paraId="54BC6DE4" w14:textId="2894F7F9" w:rsidR="00BB7947" w:rsidRDefault="00BB7947">
      <w:pPr>
        <w:pStyle w:val="FootnoteText"/>
      </w:pPr>
      <w:r>
        <w:rPr>
          <w:rStyle w:val="FootnoteReference"/>
        </w:rPr>
        <w:footnoteRef/>
      </w:r>
      <w:r>
        <w:t xml:space="preserve"> </w:t>
      </w:r>
      <w:r w:rsidR="00F75FB4">
        <w:rPr>
          <w:i/>
          <w:iCs/>
        </w:rPr>
        <w:t xml:space="preserve">supra </w:t>
      </w:r>
      <w:r w:rsidR="00F75FB4" w:rsidRPr="00F75FB4">
        <w:t>n 6</w:t>
      </w:r>
      <w:r w:rsidR="009C2405" w:rsidRPr="00F75FB4">
        <w:t>.</w:t>
      </w:r>
    </w:p>
  </w:footnote>
  <w:footnote w:id="26">
    <w:p w14:paraId="0E53DC70" w14:textId="29C67B3D" w:rsidR="00A972CA" w:rsidRDefault="00A972CA" w:rsidP="00A972CA">
      <w:pPr>
        <w:pStyle w:val="FootnoteText"/>
      </w:pPr>
      <w:r>
        <w:rPr>
          <w:rStyle w:val="FootnoteReference"/>
        </w:rPr>
        <w:footnoteRef/>
      </w:r>
      <w:r>
        <w:t xml:space="preserve"> </w:t>
      </w:r>
      <w:r w:rsidR="00F75FB4">
        <w:rPr>
          <w:i/>
          <w:iCs/>
        </w:rPr>
        <w:t xml:space="preserve">supra </w:t>
      </w:r>
      <w:r w:rsidR="00F75FB4" w:rsidRPr="00F75FB4">
        <w:t>n 13</w:t>
      </w:r>
      <w:r w:rsidRPr="00F75FB4">
        <w:t>.</w:t>
      </w:r>
    </w:p>
  </w:footnote>
  <w:footnote w:id="27">
    <w:p w14:paraId="16AF7A46" w14:textId="7CF2E208" w:rsidR="001D3642" w:rsidRPr="000B2425" w:rsidRDefault="001D3642">
      <w:pPr>
        <w:pStyle w:val="FootnoteText"/>
      </w:pPr>
      <w:r>
        <w:rPr>
          <w:rStyle w:val="FootnoteReference"/>
        </w:rPr>
        <w:footnoteRef/>
      </w:r>
      <w:r>
        <w:t xml:space="preserve"> </w:t>
      </w:r>
      <w:r w:rsidR="000B2425">
        <w:t xml:space="preserve">R Heywood and J Miola, ‘The Changing Face of Pre-Operative Medical Disclosure: Placing the </w:t>
      </w:r>
      <w:r w:rsidR="000B2425">
        <w:rPr>
          <w:i/>
          <w:iCs/>
        </w:rPr>
        <w:t>Patient</w:t>
      </w:r>
      <w:r w:rsidR="000B2425">
        <w:t xml:space="preserve"> at the Heart of the Matter’, </w:t>
      </w:r>
      <w:r w:rsidR="006876C9">
        <w:t>(</w:t>
      </w:r>
      <w:r w:rsidR="000B2425">
        <w:t>2017</w:t>
      </w:r>
      <w:r w:rsidR="006876C9">
        <w:t>) 133</w:t>
      </w:r>
      <w:r w:rsidR="000B2425">
        <w:t xml:space="preserve"> </w:t>
      </w:r>
      <w:r w:rsidR="000B2425">
        <w:rPr>
          <w:i/>
          <w:iCs/>
        </w:rPr>
        <w:t xml:space="preserve">Law Quarterly Review </w:t>
      </w:r>
      <w:r w:rsidR="000B2425">
        <w:t>296</w:t>
      </w:r>
      <w:r w:rsidR="006876C9">
        <w:t xml:space="preserve">, </w:t>
      </w:r>
      <w:r w:rsidR="000B2425" w:rsidRPr="004159FE">
        <w:t>302.</w:t>
      </w:r>
    </w:p>
  </w:footnote>
  <w:footnote w:id="28">
    <w:p w14:paraId="05BC6553" w14:textId="5131EB85" w:rsidR="00163C7A" w:rsidRDefault="00163C7A">
      <w:pPr>
        <w:pStyle w:val="FootnoteText"/>
      </w:pPr>
      <w:r>
        <w:rPr>
          <w:rStyle w:val="FootnoteReference"/>
        </w:rPr>
        <w:footnoteRef/>
      </w:r>
      <w:r>
        <w:t xml:space="preserve"> However, the question remains how a physician can and will justify their selection of alternative treatments to be presented to the patient.</w:t>
      </w:r>
    </w:p>
  </w:footnote>
  <w:footnote w:id="29">
    <w:p w14:paraId="7302BD2A" w14:textId="0CD642C6" w:rsidR="000C3297" w:rsidRPr="000C3297" w:rsidRDefault="000C3297">
      <w:pPr>
        <w:pStyle w:val="FootnoteText"/>
      </w:pPr>
      <w:r>
        <w:rPr>
          <w:rStyle w:val="FootnoteReference"/>
        </w:rPr>
        <w:footnoteRef/>
      </w:r>
      <w:r>
        <w:t xml:space="preserve"> A I </w:t>
      </w:r>
      <w:proofErr w:type="spellStart"/>
      <w:r>
        <w:t>Sarela</w:t>
      </w:r>
      <w:proofErr w:type="spellEnd"/>
      <w:r>
        <w:t xml:space="preserve">, ‘The Supreme Court’s decision in McCulloch v Forth Valley Health Board: Does it condone healthcare injustice?’ (2023) </w:t>
      </w:r>
      <w:r>
        <w:rPr>
          <w:i/>
          <w:iCs/>
        </w:rPr>
        <w:t>Journal of Medical Ethics</w:t>
      </w:r>
      <w:r>
        <w:t xml:space="preserve"> 1.</w:t>
      </w:r>
    </w:p>
  </w:footnote>
  <w:footnote w:id="30">
    <w:p w14:paraId="43E9E324" w14:textId="42F68ED1" w:rsidR="00D0125E" w:rsidRPr="00962C4F" w:rsidRDefault="00D0125E">
      <w:pPr>
        <w:pStyle w:val="FootnoteText"/>
      </w:pPr>
      <w:r>
        <w:rPr>
          <w:rStyle w:val="FootnoteReference"/>
        </w:rPr>
        <w:footnoteRef/>
      </w:r>
      <w:r>
        <w:t xml:space="preserve"> R </w:t>
      </w:r>
      <w:proofErr w:type="spellStart"/>
      <w:r>
        <w:t>Gilbar</w:t>
      </w:r>
      <w:proofErr w:type="spellEnd"/>
      <w:r>
        <w:t xml:space="preserve"> and J</w:t>
      </w:r>
      <w:r>
        <w:rPr>
          <w:rFonts w:cstheme="minorHAnsi"/>
        </w:rPr>
        <w:t xml:space="preserve"> Miola, ‘One Size Fits All? On Patient Autonomy, Medical Decision-Making, and the Impact of Culture’</w:t>
      </w:r>
      <w:r w:rsidR="00962C4F">
        <w:rPr>
          <w:rFonts w:cstheme="minorHAnsi"/>
        </w:rPr>
        <w:t xml:space="preserve">, </w:t>
      </w:r>
      <w:r w:rsidR="006876C9">
        <w:rPr>
          <w:rFonts w:cstheme="minorHAnsi"/>
        </w:rPr>
        <w:t xml:space="preserve">(2014) 23(3) </w:t>
      </w:r>
      <w:r w:rsidR="00962C4F">
        <w:rPr>
          <w:rFonts w:cstheme="minorHAnsi"/>
          <w:i/>
          <w:iCs/>
        </w:rPr>
        <w:t>Medical Law Review</w:t>
      </w:r>
      <w:r w:rsidR="00962C4F">
        <w:rPr>
          <w:rFonts w:cstheme="minorHAnsi"/>
        </w:rPr>
        <w:t xml:space="preserve"> 375, 376.</w:t>
      </w:r>
    </w:p>
  </w:footnote>
  <w:footnote w:id="31">
    <w:p w14:paraId="0B76911C" w14:textId="144916EB" w:rsidR="00962C4F" w:rsidRPr="00962C4F" w:rsidRDefault="00962C4F">
      <w:pPr>
        <w:pStyle w:val="FootnoteText"/>
      </w:pPr>
      <w:r>
        <w:rPr>
          <w:rStyle w:val="FootnoteReference"/>
        </w:rPr>
        <w:footnoteRef/>
      </w:r>
      <w:r>
        <w:t xml:space="preserve"> E</w:t>
      </w:r>
      <w:r w:rsidR="00F75FB4">
        <w:t xml:space="preserve"> </w:t>
      </w:r>
      <w:r>
        <w:t xml:space="preserve">Cave, ‘Protecting Patients from their Bad Decisions: Rebalancing Rights, Relationships, and Risk’, </w:t>
      </w:r>
      <w:r w:rsidR="006876C9">
        <w:t xml:space="preserve">(2017) 25(4) </w:t>
      </w:r>
      <w:r>
        <w:rPr>
          <w:i/>
          <w:iCs/>
        </w:rPr>
        <w:t>Medical Law Review</w:t>
      </w:r>
      <w:r w:rsidR="006876C9">
        <w:rPr>
          <w:i/>
          <w:iCs/>
        </w:rPr>
        <w:t xml:space="preserve"> </w:t>
      </w:r>
      <w:r>
        <w:t>527, 529.</w:t>
      </w:r>
    </w:p>
  </w:footnote>
  <w:footnote w:id="32">
    <w:p w14:paraId="2AA6B68B" w14:textId="24EAAE35" w:rsidR="003F5BA9" w:rsidRDefault="003F5BA9">
      <w:pPr>
        <w:pStyle w:val="FootnoteText"/>
      </w:pPr>
      <w:r>
        <w:rPr>
          <w:rStyle w:val="FootnoteReference"/>
        </w:rPr>
        <w:footnoteRef/>
      </w:r>
      <w:r>
        <w:t xml:space="preserve"> </w:t>
      </w:r>
      <w:r w:rsidR="00D01A81">
        <w:rPr>
          <w:i/>
          <w:iCs/>
        </w:rPr>
        <w:t>i</w:t>
      </w:r>
      <w:r w:rsidRPr="00D01A81">
        <w:rPr>
          <w:i/>
          <w:iCs/>
        </w:rPr>
        <w:t>bid</w:t>
      </w:r>
      <w:r>
        <w:t>, 536.</w:t>
      </w:r>
      <w:r w:rsidR="002649D2">
        <w:t xml:space="preserve"> Here, harm means the violation of any interest that is more important than the chosen action.</w:t>
      </w:r>
    </w:p>
  </w:footnote>
  <w:footnote w:id="33">
    <w:p w14:paraId="60FEF62F" w14:textId="7F284C62" w:rsidR="00E50EBE" w:rsidRDefault="00E50EBE">
      <w:pPr>
        <w:pStyle w:val="FootnoteText"/>
      </w:pPr>
      <w:r w:rsidRPr="00C244F1">
        <w:rPr>
          <w:rStyle w:val="FootnoteReference"/>
        </w:rPr>
        <w:footnoteRef/>
      </w:r>
      <w:r w:rsidRPr="00C244F1">
        <w:t xml:space="preserve"> This duty is different to a duty towards competent, fully informed, patients who consent to or refuse treatment. It arises from JJ’s vulnerability and the State’s duty towards him as a prisoner.</w:t>
      </w:r>
    </w:p>
  </w:footnote>
  <w:footnote w:id="34">
    <w:p w14:paraId="7A3B56A2" w14:textId="17F1AD79" w:rsidR="009A291E" w:rsidRPr="009A291E" w:rsidRDefault="009A291E">
      <w:pPr>
        <w:pStyle w:val="FootnoteText"/>
      </w:pPr>
      <w:r>
        <w:rPr>
          <w:rStyle w:val="FootnoteReference"/>
        </w:rPr>
        <w:footnoteRef/>
      </w:r>
      <w:r>
        <w:t xml:space="preserve"> E Cave and C Milo, ‘Informing Patients: The </w:t>
      </w:r>
      <w:r>
        <w:rPr>
          <w:i/>
          <w:iCs/>
        </w:rPr>
        <w:t xml:space="preserve">Bolam </w:t>
      </w:r>
      <w:r>
        <w:t>Legacy’,</w:t>
      </w:r>
      <w:r w:rsidR="006876C9">
        <w:t xml:space="preserve"> (2020) 20(2)</w:t>
      </w:r>
      <w:r>
        <w:t xml:space="preserve"> </w:t>
      </w:r>
      <w:r>
        <w:rPr>
          <w:i/>
          <w:iCs/>
        </w:rPr>
        <w:t>Medical Law International</w:t>
      </w:r>
      <w:r>
        <w:t xml:space="preserve"> 103, 119.</w:t>
      </w:r>
    </w:p>
  </w:footnote>
  <w:footnote w:id="35">
    <w:p w14:paraId="7AF12691" w14:textId="559F478A" w:rsidR="009A291E" w:rsidRDefault="009A291E">
      <w:pPr>
        <w:pStyle w:val="FootnoteText"/>
      </w:pPr>
      <w:r>
        <w:rPr>
          <w:rStyle w:val="FootnoteReference"/>
        </w:rPr>
        <w:footnoteRef/>
      </w:r>
      <w:r w:rsidRPr="00D01A81">
        <w:rPr>
          <w:i/>
          <w:iCs/>
        </w:rPr>
        <w:t xml:space="preserve"> </w:t>
      </w:r>
      <w:r w:rsidR="00D01A81" w:rsidRPr="00D01A81">
        <w:rPr>
          <w:i/>
          <w:iCs/>
        </w:rPr>
        <w:t>i</w:t>
      </w:r>
      <w:r w:rsidRPr="00D01A81">
        <w:rPr>
          <w:i/>
          <w:iCs/>
        </w:rPr>
        <w:t>bid</w:t>
      </w:r>
      <w:r>
        <w:t>, 120.</w:t>
      </w:r>
    </w:p>
  </w:footnote>
  <w:footnote w:id="36">
    <w:p w14:paraId="2D644318" w14:textId="1AAB1910" w:rsidR="00784745" w:rsidRDefault="00784745">
      <w:pPr>
        <w:pStyle w:val="FootnoteText"/>
      </w:pPr>
      <w:r>
        <w:rPr>
          <w:rStyle w:val="FootnoteReference"/>
        </w:rPr>
        <w:footnoteRef/>
      </w:r>
      <w:r>
        <w:t xml:space="preserve"> </w:t>
      </w:r>
      <w:r w:rsidR="00F75FB4">
        <w:rPr>
          <w:i/>
          <w:iCs/>
        </w:rPr>
        <w:t xml:space="preserve">supra </w:t>
      </w:r>
      <w:r w:rsidR="00F75FB4" w:rsidRPr="00F75FB4">
        <w:t>n 11</w:t>
      </w:r>
      <w:r w:rsidRPr="00F75FB4">
        <w:t>,</w:t>
      </w:r>
      <w:r>
        <w:t xml:space="preserve"> </w:t>
      </w:r>
      <w:r w:rsidR="00F75FB4">
        <w:t xml:space="preserve">at </w:t>
      </w:r>
      <w:r>
        <w:t>[858G].</w:t>
      </w:r>
    </w:p>
  </w:footnote>
  <w:footnote w:id="37">
    <w:p w14:paraId="4C17678C" w14:textId="5A8850F3" w:rsidR="00964309" w:rsidRPr="00964309" w:rsidRDefault="00964309">
      <w:pPr>
        <w:pStyle w:val="FootnoteText"/>
      </w:pPr>
      <w:r>
        <w:rPr>
          <w:rStyle w:val="FootnoteReference"/>
        </w:rPr>
        <w:footnoteRef/>
      </w:r>
      <w:r>
        <w:t xml:space="preserve"> See e.g. B Crewe, ‘Depth, weight, tightness: Revisiting the pains of imprisonment’ (2011) 13(5) </w:t>
      </w:r>
      <w:r>
        <w:rPr>
          <w:i/>
          <w:iCs/>
        </w:rPr>
        <w:t xml:space="preserve">Punishment &amp; Society </w:t>
      </w:r>
      <w:r>
        <w:t>509.</w:t>
      </w:r>
    </w:p>
  </w:footnote>
  <w:footnote w:id="38">
    <w:p w14:paraId="64236E11" w14:textId="53AECBCD" w:rsidR="00A330C6" w:rsidRDefault="00A330C6">
      <w:pPr>
        <w:pStyle w:val="FootnoteText"/>
      </w:pPr>
      <w:r>
        <w:rPr>
          <w:rStyle w:val="FootnoteReference"/>
        </w:rPr>
        <w:footnoteRef/>
      </w:r>
      <w:r>
        <w:t xml:space="preserve"> </w:t>
      </w:r>
      <w:r w:rsidRPr="00A330C6">
        <w:t xml:space="preserve">Council of Europe (2006), </w:t>
      </w:r>
      <w:r w:rsidRPr="00A330C6">
        <w:rPr>
          <w:i/>
          <w:iCs/>
        </w:rPr>
        <w:t>Recommendation Rec(2006)2 of the Committee of Ministers to Member States on the European Prison Rules</w:t>
      </w:r>
      <w:r>
        <w:rPr>
          <w:i/>
          <w:iCs/>
        </w:rPr>
        <w:t>.</w:t>
      </w:r>
    </w:p>
  </w:footnote>
  <w:footnote w:id="39">
    <w:p w14:paraId="27871222" w14:textId="0781BAD3" w:rsidR="00602569" w:rsidRDefault="00602569">
      <w:pPr>
        <w:pStyle w:val="FootnoteText"/>
      </w:pPr>
      <w:r>
        <w:rPr>
          <w:rStyle w:val="FootnoteReference"/>
        </w:rPr>
        <w:footnoteRef/>
      </w:r>
      <w:r>
        <w:t xml:space="preserve"> S</w:t>
      </w:r>
      <w:r w:rsidRPr="00602569">
        <w:t xml:space="preserve">ee, for example, </w:t>
      </w:r>
      <w:proofErr w:type="spellStart"/>
      <w:r w:rsidRPr="00602569">
        <w:rPr>
          <w:i/>
        </w:rPr>
        <w:t>Bouyid</w:t>
      </w:r>
      <w:proofErr w:type="spellEnd"/>
      <w:r w:rsidRPr="00602569">
        <w:rPr>
          <w:i/>
        </w:rPr>
        <w:t xml:space="preserve"> v Belgium</w:t>
      </w:r>
      <w:r w:rsidRPr="00602569">
        <w:t xml:space="preserve">, application no. 23380/09, </w:t>
      </w:r>
      <w:proofErr w:type="spellStart"/>
      <w:r w:rsidRPr="00602569">
        <w:rPr>
          <w:i/>
        </w:rPr>
        <w:t>Vinter</w:t>
      </w:r>
      <w:proofErr w:type="spellEnd"/>
      <w:r w:rsidRPr="00602569">
        <w:rPr>
          <w:i/>
        </w:rPr>
        <w:t xml:space="preserve"> and Others v the United Kingdom, </w:t>
      </w:r>
      <w:r w:rsidRPr="00602569">
        <w:t xml:space="preserve">applications nos. 66069/09, 130/10 and 3896/10, and </w:t>
      </w:r>
      <w:proofErr w:type="spellStart"/>
      <w:r w:rsidRPr="00602569">
        <w:rPr>
          <w:i/>
        </w:rPr>
        <w:t>Muršić</w:t>
      </w:r>
      <w:proofErr w:type="spellEnd"/>
      <w:r w:rsidRPr="00602569">
        <w:rPr>
          <w:i/>
        </w:rPr>
        <w:t xml:space="preserve"> v Croatia</w:t>
      </w:r>
      <w:r w:rsidRPr="00602569">
        <w:t>, application no. 7334/13</w:t>
      </w:r>
      <w:r w:rsidR="005C45BA">
        <w:t>.</w:t>
      </w:r>
      <w:r>
        <w:t xml:space="preserve"> </w:t>
      </w:r>
    </w:p>
  </w:footnote>
  <w:footnote w:id="40">
    <w:p w14:paraId="11070231" w14:textId="79CEA44B" w:rsidR="00602569" w:rsidRDefault="00602569">
      <w:pPr>
        <w:pStyle w:val="FootnoteText"/>
      </w:pPr>
      <w:r>
        <w:rPr>
          <w:rStyle w:val="FootnoteReference"/>
        </w:rPr>
        <w:footnoteRef/>
      </w:r>
      <w:r>
        <w:t xml:space="preserve"> </w:t>
      </w:r>
      <w:r w:rsidRPr="00602569">
        <w:t xml:space="preserve">[2011] EWHC 3379 (QB), </w:t>
      </w:r>
      <w:r>
        <w:t>[</w:t>
      </w:r>
      <w:r w:rsidRPr="00602569">
        <w:t>80</w:t>
      </w:r>
      <w:r>
        <w:t>]</w:t>
      </w:r>
      <w:r w:rsidR="005C45BA">
        <w:t>.</w:t>
      </w:r>
    </w:p>
  </w:footnote>
  <w:footnote w:id="41">
    <w:p w14:paraId="04A32175" w14:textId="1B0A9045" w:rsidR="00602569" w:rsidRDefault="00602569">
      <w:pPr>
        <w:pStyle w:val="FootnoteText"/>
      </w:pPr>
      <w:r>
        <w:rPr>
          <w:rStyle w:val="FootnoteReference"/>
        </w:rPr>
        <w:footnoteRef/>
      </w:r>
      <w:r>
        <w:t xml:space="preserve"> </w:t>
      </w:r>
      <w:r w:rsidR="006876C9">
        <w:t>A</w:t>
      </w:r>
      <w:r w:rsidRPr="00602569">
        <w:t>pplication no. 44369/02</w:t>
      </w:r>
      <w:r>
        <w:t>.</w:t>
      </w:r>
    </w:p>
  </w:footnote>
  <w:footnote w:id="42">
    <w:p w14:paraId="5E6C75F2" w14:textId="7A3B599E" w:rsidR="002435B9" w:rsidRPr="002435B9" w:rsidRDefault="002435B9">
      <w:pPr>
        <w:pStyle w:val="FootnoteText"/>
      </w:pPr>
      <w:r>
        <w:rPr>
          <w:rStyle w:val="FootnoteReference"/>
        </w:rPr>
        <w:footnoteRef/>
      </w:r>
      <w:r>
        <w:t xml:space="preserve"> R</w:t>
      </w:r>
      <w:r w:rsidR="00C50592">
        <w:t xml:space="preserve"> </w:t>
      </w:r>
      <w:r>
        <w:t xml:space="preserve">Gladwin-Geoghegan and S Foster, ‘Prisons – self-determination – private life – provision of food – duty to protect life’, </w:t>
      </w:r>
      <w:r w:rsidR="006876C9">
        <w:t>(</w:t>
      </w:r>
      <w:r w:rsidR="006B43C0">
        <w:t>2022</w:t>
      </w:r>
      <w:r w:rsidR="006876C9">
        <w:t>) 27(2)</w:t>
      </w:r>
      <w:r w:rsidR="006B43C0">
        <w:t xml:space="preserve"> </w:t>
      </w:r>
      <w:r>
        <w:rPr>
          <w:i/>
          <w:iCs/>
        </w:rPr>
        <w:t>Coventry Law Journal</w:t>
      </w:r>
      <w:r>
        <w:t xml:space="preserve"> 9</w:t>
      </w:r>
      <w:r w:rsidR="005C45BA">
        <w:t>3</w:t>
      </w:r>
      <w:r>
        <w:t>, 97.</w:t>
      </w:r>
    </w:p>
  </w:footnote>
  <w:footnote w:id="43">
    <w:p w14:paraId="0FD67803" w14:textId="5E0ED396" w:rsidR="005C45BA" w:rsidRDefault="005C45BA">
      <w:pPr>
        <w:pStyle w:val="FootnoteText"/>
      </w:pPr>
      <w:r>
        <w:rPr>
          <w:rStyle w:val="FootnoteReference"/>
        </w:rPr>
        <w:footnoteRef/>
      </w:r>
      <w:r>
        <w:t xml:space="preserve"> </w:t>
      </w:r>
      <w:bookmarkStart w:id="2" w:name="para36"/>
      <w:r w:rsidRPr="005C45BA">
        <w:rPr>
          <w:i/>
          <w:iCs/>
        </w:rPr>
        <w:t>Reeves v Commissioner of Police</w:t>
      </w:r>
      <w:r w:rsidRPr="005C45BA">
        <w:t> </w:t>
      </w:r>
      <w:bookmarkEnd w:id="2"/>
      <w:r w:rsidRPr="005C45BA">
        <w:fldChar w:fldCharType="begin"/>
      </w:r>
      <w:r w:rsidRPr="005C45BA">
        <w:instrText xml:space="preserve"> HYPERLINK "https://www.bailii.org/cgi-bin/redirect.cgi?path=/uk/cases/UKHL/1999/35.html" \o "Link to BAILII version" </w:instrText>
      </w:r>
      <w:r w:rsidRPr="005C45BA">
        <w:fldChar w:fldCharType="separate"/>
      </w:r>
      <w:r w:rsidRPr="005C45BA">
        <w:rPr>
          <w:rStyle w:val="Hyperlink"/>
          <w:color w:val="auto"/>
          <w:u w:val="none"/>
        </w:rPr>
        <w:t>[2000] 1 AC 360</w:t>
      </w:r>
      <w:r w:rsidRPr="005C45BA">
        <w:fldChar w:fldCharType="end"/>
      </w:r>
      <w:r>
        <w:t>.</w:t>
      </w:r>
    </w:p>
  </w:footnote>
  <w:footnote w:id="44">
    <w:p w14:paraId="57D9D21B" w14:textId="63AB8405" w:rsidR="005003C6" w:rsidRDefault="005003C6">
      <w:pPr>
        <w:pStyle w:val="FootnoteText"/>
      </w:pPr>
      <w:r>
        <w:rPr>
          <w:rStyle w:val="FootnoteReference"/>
        </w:rPr>
        <w:footnoteRef/>
      </w:r>
      <w:r>
        <w:t xml:space="preserve"> </w:t>
      </w:r>
      <w:r w:rsidR="00374781">
        <w:t>M Warnock and E</w:t>
      </w:r>
      <w:r w:rsidR="00D01A81">
        <w:t xml:space="preserve"> </w:t>
      </w:r>
      <w:r w:rsidR="00374781">
        <w:t xml:space="preserve">Macdonald, </w:t>
      </w:r>
      <w:r w:rsidR="00374781" w:rsidRPr="00374781">
        <w:rPr>
          <w:i/>
          <w:iCs/>
        </w:rPr>
        <w:t>Easeful death. Is There a Case for Assisted Dying?</w:t>
      </w:r>
      <w:r w:rsidR="00374781">
        <w:rPr>
          <w:i/>
          <w:iCs/>
        </w:rPr>
        <w:t xml:space="preserve"> </w:t>
      </w:r>
      <w:r w:rsidR="00374781" w:rsidRPr="00374781">
        <w:t>(</w:t>
      </w:r>
      <w:r w:rsidR="00374781">
        <w:t>OUP 2008), 92.</w:t>
      </w:r>
    </w:p>
  </w:footnote>
  <w:footnote w:id="45">
    <w:p w14:paraId="5036E74F" w14:textId="33287C2A" w:rsidR="006B43C0" w:rsidRDefault="006B43C0">
      <w:pPr>
        <w:pStyle w:val="FootnoteText"/>
      </w:pPr>
      <w:r>
        <w:rPr>
          <w:rStyle w:val="FootnoteReference"/>
        </w:rPr>
        <w:footnoteRef/>
      </w:r>
      <w:r>
        <w:t xml:space="preserve"> </w:t>
      </w:r>
      <w:r w:rsidR="00C50592">
        <w:rPr>
          <w:i/>
          <w:iCs/>
        </w:rPr>
        <w:t>s</w:t>
      </w:r>
      <w:r w:rsidR="00C50592" w:rsidRPr="00C50592">
        <w:rPr>
          <w:i/>
          <w:iCs/>
        </w:rPr>
        <w:t>upra</w:t>
      </w:r>
      <w:r w:rsidR="00C50592">
        <w:t xml:space="preserve"> n 1, at</w:t>
      </w:r>
      <w:r>
        <w:t xml:space="preserve"> [81]</w:t>
      </w:r>
      <w:r w:rsidR="005C45BA">
        <w:t>.</w:t>
      </w:r>
    </w:p>
  </w:footnote>
  <w:footnote w:id="46">
    <w:p w14:paraId="4698CC9B" w14:textId="2C220EB1" w:rsidR="00F52CB2" w:rsidRDefault="00F52CB2">
      <w:pPr>
        <w:pStyle w:val="FootnoteText"/>
      </w:pPr>
      <w:r>
        <w:rPr>
          <w:rStyle w:val="FootnoteReference"/>
        </w:rPr>
        <w:footnoteRef/>
      </w:r>
      <w:r>
        <w:t xml:space="preserve"> </w:t>
      </w:r>
      <w:r w:rsidR="00C50592">
        <w:rPr>
          <w:i/>
          <w:iCs/>
        </w:rPr>
        <w:t>i</w:t>
      </w:r>
      <w:r w:rsidR="00C50592" w:rsidRPr="00C50592">
        <w:rPr>
          <w:i/>
          <w:iCs/>
        </w:rPr>
        <w:t>bid</w:t>
      </w:r>
      <w:r w:rsidR="00C50592">
        <w:t>, at</w:t>
      </w:r>
      <w:r>
        <w:t xml:space="preserve">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3624"/>
    <w:multiLevelType w:val="hybridMultilevel"/>
    <w:tmpl w:val="1E9A8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62ED2"/>
    <w:multiLevelType w:val="multilevel"/>
    <w:tmpl w:val="D4BE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C0326"/>
    <w:multiLevelType w:val="multilevel"/>
    <w:tmpl w:val="D4BE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114E9C"/>
    <w:multiLevelType w:val="multilevel"/>
    <w:tmpl w:val="D4BE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271055">
    <w:abstractNumId w:val="2"/>
    <w:lvlOverride w:ilvl="0">
      <w:startOverride w:val="79"/>
    </w:lvlOverride>
  </w:num>
  <w:num w:numId="2" w16cid:durableId="2077244816">
    <w:abstractNumId w:val="3"/>
    <w:lvlOverride w:ilvl="0">
      <w:startOverride w:val="79"/>
    </w:lvlOverride>
  </w:num>
  <w:num w:numId="3" w16cid:durableId="1468742688">
    <w:abstractNumId w:val="1"/>
  </w:num>
  <w:num w:numId="4" w16cid:durableId="17722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D2"/>
    <w:rsid w:val="00006B43"/>
    <w:rsid w:val="000110A9"/>
    <w:rsid w:val="00022244"/>
    <w:rsid w:val="00030EC6"/>
    <w:rsid w:val="00047D8B"/>
    <w:rsid w:val="00057B7B"/>
    <w:rsid w:val="000B2425"/>
    <w:rsid w:val="000C3297"/>
    <w:rsid w:val="000E0630"/>
    <w:rsid w:val="000E0BC6"/>
    <w:rsid w:val="000E4BB1"/>
    <w:rsid w:val="000F09CF"/>
    <w:rsid w:val="000F540D"/>
    <w:rsid w:val="00114BD5"/>
    <w:rsid w:val="001205C8"/>
    <w:rsid w:val="00122C6A"/>
    <w:rsid w:val="00163C7A"/>
    <w:rsid w:val="0017028F"/>
    <w:rsid w:val="00184204"/>
    <w:rsid w:val="001C1694"/>
    <w:rsid w:val="001D3642"/>
    <w:rsid w:val="001E1283"/>
    <w:rsid w:val="001E3FEA"/>
    <w:rsid w:val="00237A1C"/>
    <w:rsid w:val="002435B9"/>
    <w:rsid w:val="00245254"/>
    <w:rsid w:val="00256A4B"/>
    <w:rsid w:val="002649D2"/>
    <w:rsid w:val="00284ACF"/>
    <w:rsid w:val="002C13D0"/>
    <w:rsid w:val="002E5E4B"/>
    <w:rsid w:val="002F1AD2"/>
    <w:rsid w:val="003119F1"/>
    <w:rsid w:val="00362CC6"/>
    <w:rsid w:val="00374781"/>
    <w:rsid w:val="003863D9"/>
    <w:rsid w:val="003E7AC7"/>
    <w:rsid w:val="003F5BA9"/>
    <w:rsid w:val="004159FE"/>
    <w:rsid w:val="00443DCD"/>
    <w:rsid w:val="0047226B"/>
    <w:rsid w:val="004757AD"/>
    <w:rsid w:val="00480959"/>
    <w:rsid w:val="0049043C"/>
    <w:rsid w:val="00490B78"/>
    <w:rsid w:val="00494BA9"/>
    <w:rsid w:val="00495AD7"/>
    <w:rsid w:val="004969E2"/>
    <w:rsid w:val="004E2DB7"/>
    <w:rsid w:val="005003C6"/>
    <w:rsid w:val="00511D5B"/>
    <w:rsid w:val="0052653B"/>
    <w:rsid w:val="00540234"/>
    <w:rsid w:val="00545256"/>
    <w:rsid w:val="00562843"/>
    <w:rsid w:val="00580A6F"/>
    <w:rsid w:val="00590D31"/>
    <w:rsid w:val="005A4F11"/>
    <w:rsid w:val="005C45BA"/>
    <w:rsid w:val="005E10CE"/>
    <w:rsid w:val="005E2151"/>
    <w:rsid w:val="005E2C63"/>
    <w:rsid w:val="00602569"/>
    <w:rsid w:val="0061038A"/>
    <w:rsid w:val="00627E9C"/>
    <w:rsid w:val="00645693"/>
    <w:rsid w:val="00666AD1"/>
    <w:rsid w:val="00680655"/>
    <w:rsid w:val="006876C9"/>
    <w:rsid w:val="0069361A"/>
    <w:rsid w:val="006B43C0"/>
    <w:rsid w:val="006C3B70"/>
    <w:rsid w:val="0071338B"/>
    <w:rsid w:val="0071376C"/>
    <w:rsid w:val="0072786B"/>
    <w:rsid w:val="00740BEC"/>
    <w:rsid w:val="00747834"/>
    <w:rsid w:val="00751FC5"/>
    <w:rsid w:val="00784745"/>
    <w:rsid w:val="007A5AE2"/>
    <w:rsid w:val="007B250B"/>
    <w:rsid w:val="007C7CE7"/>
    <w:rsid w:val="008036BD"/>
    <w:rsid w:val="00803F64"/>
    <w:rsid w:val="00816462"/>
    <w:rsid w:val="00822CE9"/>
    <w:rsid w:val="00823A30"/>
    <w:rsid w:val="00825E20"/>
    <w:rsid w:val="008366E5"/>
    <w:rsid w:val="00861AA7"/>
    <w:rsid w:val="0087320A"/>
    <w:rsid w:val="00873F65"/>
    <w:rsid w:val="00874023"/>
    <w:rsid w:val="0087563F"/>
    <w:rsid w:val="00876BF8"/>
    <w:rsid w:val="00877526"/>
    <w:rsid w:val="008D15B1"/>
    <w:rsid w:val="008D7E5B"/>
    <w:rsid w:val="00911F5A"/>
    <w:rsid w:val="00962C4F"/>
    <w:rsid w:val="00964309"/>
    <w:rsid w:val="0098439B"/>
    <w:rsid w:val="00991CC7"/>
    <w:rsid w:val="009A291E"/>
    <w:rsid w:val="009C2405"/>
    <w:rsid w:val="009D1B6C"/>
    <w:rsid w:val="009D3BD4"/>
    <w:rsid w:val="009F4029"/>
    <w:rsid w:val="00A05671"/>
    <w:rsid w:val="00A164F5"/>
    <w:rsid w:val="00A25E7D"/>
    <w:rsid w:val="00A25E87"/>
    <w:rsid w:val="00A330C6"/>
    <w:rsid w:val="00A5088D"/>
    <w:rsid w:val="00A57001"/>
    <w:rsid w:val="00A626BD"/>
    <w:rsid w:val="00A71291"/>
    <w:rsid w:val="00A972CA"/>
    <w:rsid w:val="00AA4EFD"/>
    <w:rsid w:val="00AB6D98"/>
    <w:rsid w:val="00AC1667"/>
    <w:rsid w:val="00AC2C6E"/>
    <w:rsid w:val="00AD2AAC"/>
    <w:rsid w:val="00AE65DE"/>
    <w:rsid w:val="00B03496"/>
    <w:rsid w:val="00B10A19"/>
    <w:rsid w:val="00B132B9"/>
    <w:rsid w:val="00B76E5F"/>
    <w:rsid w:val="00B953B3"/>
    <w:rsid w:val="00BB7947"/>
    <w:rsid w:val="00BD76EF"/>
    <w:rsid w:val="00C21584"/>
    <w:rsid w:val="00C244F1"/>
    <w:rsid w:val="00C50592"/>
    <w:rsid w:val="00C66D96"/>
    <w:rsid w:val="00C91AA4"/>
    <w:rsid w:val="00C961EB"/>
    <w:rsid w:val="00C96F99"/>
    <w:rsid w:val="00CA1D99"/>
    <w:rsid w:val="00CB4FDD"/>
    <w:rsid w:val="00CC0768"/>
    <w:rsid w:val="00CE76FB"/>
    <w:rsid w:val="00CF26B6"/>
    <w:rsid w:val="00D0125E"/>
    <w:rsid w:val="00D01A81"/>
    <w:rsid w:val="00D02806"/>
    <w:rsid w:val="00D06090"/>
    <w:rsid w:val="00D36950"/>
    <w:rsid w:val="00D61AAA"/>
    <w:rsid w:val="00DE2688"/>
    <w:rsid w:val="00DE30A2"/>
    <w:rsid w:val="00DE6874"/>
    <w:rsid w:val="00E2678C"/>
    <w:rsid w:val="00E27072"/>
    <w:rsid w:val="00E47ACA"/>
    <w:rsid w:val="00E50EBE"/>
    <w:rsid w:val="00E61510"/>
    <w:rsid w:val="00E92BD9"/>
    <w:rsid w:val="00E95E0C"/>
    <w:rsid w:val="00EF0927"/>
    <w:rsid w:val="00F07230"/>
    <w:rsid w:val="00F33F1A"/>
    <w:rsid w:val="00F45188"/>
    <w:rsid w:val="00F51117"/>
    <w:rsid w:val="00F52CB2"/>
    <w:rsid w:val="00F75FB4"/>
    <w:rsid w:val="00F8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C682"/>
  <w15:chartTrackingRefBased/>
  <w15:docId w15:val="{34EF5B3F-2822-4AE2-A657-5095F187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2C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C6E"/>
    <w:rPr>
      <w:sz w:val="20"/>
      <w:szCs w:val="20"/>
    </w:rPr>
  </w:style>
  <w:style w:type="character" w:styleId="FootnoteReference">
    <w:name w:val="footnote reference"/>
    <w:basedOn w:val="DefaultParagraphFont"/>
    <w:uiPriority w:val="99"/>
    <w:semiHidden/>
    <w:unhideWhenUsed/>
    <w:rsid w:val="00AC2C6E"/>
    <w:rPr>
      <w:vertAlign w:val="superscript"/>
    </w:rPr>
  </w:style>
  <w:style w:type="character" w:styleId="Hyperlink">
    <w:name w:val="Hyperlink"/>
    <w:basedOn w:val="DefaultParagraphFont"/>
    <w:uiPriority w:val="99"/>
    <w:unhideWhenUsed/>
    <w:rsid w:val="00AE65DE"/>
    <w:rPr>
      <w:color w:val="0000FF"/>
      <w:u w:val="single"/>
    </w:rPr>
  </w:style>
  <w:style w:type="character" w:styleId="UnresolvedMention">
    <w:name w:val="Unresolved Mention"/>
    <w:basedOn w:val="DefaultParagraphFont"/>
    <w:uiPriority w:val="99"/>
    <w:semiHidden/>
    <w:unhideWhenUsed/>
    <w:rsid w:val="00747834"/>
    <w:rPr>
      <w:color w:val="605E5C"/>
      <w:shd w:val="clear" w:color="auto" w:fill="E1DFDD"/>
    </w:rPr>
  </w:style>
  <w:style w:type="paragraph" w:styleId="Header">
    <w:name w:val="header"/>
    <w:basedOn w:val="Normal"/>
    <w:link w:val="HeaderChar"/>
    <w:uiPriority w:val="99"/>
    <w:unhideWhenUsed/>
    <w:rsid w:val="00590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D31"/>
  </w:style>
  <w:style w:type="paragraph" w:styleId="Footer">
    <w:name w:val="footer"/>
    <w:basedOn w:val="Normal"/>
    <w:link w:val="FooterChar"/>
    <w:uiPriority w:val="99"/>
    <w:unhideWhenUsed/>
    <w:rsid w:val="00590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D31"/>
  </w:style>
  <w:style w:type="character" w:styleId="CommentReference">
    <w:name w:val="annotation reference"/>
    <w:basedOn w:val="DefaultParagraphFont"/>
    <w:uiPriority w:val="99"/>
    <w:semiHidden/>
    <w:unhideWhenUsed/>
    <w:rsid w:val="00284ACF"/>
    <w:rPr>
      <w:sz w:val="16"/>
      <w:szCs w:val="16"/>
    </w:rPr>
  </w:style>
  <w:style w:type="paragraph" w:styleId="CommentText">
    <w:name w:val="annotation text"/>
    <w:basedOn w:val="Normal"/>
    <w:link w:val="CommentTextChar"/>
    <w:uiPriority w:val="99"/>
    <w:unhideWhenUsed/>
    <w:rsid w:val="00284ACF"/>
    <w:pPr>
      <w:spacing w:line="240" w:lineRule="auto"/>
    </w:pPr>
    <w:rPr>
      <w:sz w:val="20"/>
      <w:szCs w:val="20"/>
    </w:rPr>
  </w:style>
  <w:style w:type="character" w:customStyle="1" w:styleId="CommentTextChar">
    <w:name w:val="Comment Text Char"/>
    <w:basedOn w:val="DefaultParagraphFont"/>
    <w:link w:val="CommentText"/>
    <w:uiPriority w:val="99"/>
    <w:rsid w:val="00284ACF"/>
    <w:rPr>
      <w:sz w:val="20"/>
      <w:szCs w:val="20"/>
    </w:rPr>
  </w:style>
  <w:style w:type="paragraph" w:styleId="CommentSubject">
    <w:name w:val="annotation subject"/>
    <w:basedOn w:val="CommentText"/>
    <w:next w:val="CommentText"/>
    <w:link w:val="CommentSubjectChar"/>
    <w:uiPriority w:val="99"/>
    <w:semiHidden/>
    <w:unhideWhenUsed/>
    <w:rsid w:val="00284ACF"/>
    <w:rPr>
      <w:b/>
      <w:bCs/>
    </w:rPr>
  </w:style>
  <w:style w:type="character" w:customStyle="1" w:styleId="CommentSubjectChar">
    <w:name w:val="Comment Subject Char"/>
    <w:basedOn w:val="CommentTextChar"/>
    <w:link w:val="CommentSubject"/>
    <w:uiPriority w:val="99"/>
    <w:semiHidden/>
    <w:rsid w:val="00284ACF"/>
    <w:rPr>
      <w:b/>
      <w:bCs/>
      <w:sz w:val="20"/>
      <w:szCs w:val="20"/>
    </w:rPr>
  </w:style>
  <w:style w:type="paragraph" w:styleId="Revision">
    <w:name w:val="Revision"/>
    <w:hidden/>
    <w:uiPriority w:val="99"/>
    <w:semiHidden/>
    <w:rsid w:val="00237A1C"/>
    <w:pPr>
      <w:spacing w:after="0" w:line="240" w:lineRule="auto"/>
    </w:pPr>
  </w:style>
  <w:style w:type="paragraph" w:styleId="ListParagraph">
    <w:name w:val="List Paragraph"/>
    <w:basedOn w:val="Normal"/>
    <w:uiPriority w:val="34"/>
    <w:qFormat/>
    <w:rsid w:val="009D3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0186">
      <w:bodyDiv w:val="1"/>
      <w:marLeft w:val="0"/>
      <w:marRight w:val="0"/>
      <w:marTop w:val="0"/>
      <w:marBottom w:val="0"/>
      <w:divBdr>
        <w:top w:val="none" w:sz="0" w:space="0" w:color="auto"/>
        <w:left w:val="none" w:sz="0" w:space="0" w:color="auto"/>
        <w:bottom w:val="none" w:sz="0" w:space="0" w:color="auto"/>
        <w:right w:val="none" w:sz="0" w:space="0" w:color="auto"/>
      </w:divBdr>
    </w:div>
    <w:div w:id="11276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ailii.org/cgi-bin/redirect.cgi?path=/uk/cases/UKHL/1985/1.html" TargetMode="External"/><Relationship Id="rId2" Type="http://schemas.openxmlformats.org/officeDocument/2006/relationships/hyperlink" Target="https://www.bailii.org/cgi-bin/redirect.cgi?path=/uk/cases/UKHL/1993/17.html" TargetMode="External"/><Relationship Id="rId1" Type="http://schemas.openxmlformats.org/officeDocument/2006/relationships/hyperlink" Target="https://www.bailii.org/ew/cases/EWCA/Civ/2005/10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0BC0-215E-4900-ABC8-6D2D428E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Reichstein (LAW - Staff)</dc:creator>
  <cp:keywords/>
  <dc:description/>
  <cp:lastModifiedBy>Angelika Reichstein (LAW - Staff)</cp:lastModifiedBy>
  <cp:revision>17</cp:revision>
  <dcterms:created xsi:type="dcterms:W3CDTF">2024-02-07T10:52:00Z</dcterms:created>
  <dcterms:modified xsi:type="dcterms:W3CDTF">2024-02-21T11:11:00Z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-40121288</vt:i4>
  </property>
  <property fmtid="{D5CDD505-2E9C-101B-9397-08002B2CF9AE}" pid="3" name="_NewReviewCycle">
    <vt:lpwstr/>
  </property>
  <property fmtid="{D5CDD505-2E9C-101B-9397-08002B2CF9AE}" pid="4" name="_EmailSubject">
    <vt:lpwstr>Commentary</vt:lpwstr>
  </property>
  <property fmtid="{D5CDD505-2E9C-101B-9397-08002B2CF9AE}" pid="5" name="_AuthorEmail">
    <vt:lpwstr>R.Heywood@uea.ac.uk</vt:lpwstr>
  </property>
  <property fmtid="{D5CDD505-2E9C-101B-9397-08002B2CF9AE}" pid="6" name="_AuthorEmailDisplayName">
    <vt:lpwstr>Rob Heywood (LAW - Staff)</vt:lpwstr>
  </property>
  <property fmtid="{D5CDD505-2E9C-101B-9397-08002B2CF9AE}" pid="7" name="_ReviewingToolsShownOnce">
    <vt:lpwstr/>
  </property>
</Properties>
</file>