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CAA4" w14:textId="77777777" w:rsidR="0095151C" w:rsidRPr="004E1E73" w:rsidRDefault="0095151C" w:rsidP="004E1E73">
      <w:pPr>
        <w:spacing w:line="360" w:lineRule="auto"/>
        <w:jc w:val="center"/>
        <w:rPr>
          <w:rFonts w:ascii="Times New Roman" w:hAnsi="Times New Roman"/>
          <w:b/>
          <w:sz w:val="28"/>
          <w:szCs w:val="28"/>
        </w:rPr>
      </w:pPr>
      <w:bookmarkStart w:id="0" w:name="Verdatum"/>
      <w:bookmarkEnd w:id="0"/>
      <w:r w:rsidRPr="004E1E73">
        <w:rPr>
          <w:rFonts w:ascii="Times New Roman" w:hAnsi="Times New Roman"/>
          <w:b/>
          <w:sz w:val="28"/>
          <w:szCs w:val="28"/>
        </w:rPr>
        <w:t xml:space="preserve">Anti-suit Injunctions, Arbitration and Delay: Flexibility or a Second Bite of the Cherry? </w:t>
      </w:r>
    </w:p>
    <w:p w14:paraId="5D570681" w14:textId="2FDBCDEE" w:rsidR="008D4576" w:rsidRPr="004E1E73" w:rsidRDefault="0095151C" w:rsidP="005919D2">
      <w:pPr>
        <w:spacing w:line="360" w:lineRule="auto"/>
        <w:jc w:val="center"/>
        <w:rPr>
          <w:rFonts w:ascii="Times New Roman" w:hAnsi="Times New Roman"/>
          <w:b/>
          <w:sz w:val="28"/>
          <w:szCs w:val="28"/>
        </w:rPr>
      </w:pPr>
      <w:r w:rsidRPr="004E1E73">
        <w:rPr>
          <w:rFonts w:ascii="Times New Roman" w:hAnsi="Times New Roman"/>
          <w:b/>
          <w:sz w:val="28"/>
          <w:szCs w:val="28"/>
        </w:rPr>
        <w:t>Hakeem Seriki</w:t>
      </w:r>
      <w:r w:rsidR="00B92443">
        <w:rPr>
          <w:rFonts w:ascii="Times New Roman" w:hAnsi="Times New Roman"/>
          <w:b/>
          <w:sz w:val="28"/>
          <w:szCs w:val="28"/>
        </w:rPr>
        <w:t>*</w:t>
      </w:r>
    </w:p>
    <w:p w14:paraId="796BC51A" w14:textId="77777777" w:rsidR="005919D2" w:rsidRDefault="005919D2" w:rsidP="005919D2">
      <w:pPr>
        <w:spacing w:line="360" w:lineRule="auto"/>
        <w:jc w:val="center"/>
        <w:rPr>
          <w:rFonts w:ascii="Times New Roman" w:hAnsi="Times New Roman"/>
          <w:b/>
          <w:sz w:val="28"/>
          <w:szCs w:val="28"/>
        </w:rPr>
      </w:pPr>
    </w:p>
    <w:p w14:paraId="440BA1E9" w14:textId="1E77EA7F" w:rsidR="0095151C" w:rsidRPr="004E1E73" w:rsidRDefault="0095151C" w:rsidP="005919D2">
      <w:pPr>
        <w:spacing w:line="360" w:lineRule="auto"/>
        <w:jc w:val="center"/>
        <w:rPr>
          <w:rFonts w:ascii="Times New Roman" w:hAnsi="Times New Roman"/>
          <w:b/>
          <w:sz w:val="28"/>
          <w:szCs w:val="28"/>
        </w:rPr>
      </w:pPr>
      <w:r w:rsidRPr="004E1E73">
        <w:rPr>
          <w:rFonts w:ascii="Times New Roman" w:hAnsi="Times New Roman"/>
          <w:b/>
          <w:sz w:val="28"/>
          <w:szCs w:val="28"/>
        </w:rPr>
        <w:t>Introduction</w:t>
      </w:r>
    </w:p>
    <w:p w14:paraId="0D4F3B58" w14:textId="46FEEC1D" w:rsidR="0095151C" w:rsidRPr="004E1E73" w:rsidRDefault="0095151C" w:rsidP="004E1E73">
      <w:pPr>
        <w:spacing w:after="160" w:line="360" w:lineRule="auto"/>
        <w:jc w:val="both"/>
        <w:rPr>
          <w:rFonts w:ascii="Times New Roman" w:hAnsi="Times New Roman"/>
          <w:sz w:val="28"/>
          <w:szCs w:val="28"/>
        </w:rPr>
      </w:pPr>
      <w:r w:rsidRPr="004E1E73">
        <w:rPr>
          <w:rFonts w:ascii="Times New Roman" w:hAnsi="Times New Roman"/>
          <w:sz w:val="28"/>
          <w:szCs w:val="28"/>
        </w:rPr>
        <w:t>Parallel litigation is becoming increasingly common as parties seek to secure the best jurisdiction for their cases. This can lead to situations where proceedings are commenced in one jurisdiction and one party may argue that, that is not the most appropriate forum to determine the dispute</w:t>
      </w:r>
      <w:r w:rsidRPr="004E1E73">
        <w:rPr>
          <w:rStyle w:val="FootnoteReference"/>
          <w:rFonts w:ascii="Times New Roman" w:hAnsi="Times New Roman"/>
          <w:sz w:val="28"/>
          <w:szCs w:val="28"/>
        </w:rPr>
        <w:footnoteReference w:id="1"/>
      </w:r>
      <w:r w:rsidRPr="004E1E73">
        <w:rPr>
          <w:rFonts w:ascii="Times New Roman" w:hAnsi="Times New Roman"/>
          <w:sz w:val="28"/>
          <w:szCs w:val="28"/>
        </w:rPr>
        <w:t xml:space="preserve">. Despite the inclusion of an exclusive jurisdiction or arbitration clause in their agreement, it is not uncommon for one party to commence proceedings in another jurisdiction in breach of the dispute resolution clause. For example, a party may commence legal proceedings in a jurisdiction that it feels may have laws that are more favourable to its case despite the existence of a valid arbitration agreement. Alternatively, a party may seek to litigate in a jurisdiction which it feels may be more advantageous in terms of the amount of damages that can be awarded by that court. It is therefore unavoidable that there will be tension between the various Courts whose jurisdiction might have been invoked by parties to the dispute. The international nature of arbitration increases the likelihood of various Courts becoming involved in the arbitral process by one party invoking the Court’s jurisdiction. One only needs to consider the various laws that may be involved in the arbitral process. The applicable law to the dispute may be </w:t>
      </w:r>
      <w:r w:rsidRPr="004E1E73">
        <w:rPr>
          <w:rFonts w:ascii="Times New Roman" w:hAnsi="Times New Roman"/>
          <w:sz w:val="28"/>
          <w:szCs w:val="28"/>
        </w:rPr>
        <w:lastRenderedPageBreak/>
        <w:t>different to the curial law of the arbitration or the law governing the arbitration agreement</w:t>
      </w:r>
      <w:r w:rsidRPr="004E1E73">
        <w:rPr>
          <w:rStyle w:val="FootnoteReference"/>
          <w:rFonts w:ascii="Times New Roman" w:hAnsi="Times New Roman"/>
          <w:sz w:val="28"/>
          <w:szCs w:val="28"/>
        </w:rPr>
        <w:footnoteReference w:id="2"/>
      </w:r>
      <w:r w:rsidR="00450A51" w:rsidRPr="004E1E73">
        <w:rPr>
          <w:rFonts w:ascii="Times New Roman" w:hAnsi="Times New Roman"/>
          <w:sz w:val="28"/>
          <w:szCs w:val="28"/>
        </w:rPr>
        <w:t xml:space="preserve">. </w:t>
      </w:r>
      <w:r w:rsidRPr="004E1E73">
        <w:rPr>
          <w:rFonts w:ascii="Times New Roman" w:hAnsi="Times New Roman"/>
          <w:sz w:val="28"/>
          <w:szCs w:val="28"/>
        </w:rPr>
        <w:t xml:space="preserve">This was aptly demonstrated in the Court of Appeal's decision in SAS </w:t>
      </w:r>
      <w:r w:rsidRPr="004E1E73">
        <w:rPr>
          <w:rFonts w:ascii="Times New Roman" w:hAnsi="Times New Roman"/>
          <w:i/>
          <w:sz w:val="28"/>
          <w:szCs w:val="28"/>
        </w:rPr>
        <w:t>Institute Inc (SAS) v World Programming Limited</w:t>
      </w:r>
      <w:r w:rsidRPr="004E1E73">
        <w:rPr>
          <w:rFonts w:ascii="Times New Roman" w:hAnsi="Times New Roman"/>
          <w:sz w:val="28"/>
          <w:szCs w:val="28"/>
        </w:rPr>
        <w:t xml:space="preserve"> (WPL)</w:t>
      </w:r>
      <w:r w:rsidRPr="004E1E73">
        <w:rPr>
          <w:rStyle w:val="FootnoteReference"/>
          <w:rFonts w:ascii="Times New Roman" w:hAnsi="Times New Roman"/>
          <w:sz w:val="28"/>
          <w:szCs w:val="28"/>
        </w:rPr>
        <w:footnoteReference w:id="3"/>
      </w:r>
      <w:r w:rsidRPr="004E1E73">
        <w:rPr>
          <w:rFonts w:ascii="Times New Roman" w:hAnsi="Times New Roman"/>
          <w:sz w:val="28"/>
          <w:szCs w:val="28"/>
        </w:rPr>
        <w:t xml:space="preserve"> where there were various proceedings between the parties in England and a number of Courts in the USA. Over the years, the principle of comity was developed as a way of mitigating any tension that may arise between various Courts as a result of parallel proceedings. However, the approach of the English Courts  appears to be that comity is no longer relevant or at best has a very limited role</w:t>
      </w:r>
      <w:r w:rsidRPr="004E1E73">
        <w:rPr>
          <w:rStyle w:val="FootnoteReference"/>
          <w:rFonts w:ascii="Times New Roman" w:hAnsi="Times New Roman"/>
          <w:sz w:val="28"/>
          <w:szCs w:val="28"/>
        </w:rPr>
        <w:footnoteReference w:id="4"/>
      </w:r>
      <w:r w:rsidRPr="004E1E73">
        <w:rPr>
          <w:rFonts w:ascii="Times New Roman" w:hAnsi="Times New Roman"/>
          <w:sz w:val="28"/>
          <w:szCs w:val="28"/>
        </w:rPr>
        <w:t>.</w:t>
      </w:r>
    </w:p>
    <w:p w14:paraId="33A44E53" w14:textId="41E728C3" w:rsidR="0095151C" w:rsidRPr="005919D2" w:rsidRDefault="0095151C" w:rsidP="004E1E73">
      <w:pPr>
        <w:spacing w:line="360" w:lineRule="auto"/>
        <w:jc w:val="both"/>
        <w:rPr>
          <w:rFonts w:ascii="Times New Roman" w:hAnsi="Times New Roman"/>
          <w:sz w:val="28"/>
          <w:szCs w:val="28"/>
        </w:rPr>
      </w:pPr>
      <w:r w:rsidRPr="004E1E73">
        <w:rPr>
          <w:rFonts w:ascii="Times New Roman" w:hAnsi="Times New Roman"/>
          <w:sz w:val="28"/>
          <w:szCs w:val="28"/>
        </w:rPr>
        <w:t>A party sued in a foreign Court in breach of an arbitration agreement has two options</w:t>
      </w:r>
      <w:r w:rsidR="00450A51" w:rsidRPr="004E1E73">
        <w:rPr>
          <w:rFonts w:ascii="Times New Roman" w:hAnsi="Times New Roman"/>
          <w:sz w:val="28"/>
          <w:szCs w:val="28"/>
        </w:rPr>
        <w:t xml:space="preserve">. </w:t>
      </w:r>
      <w:r w:rsidRPr="004E1E73">
        <w:rPr>
          <w:rFonts w:ascii="Times New Roman" w:hAnsi="Times New Roman"/>
          <w:sz w:val="28"/>
          <w:szCs w:val="28"/>
        </w:rPr>
        <w:t xml:space="preserve">First, it can challenge the jurisdiction of the foreign Court and seek a stay of proceedings. Whether or not that challenge is successful depends on the willingness </w:t>
      </w:r>
      <w:r w:rsidRPr="005919D2">
        <w:rPr>
          <w:rFonts w:ascii="Times New Roman" w:hAnsi="Times New Roman"/>
          <w:sz w:val="28"/>
          <w:szCs w:val="28"/>
        </w:rPr>
        <w:t>of the foreign Court in question to decline jurisdiction in favour of the arbitration agreement. The second option is to seek injunctive relief in the form of an anti-suit injunction from the Court that has supervisory powers over the arbitration; normally the Courts of the seat of the arbitration</w:t>
      </w:r>
      <w:r w:rsidR="009230A7" w:rsidRPr="005919D2">
        <w:rPr>
          <w:rFonts w:ascii="Times New Roman" w:hAnsi="Times New Roman"/>
          <w:bCs/>
          <w:sz w:val="28"/>
          <w:szCs w:val="28"/>
        </w:rPr>
        <w:t xml:space="preserve"> although</w:t>
      </w:r>
      <w:r w:rsidR="00C5309C" w:rsidRPr="005919D2">
        <w:rPr>
          <w:rFonts w:ascii="Times New Roman" w:hAnsi="Times New Roman"/>
          <w:bCs/>
          <w:sz w:val="28"/>
          <w:szCs w:val="28"/>
        </w:rPr>
        <w:t xml:space="preserve"> that is not always the case as </w:t>
      </w:r>
      <w:r w:rsidR="009230A7" w:rsidRPr="005919D2">
        <w:rPr>
          <w:rFonts w:ascii="Times New Roman" w:hAnsi="Times New Roman"/>
          <w:bCs/>
          <w:sz w:val="28"/>
          <w:szCs w:val="28"/>
        </w:rPr>
        <w:t xml:space="preserve"> some jurisdictions like France do not grant anti-suit injunctions</w:t>
      </w:r>
      <w:r w:rsidR="009230A7" w:rsidRPr="005919D2">
        <w:rPr>
          <w:rStyle w:val="FootnoteReference"/>
          <w:rFonts w:ascii="Times New Roman" w:hAnsi="Times New Roman"/>
          <w:bCs/>
          <w:sz w:val="28"/>
          <w:szCs w:val="28"/>
        </w:rPr>
        <w:footnoteReference w:id="5"/>
      </w:r>
      <w:r w:rsidR="00450A51" w:rsidRPr="005919D2">
        <w:rPr>
          <w:rFonts w:ascii="Times New Roman" w:hAnsi="Times New Roman"/>
          <w:bCs/>
          <w:sz w:val="28"/>
          <w:szCs w:val="28"/>
        </w:rPr>
        <w:t xml:space="preserve">. </w:t>
      </w:r>
    </w:p>
    <w:p w14:paraId="415D9833" w14:textId="77777777" w:rsidR="0095151C" w:rsidRPr="004E1E73" w:rsidRDefault="0095151C" w:rsidP="004E1E73">
      <w:pPr>
        <w:spacing w:after="160" w:line="360" w:lineRule="auto"/>
        <w:jc w:val="both"/>
        <w:rPr>
          <w:rFonts w:ascii="Times New Roman" w:hAnsi="Times New Roman"/>
          <w:kern w:val="2"/>
          <w:sz w:val="28"/>
          <w:szCs w:val="28"/>
        </w:rPr>
      </w:pPr>
      <w:r w:rsidRPr="005919D2">
        <w:rPr>
          <w:rFonts w:ascii="Times New Roman" w:hAnsi="Times New Roman"/>
          <w:kern w:val="2"/>
          <w:sz w:val="28"/>
          <w:szCs w:val="28"/>
        </w:rPr>
        <w:t>Once upon a time, the granting of an anti-suit injunction was fairly straight forward. The English Courts tend to apply a straightforward test that an applicant for an anti-suit injunction will  be successful if the foreign proceedings in the foreign Court are in breach of an English exclusive jurisdiction clause or arbitration clause. The</w:t>
      </w:r>
      <w:r w:rsidRPr="004E1E73">
        <w:rPr>
          <w:rFonts w:ascii="Times New Roman" w:hAnsi="Times New Roman"/>
          <w:kern w:val="2"/>
          <w:sz w:val="28"/>
          <w:szCs w:val="28"/>
        </w:rPr>
        <w:t xml:space="preserve"> </w:t>
      </w:r>
      <w:r w:rsidRPr="004E1E73">
        <w:rPr>
          <w:rFonts w:ascii="Times New Roman" w:hAnsi="Times New Roman"/>
          <w:kern w:val="2"/>
          <w:sz w:val="28"/>
          <w:szCs w:val="28"/>
        </w:rPr>
        <w:lastRenderedPageBreak/>
        <w:t>foreign proceedings must be “vexatious and oppressive” and if there are no good reasons to refuse the injunction,  it will be granted provided there is no delay on the part of the applicant. These principles of “vexatious and oppressive” were laid down in a long line of authorities</w:t>
      </w:r>
      <w:r w:rsidRPr="004E1E73">
        <w:rPr>
          <w:rStyle w:val="FootnoteReference"/>
          <w:rFonts w:ascii="Times New Roman" w:hAnsi="Times New Roman"/>
          <w:kern w:val="2"/>
          <w:sz w:val="28"/>
          <w:szCs w:val="28"/>
        </w:rPr>
        <w:footnoteReference w:id="6"/>
      </w:r>
      <w:r w:rsidRPr="004E1E73">
        <w:rPr>
          <w:rFonts w:ascii="Times New Roman" w:hAnsi="Times New Roman"/>
          <w:kern w:val="2"/>
          <w:sz w:val="28"/>
          <w:szCs w:val="28"/>
        </w:rPr>
        <w:t xml:space="preserve">. </w:t>
      </w:r>
    </w:p>
    <w:p w14:paraId="3EA4B265" w14:textId="0B65BF7D" w:rsidR="0095151C" w:rsidRPr="004E1E73" w:rsidRDefault="0095151C" w:rsidP="004E1E73">
      <w:pPr>
        <w:spacing w:line="360" w:lineRule="auto"/>
        <w:jc w:val="both"/>
        <w:rPr>
          <w:rFonts w:ascii="Times New Roman" w:hAnsi="Times New Roman"/>
          <w:sz w:val="28"/>
          <w:szCs w:val="28"/>
        </w:rPr>
      </w:pPr>
      <w:r w:rsidRPr="004E1E73">
        <w:rPr>
          <w:rFonts w:ascii="Times New Roman" w:hAnsi="Times New Roman"/>
          <w:sz w:val="28"/>
          <w:szCs w:val="28"/>
        </w:rPr>
        <w:t>However, over the last few years, the approach and the test applied by the English Courts for granting anti-suit injunctions have changed</w:t>
      </w:r>
      <w:r w:rsidR="00450A51" w:rsidRPr="004E1E73">
        <w:rPr>
          <w:rFonts w:ascii="Times New Roman" w:hAnsi="Times New Roman"/>
          <w:sz w:val="28"/>
          <w:szCs w:val="28"/>
        </w:rPr>
        <w:t xml:space="preserve">. </w:t>
      </w:r>
      <w:r w:rsidRPr="004E1E73">
        <w:rPr>
          <w:rFonts w:ascii="Times New Roman" w:hAnsi="Times New Roman"/>
          <w:sz w:val="28"/>
          <w:szCs w:val="28"/>
        </w:rPr>
        <w:t>This is so because</w:t>
      </w:r>
      <w:r w:rsidRPr="004E1E73">
        <w:rPr>
          <w:rFonts w:ascii="Times New Roman" w:hAnsi="Times New Roman"/>
          <w:bCs/>
          <w:sz w:val="28"/>
          <w:szCs w:val="28"/>
        </w:rPr>
        <w:t xml:space="preserve"> a “high probability” test is now applied and whether or not there are “strong reasons” not to grant the injunction sought</w:t>
      </w:r>
      <w:r w:rsidRPr="004E1E73">
        <w:rPr>
          <w:rStyle w:val="FootnoteReference"/>
          <w:rFonts w:ascii="Times New Roman" w:hAnsi="Times New Roman"/>
          <w:bCs/>
          <w:sz w:val="28"/>
          <w:szCs w:val="28"/>
        </w:rPr>
        <w:footnoteReference w:id="7"/>
      </w:r>
      <w:r w:rsidR="00450A51" w:rsidRPr="004E1E73">
        <w:rPr>
          <w:rFonts w:ascii="Times New Roman" w:hAnsi="Times New Roman"/>
          <w:bCs/>
          <w:sz w:val="28"/>
          <w:szCs w:val="28"/>
        </w:rPr>
        <w:t xml:space="preserve">. </w:t>
      </w:r>
      <w:r w:rsidRPr="004E1E73">
        <w:rPr>
          <w:rFonts w:ascii="Times New Roman" w:hAnsi="Times New Roman"/>
          <w:bCs/>
          <w:sz w:val="28"/>
          <w:szCs w:val="28"/>
        </w:rPr>
        <w:t xml:space="preserve">This is the position in recent cases, (which the author terms the </w:t>
      </w:r>
      <w:r w:rsidRPr="004E1E73">
        <w:rPr>
          <w:rFonts w:ascii="Times New Roman" w:hAnsi="Times New Roman"/>
          <w:bCs/>
          <w:i/>
          <w:iCs/>
          <w:sz w:val="28"/>
          <w:szCs w:val="28"/>
        </w:rPr>
        <w:t>Times Trading</w:t>
      </w:r>
      <w:r w:rsidRPr="004E1E73">
        <w:rPr>
          <w:rFonts w:ascii="Times New Roman" w:hAnsi="Times New Roman"/>
          <w:bCs/>
          <w:sz w:val="28"/>
          <w:szCs w:val="28"/>
        </w:rPr>
        <w:t xml:space="preserve"> line of authorities) such as </w:t>
      </w:r>
      <w:r w:rsidRPr="004E1E73">
        <w:rPr>
          <w:rFonts w:ascii="Times New Roman" w:hAnsi="Times New Roman"/>
          <w:bCs/>
          <w:i/>
          <w:iCs/>
          <w:sz w:val="28"/>
          <w:szCs w:val="28"/>
        </w:rPr>
        <w:t>Times Trading Corporation v National Bank of Fujurah (Dubai Branch)</w:t>
      </w:r>
      <w:r w:rsidRPr="004E1E73">
        <w:rPr>
          <w:rStyle w:val="FootnoteReference"/>
          <w:rFonts w:ascii="Times New Roman" w:hAnsi="Times New Roman"/>
          <w:bCs/>
          <w:sz w:val="28"/>
          <w:szCs w:val="28"/>
        </w:rPr>
        <w:footnoteReference w:id="8"/>
      </w:r>
      <w:r w:rsidRPr="004E1E73">
        <w:rPr>
          <w:rFonts w:ascii="Times New Roman" w:hAnsi="Times New Roman"/>
          <w:bCs/>
          <w:i/>
          <w:iCs/>
          <w:sz w:val="28"/>
          <w:szCs w:val="28"/>
        </w:rPr>
        <w:t>,</w:t>
      </w:r>
      <w:r w:rsidRPr="004E1E73">
        <w:rPr>
          <w:rFonts w:ascii="Times New Roman" w:hAnsi="Times New Roman"/>
          <w:bCs/>
          <w:sz w:val="28"/>
          <w:szCs w:val="28"/>
        </w:rPr>
        <w:t xml:space="preserve"> River</w:t>
      </w:r>
      <w:r w:rsidRPr="004E1E73">
        <w:rPr>
          <w:rFonts w:ascii="Times New Roman" w:hAnsi="Times New Roman"/>
          <w:bCs/>
          <w:i/>
          <w:iCs/>
          <w:sz w:val="28"/>
          <w:szCs w:val="28"/>
        </w:rPr>
        <w:t>rock Securities Limited v International Bank of St Petersburg (Joint Stock Company)</w:t>
      </w:r>
      <w:r w:rsidRPr="004E1E73">
        <w:rPr>
          <w:rFonts w:ascii="Times New Roman" w:hAnsi="Times New Roman"/>
          <w:bCs/>
          <w:sz w:val="28"/>
          <w:szCs w:val="28"/>
        </w:rPr>
        <w:t xml:space="preserve"> </w:t>
      </w:r>
      <w:r w:rsidRPr="004E1E73">
        <w:rPr>
          <w:rStyle w:val="FootnoteReference"/>
          <w:rFonts w:ascii="Times New Roman" w:hAnsi="Times New Roman"/>
          <w:bCs/>
          <w:sz w:val="28"/>
          <w:szCs w:val="28"/>
        </w:rPr>
        <w:footnoteReference w:id="9"/>
      </w:r>
      <w:r w:rsidRPr="004E1E73">
        <w:rPr>
          <w:rFonts w:ascii="Times New Roman" w:hAnsi="Times New Roman"/>
          <w:bCs/>
          <w:sz w:val="28"/>
          <w:szCs w:val="28"/>
        </w:rPr>
        <w:t xml:space="preserve"> </w:t>
      </w:r>
      <w:r w:rsidRPr="004E1E73">
        <w:rPr>
          <w:rFonts w:ascii="Times New Roman" w:hAnsi="Times New Roman"/>
          <w:bCs/>
          <w:i/>
          <w:iCs/>
          <w:sz w:val="28"/>
          <w:szCs w:val="28"/>
        </w:rPr>
        <w:t>VTB Bank PJSC v Valarie DzhaniBekaovich Mejlumyan</w:t>
      </w:r>
      <w:r w:rsidRPr="004E1E73">
        <w:rPr>
          <w:rStyle w:val="FootnoteReference"/>
          <w:rFonts w:ascii="Times New Roman" w:hAnsi="Times New Roman"/>
          <w:bCs/>
          <w:sz w:val="28"/>
          <w:szCs w:val="28"/>
        </w:rPr>
        <w:footnoteReference w:id="10"/>
      </w:r>
      <w:r w:rsidRPr="004E1E73">
        <w:rPr>
          <w:rFonts w:ascii="Times New Roman" w:hAnsi="Times New Roman"/>
          <w:bCs/>
          <w:sz w:val="28"/>
          <w:szCs w:val="28"/>
        </w:rPr>
        <w:t xml:space="preserve"> </w:t>
      </w:r>
      <w:r w:rsidRPr="004E1E73">
        <w:rPr>
          <w:rFonts w:ascii="Times New Roman" w:hAnsi="Times New Roman"/>
          <w:bCs/>
          <w:i/>
          <w:iCs/>
          <w:sz w:val="28"/>
          <w:szCs w:val="28"/>
        </w:rPr>
        <w:t>ZHD v SQO</w:t>
      </w:r>
      <w:r w:rsidRPr="004E1E73">
        <w:rPr>
          <w:rStyle w:val="FootnoteReference"/>
          <w:rFonts w:ascii="Times New Roman" w:hAnsi="Times New Roman"/>
          <w:bCs/>
          <w:sz w:val="28"/>
          <w:szCs w:val="28"/>
        </w:rPr>
        <w:footnoteReference w:id="11"/>
      </w:r>
      <w:r w:rsidRPr="004E1E73">
        <w:rPr>
          <w:rFonts w:ascii="Times New Roman" w:hAnsi="Times New Roman"/>
          <w:bCs/>
          <w:sz w:val="28"/>
          <w:szCs w:val="28"/>
        </w:rPr>
        <w:t xml:space="preserve">, </w:t>
      </w:r>
      <w:r w:rsidRPr="004E1E73">
        <w:rPr>
          <w:rFonts w:ascii="Times New Roman" w:hAnsi="Times New Roman"/>
          <w:bCs/>
          <w:i/>
          <w:iCs/>
          <w:sz w:val="28"/>
          <w:szCs w:val="28"/>
        </w:rPr>
        <w:t>Specialised Vessels Services Limited v MOP Marine Nigeria Limited</w:t>
      </w:r>
      <w:r w:rsidRPr="004E1E73">
        <w:rPr>
          <w:rStyle w:val="FootnoteReference"/>
          <w:rFonts w:ascii="Times New Roman" w:hAnsi="Times New Roman"/>
          <w:bCs/>
          <w:sz w:val="28"/>
          <w:szCs w:val="28"/>
        </w:rPr>
        <w:footnoteReference w:id="12"/>
      </w:r>
      <w:r w:rsidRPr="004E1E73">
        <w:rPr>
          <w:rFonts w:ascii="Times New Roman" w:hAnsi="Times New Roman"/>
          <w:bCs/>
          <w:sz w:val="28"/>
          <w:szCs w:val="28"/>
        </w:rPr>
        <w:t xml:space="preserve">, </w:t>
      </w:r>
      <w:r w:rsidRPr="004E1E73">
        <w:rPr>
          <w:rFonts w:ascii="Times New Roman" w:hAnsi="Times New Roman"/>
          <w:bCs/>
          <w:i/>
          <w:iCs/>
          <w:sz w:val="28"/>
          <w:szCs w:val="28"/>
        </w:rPr>
        <w:t xml:space="preserve">A v B </w:t>
      </w:r>
      <w:r w:rsidRPr="004E1E73">
        <w:rPr>
          <w:rStyle w:val="FootnoteReference"/>
          <w:rFonts w:ascii="Times New Roman" w:hAnsi="Times New Roman"/>
          <w:bCs/>
          <w:sz w:val="28"/>
          <w:szCs w:val="28"/>
        </w:rPr>
        <w:footnoteReference w:id="13"/>
      </w:r>
      <w:r w:rsidRPr="004E1E73">
        <w:rPr>
          <w:rFonts w:ascii="Times New Roman" w:hAnsi="Times New Roman"/>
          <w:bCs/>
          <w:sz w:val="28"/>
          <w:szCs w:val="28"/>
        </w:rPr>
        <w:t xml:space="preserve">, </w:t>
      </w:r>
      <w:r w:rsidRPr="004E1E73">
        <w:rPr>
          <w:rFonts w:ascii="Times New Roman" w:hAnsi="Times New Roman"/>
          <w:bCs/>
          <w:i/>
          <w:iCs/>
          <w:sz w:val="28"/>
          <w:szCs w:val="28"/>
        </w:rPr>
        <w:t>UAU v HVB</w:t>
      </w:r>
      <w:r w:rsidRPr="004E1E73">
        <w:rPr>
          <w:rFonts w:ascii="Times New Roman" w:hAnsi="Times New Roman"/>
          <w:bCs/>
          <w:sz w:val="28"/>
          <w:szCs w:val="28"/>
        </w:rPr>
        <w:t xml:space="preserve"> </w:t>
      </w:r>
      <w:r w:rsidRPr="004E1E73">
        <w:rPr>
          <w:rStyle w:val="FootnoteReference"/>
          <w:rFonts w:ascii="Times New Roman" w:hAnsi="Times New Roman"/>
          <w:bCs/>
          <w:sz w:val="28"/>
          <w:szCs w:val="28"/>
        </w:rPr>
        <w:footnoteReference w:id="14"/>
      </w:r>
      <w:r w:rsidRPr="004E1E73">
        <w:rPr>
          <w:rFonts w:ascii="Times New Roman" w:hAnsi="Times New Roman"/>
          <w:bCs/>
          <w:sz w:val="28"/>
          <w:szCs w:val="28"/>
        </w:rPr>
        <w:t xml:space="preserve">  and </w:t>
      </w:r>
      <w:r w:rsidRPr="004E1E73">
        <w:rPr>
          <w:rFonts w:ascii="Times New Roman" w:hAnsi="Times New Roman"/>
          <w:bCs/>
          <w:i/>
          <w:kern w:val="2"/>
          <w:sz w:val="28"/>
          <w:szCs w:val="28"/>
        </w:rPr>
        <w:t xml:space="preserve">UK P&amp;I </w:t>
      </w:r>
      <w:r w:rsidRPr="004E1E73">
        <w:rPr>
          <w:rFonts w:ascii="Times New Roman" w:hAnsi="Times New Roman"/>
          <w:bCs/>
          <w:i/>
          <w:kern w:val="2"/>
          <w:sz w:val="28"/>
          <w:szCs w:val="28"/>
        </w:rPr>
        <w:lastRenderedPageBreak/>
        <w:t>Club NV v Republica Bolivariana De Venezuela</w:t>
      </w:r>
      <w:r w:rsidRPr="004E1E73">
        <w:rPr>
          <w:rStyle w:val="FootnoteReference"/>
          <w:rFonts w:ascii="Times New Roman" w:hAnsi="Times New Roman"/>
          <w:bCs/>
          <w:kern w:val="2"/>
          <w:sz w:val="28"/>
          <w:szCs w:val="28"/>
        </w:rPr>
        <w:footnoteReference w:id="15"/>
      </w:r>
      <w:r w:rsidRPr="004E1E73">
        <w:rPr>
          <w:rFonts w:ascii="Times New Roman" w:hAnsi="Times New Roman"/>
          <w:bCs/>
          <w:kern w:val="2"/>
          <w:sz w:val="28"/>
          <w:szCs w:val="28"/>
        </w:rPr>
        <w:t xml:space="preserve">. </w:t>
      </w:r>
      <w:r w:rsidR="009230A7" w:rsidRPr="005919D2">
        <w:rPr>
          <w:rFonts w:ascii="Times New Roman" w:hAnsi="Times New Roman"/>
          <w:bCs/>
          <w:kern w:val="2"/>
          <w:sz w:val="28"/>
          <w:szCs w:val="28"/>
        </w:rPr>
        <w:t>Five</w:t>
      </w:r>
      <w:r w:rsidRPr="005919D2">
        <w:rPr>
          <w:rFonts w:ascii="Times New Roman" w:hAnsi="Times New Roman"/>
          <w:bCs/>
          <w:kern w:val="2"/>
          <w:sz w:val="28"/>
          <w:szCs w:val="28"/>
        </w:rPr>
        <w:t xml:space="preserve"> recent authorities</w:t>
      </w:r>
      <w:r w:rsidRPr="005919D2">
        <w:rPr>
          <w:rStyle w:val="FootnoteReference"/>
          <w:rFonts w:ascii="Times New Roman" w:hAnsi="Times New Roman"/>
          <w:bCs/>
          <w:kern w:val="2"/>
          <w:sz w:val="28"/>
          <w:szCs w:val="28"/>
        </w:rPr>
        <w:footnoteReference w:id="16"/>
      </w:r>
      <w:r w:rsidRPr="005919D2">
        <w:rPr>
          <w:rFonts w:ascii="Times New Roman" w:hAnsi="Times New Roman"/>
          <w:bCs/>
          <w:kern w:val="2"/>
          <w:sz w:val="28"/>
          <w:szCs w:val="28"/>
        </w:rPr>
        <w:t xml:space="preserve">  have also confirmed the high probability test and </w:t>
      </w:r>
      <w:r w:rsidRPr="005919D2">
        <w:rPr>
          <w:rFonts w:ascii="Times New Roman" w:hAnsi="Times New Roman"/>
          <w:sz w:val="28"/>
          <w:szCs w:val="28"/>
        </w:rPr>
        <w:t>suggest a less cautious approach</w:t>
      </w:r>
      <w:r w:rsidR="00450A51" w:rsidRPr="005919D2">
        <w:rPr>
          <w:rFonts w:ascii="Times New Roman" w:hAnsi="Times New Roman"/>
          <w:sz w:val="28"/>
          <w:szCs w:val="28"/>
        </w:rPr>
        <w:t xml:space="preserve">. </w:t>
      </w:r>
      <w:r w:rsidRPr="005919D2">
        <w:rPr>
          <w:rFonts w:ascii="Times New Roman" w:hAnsi="Times New Roman"/>
          <w:sz w:val="28"/>
          <w:szCs w:val="28"/>
        </w:rPr>
        <w:t xml:space="preserve">This less cautious approach is evident in the Court of Appeal’s decision in </w:t>
      </w:r>
      <w:r w:rsidRPr="005919D2">
        <w:rPr>
          <w:rFonts w:ascii="Times New Roman" w:hAnsi="Times New Roman"/>
          <w:i/>
          <w:sz w:val="28"/>
          <w:szCs w:val="28"/>
        </w:rPr>
        <w:t xml:space="preserve">Deutsche Bank (“DB”) AG v RusChemAlliance LLC </w:t>
      </w:r>
      <w:r w:rsidRPr="005919D2">
        <w:rPr>
          <w:rFonts w:ascii="Times New Roman" w:hAnsi="Times New Roman"/>
          <w:sz w:val="28"/>
          <w:szCs w:val="28"/>
        </w:rPr>
        <w:t>(“RCA”)</w:t>
      </w:r>
      <w:r w:rsidRPr="005919D2">
        <w:rPr>
          <w:rStyle w:val="FootnoteReference"/>
          <w:rFonts w:ascii="Times New Roman" w:hAnsi="Times New Roman"/>
          <w:sz w:val="28"/>
          <w:szCs w:val="28"/>
        </w:rPr>
        <w:footnoteReference w:id="17"/>
      </w:r>
      <w:r w:rsidR="00C5309C" w:rsidRPr="005919D2">
        <w:rPr>
          <w:rFonts w:ascii="Times New Roman" w:hAnsi="Times New Roman"/>
          <w:sz w:val="28"/>
          <w:szCs w:val="28"/>
        </w:rPr>
        <w:t xml:space="preserve"> where the English Court of Appeal grant</w:t>
      </w:r>
      <w:r w:rsidR="001047B3" w:rsidRPr="005919D2">
        <w:rPr>
          <w:rFonts w:ascii="Times New Roman" w:hAnsi="Times New Roman"/>
          <w:sz w:val="28"/>
          <w:szCs w:val="28"/>
        </w:rPr>
        <w:t xml:space="preserve">ed </w:t>
      </w:r>
      <w:r w:rsidR="00C5309C" w:rsidRPr="005919D2">
        <w:rPr>
          <w:rFonts w:ascii="Times New Roman" w:hAnsi="Times New Roman"/>
          <w:sz w:val="28"/>
          <w:szCs w:val="28"/>
        </w:rPr>
        <w:t>an anti-suit injunction in relation to a French seated arbitration</w:t>
      </w:r>
      <w:r w:rsidR="009F5C6D" w:rsidRPr="005919D2">
        <w:rPr>
          <w:rStyle w:val="FootnoteReference"/>
          <w:rFonts w:ascii="Times New Roman" w:hAnsi="Times New Roman"/>
          <w:sz w:val="28"/>
          <w:szCs w:val="28"/>
        </w:rPr>
        <w:footnoteReference w:id="18"/>
      </w:r>
      <w:r w:rsidR="00C5309C" w:rsidRPr="005919D2">
        <w:rPr>
          <w:rFonts w:ascii="Times New Roman" w:hAnsi="Times New Roman"/>
          <w:sz w:val="28"/>
          <w:szCs w:val="28"/>
        </w:rPr>
        <w:t>.</w:t>
      </w:r>
      <w:r w:rsidRPr="005919D2">
        <w:rPr>
          <w:rFonts w:ascii="Times New Roman" w:hAnsi="Times New Roman"/>
          <w:sz w:val="28"/>
          <w:szCs w:val="28"/>
        </w:rPr>
        <w:t xml:space="preserve"> This dispute arose out of a guarantee that was issued by the DB in favour of RCA. RCA had entered into a contract with a German company, Linde GmbH for the construction of an LNG plant in Russia. The contract provided</w:t>
      </w:r>
      <w:r w:rsidRPr="004E1E73">
        <w:rPr>
          <w:rFonts w:ascii="Times New Roman" w:hAnsi="Times New Roman"/>
          <w:sz w:val="28"/>
          <w:szCs w:val="28"/>
        </w:rPr>
        <w:t xml:space="preserve"> for advance payments to be made to Linde and for an advance payment guarantee to be provided to RCA in respect of each such advance</w:t>
      </w:r>
      <w:r w:rsidR="00450A51" w:rsidRPr="004E1E73">
        <w:rPr>
          <w:rFonts w:ascii="Times New Roman" w:hAnsi="Times New Roman"/>
          <w:sz w:val="28"/>
          <w:szCs w:val="28"/>
        </w:rPr>
        <w:t xml:space="preserve">. </w:t>
      </w:r>
      <w:r w:rsidRPr="004E1E73">
        <w:rPr>
          <w:rFonts w:ascii="Times New Roman" w:hAnsi="Times New Roman"/>
          <w:sz w:val="28"/>
          <w:szCs w:val="28"/>
        </w:rPr>
        <w:t>One advance payment was made in September 2021, but after the Russian invasion and the adoption of sanctions by EU, Linde stopped work under the contract</w:t>
      </w:r>
      <w:r w:rsidR="00450A51" w:rsidRPr="004E1E73">
        <w:rPr>
          <w:rFonts w:ascii="Times New Roman" w:hAnsi="Times New Roman"/>
          <w:sz w:val="28"/>
          <w:szCs w:val="28"/>
        </w:rPr>
        <w:t xml:space="preserve">. </w:t>
      </w:r>
      <w:r w:rsidRPr="004E1E73">
        <w:rPr>
          <w:rFonts w:ascii="Times New Roman" w:hAnsi="Times New Roman"/>
          <w:sz w:val="28"/>
          <w:szCs w:val="28"/>
        </w:rPr>
        <w:t xml:space="preserve">In April 2023, RCA gave Linde notice of termination and sought to claim back the advance payment it made. Linde refused to </w:t>
      </w:r>
      <w:r w:rsidR="00450A51" w:rsidRPr="004E1E73">
        <w:rPr>
          <w:rFonts w:ascii="Times New Roman" w:hAnsi="Times New Roman"/>
          <w:sz w:val="28"/>
          <w:szCs w:val="28"/>
        </w:rPr>
        <w:t>pay,</w:t>
      </w:r>
      <w:r w:rsidRPr="004E1E73">
        <w:rPr>
          <w:rFonts w:ascii="Times New Roman" w:hAnsi="Times New Roman"/>
          <w:sz w:val="28"/>
          <w:szCs w:val="28"/>
        </w:rPr>
        <w:t xml:space="preserve"> and RCA tried to recover the monies from DB by serving   it a demand notice under the Guarantee Agreement. DB declined to pay citing the sanctions in force as a reason for non-payment. In June 2023, RCA responded to the none-payment by commencing  Court proceedings in </w:t>
      </w:r>
      <w:r w:rsidR="00450A51" w:rsidRPr="004E1E73">
        <w:rPr>
          <w:rFonts w:ascii="Times New Roman" w:hAnsi="Times New Roman"/>
          <w:sz w:val="28"/>
          <w:szCs w:val="28"/>
        </w:rPr>
        <w:t>Russia,</w:t>
      </w:r>
      <w:r w:rsidRPr="004E1E73">
        <w:rPr>
          <w:rFonts w:ascii="Times New Roman" w:hAnsi="Times New Roman"/>
          <w:sz w:val="28"/>
          <w:szCs w:val="28"/>
        </w:rPr>
        <w:t xml:space="preserve"> but the Guarantee  Agreement was governed by English law and contained a Paris seated ICC arbitration clause</w:t>
      </w:r>
      <w:r w:rsidR="00B70383" w:rsidRPr="004E1E73">
        <w:rPr>
          <w:rFonts w:ascii="Times New Roman" w:hAnsi="Times New Roman"/>
          <w:sz w:val="28"/>
          <w:szCs w:val="28"/>
        </w:rPr>
        <w:t xml:space="preserve">. </w:t>
      </w:r>
      <w:r w:rsidRPr="004E1E73">
        <w:rPr>
          <w:rFonts w:ascii="Times New Roman" w:hAnsi="Times New Roman"/>
          <w:sz w:val="28"/>
          <w:szCs w:val="28"/>
        </w:rPr>
        <w:t xml:space="preserve">In August 2023, DB commenced arbitration proceedings in Paris and during the same </w:t>
      </w:r>
      <w:r w:rsidRPr="004E1E73">
        <w:rPr>
          <w:rFonts w:ascii="Times New Roman" w:hAnsi="Times New Roman"/>
          <w:sz w:val="28"/>
          <w:szCs w:val="28"/>
        </w:rPr>
        <w:lastRenderedPageBreak/>
        <w:t xml:space="preserve">month applied ex parte  for an interim  anti-suit injunction and anti-enforcement injunction before the English Courts. At first instance </w:t>
      </w:r>
      <w:r w:rsidRPr="004E1E73">
        <w:rPr>
          <w:rStyle w:val="FootnoteReference"/>
          <w:rFonts w:ascii="Times New Roman" w:hAnsi="Times New Roman"/>
          <w:sz w:val="28"/>
          <w:szCs w:val="28"/>
        </w:rPr>
        <w:footnoteReference w:id="19"/>
      </w:r>
      <w:r w:rsidRPr="004E1E73">
        <w:rPr>
          <w:rFonts w:ascii="Times New Roman" w:hAnsi="Times New Roman"/>
          <w:sz w:val="28"/>
          <w:szCs w:val="28"/>
        </w:rPr>
        <w:t>Bright J refused the injunctions sought because an injunction by the English Courts would not be unwelcomed. The judge took the view that countries are free to formulate their policies on anti-suit injunctions and if parties have chosen to arbitrate in France where the policy is that anti-suit injunctions will not be granted and will not generally be enforced, the English Court should acknowledge the significance of these circumstances</w:t>
      </w:r>
      <w:r w:rsidRPr="004E1E73">
        <w:rPr>
          <w:rStyle w:val="FootnoteReference"/>
          <w:rFonts w:ascii="Times New Roman" w:hAnsi="Times New Roman"/>
          <w:sz w:val="28"/>
          <w:szCs w:val="28"/>
        </w:rPr>
        <w:footnoteReference w:id="20"/>
      </w:r>
      <w:r w:rsidR="00450A51" w:rsidRPr="004E1E73">
        <w:rPr>
          <w:rFonts w:ascii="Times New Roman" w:hAnsi="Times New Roman"/>
          <w:sz w:val="28"/>
          <w:szCs w:val="28"/>
        </w:rPr>
        <w:t xml:space="preserve">. </w:t>
      </w:r>
      <w:r w:rsidRPr="004E1E73">
        <w:rPr>
          <w:rFonts w:ascii="Times New Roman" w:hAnsi="Times New Roman"/>
          <w:sz w:val="28"/>
          <w:szCs w:val="28"/>
        </w:rPr>
        <w:t xml:space="preserve">In any event, </w:t>
      </w:r>
      <w:r w:rsidRPr="004E1E73">
        <w:rPr>
          <w:rFonts w:ascii="Times New Roman" w:eastAsia="Times New Roman" w:hAnsi="Times New Roman"/>
          <w:color w:val="000000"/>
          <w:sz w:val="28"/>
          <w:szCs w:val="28"/>
          <w:lang w:eastAsia="zh-CN"/>
        </w:rPr>
        <w:t>even if  the French courts could not grant the injunction the arbitrators could</w:t>
      </w:r>
      <w:r w:rsidRPr="004E1E73">
        <w:rPr>
          <w:rStyle w:val="FootnoteReference"/>
          <w:rFonts w:ascii="Times New Roman" w:eastAsia="Times New Roman" w:hAnsi="Times New Roman"/>
          <w:color w:val="000000"/>
          <w:sz w:val="28"/>
          <w:szCs w:val="28"/>
          <w:lang w:eastAsia="zh-CN"/>
        </w:rPr>
        <w:footnoteReference w:id="21"/>
      </w:r>
      <w:r w:rsidR="00450A51" w:rsidRPr="004E1E73">
        <w:rPr>
          <w:rFonts w:ascii="Times New Roman" w:eastAsia="Times New Roman" w:hAnsi="Times New Roman"/>
          <w:color w:val="000000"/>
          <w:sz w:val="28"/>
          <w:szCs w:val="28"/>
          <w:lang w:eastAsia="zh-CN"/>
        </w:rPr>
        <w:t xml:space="preserve">. </w:t>
      </w:r>
      <w:r w:rsidRPr="004E1E73">
        <w:rPr>
          <w:rFonts w:ascii="Times New Roman" w:hAnsi="Times New Roman"/>
          <w:sz w:val="28"/>
          <w:szCs w:val="28"/>
        </w:rPr>
        <w:t xml:space="preserve">Consequently , he held that:  </w:t>
      </w:r>
      <w:bookmarkStart w:id="5" w:name="para98"/>
    </w:p>
    <w:p w14:paraId="4F5CACAD" w14:textId="77777777" w:rsidR="0095151C" w:rsidRPr="004E1E73" w:rsidRDefault="0095151C" w:rsidP="004E1E73">
      <w:pPr>
        <w:spacing w:line="360" w:lineRule="auto"/>
        <w:ind w:left="720" w:firstLine="72"/>
        <w:jc w:val="both"/>
        <w:rPr>
          <w:rFonts w:ascii="Times New Roman" w:eastAsia="Times New Roman" w:hAnsi="Times New Roman"/>
          <w:color w:val="000000"/>
          <w:sz w:val="28"/>
          <w:szCs w:val="28"/>
          <w:lang w:eastAsia="zh-CN"/>
        </w:rPr>
      </w:pPr>
      <w:r w:rsidRPr="004E1E73">
        <w:rPr>
          <w:rFonts w:ascii="Times New Roman" w:eastAsia="Times New Roman" w:hAnsi="Times New Roman"/>
          <w:color w:val="000000"/>
          <w:sz w:val="28"/>
          <w:szCs w:val="28"/>
          <w:lang w:eastAsia="zh-CN"/>
        </w:rPr>
        <w:t>“</w:t>
      </w:r>
      <w:r w:rsidRPr="004E1E73">
        <w:rPr>
          <w:rFonts w:ascii="Times New Roman" w:eastAsia="Times New Roman" w:hAnsi="Times New Roman"/>
          <w:i/>
          <w:color w:val="000000"/>
          <w:sz w:val="28"/>
          <w:szCs w:val="28"/>
          <w:lang w:eastAsia="zh-CN"/>
        </w:rPr>
        <w:t xml:space="preserve">It is </w:t>
      </w:r>
      <w:r w:rsidRPr="004E1E73">
        <w:rPr>
          <w:rFonts w:ascii="Times New Roman" w:eastAsia="Times New Roman" w:hAnsi="Times New Roman"/>
          <w:color w:val="000000"/>
          <w:sz w:val="28"/>
          <w:szCs w:val="28"/>
          <w:lang w:eastAsia="zh-CN"/>
        </w:rPr>
        <w:t>generally</w:t>
      </w:r>
      <w:r w:rsidRPr="004E1E73">
        <w:rPr>
          <w:rFonts w:ascii="Times New Roman" w:eastAsia="Times New Roman" w:hAnsi="Times New Roman"/>
          <w:i/>
          <w:color w:val="000000"/>
          <w:sz w:val="28"/>
          <w:szCs w:val="28"/>
          <w:lang w:eastAsia="zh-CN"/>
        </w:rPr>
        <w:t xml:space="preserve"> right for the courts of England and Wales to support arbitration in this jurisdiction. It is not the job of the courts of England and Wales to support arbitration in France by granting ASIs, given the fundamentally inconsistent approach in France on whether such support is appropriate or desirable. Indeed, it seems that the support of this court would be unwelcome</w:t>
      </w:r>
      <w:r w:rsidRPr="004E1E73">
        <w:rPr>
          <w:rFonts w:ascii="Times New Roman" w:eastAsia="Times New Roman" w:hAnsi="Times New Roman"/>
          <w:color w:val="000000"/>
          <w:sz w:val="28"/>
          <w:szCs w:val="28"/>
          <w:lang w:eastAsia="zh-CN"/>
        </w:rPr>
        <w:t xml:space="preserve">” </w:t>
      </w:r>
      <w:r w:rsidRPr="004E1E73">
        <w:rPr>
          <w:rStyle w:val="FootnoteReference"/>
          <w:rFonts w:ascii="Times New Roman" w:eastAsia="Times New Roman" w:hAnsi="Times New Roman"/>
          <w:color w:val="000000"/>
          <w:sz w:val="28"/>
          <w:szCs w:val="28"/>
          <w:lang w:eastAsia="zh-CN"/>
        </w:rPr>
        <w:footnoteReference w:id="22"/>
      </w:r>
      <w:r w:rsidRPr="004E1E73">
        <w:rPr>
          <w:rFonts w:ascii="Times New Roman" w:eastAsia="Times New Roman" w:hAnsi="Times New Roman"/>
          <w:i/>
          <w:color w:val="000000"/>
          <w:sz w:val="28"/>
          <w:szCs w:val="28"/>
          <w:lang w:eastAsia="zh-CN"/>
        </w:rPr>
        <w:t>.</w:t>
      </w:r>
      <w:bookmarkEnd w:id="5"/>
    </w:p>
    <w:p w14:paraId="31593679" w14:textId="096D0A39" w:rsidR="004E1E73" w:rsidRPr="005919D2" w:rsidRDefault="004E1E73" w:rsidP="004E1E73">
      <w:pPr>
        <w:spacing w:line="360" w:lineRule="auto"/>
        <w:jc w:val="both"/>
        <w:rPr>
          <w:rFonts w:ascii="Times New Roman" w:hAnsi="Times New Roman"/>
          <w:bCs/>
          <w:sz w:val="28"/>
          <w:szCs w:val="28"/>
        </w:rPr>
      </w:pPr>
      <w:r w:rsidRPr="005919D2">
        <w:rPr>
          <w:rFonts w:ascii="Times New Roman" w:hAnsi="Times New Roman"/>
          <w:bCs/>
          <w:sz w:val="28"/>
          <w:szCs w:val="28"/>
        </w:rPr>
        <w:t xml:space="preserve">A similar approach was adopted by Sir Nigel Teare in </w:t>
      </w:r>
      <w:r w:rsidRPr="005919D2">
        <w:rPr>
          <w:rFonts w:ascii="Times New Roman" w:hAnsi="Times New Roman"/>
          <w:bCs/>
          <w:i/>
          <w:sz w:val="28"/>
          <w:szCs w:val="28"/>
        </w:rPr>
        <w:t>G v R</w:t>
      </w:r>
      <w:r w:rsidRPr="005919D2">
        <w:rPr>
          <w:rFonts w:ascii="Times New Roman" w:hAnsi="Times New Roman"/>
          <w:bCs/>
          <w:sz w:val="28"/>
          <w:szCs w:val="28"/>
        </w:rPr>
        <w:t xml:space="preserve"> </w:t>
      </w:r>
      <w:r w:rsidRPr="005919D2">
        <w:rPr>
          <w:rStyle w:val="FootnoteReference"/>
          <w:rFonts w:ascii="Times New Roman" w:hAnsi="Times New Roman"/>
          <w:bCs/>
          <w:sz w:val="28"/>
          <w:szCs w:val="28"/>
        </w:rPr>
        <w:footnoteReference w:id="23"/>
      </w:r>
      <w:r w:rsidRPr="005919D2">
        <w:rPr>
          <w:rFonts w:ascii="Times New Roman" w:hAnsi="Times New Roman"/>
          <w:bCs/>
          <w:sz w:val="28"/>
          <w:szCs w:val="28"/>
        </w:rPr>
        <w:t xml:space="preserve">. An initial injunction had been granted by Knowles J ex-parte to restrain proceedings in Russia in relation to the Paris seated arbitration. The parties did not choose a law to govern the arbitration agreement, but the main contract was governed by English law. The </w:t>
      </w:r>
      <w:r w:rsidRPr="005919D2">
        <w:rPr>
          <w:rFonts w:ascii="Times New Roman" w:hAnsi="Times New Roman"/>
          <w:bCs/>
          <w:sz w:val="28"/>
          <w:szCs w:val="28"/>
        </w:rPr>
        <w:lastRenderedPageBreak/>
        <w:t xml:space="preserve">claimant had argued that since an anti-suit relief was not available from the French </w:t>
      </w:r>
      <w:r w:rsidR="001047B3" w:rsidRPr="005919D2">
        <w:rPr>
          <w:rFonts w:ascii="Times New Roman" w:hAnsi="Times New Roman"/>
          <w:bCs/>
          <w:sz w:val="28"/>
          <w:szCs w:val="28"/>
        </w:rPr>
        <w:t>C</w:t>
      </w:r>
      <w:r w:rsidRPr="005919D2">
        <w:rPr>
          <w:rFonts w:ascii="Times New Roman" w:hAnsi="Times New Roman"/>
          <w:bCs/>
          <w:sz w:val="28"/>
          <w:szCs w:val="28"/>
        </w:rPr>
        <w:t>ourts, then England was the proper forum</w:t>
      </w:r>
      <w:r w:rsidR="00531F19" w:rsidRPr="005919D2">
        <w:rPr>
          <w:rFonts w:ascii="Times New Roman" w:hAnsi="Times New Roman"/>
          <w:bCs/>
          <w:sz w:val="28"/>
          <w:szCs w:val="28"/>
        </w:rPr>
        <w:t xml:space="preserve"> to seek the same</w:t>
      </w:r>
      <w:r w:rsidRPr="005919D2">
        <w:rPr>
          <w:rFonts w:ascii="Times New Roman" w:hAnsi="Times New Roman"/>
          <w:bCs/>
          <w:sz w:val="28"/>
          <w:szCs w:val="28"/>
        </w:rPr>
        <w:t>.</w:t>
      </w:r>
      <w:r w:rsidR="00531F19" w:rsidRPr="005919D2">
        <w:rPr>
          <w:rFonts w:ascii="Times New Roman" w:hAnsi="Times New Roman"/>
          <w:bCs/>
          <w:sz w:val="28"/>
          <w:szCs w:val="28"/>
        </w:rPr>
        <w:t xml:space="preserve"> </w:t>
      </w:r>
      <w:r w:rsidRPr="005919D2">
        <w:rPr>
          <w:rFonts w:ascii="Times New Roman" w:hAnsi="Times New Roman"/>
          <w:bCs/>
          <w:sz w:val="28"/>
          <w:szCs w:val="28"/>
        </w:rPr>
        <w:t xml:space="preserve">Sir Nigel Teare had to apply the Supreme Court’s decision in </w:t>
      </w:r>
      <w:r w:rsidRPr="005919D2">
        <w:rPr>
          <w:rFonts w:ascii="Times New Roman" w:hAnsi="Times New Roman"/>
          <w:bCs/>
          <w:i/>
          <w:iCs/>
          <w:sz w:val="28"/>
          <w:szCs w:val="28"/>
        </w:rPr>
        <w:t>Enka</w:t>
      </w:r>
      <w:r w:rsidRPr="005919D2">
        <w:rPr>
          <w:rFonts w:ascii="Times New Roman" w:hAnsi="Times New Roman"/>
          <w:bCs/>
          <w:sz w:val="28"/>
          <w:szCs w:val="28"/>
        </w:rPr>
        <w:t xml:space="preserve"> v </w:t>
      </w:r>
      <w:r w:rsidRPr="005919D2">
        <w:rPr>
          <w:rFonts w:ascii="Times New Roman" w:hAnsi="Times New Roman"/>
          <w:bCs/>
          <w:i/>
          <w:sz w:val="28"/>
          <w:szCs w:val="28"/>
        </w:rPr>
        <w:t>Chub</w:t>
      </w:r>
      <w:r w:rsidR="00531F19" w:rsidRPr="005919D2">
        <w:rPr>
          <w:rFonts w:ascii="Times New Roman" w:hAnsi="Times New Roman"/>
          <w:bCs/>
          <w:i/>
          <w:sz w:val="28"/>
          <w:szCs w:val="28"/>
        </w:rPr>
        <w:t>b</w:t>
      </w:r>
      <w:r w:rsidR="00531F19" w:rsidRPr="005919D2">
        <w:rPr>
          <w:rFonts w:ascii="Times New Roman" w:hAnsi="Times New Roman"/>
          <w:bCs/>
          <w:sz w:val="28"/>
          <w:szCs w:val="28"/>
        </w:rPr>
        <w:t xml:space="preserve"> and </w:t>
      </w:r>
      <w:r w:rsidRPr="005919D2">
        <w:rPr>
          <w:rFonts w:ascii="Times New Roman" w:hAnsi="Times New Roman"/>
          <w:bCs/>
          <w:sz w:val="28"/>
          <w:szCs w:val="28"/>
        </w:rPr>
        <w:t xml:space="preserve"> concluded that</w:t>
      </w:r>
      <w:r w:rsidR="00531F19" w:rsidRPr="005919D2">
        <w:rPr>
          <w:rFonts w:ascii="Times New Roman" w:hAnsi="Times New Roman"/>
          <w:bCs/>
          <w:sz w:val="28"/>
          <w:szCs w:val="28"/>
        </w:rPr>
        <w:t xml:space="preserve">, given </w:t>
      </w:r>
      <w:r w:rsidRPr="005919D2">
        <w:rPr>
          <w:rFonts w:ascii="Times New Roman" w:hAnsi="Times New Roman"/>
          <w:bCs/>
          <w:sz w:val="28"/>
          <w:szCs w:val="28"/>
        </w:rPr>
        <w:t>the parties had chosen France as the seat of the arbitration, the inference that the arbitration agreement should be governed by the law of the contract</w:t>
      </w:r>
      <w:r w:rsidR="00531F19" w:rsidRPr="005919D2">
        <w:rPr>
          <w:rFonts w:ascii="Times New Roman" w:hAnsi="Times New Roman"/>
          <w:bCs/>
          <w:sz w:val="28"/>
          <w:szCs w:val="28"/>
        </w:rPr>
        <w:t xml:space="preserve"> (</w:t>
      </w:r>
      <w:r w:rsidRPr="005919D2">
        <w:rPr>
          <w:rFonts w:ascii="Times New Roman" w:hAnsi="Times New Roman"/>
          <w:bCs/>
          <w:sz w:val="28"/>
          <w:szCs w:val="28"/>
        </w:rPr>
        <w:t>English law</w:t>
      </w:r>
      <w:r w:rsidR="00531F19" w:rsidRPr="005919D2">
        <w:rPr>
          <w:rFonts w:ascii="Times New Roman" w:hAnsi="Times New Roman"/>
          <w:bCs/>
          <w:sz w:val="28"/>
          <w:szCs w:val="28"/>
        </w:rPr>
        <w:t>)</w:t>
      </w:r>
      <w:r w:rsidRPr="005919D2">
        <w:rPr>
          <w:rFonts w:ascii="Times New Roman" w:hAnsi="Times New Roman"/>
          <w:bCs/>
          <w:sz w:val="28"/>
          <w:szCs w:val="28"/>
        </w:rPr>
        <w:t xml:space="preserve"> was “negatived”</w:t>
      </w:r>
      <w:r w:rsidRPr="005919D2">
        <w:rPr>
          <w:rStyle w:val="FootnoteReference"/>
          <w:rFonts w:ascii="Times New Roman" w:hAnsi="Times New Roman"/>
          <w:bCs/>
          <w:sz w:val="28"/>
          <w:szCs w:val="28"/>
        </w:rPr>
        <w:footnoteReference w:id="24"/>
      </w:r>
      <w:bookmarkStart w:id="6" w:name="_Hlk152707829"/>
      <w:r w:rsidR="00450A51" w:rsidRPr="005919D2">
        <w:rPr>
          <w:rFonts w:ascii="Times New Roman" w:hAnsi="Times New Roman"/>
          <w:bCs/>
          <w:sz w:val="28"/>
          <w:szCs w:val="28"/>
        </w:rPr>
        <w:t xml:space="preserve">. </w:t>
      </w:r>
      <w:r w:rsidR="003E142F" w:rsidRPr="005919D2">
        <w:rPr>
          <w:rFonts w:ascii="Times New Roman" w:hAnsi="Times New Roman"/>
          <w:bCs/>
          <w:sz w:val="28"/>
          <w:szCs w:val="28"/>
        </w:rPr>
        <w:t>Consequently, the arbitration agreement was governed by French substantive law</w:t>
      </w:r>
      <w:r w:rsidR="003E142F" w:rsidRPr="005919D2">
        <w:rPr>
          <w:rStyle w:val="FootnoteReference"/>
          <w:rFonts w:ascii="Times New Roman" w:hAnsi="Times New Roman"/>
          <w:bCs/>
          <w:sz w:val="28"/>
          <w:szCs w:val="28"/>
        </w:rPr>
        <w:footnoteReference w:id="25"/>
      </w:r>
      <w:bookmarkEnd w:id="6"/>
      <w:r w:rsidR="00450A51" w:rsidRPr="005919D2">
        <w:rPr>
          <w:rFonts w:ascii="Times New Roman" w:hAnsi="Times New Roman"/>
          <w:bCs/>
          <w:sz w:val="28"/>
          <w:szCs w:val="28"/>
        </w:rPr>
        <w:t xml:space="preserve">. </w:t>
      </w:r>
    </w:p>
    <w:p w14:paraId="468BA0B0" w14:textId="77777777" w:rsidR="004E1E73" w:rsidRPr="005919D2" w:rsidRDefault="004E1E73" w:rsidP="004E1E73">
      <w:pPr>
        <w:spacing w:line="360" w:lineRule="auto"/>
        <w:jc w:val="both"/>
        <w:rPr>
          <w:rFonts w:ascii="Times New Roman" w:hAnsi="Times New Roman"/>
          <w:bCs/>
          <w:sz w:val="28"/>
          <w:szCs w:val="28"/>
        </w:rPr>
      </w:pPr>
      <w:r w:rsidRPr="005919D2">
        <w:rPr>
          <w:rFonts w:ascii="Times New Roman" w:hAnsi="Times New Roman"/>
          <w:bCs/>
          <w:sz w:val="28"/>
          <w:szCs w:val="28"/>
        </w:rPr>
        <w:t>Furthermore, that England is not the proper place of the claim given that the only connection with England is the fact that the underlying contract is governed by English law</w:t>
      </w:r>
      <w:r w:rsidRPr="005919D2">
        <w:rPr>
          <w:rStyle w:val="FootnoteReference"/>
          <w:rFonts w:ascii="Times New Roman" w:hAnsi="Times New Roman"/>
          <w:bCs/>
          <w:sz w:val="28"/>
          <w:szCs w:val="28"/>
        </w:rPr>
        <w:footnoteReference w:id="26"/>
      </w:r>
      <w:r w:rsidRPr="005919D2">
        <w:rPr>
          <w:rFonts w:ascii="Times New Roman" w:hAnsi="Times New Roman"/>
          <w:bCs/>
          <w:sz w:val="28"/>
          <w:szCs w:val="28"/>
        </w:rPr>
        <w:t>. He was also unpersuaded by the argument that England was the only jurisdiction that substantial justice could be done. The judge rejected this argument on the basis that he did not accept that substantial justice could not be done in the arbitration in France because</w:t>
      </w:r>
      <w:r w:rsidR="007845F9" w:rsidRPr="005919D2">
        <w:rPr>
          <w:rFonts w:ascii="Times New Roman" w:hAnsi="Times New Roman"/>
          <w:bCs/>
          <w:sz w:val="28"/>
          <w:szCs w:val="28"/>
        </w:rPr>
        <w:t xml:space="preserve"> </w:t>
      </w:r>
      <w:r w:rsidRPr="005919D2">
        <w:rPr>
          <w:rFonts w:ascii="Times New Roman" w:hAnsi="Times New Roman"/>
          <w:bCs/>
          <w:sz w:val="28"/>
          <w:szCs w:val="28"/>
        </w:rPr>
        <w:t>an anti-suit injunction</w:t>
      </w:r>
      <w:r w:rsidR="007845F9" w:rsidRPr="005919D2">
        <w:rPr>
          <w:rFonts w:ascii="Times New Roman" w:hAnsi="Times New Roman"/>
          <w:bCs/>
          <w:sz w:val="28"/>
          <w:szCs w:val="28"/>
        </w:rPr>
        <w:t xml:space="preserve"> could not be obtained </w:t>
      </w:r>
      <w:r w:rsidRPr="005919D2">
        <w:rPr>
          <w:rFonts w:ascii="Times New Roman" w:hAnsi="Times New Roman"/>
          <w:bCs/>
          <w:sz w:val="28"/>
          <w:szCs w:val="28"/>
        </w:rPr>
        <w:t>from the French Courts</w:t>
      </w:r>
      <w:r w:rsidRPr="005919D2">
        <w:rPr>
          <w:rStyle w:val="FootnoteReference"/>
          <w:rFonts w:ascii="Times New Roman" w:hAnsi="Times New Roman"/>
          <w:bCs/>
          <w:sz w:val="28"/>
          <w:szCs w:val="28"/>
        </w:rPr>
        <w:footnoteReference w:id="27"/>
      </w:r>
      <w:r w:rsidRPr="005919D2">
        <w:rPr>
          <w:rFonts w:ascii="Times New Roman" w:hAnsi="Times New Roman"/>
          <w:bCs/>
          <w:sz w:val="28"/>
          <w:szCs w:val="28"/>
        </w:rPr>
        <w:t>.</w:t>
      </w:r>
      <w:r w:rsidR="007845F9" w:rsidRPr="005919D2">
        <w:rPr>
          <w:rFonts w:ascii="Times New Roman" w:hAnsi="Times New Roman"/>
          <w:bCs/>
          <w:sz w:val="28"/>
          <w:szCs w:val="28"/>
        </w:rPr>
        <w:t xml:space="preserve"> </w:t>
      </w:r>
      <w:r w:rsidRPr="005919D2">
        <w:rPr>
          <w:rFonts w:ascii="Times New Roman" w:hAnsi="Times New Roman"/>
          <w:bCs/>
          <w:sz w:val="28"/>
          <w:szCs w:val="28"/>
        </w:rPr>
        <w:t xml:space="preserve">Sir Teare distinguished the Court of Appeal’s decision in </w:t>
      </w:r>
      <w:r w:rsidRPr="005919D2">
        <w:rPr>
          <w:rFonts w:ascii="Times New Roman" w:hAnsi="Times New Roman"/>
          <w:bCs/>
          <w:i/>
          <w:iCs/>
          <w:sz w:val="28"/>
          <w:szCs w:val="28"/>
        </w:rPr>
        <w:t>Deutsche Bank</w:t>
      </w:r>
      <w:r w:rsidRPr="005919D2">
        <w:rPr>
          <w:rFonts w:ascii="Times New Roman" w:hAnsi="Times New Roman"/>
          <w:bCs/>
          <w:sz w:val="28"/>
          <w:szCs w:val="28"/>
        </w:rPr>
        <w:t xml:space="preserve">, on the basis that the application before the Court of Appeal was ex parte but </w:t>
      </w:r>
      <w:r w:rsidRPr="005919D2">
        <w:rPr>
          <w:rFonts w:ascii="Times New Roman" w:hAnsi="Times New Roman"/>
          <w:bCs/>
          <w:sz w:val="28"/>
          <w:szCs w:val="28"/>
        </w:rPr>
        <w:lastRenderedPageBreak/>
        <w:t>he had the benefit of hearing the submissions of the defendant. Consequently, he concluded that he had no jurisdiction to grant the anti-suit injunction sought</w:t>
      </w:r>
      <w:r w:rsidRPr="005919D2">
        <w:rPr>
          <w:rStyle w:val="FootnoteReference"/>
          <w:rFonts w:ascii="Times New Roman" w:hAnsi="Times New Roman"/>
          <w:bCs/>
          <w:sz w:val="28"/>
          <w:szCs w:val="28"/>
        </w:rPr>
        <w:footnoteReference w:id="28"/>
      </w:r>
      <w:r w:rsidRPr="005919D2">
        <w:rPr>
          <w:rFonts w:ascii="Times New Roman" w:hAnsi="Times New Roman"/>
          <w:bCs/>
          <w:sz w:val="28"/>
          <w:szCs w:val="28"/>
        </w:rPr>
        <w:t xml:space="preserve">. </w:t>
      </w:r>
    </w:p>
    <w:p w14:paraId="75A06CE1" w14:textId="78907F21" w:rsidR="004E1E73" w:rsidRPr="005919D2" w:rsidRDefault="004E1E73" w:rsidP="004E1E73">
      <w:pPr>
        <w:spacing w:line="360" w:lineRule="auto"/>
        <w:jc w:val="both"/>
        <w:rPr>
          <w:rFonts w:ascii="Times New Roman" w:hAnsi="Times New Roman"/>
          <w:bCs/>
          <w:sz w:val="28"/>
          <w:szCs w:val="28"/>
        </w:rPr>
      </w:pPr>
      <w:r w:rsidRPr="005919D2">
        <w:rPr>
          <w:rFonts w:ascii="Times New Roman" w:hAnsi="Times New Roman"/>
          <w:bCs/>
          <w:sz w:val="28"/>
          <w:szCs w:val="28"/>
        </w:rPr>
        <w:t xml:space="preserve">However, a degree of inconsistency is evident in the approach of the English Courts. This is so because in  </w:t>
      </w:r>
      <w:r w:rsidRPr="005919D2">
        <w:rPr>
          <w:rFonts w:ascii="Times New Roman" w:hAnsi="Times New Roman"/>
          <w:bCs/>
          <w:i/>
          <w:sz w:val="28"/>
          <w:szCs w:val="28"/>
        </w:rPr>
        <w:t>CommerzBank  AG v Ruschemalliance LLC</w:t>
      </w:r>
      <w:r w:rsidRPr="005919D2">
        <w:rPr>
          <w:rFonts w:ascii="Times New Roman" w:hAnsi="Times New Roman"/>
          <w:bCs/>
          <w:sz w:val="28"/>
          <w:szCs w:val="28"/>
        </w:rPr>
        <w:t xml:space="preserve"> </w:t>
      </w:r>
      <w:r w:rsidRPr="005919D2">
        <w:rPr>
          <w:rStyle w:val="FootnoteReference"/>
          <w:rFonts w:ascii="Times New Roman" w:hAnsi="Times New Roman"/>
          <w:bCs/>
          <w:sz w:val="28"/>
          <w:szCs w:val="28"/>
        </w:rPr>
        <w:footnoteReference w:id="29"/>
      </w:r>
      <w:r w:rsidR="007845F9" w:rsidRPr="005919D2">
        <w:rPr>
          <w:rFonts w:ascii="Times New Roman" w:hAnsi="Times New Roman"/>
          <w:bCs/>
          <w:sz w:val="28"/>
          <w:szCs w:val="28"/>
        </w:rPr>
        <w:t xml:space="preserve">, a case </w:t>
      </w:r>
      <w:r w:rsidRPr="005919D2">
        <w:rPr>
          <w:rFonts w:ascii="Times New Roman" w:hAnsi="Times New Roman"/>
          <w:bCs/>
          <w:sz w:val="28"/>
          <w:szCs w:val="28"/>
        </w:rPr>
        <w:t xml:space="preserve"> with similar facts to </w:t>
      </w:r>
      <w:r w:rsidRPr="005919D2">
        <w:rPr>
          <w:rFonts w:ascii="Times New Roman" w:hAnsi="Times New Roman"/>
          <w:bCs/>
          <w:i/>
          <w:iCs/>
          <w:sz w:val="28"/>
          <w:szCs w:val="28"/>
        </w:rPr>
        <w:t>Deutsche Bank</w:t>
      </w:r>
      <w:r w:rsidRPr="005919D2">
        <w:rPr>
          <w:rFonts w:ascii="Times New Roman" w:hAnsi="Times New Roman"/>
          <w:bCs/>
          <w:sz w:val="28"/>
          <w:szCs w:val="28"/>
        </w:rPr>
        <w:t xml:space="preserve"> and in fact relates to the same project in Russia, Bryan J was prepared to grant the injunction sought. Like </w:t>
      </w:r>
      <w:r w:rsidRPr="005919D2">
        <w:rPr>
          <w:rFonts w:ascii="Times New Roman" w:hAnsi="Times New Roman"/>
          <w:bCs/>
          <w:i/>
          <w:iCs/>
          <w:sz w:val="28"/>
          <w:szCs w:val="28"/>
        </w:rPr>
        <w:t>Deutsche Bank</w:t>
      </w:r>
      <w:r w:rsidRPr="005919D2">
        <w:rPr>
          <w:rFonts w:ascii="Times New Roman" w:hAnsi="Times New Roman"/>
          <w:bCs/>
          <w:sz w:val="28"/>
          <w:szCs w:val="28"/>
        </w:rPr>
        <w:t xml:space="preserve">, the agreement in </w:t>
      </w:r>
      <w:r w:rsidRPr="005919D2">
        <w:rPr>
          <w:rFonts w:ascii="Times New Roman" w:hAnsi="Times New Roman"/>
          <w:bCs/>
          <w:i/>
          <w:sz w:val="28"/>
          <w:szCs w:val="28"/>
        </w:rPr>
        <w:t>CommerzBank</w:t>
      </w:r>
      <w:r w:rsidRPr="005919D2">
        <w:rPr>
          <w:rFonts w:ascii="Times New Roman" w:hAnsi="Times New Roman"/>
          <w:bCs/>
          <w:sz w:val="28"/>
          <w:szCs w:val="28"/>
        </w:rPr>
        <w:t xml:space="preserve"> was governed by English law and had a Paris seated arbitration clause. Bryan J was satisfied to a “high degree of probability” that the arbitration clause applied to the dispute at hand</w:t>
      </w:r>
      <w:r w:rsidRPr="005919D2">
        <w:rPr>
          <w:rStyle w:val="FootnoteReference"/>
          <w:rFonts w:ascii="Times New Roman" w:hAnsi="Times New Roman"/>
          <w:bCs/>
          <w:sz w:val="28"/>
          <w:szCs w:val="28"/>
        </w:rPr>
        <w:footnoteReference w:id="30"/>
      </w:r>
      <w:r w:rsidRPr="005919D2">
        <w:rPr>
          <w:rFonts w:ascii="Times New Roman" w:hAnsi="Times New Roman"/>
          <w:bCs/>
          <w:sz w:val="28"/>
          <w:szCs w:val="28"/>
        </w:rPr>
        <w:t xml:space="preserve"> and  the same was governed by English law</w:t>
      </w:r>
      <w:r w:rsidRPr="005919D2">
        <w:rPr>
          <w:rStyle w:val="FootnoteReference"/>
          <w:rFonts w:ascii="Times New Roman" w:hAnsi="Times New Roman"/>
          <w:bCs/>
          <w:sz w:val="28"/>
          <w:szCs w:val="28"/>
        </w:rPr>
        <w:footnoteReference w:id="31"/>
      </w:r>
      <w:r w:rsidRPr="005919D2">
        <w:rPr>
          <w:rFonts w:ascii="Times New Roman" w:hAnsi="Times New Roman"/>
          <w:bCs/>
          <w:sz w:val="28"/>
          <w:szCs w:val="28"/>
        </w:rPr>
        <w:t>. He was also satisfied that England was the proper place to bring the claim for an anti-suit injunction for three reasons</w:t>
      </w:r>
      <w:r w:rsidRPr="005919D2">
        <w:rPr>
          <w:rStyle w:val="FootnoteReference"/>
          <w:rFonts w:ascii="Times New Roman" w:hAnsi="Times New Roman"/>
          <w:bCs/>
          <w:sz w:val="28"/>
          <w:szCs w:val="28"/>
        </w:rPr>
        <w:footnoteReference w:id="32"/>
      </w:r>
      <w:r w:rsidR="00450A51" w:rsidRPr="005919D2">
        <w:rPr>
          <w:rFonts w:ascii="Times New Roman" w:hAnsi="Times New Roman"/>
          <w:bCs/>
          <w:sz w:val="28"/>
          <w:szCs w:val="28"/>
        </w:rPr>
        <w:t xml:space="preserve">. </w:t>
      </w:r>
      <w:r w:rsidRPr="005919D2">
        <w:rPr>
          <w:rFonts w:ascii="Times New Roman" w:hAnsi="Times New Roman"/>
          <w:bCs/>
          <w:sz w:val="28"/>
          <w:szCs w:val="28"/>
        </w:rPr>
        <w:t xml:space="preserve">Firstly, because the arbitration agreement and bond are governed by English law. Secondly, English law provides a “juridical advantage” in the form of an anti-suit injunction which the French Courts do not provide and lastly neither Russia nor France are the proper places to obtain the type of relief sought. He firmly believed that the English Courts could exercise the jurisdiction to grant anti-suit injunctions whether or not London is the seat of the arbitration as long as there is a </w:t>
      </w:r>
      <w:r w:rsidR="00531F19" w:rsidRPr="005919D2">
        <w:rPr>
          <w:rFonts w:ascii="Times New Roman" w:hAnsi="Times New Roman"/>
          <w:bCs/>
          <w:sz w:val="28"/>
          <w:szCs w:val="28"/>
        </w:rPr>
        <w:t>“</w:t>
      </w:r>
      <w:r w:rsidRPr="005919D2">
        <w:rPr>
          <w:rFonts w:ascii="Times New Roman" w:hAnsi="Times New Roman"/>
          <w:bCs/>
          <w:sz w:val="28"/>
          <w:szCs w:val="28"/>
        </w:rPr>
        <w:t>personam jurisdiction</w:t>
      </w:r>
      <w:r w:rsidR="00531F19" w:rsidRPr="005919D2">
        <w:rPr>
          <w:rFonts w:ascii="Times New Roman" w:hAnsi="Times New Roman"/>
          <w:bCs/>
          <w:sz w:val="28"/>
          <w:szCs w:val="28"/>
        </w:rPr>
        <w:t xml:space="preserve">” </w:t>
      </w:r>
      <w:r w:rsidRPr="005919D2">
        <w:rPr>
          <w:rFonts w:ascii="Times New Roman" w:hAnsi="Times New Roman"/>
          <w:bCs/>
          <w:sz w:val="28"/>
          <w:szCs w:val="28"/>
        </w:rPr>
        <w:t xml:space="preserve">over the defendant </w:t>
      </w:r>
      <w:r w:rsidRPr="005919D2">
        <w:rPr>
          <w:rStyle w:val="FootnoteReference"/>
          <w:rFonts w:ascii="Times New Roman" w:hAnsi="Times New Roman"/>
          <w:bCs/>
          <w:sz w:val="28"/>
          <w:szCs w:val="28"/>
        </w:rPr>
        <w:footnoteReference w:id="33"/>
      </w:r>
      <w:r w:rsidRPr="005919D2">
        <w:rPr>
          <w:rFonts w:ascii="Times New Roman" w:hAnsi="Times New Roman"/>
          <w:bCs/>
          <w:sz w:val="28"/>
          <w:szCs w:val="28"/>
        </w:rPr>
        <w:t xml:space="preserve"> and comity has a limited role to play. He noted that: </w:t>
      </w:r>
    </w:p>
    <w:p w14:paraId="267DF7FD" w14:textId="77777777" w:rsidR="004E1E73" w:rsidRPr="005919D2" w:rsidRDefault="004E1E73" w:rsidP="004E1E73">
      <w:pPr>
        <w:spacing w:line="360" w:lineRule="auto"/>
        <w:ind w:firstLine="720"/>
        <w:jc w:val="both"/>
        <w:rPr>
          <w:rFonts w:ascii="Times New Roman" w:hAnsi="Times New Roman"/>
          <w:bCs/>
          <w:iCs/>
          <w:sz w:val="28"/>
          <w:szCs w:val="28"/>
        </w:rPr>
      </w:pPr>
      <w:r w:rsidRPr="005919D2">
        <w:rPr>
          <w:rFonts w:ascii="Times New Roman" w:hAnsi="Times New Roman"/>
          <w:bCs/>
          <w:i/>
          <w:iCs/>
          <w:sz w:val="28"/>
          <w:szCs w:val="28"/>
        </w:rPr>
        <w:lastRenderedPageBreak/>
        <w:t>“As such, while comity may be decisive where the English court is asked to grant an anti-suit injunction when the case has no relevant connection with England, I do not consider there is any special need for caution beyond normal care required before granting an injunction when it is sought in the context  of an agreement  to refer disputes to the exclusive jurisdiction of English Courts or to arbitration….</w:t>
      </w:r>
      <w:r w:rsidRPr="005919D2">
        <w:rPr>
          <w:rStyle w:val="FootnoteReference"/>
          <w:rFonts w:ascii="Times New Roman" w:hAnsi="Times New Roman"/>
          <w:bCs/>
          <w:iCs/>
          <w:sz w:val="28"/>
          <w:szCs w:val="28"/>
        </w:rPr>
        <w:footnoteReference w:id="34"/>
      </w:r>
      <w:r w:rsidR="00035FC6" w:rsidRPr="005919D2">
        <w:rPr>
          <w:rFonts w:ascii="Times New Roman" w:hAnsi="Times New Roman"/>
          <w:bCs/>
          <w:iCs/>
          <w:sz w:val="28"/>
          <w:szCs w:val="28"/>
        </w:rPr>
        <w:t>”.</w:t>
      </w:r>
    </w:p>
    <w:p w14:paraId="499F6F50" w14:textId="77777777" w:rsidR="004E1E73" w:rsidRPr="005919D2" w:rsidRDefault="004E1E73" w:rsidP="004E1E73">
      <w:pPr>
        <w:spacing w:line="360" w:lineRule="auto"/>
        <w:jc w:val="both"/>
        <w:rPr>
          <w:rFonts w:ascii="Times New Roman" w:hAnsi="Times New Roman"/>
          <w:bCs/>
          <w:sz w:val="28"/>
          <w:szCs w:val="28"/>
        </w:rPr>
      </w:pPr>
      <w:r w:rsidRPr="005919D2">
        <w:rPr>
          <w:rFonts w:ascii="Times New Roman" w:hAnsi="Times New Roman"/>
          <w:bCs/>
          <w:sz w:val="28"/>
          <w:szCs w:val="28"/>
        </w:rPr>
        <w:t>The judge distinguished</w:t>
      </w:r>
      <w:r w:rsidRPr="005919D2">
        <w:rPr>
          <w:rFonts w:ascii="Times New Roman" w:hAnsi="Times New Roman"/>
          <w:bCs/>
          <w:i/>
          <w:sz w:val="28"/>
          <w:szCs w:val="28"/>
        </w:rPr>
        <w:t xml:space="preserve"> SQD</w:t>
      </w:r>
      <w:r w:rsidRPr="005919D2">
        <w:rPr>
          <w:rFonts w:ascii="Times New Roman" w:hAnsi="Times New Roman"/>
          <w:bCs/>
          <w:sz w:val="28"/>
          <w:szCs w:val="28"/>
        </w:rPr>
        <w:t xml:space="preserve"> from the instant case on the basis that he had a much fuller and different French advice than Bright J did in </w:t>
      </w:r>
      <w:r w:rsidRPr="005919D2">
        <w:rPr>
          <w:rFonts w:ascii="Times New Roman" w:hAnsi="Times New Roman"/>
          <w:bCs/>
          <w:i/>
          <w:sz w:val="28"/>
          <w:szCs w:val="28"/>
        </w:rPr>
        <w:t>SQD</w:t>
      </w:r>
      <w:r w:rsidRPr="005919D2">
        <w:rPr>
          <w:rFonts w:ascii="Times New Roman" w:hAnsi="Times New Roman"/>
          <w:bCs/>
          <w:sz w:val="28"/>
          <w:szCs w:val="28"/>
        </w:rPr>
        <w:t xml:space="preserve">. He firmly believed that had Bright J had the same evidence that he had, </w:t>
      </w:r>
      <w:r w:rsidR="00531F19" w:rsidRPr="005919D2">
        <w:rPr>
          <w:rFonts w:ascii="Times New Roman" w:hAnsi="Times New Roman"/>
          <w:bCs/>
          <w:sz w:val="28"/>
          <w:szCs w:val="28"/>
        </w:rPr>
        <w:t>that</w:t>
      </w:r>
      <w:r w:rsidRPr="005919D2">
        <w:rPr>
          <w:rFonts w:ascii="Times New Roman" w:hAnsi="Times New Roman"/>
          <w:bCs/>
          <w:sz w:val="28"/>
          <w:szCs w:val="28"/>
        </w:rPr>
        <w:t xml:space="preserve"> would have significantly impacted the reasoning of his judgement. He noted  that he had to determine the application before him based on the evidence put to him at the time of determining the</w:t>
      </w:r>
      <w:r w:rsidR="007845F9" w:rsidRPr="005919D2">
        <w:rPr>
          <w:rFonts w:ascii="Times New Roman" w:hAnsi="Times New Roman"/>
          <w:bCs/>
          <w:sz w:val="28"/>
          <w:szCs w:val="28"/>
        </w:rPr>
        <w:t xml:space="preserve"> </w:t>
      </w:r>
      <w:r w:rsidRPr="005919D2">
        <w:rPr>
          <w:rFonts w:ascii="Times New Roman" w:hAnsi="Times New Roman"/>
          <w:bCs/>
          <w:sz w:val="28"/>
          <w:szCs w:val="28"/>
        </w:rPr>
        <w:t>application</w:t>
      </w:r>
      <w:r w:rsidRPr="005919D2">
        <w:rPr>
          <w:rStyle w:val="FootnoteReference"/>
          <w:rFonts w:ascii="Times New Roman" w:hAnsi="Times New Roman"/>
          <w:bCs/>
          <w:sz w:val="28"/>
          <w:szCs w:val="28"/>
        </w:rPr>
        <w:footnoteReference w:id="35"/>
      </w:r>
      <w:r w:rsidR="007845F9" w:rsidRPr="005919D2">
        <w:rPr>
          <w:rFonts w:ascii="Times New Roman" w:hAnsi="Times New Roman"/>
          <w:bCs/>
          <w:sz w:val="28"/>
          <w:szCs w:val="28"/>
        </w:rPr>
        <w:t xml:space="preserve">. </w:t>
      </w:r>
      <w:r w:rsidRPr="005919D2">
        <w:rPr>
          <w:rFonts w:ascii="Times New Roman" w:hAnsi="Times New Roman"/>
          <w:bCs/>
          <w:sz w:val="28"/>
          <w:szCs w:val="28"/>
        </w:rPr>
        <w:t>Consequently, he considered it appropriate to grant the interim</w:t>
      </w:r>
      <w:r w:rsidR="00035FC6" w:rsidRPr="005919D2">
        <w:rPr>
          <w:rFonts w:ascii="Times New Roman" w:hAnsi="Times New Roman"/>
          <w:bCs/>
          <w:sz w:val="28"/>
          <w:szCs w:val="28"/>
        </w:rPr>
        <w:t xml:space="preserve"> anti-</w:t>
      </w:r>
      <w:r w:rsidRPr="005919D2">
        <w:rPr>
          <w:rFonts w:ascii="Times New Roman" w:hAnsi="Times New Roman"/>
          <w:bCs/>
          <w:sz w:val="28"/>
          <w:szCs w:val="28"/>
        </w:rPr>
        <w:t>suit injunction in the terms sought</w:t>
      </w:r>
      <w:r w:rsidRPr="005919D2">
        <w:rPr>
          <w:rStyle w:val="FootnoteReference"/>
          <w:rFonts w:ascii="Times New Roman" w:hAnsi="Times New Roman"/>
          <w:bCs/>
          <w:sz w:val="28"/>
          <w:szCs w:val="28"/>
        </w:rPr>
        <w:footnoteReference w:id="36"/>
      </w:r>
      <w:r w:rsidRPr="005919D2">
        <w:rPr>
          <w:rFonts w:ascii="Times New Roman" w:hAnsi="Times New Roman"/>
          <w:bCs/>
          <w:sz w:val="28"/>
          <w:szCs w:val="28"/>
        </w:rPr>
        <w:t>.</w:t>
      </w:r>
    </w:p>
    <w:p w14:paraId="047E3811" w14:textId="0A769674" w:rsidR="0095151C" w:rsidRPr="005919D2" w:rsidRDefault="0095151C" w:rsidP="004E1E73">
      <w:pPr>
        <w:spacing w:line="360" w:lineRule="auto"/>
        <w:jc w:val="both"/>
        <w:rPr>
          <w:rFonts w:ascii="Times New Roman" w:eastAsia="Times New Roman" w:hAnsi="Times New Roman"/>
          <w:color w:val="000000"/>
          <w:sz w:val="28"/>
          <w:szCs w:val="28"/>
          <w:lang w:eastAsia="zh-CN"/>
        </w:rPr>
      </w:pPr>
      <w:r w:rsidRPr="004E1E73">
        <w:rPr>
          <w:rFonts w:ascii="Times New Roman" w:eastAsia="Times New Roman" w:hAnsi="Times New Roman"/>
          <w:color w:val="000000"/>
          <w:sz w:val="28"/>
          <w:szCs w:val="28"/>
          <w:lang w:eastAsia="zh-CN"/>
        </w:rPr>
        <w:t xml:space="preserve">However, the cautious approach by Bright J  was </w:t>
      </w:r>
      <w:r w:rsidR="00450A51" w:rsidRPr="004E1E73">
        <w:rPr>
          <w:rFonts w:ascii="Times New Roman" w:eastAsia="Times New Roman" w:hAnsi="Times New Roman"/>
          <w:color w:val="000000"/>
          <w:sz w:val="28"/>
          <w:szCs w:val="28"/>
          <w:lang w:eastAsia="zh-CN"/>
        </w:rPr>
        <w:t>overturned</w:t>
      </w:r>
      <w:r w:rsidRPr="004E1E73">
        <w:rPr>
          <w:rFonts w:ascii="Times New Roman" w:eastAsia="Times New Roman" w:hAnsi="Times New Roman"/>
          <w:color w:val="000000"/>
          <w:sz w:val="28"/>
          <w:szCs w:val="28"/>
          <w:lang w:eastAsia="zh-CN"/>
        </w:rPr>
        <w:t xml:space="preserve"> by the Court of Appeal </w:t>
      </w:r>
      <w:r w:rsidRPr="004E1E73">
        <w:rPr>
          <w:rStyle w:val="FootnoteReference"/>
          <w:rFonts w:ascii="Times New Roman" w:eastAsia="Times New Roman" w:hAnsi="Times New Roman"/>
          <w:color w:val="000000"/>
          <w:sz w:val="28"/>
          <w:szCs w:val="28"/>
          <w:lang w:eastAsia="zh-CN"/>
        </w:rPr>
        <w:footnoteReference w:id="37"/>
      </w:r>
      <w:r w:rsidRPr="004E1E73">
        <w:rPr>
          <w:rFonts w:ascii="Times New Roman" w:eastAsia="Times New Roman" w:hAnsi="Times New Roman"/>
          <w:color w:val="000000"/>
          <w:sz w:val="28"/>
          <w:szCs w:val="28"/>
          <w:lang w:eastAsia="zh-CN"/>
        </w:rPr>
        <w:t>on the basis that, given the new evidence before the Court of Appeal, it did not believe the hostility</w:t>
      </w:r>
      <w:r w:rsidRPr="004E1E73">
        <w:rPr>
          <w:rStyle w:val="FootnoteReference"/>
          <w:rFonts w:ascii="Times New Roman" w:eastAsia="Times New Roman" w:hAnsi="Times New Roman"/>
          <w:color w:val="000000"/>
          <w:sz w:val="28"/>
          <w:szCs w:val="28"/>
          <w:lang w:eastAsia="zh-CN"/>
        </w:rPr>
        <w:footnoteReference w:id="38"/>
      </w:r>
      <w:r w:rsidRPr="004E1E73">
        <w:rPr>
          <w:rFonts w:ascii="Times New Roman" w:eastAsia="Times New Roman" w:hAnsi="Times New Roman"/>
          <w:color w:val="000000"/>
          <w:sz w:val="28"/>
          <w:szCs w:val="28"/>
          <w:lang w:eastAsia="zh-CN"/>
        </w:rPr>
        <w:t xml:space="preserve"> of the French Court anticipated by Bright J would materialise. Hence there was no good reason not to grant the injunction</w:t>
      </w:r>
      <w:r w:rsidRPr="004E1E73">
        <w:rPr>
          <w:rStyle w:val="FootnoteReference"/>
          <w:rFonts w:ascii="Times New Roman" w:eastAsia="Times New Roman" w:hAnsi="Times New Roman"/>
          <w:color w:val="000000"/>
          <w:sz w:val="28"/>
          <w:szCs w:val="28"/>
          <w:lang w:eastAsia="zh-CN"/>
        </w:rPr>
        <w:footnoteReference w:id="39"/>
      </w:r>
      <w:r w:rsidRPr="004E1E73">
        <w:rPr>
          <w:rFonts w:ascii="Times New Roman" w:eastAsia="Times New Roman" w:hAnsi="Times New Roman"/>
          <w:color w:val="000000"/>
          <w:sz w:val="28"/>
          <w:szCs w:val="28"/>
          <w:lang w:eastAsia="zh-CN"/>
        </w:rPr>
        <w:t>.</w:t>
      </w:r>
      <w:r w:rsidR="005905E0">
        <w:rPr>
          <w:rFonts w:ascii="Times New Roman" w:eastAsia="Times New Roman" w:hAnsi="Times New Roman"/>
          <w:color w:val="000000"/>
          <w:sz w:val="28"/>
          <w:szCs w:val="28"/>
          <w:lang w:eastAsia="zh-CN"/>
        </w:rPr>
        <w:t xml:space="preserve"> In essence  this </w:t>
      </w:r>
      <w:r w:rsidR="005905E0" w:rsidRPr="005919D2">
        <w:rPr>
          <w:rFonts w:ascii="Times New Roman" w:eastAsia="Times New Roman" w:hAnsi="Times New Roman"/>
          <w:color w:val="000000"/>
          <w:sz w:val="28"/>
          <w:szCs w:val="28"/>
          <w:lang w:eastAsia="zh-CN"/>
        </w:rPr>
        <w:t xml:space="preserve">decision </w:t>
      </w:r>
      <w:r w:rsidR="00F70C02" w:rsidRPr="005919D2">
        <w:rPr>
          <w:rFonts w:ascii="Times New Roman" w:eastAsia="Times New Roman" w:hAnsi="Times New Roman"/>
          <w:color w:val="000000"/>
          <w:sz w:val="28"/>
          <w:szCs w:val="28"/>
          <w:lang w:eastAsia="zh-CN"/>
        </w:rPr>
        <w:t>puts in doubt Sir Teare’s</w:t>
      </w:r>
      <w:r w:rsidR="009F5C6D" w:rsidRPr="005919D2">
        <w:rPr>
          <w:rFonts w:ascii="Times New Roman" w:eastAsia="Times New Roman" w:hAnsi="Times New Roman"/>
          <w:color w:val="000000"/>
          <w:sz w:val="28"/>
          <w:szCs w:val="28"/>
          <w:lang w:eastAsia="zh-CN"/>
        </w:rPr>
        <w:t xml:space="preserve"> decision </w:t>
      </w:r>
      <w:r w:rsidR="00F70C02" w:rsidRPr="005919D2">
        <w:rPr>
          <w:rFonts w:ascii="Times New Roman" w:eastAsia="Times New Roman" w:hAnsi="Times New Roman"/>
          <w:color w:val="000000"/>
          <w:sz w:val="28"/>
          <w:szCs w:val="28"/>
          <w:lang w:eastAsia="zh-CN"/>
        </w:rPr>
        <w:t xml:space="preserve"> in </w:t>
      </w:r>
      <w:r w:rsidR="00F70C02" w:rsidRPr="005919D2">
        <w:rPr>
          <w:rFonts w:ascii="Times New Roman" w:eastAsia="Times New Roman" w:hAnsi="Times New Roman"/>
          <w:i/>
          <w:color w:val="000000"/>
          <w:sz w:val="28"/>
          <w:szCs w:val="28"/>
          <w:lang w:eastAsia="zh-CN"/>
        </w:rPr>
        <w:t>G v R</w:t>
      </w:r>
      <w:r w:rsidR="00F70C02" w:rsidRPr="005919D2">
        <w:rPr>
          <w:rFonts w:ascii="Times New Roman" w:eastAsia="Times New Roman" w:hAnsi="Times New Roman"/>
          <w:color w:val="000000"/>
          <w:sz w:val="28"/>
          <w:szCs w:val="28"/>
          <w:lang w:eastAsia="zh-CN"/>
        </w:rPr>
        <w:t xml:space="preserve"> not to grant the injunction. </w:t>
      </w:r>
    </w:p>
    <w:p w14:paraId="79399C25" w14:textId="7DA47923" w:rsidR="0095151C" w:rsidRPr="004E1E73" w:rsidRDefault="0095151C" w:rsidP="004E1E73">
      <w:pPr>
        <w:spacing w:line="360" w:lineRule="auto"/>
        <w:jc w:val="both"/>
        <w:rPr>
          <w:rFonts w:ascii="Times New Roman" w:hAnsi="Times New Roman"/>
          <w:sz w:val="28"/>
          <w:szCs w:val="28"/>
        </w:rPr>
      </w:pPr>
      <w:r w:rsidRPr="004E1E73">
        <w:rPr>
          <w:rFonts w:ascii="Times New Roman" w:hAnsi="Times New Roman"/>
          <w:kern w:val="2"/>
          <w:sz w:val="28"/>
          <w:szCs w:val="28"/>
        </w:rPr>
        <w:lastRenderedPageBreak/>
        <w:t xml:space="preserve">This change in approach is also affecting the way English Courts are dealing with applications relating to delay. </w:t>
      </w:r>
      <w:r w:rsidRPr="004E1E73">
        <w:rPr>
          <w:rFonts w:ascii="Times New Roman" w:hAnsi="Times New Roman"/>
          <w:sz w:val="28"/>
          <w:szCs w:val="28"/>
        </w:rPr>
        <w:t>As mentioned above, a party can seek injunctive relief where proceedings are commenced in breach of an arbitration agreement</w:t>
      </w:r>
      <w:r w:rsidR="00450A51" w:rsidRPr="004E1E73">
        <w:rPr>
          <w:rFonts w:ascii="Times New Roman" w:hAnsi="Times New Roman"/>
          <w:sz w:val="28"/>
          <w:szCs w:val="28"/>
        </w:rPr>
        <w:t xml:space="preserve">. </w:t>
      </w:r>
      <w:r w:rsidRPr="004E1E73">
        <w:rPr>
          <w:rFonts w:ascii="Times New Roman" w:hAnsi="Times New Roman"/>
          <w:sz w:val="28"/>
          <w:szCs w:val="28"/>
        </w:rPr>
        <w:t>However, delay in applying for injunctive relief is a strong reason not to grant the injunction</w:t>
      </w:r>
      <w:r w:rsidR="00450A51" w:rsidRPr="004E1E73">
        <w:rPr>
          <w:rFonts w:ascii="Times New Roman" w:hAnsi="Times New Roman"/>
          <w:sz w:val="28"/>
          <w:szCs w:val="28"/>
        </w:rPr>
        <w:t xml:space="preserve">. </w:t>
      </w:r>
      <w:r w:rsidRPr="004E1E73">
        <w:rPr>
          <w:rFonts w:ascii="Times New Roman" w:hAnsi="Times New Roman"/>
          <w:sz w:val="28"/>
          <w:szCs w:val="28"/>
        </w:rPr>
        <w:t xml:space="preserve">It used to be the norm that such relief must be sought promptly and </w:t>
      </w:r>
      <w:r w:rsidR="00450A51" w:rsidRPr="004E1E73">
        <w:rPr>
          <w:rFonts w:ascii="Times New Roman" w:hAnsi="Times New Roman"/>
          <w:sz w:val="28"/>
          <w:szCs w:val="28"/>
        </w:rPr>
        <w:t>judiciously,</w:t>
      </w:r>
      <w:r w:rsidRPr="004E1E73">
        <w:rPr>
          <w:rFonts w:ascii="Times New Roman" w:hAnsi="Times New Roman"/>
          <w:sz w:val="28"/>
          <w:szCs w:val="28"/>
        </w:rPr>
        <w:t xml:space="preserve"> and should an applicant delay in applying for an anti-suit injunction, this could lead to the delayed application being unsuccessful</w:t>
      </w:r>
      <w:r w:rsidR="00B70383" w:rsidRPr="004E1E73">
        <w:rPr>
          <w:rFonts w:ascii="Times New Roman" w:hAnsi="Times New Roman"/>
          <w:sz w:val="28"/>
          <w:szCs w:val="28"/>
        </w:rPr>
        <w:t xml:space="preserve">. </w:t>
      </w:r>
      <w:r w:rsidRPr="004E1E73">
        <w:rPr>
          <w:rFonts w:ascii="Times New Roman" w:hAnsi="Times New Roman"/>
          <w:sz w:val="28"/>
          <w:szCs w:val="28"/>
        </w:rPr>
        <w:t xml:space="preserve">This approach meant that applicants knew </w:t>
      </w:r>
      <w:r w:rsidR="00450A51" w:rsidRPr="004E1E73">
        <w:rPr>
          <w:rFonts w:ascii="Times New Roman" w:hAnsi="Times New Roman"/>
          <w:sz w:val="28"/>
          <w:szCs w:val="28"/>
        </w:rPr>
        <w:t>that</w:t>
      </w:r>
      <w:r w:rsidRPr="004E1E73">
        <w:rPr>
          <w:rFonts w:ascii="Times New Roman" w:hAnsi="Times New Roman"/>
          <w:sz w:val="28"/>
          <w:szCs w:val="28"/>
        </w:rPr>
        <w:t xml:space="preserve"> a low level of tolerance to delay meant they had to act quickly. However, emerging case law suggest that the English Courts are developing a new-found flexibility to the issue of delay</w:t>
      </w:r>
      <w:r w:rsidR="00450A51" w:rsidRPr="004E1E73">
        <w:rPr>
          <w:rFonts w:ascii="Times New Roman" w:hAnsi="Times New Roman"/>
          <w:sz w:val="28"/>
          <w:szCs w:val="28"/>
        </w:rPr>
        <w:t>.</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The recent decision in</w:t>
      </w:r>
      <w:r w:rsidRPr="004E1E73">
        <w:rPr>
          <w:rFonts w:ascii="Times New Roman" w:hAnsi="Times New Roman"/>
          <w:i/>
          <w:kern w:val="2"/>
          <w:sz w:val="28"/>
          <w:szCs w:val="28"/>
        </w:rPr>
        <w:t xml:space="preserve"> Africa Finance Corporation v AIteo Eastern E &amp; P Company Limited</w:t>
      </w:r>
      <w:r w:rsidRPr="004E1E73">
        <w:rPr>
          <w:rStyle w:val="FootnoteReference"/>
          <w:rFonts w:ascii="Times New Roman" w:hAnsi="Times New Roman"/>
          <w:kern w:val="2"/>
          <w:sz w:val="28"/>
          <w:szCs w:val="28"/>
        </w:rPr>
        <w:footnoteReference w:id="40"/>
      </w:r>
      <w:r w:rsidRPr="004E1E73">
        <w:rPr>
          <w:rFonts w:ascii="Times New Roman" w:hAnsi="Times New Roman"/>
          <w:i/>
          <w:kern w:val="2"/>
          <w:sz w:val="28"/>
          <w:szCs w:val="28"/>
        </w:rPr>
        <w:t xml:space="preserve"> </w:t>
      </w:r>
      <w:r w:rsidRPr="004E1E73">
        <w:rPr>
          <w:rFonts w:ascii="Times New Roman" w:hAnsi="Times New Roman"/>
          <w:kern w:val="2"/>
          <w:sz w:val="28"/>
          <w:szCs w:val="28"/>
        </w:rPr>
        <w:t xml:space="preserve"> is illustrative of this approach</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 xml:space="preserve">Consequently, this article examines the recent approach of the English Courts to the issue of delay in applying for an anti- suit injunction. </w:t>
      </w:r>
      <w:r w:rsidRPr="004E1E73">
        <w:rPr>
          <w:rFonts w:ascii="Times New Roman" w:hAnsi="Times New Roman"/>
          <w:sz w:val="28"/>
          <w:szCs w:val="28"/>
        </w:rPr>
        <w:t xml:space="preserve">It will be argued that this new-found flexibility is sending out the wrong message and it seems that applicants are no longer acting with promptness. The promptness which was advocated by Clarke LJ in </w:t>
      </w:r>
      <w:r w:rsidRPr="004E1E73">
        <w:rPr>
          <w:rFonts w:ascii="Times New Roman" w:hAnsi="Times New Roman"/>
          <w:i/>
          <w:sz w:val="28"/>
          <w:szCs w:val="28"/>
        </w:rPr>
        <w:t>Ecobank v Thierry Tanoh</w:t>
      </w:r>
      <w:r w:rsidRPr="004E1E73">
        <w:rPr>
          <w:rFonts w:ascii="Times New Roman" w:hAnsi="Times New Roman"/>
          <w:sz w:val="28"/>
          <w:szCs w:val="28"/>
        </w:rPr>
        <w:t>,</w:t>
      </w:r>
      <w:r w:rsidRPr="004E1E73">
        <w:rPr>
          <w:rStyle w:val="FootnoteReference"/>
          <w:rFonts w:ascii="Times New Roman" w:hAnsi="Times New Roman"/>
          <w:sz w:val="28"/>
          <w:szCs w:val="28"/>
        </w:rPr>
        <w:footnoteReference w:id="41"/>
      </w:r>
      <w:r w:rsidRPr="004E1E73">
        <w:rPr>
          <w:rFonts w:ascii="Times New Roman" w:hAnsi="Times New Roman"/>
          <w:i/>
          <w:sz w:val="28"/>
          <w:szCs w:val="28"/>
        </w:rPr>
        <w:t xml:space="preserve"> </w:t>
      </w:r>
      <w:r w:rsidRPr="004E1E73">
        <w:rPr>
          <w:rFonts w:ascii="Times New Roman" w:hAnsi="Times New Roman"/>
          <w:sz w:val="28"/>
          <w:szCs w:val="28"/>
        </w:rPr>
        <w:t>seems to be consistently overlooked and it is indeed the case that the new approach is difficult to reconcile with earlier authorities and a delay of 13 months</w:t>
      </w:r>
      <w:r w:rsidRPr="004E1E73">
        <w:rPr>
          <w:rStyle w:val="FootnoteReference"/>
          <w:rFonts w:ascii="Times New Roman" w:hAnsi="Times New Roman"/>
          <w:sz w:val="28"/>
          <w:szCs w:val="28"/>
        </w:rPr>
        <w:footnoteReference w:id="42"/>
      </w:r>
      <w:r w:rsidRPr="004E1E73">
        <w:rPr>
          <w:rFonts w:ascii="Times New Roman" w:hAnsi="Times New Roman"/>
          <w:sz w:val="28"/>
          <w:szCs w:val="28"/>
        </w:rPr>
        <w:t xml:space="preserve"> in the view of the author is difficult to justify</w:t>
      </w:r>
      <w:r w:rsidR="00B70383" w:rsidRPr="004E1E73">
        <w:rPr>
          <w:rFonts w:ascii="Times New Roman" w:hAnsi="Times New Roman"/>
          <w:sz w:val="28"/>
          <w:szCs w:val="28"/>
        </w:rPr>
        <w:t xml:space="preserve">. </w:t>
      </w:r>
      <w:r w:rsidRPr="004E1E73">
        <w:rPr>
          <w:rFonts w:ascii="Times New Roman" w:hAnsi="Times New Roman"/>
          <w:sz w:val="28"/>
          <w:szCs w:val="28"/>
        </w:rPr>
        <w:t xml:space="preserve">Furthermore, the English Courts are now prepared to allow a party to first challenge the jurisdiction of the foreign Court before applying for an anti-suit injunction. It will be demonstrated that this approach is also at odds with pre-existing authorities and the two approaches do not sit together comfortably. Although this article is about </w:t>
      </w:r>
      <w:r w:rsidRPr="004E1E73">
        <w:rPr>
          <w:rFonts w:ascii="Times New Roman" w:hAnsi="Times New Roman"/>
          <w:sz w:val="28"/>
          <w:szCs w:val="28"/>
        </w:rPr>
        <w:lastRenderedPageBreak/>
        <w:t>delay, it starts by giving an overview of the new approach to anti-suit injunctions so as to contextualise the discussion on delay.</w:t>
      </w:r>
    </w:p>
    <w:p w14:paraId="32282B95" w14:textId="77777777" w:rsidR="0095151C" w:rsidRPr="004E1E73" w:rsidRDefault="0095151C" w:rsidP="004E1E73">
      <w:pPr>
        <w:spacing w:after="160" w:line="360" w:lineRule="auto"/>
        <w:jc w:val="both"/>
        <w:rPr>
          <w:rFonts w:ascii="Times New Roman" w:hAnsi="Times New Roman"/>
          <w:b/>
          <w:bCs/>
          <w:kern w:val="2"/>
          <w:sz w:val="28"/>
          <w:szCs w:val="28"/>
        </w:rPr>
      </w:pPr>
      <w:r w:rsidRPr="004E1E73">
        <w:rPr>
          <w:rFonts w:ascii="Times New Roman" w:hAnsi="Times New Roman"/>
          <w:b/>
          <w:bCs/>
          <w:kern w:val="2"/>
          <w:sz w:val="28"/>
          <w:szCs w:val="28"/>
        </w:rPr>
        <w:t>Anti-Suit Injunctions: An Overview of Recent Developments</w:t>
      </w:r>
    </w:p>
    <w:p w14:paraId="4A1CBB96" w14:textId="1A4B44F7" w:rsidR="0095151C" w:rsidRPr="004E1E73" w:rsidRDefault="0095151C" w:rsidP="004E1E73">
      <w:pPr>
        <w:spacing w:after="160" w:line="360" w:lineRule="auto"/>
        <w:jc w:val="both"/>
        <w:rPr>
          <w:rFonts w:ascii="Times New Roman" w:hAnsi="Times New Roman"/>
          <w:kern w:val="2"/>
          <w:sz w:val="28"/>
          <w:szCs w:val="28"/>
        </w:rPr>
      </w:pPr>
      <w:r w:rsidRPr="004E1E73">
        <w:rPr>
          <w:rFonts w:ascii="Times New Roman" w:hAnsi="Times New Roman"/>
          <w:kern w:val="2"/>
          <w:sz w:val="28"/>
          <w:szCs w:val="28"/>
        </w:rPr>
        <w:t>As mentioned above, the test applied by the English Courts has changed. As will be demonstrated below, the test is no longer “vexatious and oppressive” but one of “high degree of probability” and “strong reasons” not to grant the injunction. The need for an anti-suit injunction may arise in one of the following scenarios</w:t>
      </w:r>
      <w:r w:rsidR="00450A51" w:rsidRPr="004E1E73">
        <w:rPr>
          <w:rFonts w:ascii="Times New Roman" w:hAnsi="Times New Roman"/>
          <w:kern w:val="2"/>
          <w:sz w:val="28"/>
          <w:szCs w:val="28"/>
        </w:rPr>
        <w:t xml:space="preserve">. </w:t>
      </w:r>
    </w:p>
    <w:p w14:paraId="4B5535C5" w14:textId="522444B3" w:rsidR="0095151C" w:rsidRPr="004E1E73" w:rsidRDefault="0095151C" w:rsidP="004E1E73">
      <w:pPr>
        <w:numPr>
          <w:ilvl w:val="0"/>
          <w:numId w:val="42"/>
        </w:numPr>
        <w:spacing w:after="160" w:line="360" w:lineRule="auto"/>
        <w:jc w:val="both"/>
        <w:rPr>
          <w:rFonts w:ascii="Times New Roman" w:hAnsi="Times New Roman"/>
          <w:kern w:val="2"/>
          <w:sz w:val="28"/>
          <w:szCs w:val="28"/>
        </w:rPr>
      </w:pPr>
      <w:r w:rsidRPr="004E1E73">
        <w:rPr>
          <w:rFonts w:ascii="Times New Roman" w:hAnsi="Times New Roman"/>
          <w:kern w:val="2"/>
          <w:sz w:val="28"/>
          <w:szCs w:val="28"/>
        </w:rPr>
        <w:t xml:space="preserve"> One party may commence Court proceedings instead of initiating arbitration despite the existence of a valid arbitration agreement in their contract. Such proceedings will be seen as a breach of the arbitration agreement</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 xml:space="preserve">This is a pure contractual position and the party wishing to uphold the valid arbitration agreement will normally apply for an anti-suit injunction to restrain those Court proceedings . </w:t>
      </w:r>
    </w:p>
    <w:p w14:paraId="1EFC9CF6" w14:textId="77777777" w:rsidR="0095151C" w:rsidRPr="004E1E73" w:rsidRDefault="0095151C" w:rsidP="004E1E73">
      <w:pPr>
        <w:numPr>
          <w:ilvl w:val="0"/>
          <w:numId w:val="42"/>
        </w:numPr>
        <w:spacing w:after="160" w:line="360" w:lineRule="auto"/>
        <w:jc w:val="both"/>
        <w:rPr>
          <w:rFonts w:ascii="Times New Roman" w:hAnsi="Times New Roman"/>
          <w:kern w:val="2"/>
          <w:sz w:val="28"/>
          <w:szCs w:val="28"/>
        </w:rPr>
      </w:pPr>
      <w:r w:rsidRPr="004E1E73">
        <w:rPr>
          <w:rFonts w:ascii="Times New Roman" w:hAnsi="Times New Roman"/>
          <w:kern w:val="2"/>
          <w:sz w:val="28"/>
          <w:szCs w:val="28"/>
        </w:rPr>
        <w:t xml:space="preserve">A party may want to initiate arbitral proceedings (pursuant to the dispute resolution clause in any insurance policy in existence)  but wishes to do so against the insurer of the party that has committed a wrong against it. That party may want to rely on a foreign legislation that allows an injured party to potentially bring a direct claim against the insurer of the wrongdoer. In effect, allowing the injured party to sue the insurer of the party committing the wrong against it directly. However, the insurer may pre-empt matters and commence Court proceedings of its own. The party seeking to initiate arbitral proceedings may seek an anti-suit injunction to restrain the Court proceedings commenced by the insurer. </w:t>
      </w:r>
    </w:p>
    <w:p w14:paraId="5C1E4D67" w14:textId="5B238976" w:rsidR="0095151C" w:rsidRPr="004E1E73" w:rsidRDefault="0095151C" w:rsidP="004E1E73">
      <w:pPr>
        <w:numPr>
          <w:ilvl w:val="0"/>
          <w:numId w:val="42"/>
        </w:numPr>
        <w:spacing w:after="160" w:line="360" w:lineRule="auto"/>
        <w:jc w:val="both"/>
        <w:rPr>
          <w:rFonts w:ascii="Times New Roman" w:hAnsi="Times New Roman"/>
          <w:kern w:val="2"/>
          <w:sz w:val="28"/>
          <w:szCs w:val="28"/>
        </w:rPr>
      </w:pPr>
      <w:r w:rsidRPr="004E1E73">
        <w:rPr>
          <w:rFonts w:ascii="Times New Roman" w:hAnsi="Times New Roman"/>
          <w:bCs/>
          <w:kern w:val="2"/>
          <w:sz w:val="28"/>
          <w:szCs w:val="28"/>
        </w:rPr>
        <w:lastRenderedPageBreak/>
        <w:t>The third scenario is linked to scenario (b) above</w:t>
      </w:r>
      <w:r w:rsidR="00450A51" w:rsidRPr="004E1E73">
        <w:rPr>
          <w:rFonts w:ascii="Times New Roman" w:hAnsi="Times New Roman"/>
          <w:bCs/>
          <w:kern w:val="2"/>
          <w:sz w:val="28"/>
          <w:szCs w:val="28"/>
        </w:rPr>
        <w:t xml:space="preserve">. </w:t>
      </w:r>
      <w:r w:rsidRPr="004E1E73">
        <w:rPr>
          <w:rFonts w:ascii="Times New Roman" w:hAnsi="Times New Roman"/>
          <w:bCs/>
          <w:kern w:val="2"/>
          <w:sz w:val="28"/>
          <w:szCs w:val="28"/>
        </w:rPr>
        <w:t>Once the English Courts have decided the nature or characterisation of the foreign legislation, then the issue becomes what test to apply in granting the anti-suit injunction.</w:t>
      </w:r>
    </w:p>
    <w:p w14:paraId="118C3F90" w14:textId="26B2E5DE" w:rsidR="0095151C" w:rsidRPr="004E1E73" w:rsidRDefault="0095151C" w:rsidP="004E1E73">
      <w:pPr>
        <w:numPr>
          <w:ilvl w:val="0"/>
          <w:numId w:val="42"/>
        </w:numPr>
        <w:spacing w:after="160" w:line="360" w:lineRule="auto"/>
        <w:jc w:val="both"/>
        <w:rPr>
          <w:rFonts w:ascii="Times New Roman" w:hAnsi="Times New Roman"/>
          <w:kern w:val="2"/>
          <w:sz w:val="28"/>
          <w:szCs w:val="28"/>
        </w:rPr>
      </w:pPr>
      <w:r w:rsidRPr="004E1E73">
        <w:rPr>
          <w:rFonts w:ascii="Times New Roman" w:hAnsi="Times New Roman"/>
          <w:kern w:val="2"/>
          <w:sz w:val="28"/>
          <w:szCs w:val="28"/>
        </w:rPr>
        <w:t>) Finally, this scenario is where an applicant for an anti-suit injunction is not a party to the arbitration clause and does not assert that it is</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However, when Court proceedings are commenced against it, it simply asserts  that any proceedings should be brought by way of arbitration and not litigation. This is normally because the underlying agreement which the party bringing Court proceedings is relying on  will contain an arbitration clause</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This situation may also arise where a third party that is not a party to the underlying agreement  commences Court proceedings, but those proceedings arise out of the underlying contract. The party sued may seek an anti-suit injunction from the English Courts on the basis that the claims in the Court proceedings arise from the underlying contact containing an arbitration clause and that clause must be respected</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This means granting an anti-suit injunction against a party that is not a signatory to the arbitration agreement</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 xml:space="preserve">Consequently, the issue that arises is whether that party can bring a claim other than in the way provided for in the underlying agreement. </w:t>
      </w:r>
    </w:p>
    <w:p w14:paraId="4C6F344E" w14:textId="71C2D347" w:rsidR="0095151C" w:rsidRPr="004E1E73" w:rsidRDefault="0095151C" w:rsidP="004E1E73">
      <w:pPr>
        <w:spacing w:after="160" w:line="360" w:lineRule="auto"/>
        <w:ind w:left="360"/>
        <w:jc w:val="both"/>
        <w:rPr>
          <w:rFonts w:ascii="Times New Roman" w:hAnsi="Times New Roman"/>
          <w:kern w:val="2"/>
          <w:sz w:val="28"/>
          <w:szCs w:val="28"/>
        </w:rPr>
      </w:pPr>
      <w:r w:rsidRPr="004E1E73">
        <w:rPr>
          <w:rFonts w:ascii="Times New Roman" w:hAnsi="Times New Roman"/>
          <w:kern w:val="2"/>
          <w:sz w:val="28"/>
          <w:szCs w:val="28"/>
        </w:rPr>
        <w:t>Scenario (a) is a straightforward breach of the arbitration agreement. A party has a contractual right not to be sued in a foreign Court if their contract contains a valid arbitration clause. The test to be applied now is whether there is a “high degree of probability that the arbitration clause applies to the dispute at hand. If the first question is answered affirmatively, then the Courts will consider whether or not there are strong reasons not to grant the injunction</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 xml:space="preserve">This is clear from the </w:t>
      </w:r>
      <w:r w:rsidRPr="004E1E73">
        <w:rPr>
          <w:rFonts w:ascii="Times New Roman" w:hAnsi="Times New Roman"/>
          <w:i/>
          <w:kern w:val="2"/>
          <w:sz w:val="28"/>
          <w:szCs w:val="28"/>
        </w:rPr>
        <w:t>Times Trading</w:t>
      </w:r>
      <w:r w:rsidRPr="004E1E73">
        <w:rPr>
          <w:rFonts w:ascii="Times New Roman" w:hAnsi="Times New Roman"/>
          <w:kern w:val="2"/>
          <w:sz w:val="28"/>
          <w:szCs w:val="28"/>
        </w:rPr>
        <w:t xml:space="preserve"> line of authorities. This has also been confirmed in </w:t>
      </w:r>
      <w:r w:rsidRPr="004E1E73">
        <w:rPr>
          <w:rFonts w:ascii="Times New Roman" w:hAnsi="Times New Roman"/>
          <w:i/>
          <w:kern w:val="2"/>
          <w:sz w:val="28"/>
          <w:szCs w:val="28"/>
        </w:rPr>
        <w:t xml:space="preserve">QBE Europe </w:t>
      </w:r>
      <w:r w:rsidRPr="004E1E73">
        <w:rPr>
          <w:rFonts w:ascii="Times New Roman" w:hAnsi="Times New Roman"/>
          <w:i/>
          <w:kern w:val="2"/>
          <w:sz w:val="28"/>
          <w:szCs w:val="28"/>
        </w:rPr>
        <w:lastRenderedPageBreak/>
        <w:t>SA v Generali Espanade Sergros Y Reaseguros</w:t>
      </w:r>
      <w:r w:rsidRPr="004E1E73">
        <w:rPr>
          <w:rStyle w:val="FootnoteReference"/>
          <w:rFonts w:ascii="Times New Roman" w:hAnsi="Times New Roman"/>
          <w:i/>
          <w:kern w:val="2"/>
          <w:sz w:val="28"/>
          <w:szCs w:val="28"/>
        </w:rPr>
        <w:footnoteReference w:id="43"/>
      </w:r>
      <w:r w:rsidRPr="004E1E73">
        <w:rPr>
          <w:rFonts w:ascii="Times New Roman" w:hAnsi="Times New Roman"/>
          <w:i/>
          <w:kern w:val="2"/>
          <w:sz w:val="28"/>
          <w:szCs w:val="28"/>
        </w:rPr>
        <w:t xml:space="preserve"> </w:t>
      </w:r>
      <w:r w:rsidRPr="004E1E73">
        <w:rPr>
          <w:rFonts w:ascii="Times New Roman" w:hAnsi="Times New Roman"/>
          <w:kern w:val="2"/>
          <w:sz w:val="28"/>
          <w:szCs w:val="28"/>
        </w:rPr>
        <w:t>and</w:t>
      </w:r>
      <w:r w:rsidRPr="004E1E73">
        <w:rPr>
          <w:rFonts w:ascii="Times New Roman" w:hAnsi="Times New Roman"/>
          <w:i/>
          <w:kern w:val="2"/>
          <w:sz w:val="28"/>
          <w:szCs w:val="28"/>
        </w:rPr>
        <w:t xml:space="preserve"> </w:t>
      </w:r>
      <w:r w:rsidRPr="004E1E73">
        <w:rPr>
          <w:rFonts w:ascii="Times New Roman" w:hAnsi="Times New Roman"/>
          <w:kern w:val="2"/>
          <w:sz w:val="28"/>
          <w:szCs w:val="28"/>
        </w:rPr>
        <w:t xml:space="preserve">by the Court of Appeal in </w:t>
      </w:r>
      <w:r w:rsidRPr="004E1E73">
        <w:rPr>
          <w:rFonts w:ascii="Times New Roman" w:hAnsi="Times New Roman"/>
          <w:i/>
          <w:kern w:val="2"/>
          <w:sz w:val="28"/>
          <w:szCs w:val="28"/>
        </w:rPr>
        <w:t>AIG Europe SA v John Wood Group PLC</w:t>
      </w:r>
      <w:r w:rsidRPr="004E1E73">
        <w:rPr>
          <w:rFonts w:ascii="Times New Roman" w:hAnsi="Times New Roman"/>
          <w:kern w:val="2"/>
          <w:sz w:val="28"/>
          <w:szCs w:val="28"/>
        </w:rPr>
        <w:t>.</w:t>
      </w:r>
      <w:r w:rsidRPr="004E1E73">
        <w:rPr>
          <w:rStyle w:val="FootnoteReference"/>
          <w:rFonts w:ascii="Times New Roman" w:hAnsi="Times New Roman"/>
          <w:kern w:val="2"/>
          <w:sz w:val="28"/>
          <w:szCs w:val="28"/>
        </w:rPr>
        <w:footnoteReference w:id="44"/>
      </w:r>
      <w:r w:rsidRPr="004E1E73">
        <w:rPr>
          <w:rFonts w:ascii="Times New Roman" w:hAnsi="Times New Roman"/>
          <w:kern w:val="2"/>
          <w:sz w:val="28"/>
          <w:szCs w:val="28"/>
        </w:rPr>
        <w:t xml:space="preserve"> when Males LJ approved the test applied by Jacob J at first instance</w:t>
      </w:r>
      <w:r w:rsidRPr="004E1E73">
        <w:rPr>
          <w:rStyle w:val="FootnoteReference"/>
          <w:rFonts w:ascii="Times New Roman" w:hAnsi="Times New Roman"/>
          <w:kern w:val="2"/>
          <w:sz w:val="28"/>
          <w:szCs w:val="28"/>
        </w:rPr>
        <w:footnoteReference w:id="45"/>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 xml:space="preserve">Jacobs J noted that. </w:t>
      </w:r>
    </w:p>
    <w:p w14:paraId="613668A1" w14:textId="7560D314" w:rsidR="0095151C" w:rsidRPr="004E1E73" w:rsidRDefault="0095151C" w:rsidP="004E1E73">
      <w:pPr>
        <w:spacing w:after="160" w:line="360" w:lineRule="auto"/>
        <w:ind w:left="720"/>
        <w:jc w:val="both"/>
        <w:rPr>
          <w:rFonts w:ascii="Times New Roman" w:hAnsi="Times New Roman"/>
          <w:kern w:val="2"/>
          <w:sz w:val="28"/>
          <w:szCs w:val="28"/>
        </w:rPr>
      </w:pPr>
      <w:r w:rsidRPr="004E1E73">
        <w:rPr>
          <w:rFonts w:ascii="Times New Roman" w:hAnsi="Times New Roman"/>
          <w:kern w:val="2"/>
          <w:sz w:val="28"/>
          <w:szCs w:val="28"/>
        </w:rPr>
        <w:t>“</w:t>
      </w:r>
      <w:r w:rsidRPr="004E1E73">
        <w:rPr>
          <w:rFonts w:ascii="Times New Roman" w:hAnsi="Times New Roman"/>
          <w:i/>
          <w:iCs/>
          <w:kern w:val="2"/>
          <w:sz w:val="28"/>
          <w:szCs w:val="28"/>
        </w:rPr>
        <w:t>the standard of proof is a high degree of probability that there is a valid arbitration or jurisdiction agreement which governs the dispute in question</w:t>
      </w:r>
      <w:r w:rsidRPr="004E1E73">
        <w:rPr>
          <w:rStyle w:val="FootnoteReference"/>
          <w:rFonts w:ascii="Times New Roman" w:hAnsi="Times New Roman"/>
          <w:kern w:val="2"/>
          <w:sz w:val="28"/>
          <w:szCs w:val="28"/>
        </w:rPr>
        <w:footnoteReference w:id="46"/>
      </w:r>
      <w:r w:rsidR="00450A51" w:rsidRPr="004E1E73">
        <w:rPr>
          <w:rFonts w:ascii="Times New Roman" w:hAnsi="Times New Roman"/>
          <w:kern w:val="2"/>
          <w:sz w:val="28"/>
          <w:szCs w:val="28"/>
        </w:rPr>
        <w:t>.”</w:t>
      </w:r>
      <w:r w:rsidRPr="004E1E73">
        <w:rPr>
          <w:rFonts w:ascii="Times New Roman" w:hAnsi="Times New Roman"/>
          <w:kern w:val="2"/>
          <w:sz w:val="28"/>
          <w:szCs w:val="28"/>
        </w:rPr>
        <w:t xml:space="preserve"> </w:t>
      </w:r>
    </w:p>
    <w:p w14:paraId="7F58CF96" w14:textId="77777777" w:rsidR="0095151C" w:rsidRPr="004E1E73" w:rsidRDefault="0095151C" w:rsidP="004E1E73">
      <w:pPr>
        <w:spacing w:after="160" w:line="360" w:lineRule="auto"/>
        <w:jc w:val="both"/>
        <w:rPr>
          <w:rFonts w:ascii="Times New Roman" w:hAnsi="Times New Roman"/>
          <w:i/>
          <w:kern w:val="2"/>
          <w:sz w:val="28"/>
          <w:szCs w:val="28"/>
        </w:rPr>
      </w:pPr>
      <w:r w:rsidRPr="004E1E73">
        <w:rPr>
          <w:rFonts w:ascii="Times New Roman" w:hAnsi="Times New Roman"/>
          <w:kern w:val="2"/>
          <w:sz w:val="28"/>
          <w:szCs w:val="28"/>
        </w:rPr>
        <w:t xml:space="preserve">This approach was recently adopted by Bright J in </w:t>
      </w:r>
      <w:r w:rsidRPr="004E1E73">
        <w:rPr>
          <w:rFonts w:ascii="Times New Roman" w:hAnsi="Times New Roman"/>
          <w:i/>
          <w:kern w:val="2"/>
          <w:sz w:val="28"/>
          <w:szCs w:val="28"/>
        </w:rPr>
        <w:t>SQD v QYP</w:t>
      </w:r>
      <w:r w:rsidRPr="004E1E73">
        <w:rPr>
          <w:rStyle w:val="FootnoteReference"/>
          <w:rFonts w:ascii="Times New Roman" w:hAnsi="Times New Roman"/>
          <w:i/>
          <w:kern w:val="2"/>
          <w:sz w:val="28"/>
          <w:szCs w:val="28"/>
        </w:rPr>
        <w:footnoteReference w:id="47"/>
      </w:r>
      <w:r w:rsidRPr="004E1E73">
        <w:rPr>
          <w:rFonts w:ascii="Times New Roman" w:hAnsi="Times New Roman"/>
          <w:kern w:val="2"/>
          <w:sz w:val="28"/>
          <w:szCs w:val="28"/>
        </w:rPr>
        <w:t xml:space="preserve"> and approved by the Court of Appeal in </w:t>
      </w:r>
      <w:r w:rsidRPr="004E1E73">
        <w:rPr>
          <w:rFonts w:ascii="Times New Roman" w:hAnsi="Times New Roman"/>
          <w:i/>
          <w:kern w:val="2"/>
          <w:sz w:val="28"/>
          <w:szCs w:val="28"/>
        </w:rPr>
        <w:t>Deutsche Bank</w:t>
      </w:r>
      <w:r w:rsidRPr="004E1E73">
        <w:rPr>
          <w:rStyle w:val="FootnoteReference"/>
          <w:rFonts w:ascii="Times New Roman" w:hAnsi="Times New Roman"/>
          <w:kern w:val="2"/>
          <w:sz w:val="28"/>
          <w:szCs w:val="28"/>
        </w:rPr>
        <w:footnoteReference w:id="48"/>
      </w:r>
      <w:r w:rsidRPr="004E1E73">
        <w:rPr>
          <w:rFonts w:ascii="Times New Roman" w:hAnsi="Times New Roman"/>
          <w:kern w:val="2"/>
          <w:sz w:val="28"/>
          <w:szCs w:val="28"/>
        </w:rPr>
        <w:t>.</w:t>
      </w:r>
    </w:p>
    <w:p w14:paraId="0D20AB4D" w14:textId="4D47BAF2" w:rsidR="0095151C" w:rsidRPr="004E1E73" w:rsidRDefault="0095151C" w:rsidP="004E1E73">
      <w:pPr>
        <w:tabs>
          <w:tab w:val="left" w:pos="-1440"/>
          <w:tab w:val="left" w:pos="-720"/>
          <w:tab w:val="left" w:pos="1152"/>
          <w:tab w:val="left" w:pos="1569"/>
          <w:tab w:val="left" w:pos="1843"/>
          <w:tab w:val="left" w:pos="2260"/>
          <w:tab w:val="left" w:pos="6480"/>
        </w:tabs>
        <w:suppressAutoHyphens/>
        <w:spacing w:line="360" w:lineRule="auto"/>
        <w:jc w:val="both"/>
        <w:rPr>
          <w:rFonts w:ascii="Times New Roman" w:eastAsia="Times New Roman" w:hAnsi="Times New Roman"/>
          <w:spacing w:val="-3"/>
          <w:sz w:val="28"/>
          <w:szCs w:val="28"/>
          <w:lang w:eastAsia="en-GB"/>
        </w:rPr>
      </w:pPr>
      <w:r w:rsidRPr="004E1E73">
        <w:rPr>
          <w:rFonts w:ascii="Times New Roman" w:eastAsia="Times New Roman" w:hAnsi="Times New Roman"/>
          <w:spacing w:val="-3"/>
          <w:sz w:val="28"/>
          <w:szCs w:val="28"/>
          <w:lang w:eastAsia="en-GB"/>
        </w:rPr>
        <w:t xml:space="preserve">The “strong reasons” test was considered and applied by Foxton J when he decided to grant an anti-suit injunction in </w:t>
      </w:r>
      <w:r w:rsidRPr="004E1E73">
        <w:rPr>
          <w:rFonts w:ascii="Times New Roman" w:eastAsia="Times New Roman" w:hAnsi="Times New Roman"/>
          <w:i/>
          <w:spacing w:val="-3"/>
          <w:sz w:val="28"/>
          <w:szCs w:val="28"/>
          <w:lang w:eastAsia="en-GB"/>
        </w:rPr>
        <w:t>Riverrock Securities Limited (“RSL”) v International Bank of St Petersburg (Joints Stock Company)</w:t>
      </w:r>
      <w:r w:rsidR="00450A51" w:rsidRPr="004E1E73">
        <w:rPr>
          <w:rFonts w:ascii="Times New Roman" w:eastAsia="Times New Roman" w:hAnsi="Times New Roman"/>
          <w:spacing w:val="-3"/>
          <w:sz w:val="28"/>
          <w:szCs w:val="28"/>
          <w:lang w:eastAsia="en-GB"/>
        </w:rPr>
        <w:t xml:space="preserve">. </w:t>
      </w:r>
      <w:r w:rsidRPr="004E1E73">
        <w:rPr>
          <w:rFonts w:ascii="Times New Roman" w:eastAsia="Times New Roman" w:hAnsi="Times New Roman"/>
          <w:spacing w:val="-3"/>
          <w:sz w:val="28"/>
          <w:szCs w:val="28"/>
          <w:lang w:eastAsia="en-GB"/>
        </w:rPr>
        <w:t>(“IBSP”)</w:t>
      </w:r>
      <w:r w:rsidR="00450A51" w:rsidRPr="004E1E73">
        <w:rPr>
          <w:rFonts w:ascii="Times New Roman" w:eastAsia="Times New Roman" w:hAnsi="Times New Roman"/>
          <w:spacing w:val="-3"/>
          <w:sz w:val="28"/>
          <w:szCs w:val="28"/>
          <w:lang w:eastAsia="en-GB"/>
        </w:rPr>
        <w:t xml:space="preserve">. </w:t>
      </w:r>
      <w:r w:rsidRPr="004E1E73">
        <w:rPr>
          <w:rFonts w:ascii="Times New Roman" w:eastAsia="Times New Roman" w:hAnsi="Times New Roman"/>
          <w:spacing w:val="-3"/>
          <w:sz w:val="28"/>
          <w:szCs w:val="28"/>
          <w:lang w:eastAsia="en-GB"/>
        </w:rPr>
        <w:t>The dispute arose out of nine contracts under which RSL sold the defendants securities in the form of credit linked notes. The contract provided for English Law and contained a London seated LCIA arbitration clause</w:t>
      </w:r>
      <w:r w:rsidR="00450A51" w:rsidRPr="004E1E73">
        <w:rPr>
          <w:rFonts w:ascii="Times New Roman" w:eastAsia="Times New Roman" w:hAnsi="Times New Roman"/>
          <w:spacing w:val="-3"/>
          <w:sz w:val="28"/>
          <w:szCs w:val="28"/>
          <w:lang w:eastAsia="en-GB"/>
        </w:rPr>
        <w:t xml:space="preserve">. </w:t>
      </w:r>
      <w:r w:rsidRPr="004E1E73">
        <w:rPr>
          <w:rFonts w:ascii="Times New Roman" w:eastAsia="Times New Roman" w:hAnsi="Times New Roman"/>
          <w:spacing w:val="-3"/>
          <w:sz w:val="28"/>
          <w:szCs w:val="28"/>
          <w:lang w:eastAsia="en-GB"/>
        </w:rPr>
        <w:t xml:space="preserve">IBSP subsequently went into bankruptcy and bankruptcy proceedings were commenced against it. During the bankruptcy proceedings, IBSP then commenced a further action in St Petersburg against RSL claiming that the transactions were a sham to siphon off the defendant’s assets. Relying on the Bankruptcy Law of Russia, IBSP sought to argue that the transactions were an abuse </w:t>
      </w:r>
      <w:r w:rsidRPr="004E1E73">
        <w:rPr>
          <w:rFonts w:ascii="Times New Roman" w:eastAsia="Times New Roman" w:hAnsi="Times New Roman"/>
          <w:spacing w:val="-3"/>
          <w:sz w:val="28"/>
          <w:szCs w:val="28"/>
          <w:lang w:eastAsia="en-GB"/>
        </w:rPr>
        <w:lastRenderedPageBreak/>
        <w:t>of right that affected creditors. The key issues in the application were whether the LCIA London arbitration covered the Russian claims and whether they were arbitrable. Foxton J quickly dismissed IBSP’s argument that the injunction should not be granted as it would prevent an officer of the foreign Court from carrying out his duty to the creditors of foreign insolvency. He noted that arguments as to comity between Courts have limited scope when injunctions are sought to enforce forum selection agreements</w:t>
      </w:r>
      <w:r w:rsidRPr="004E1E73">
        <w:rPr>
          <w:rStyle w:val="FootnoteReference"/>
          <w:rFonts w:ascii="Times New Roman" w:eastAsia="Times New Roman" w:hAnsi="Times New Roman"/>
          <w:spacing w:val="-3"/>
          <w:sz w:val="28"/>
          <w:szCs w:val="28"/>
          <w:lang w:eastAsia="en-GB"/>
        </w:rPr>
        <w:footnoteReference w:id="49"/>
      </w:r>
      <w:r w:rsidRPr="004E1E73">
        <w:rPr>
          <w:rFonts w:ascii="Times New Roman" w:eastAsia="Times New Roman" w:hAnsi="Times New Roman"/>
          <w:spacing w:val="-3"/>
          <w:sz w:val="28"/>
          <w:szCs w:val="28"/>
          <w:lang w:eastAsia="en-GB"/>
        </w:rPr>
        <w:t>. In addition, the injunction is directed at IBSP in its capacity as the contractual counterparty to the LCIA arbitration agreement with RSL and not the administrator of the bankruptcy. Hence, the injunction will not interfere with the administrator carrying out his duties</w:t>
      </w:r>
      <w:r w:rsidR="00B70383" w:rsidRPr="004E1E73">
        <w:rPr>
          <w:rFonts w:ascii="Times New Roman" w:eastAsia="Times New Roman" w:hAnsi="Times New Roman"/>
          <w:spacing w:val="-3"/>
          <w:sz w:val="28"/>
          <w:szCs w:val="28"/>
          <w:lang w:eastAsia="en-GB"/>
        </w:rPr>
        <w:t xml:space="preserve">. </w:t>
      </w:r>
      <w:r w:rsidRPr="004E1E73">
        <w:rPr>
          <w:rFonts w:ascii="Times New Roman" w:eastAsia="Times New Roman" w:hAnsi="Times New Roman"/>
          <w:spacing w:val="-3"/>
          <w:sz w:val="28"/>
          <w:szCs w:val="28"/>
          <w:lang w:eastAsia="en-GB"/>
        </w:rPr>
        <w:t>The fact that the dispute is not arbitrable in Russia is not a strong reason not to grant the injunction</w:t>
      </w:r>
      <w:r w:rsidRPr="004E1E73">
        <w:rPr>
          <w:rStyle w:val="FootnoteReference"/>
          <w:rFonts w:ascii="Times New Roman" w:eastAsia="Times New Roman" w:hAnsi="Times New Roman"/>
          <w:spacing w:val="-3"/>
          <w:sz w:val="28"/>
          <w:szCs w:val="28"/>
          <w:lang w:eastAsia="en-GB"/>
        </w:rPr>
        <w:footnoteReference w:id="50"/>
      </w:r>
      <w:r w:rsidRPr="004E1E73">
        <w:rPr>
          <w:rFonts w:ascii="Times New Roman" w:eastAsia="Times New Roman" w:hAnsi="Times New Roman"/>
          <w:spacing w:val="-3"/>
          <w:sz w:val="28"/>
          <w:szCs w:val="28"/>
          <w:lang w:eastAsia="en-GB"/>
        </w:rPr>
        <w:t xml:space="preserve"> .</w:t>
      </w:r>
      <w:r w:rsidRPr="004E1E73">
        <w:rPr>
          <w:rFonts w:ascii="Times New Roman" w:hAnsi="Times New Roman"/>
          <w:kern w:val="2"/>
          <w:sz w:val="28"/>
          <w:szCs w:val="28"/>
        </w:rPr>
        <w:t xml:space="preserve">  </w:t>
      </w:r>
      <w:r w:rsidRPr="004E1E73">
        <w:rPr>
          <w:rFonts w:ascii="Times New Roman" w:eastAsia="Times New Roman" w:hAnsi="Times New Roman"/>
          <w:spacing w:val="-3"/>
          <w:sz w:val="28"/>
          <w:szCs w:val="28"/>
          <w:lang w:eastAsia="en-GB"/>
        </w:rPr>
        <w:t xml:space="preserve">The “strong reason” approach has been followed in other cases such as </w:t>
      </w:r>
      <w:r w:rsidRPr="004E1E73">
        <w:rPr>
          <w:rFonts w:ascii="Times New Roman" w:eastAsia="Times New Roman" w:hAnsi="Times New Roman"/>
          <w:i/>
          <w:spacing w:val="-3"/>
          <w:sz w:val="28"/>
          <w:szCs w:val="28"/>
          <w:lang w:eastAsia="en-GB"/>
        </w:rPr>
        <w:t>Markerl Bermud Limited v Caesars Entertainment, Inc</w:t>
      </w:r>
      <w:r w:rsidRPr="004E1E73">
        <w:rPr>
          <w:rStyle w:val="FootnoteReference"/>
          <w:rFonts w:ascii="Times New Roman" w:eastAsia="Times New Roman" w:hAnsi="Times New Roman"/>
          <w:spacing w:val="-3"/>
          <w:sz w:val="28"/>
          <w:szCs w:val="28"/>
          <w:lang w:eastAsia="en-GB"/>
        </w:rPr>
        <w:footnoteReference w:id="51"/>
      </w:r>
      <w:r w:rsidRPr="004E1E73">
        <w:rPr>
          <w:rFonts w:ascii="Times New Roman" w:eastAsia="Times New Roman" w:hAnsi="Times New Roman"/>
          <w:spacing w:val="-3"/>
          <w:sz w:val="28"/>
          <w:szCs w:val="28"/>
          <w:lang w:eastAsia="en-GB"/>
        </w:rPr>
        <w:t xml:space="preserve">, </w:t>
      </w:r>
      <w:r w:rsidRPr="004E1E73">
        <w:rPr>
          <w:rFonts w:ascii="Times New Roman" w:eastAsia="Times New Roman" w:hAnsi="Times New Roman"/>
          <w:i/>
          <w:spacing w:val="-3"/>
          <w:sz w:val="28"/>
          <w:szCs w:val="28"/>
          <w:lang w:eastAsia="en-GB"/>
        </w:rPr>
        <w:t>Ulusoy Denizilik A.S v Cofco Global Harvest (Zhangjiagang) Trading Co. Ltd</w:t>
      </w:r>
      <w:r w:rsidRPr="004E1E73">
        <w:rPr>
          <w:rStyle w:val="FootnoteReference"/>
          <w:rFonts w:ascii="Times New Roman" w:eastAsia="Times New Roman" w:hAnsi="Times New Roman"/>
          <w:spacing w:val="-3"/>
          <w:sz w:val="28"/>
          <w:szCs w:val="28"/>
          <w:lang w:eastAsia="en-GB"/>
        </w:rPr>
        <w:footnoteReference w:id="52"/>
      </w:r>
      <w:r w:rsidRPr="004E1E73">
        <w:rPr>
          <w:rFonts w:ascii="Times New Roman" w:eastAsia="Times New Roman" w:hAnsi="Times New Roman"/>
          <w:spacing w:val="-3"/>
          <w:sz w:val="28"/>
          <w:szCs w:val="28"/>
          <w:lang w:eastAsia="en-GB"/>
        </w:rPr>
        <w:t xml:space="preserve">  where the English Courts simply took the view that the defendants in the respective cases had not shown any “strong reasons” as to why the injunction sought should not be granted</w:t>
      </w:r>
      <w:r w:rsidRPr="004E1E73">
        <w:rPr>
          <w:rStyle w:val="FootnoteReference"/>
          <w:rFonts w:ascii="Times New Roman" w:eastAsia="Times New Roman" w:hAnsi="Times New Roman"/>
          <w:spacing w:val="-3"/>
          <w:sz w:val="28"/>
          <w:szCs w:val="28"/>
          <w:lang w:eastAsia="en-GB"/>
        </w:rPr>
        <w:footnoteReference w:id="53"/>
      </w:r>
      <w:r w:rsidRPr="004E1E73">
        <w:rPr>
          <w:rFonts w:ascii="Times New Roman" w:eastAsia="Times New Roman" w:hAnsi="Times New Roman"/>
          <w:spacing w:val="-3"/>
          <w:sz w:val="28"/>
          <w:szCs w:val="28"/>
          <w:lang w:eastAsia="en-GB"/>
        </w:rPr>
        <w:t>.  It also now the case that the fact that a  foreign Court may react or retaliate with hostility will not suffice as a strong reason not to grant an anti-suit injunction</w:t>
      </w:r>
      <w:r w:rsidRPr="004E1E73">
        <w:rPr>
          <w:rStyle w:val="FootnoteReference"/>
          <w:rFonts w:ascii="Times New Roman" w:eastAsia="Times New Roman" w:hAnsi="Times New Roman"/>
          <w:spacing w:val="-3"/>
          <w:sz w:val="28"/>
          <w:szCs w:val="28"/>
          <w:lang w:eastAsia="en-GB"/>
        </w:rPr>
        <w:footnoteReference w:id="54"/>
      </w:r>
      <w:r w:rsidRPr="004E1E73">
        <w:rPr>
          <w:rFonts w:ascii="Times New Roman" w:eastAsia="Times New Roman" w:hAnsi="Times New Roman"/>
          <w:spacing w:val="-3"/>
          <w:sz w:val="28"/>
          <w:szCs w:val="28"/>
          <w:lang w:eastAsia="en-GB"/>
        </w:rPr>
        <w:t xml:space="preserve">. </w:t>
      </w:r>
    </w:p>
    <w:p w14:paraId="39585B8D" w14:textId="7F9CB0F5" w:rsidR="0095151C" w:rsidRPr="004E1E73" w:rsidRDefault="0095151C" w:rsidP="004E1E73">
      <w:pPr>
        <w:tabs>
          <w:tab w:val="left" w:pos="-1440"/>
          <w:tab w:val="left" w:pos="-720"/>
          <w:tab w:val="left" w:pos="1152"/>
          <w:tab w:val="left" w:pos="1569"/>
          <w:tab w:val="left" w:pos="1843"/>
          <w:tab w:val="left" w:pos="2260"/>
          <w:tab w:val="left" w:pos="6480"/>
        </w:tabs>
        <w:suppressAutoHyphens/>
        <w:spacing w:line="360" w:lineRule="auto"/>
        <w:jc w:val="both"/>
        <w:rPr>
          <w:rFonts w:ascii="Times New Roman" w:eastAsia="Times New Roman" w:hAnsi="Times New Roman"/>
          <w:spacing w:val="-3"/>
          <w:sz w:val="28"/>
          <w:szCs w:val="28"/>
          <w:lang w:eastAsia="en-GB"/>
        </w:rPr>
      </w:pPr>
      <w:r w:rsidRPr="004E1E73">
        <w:rPr>
          <w:rFonts w:ascii="Times New Roman" w:eastAsia="Times New Roman" w:hAnsi="Times New Roman"/>
          <w:spacing w:val="-3"/>
          <w:sz w:val="28"/>
          <w:szCs w:val="28"/>
          <w:lang w:eastAsia="en-GB"/>
        </w:rPr>
        <w:lastRenderedPageBreak/>
        <w:t>Given the recent approach of the English Courts, it is now the case that the defendant to an anti-suit application will bear the burden of demonstrating the existence of a strong reason not to grant the injunction. This was confirmed by Foxton J in</w:t>
      </w:r>
      <w:r w:rsidRPr="004E1E73">
        <w:rPr>
          <w:rFonts w:ascii="Times New Roman" w:eastAsia="Times New Roman" w:hAnsi="Times New Roman"/>
          <w:i/>
          <w:spacing w:val="-3"/>
          <w:sz w:val="28"/>
          <w:szCs w:val="28"/>
          <w:lang w:eastAsia="en-GB"/>
        </w:rPr>
        <w:t xml:space="preserve"> Riverrock</w:t>
      </w:r>
      <w:r w:rsidRPr="004E1E73">
        <w:rPr>
          <w:rFonts w:ascii="Times New Roman" w:eastAsia="Times New Roman" w:hAnsi="Times New Roman"/>
          <w:spacing w:val="-3"/>
          <w:sz w:val="28"/>
          <w:szCs w:val="28"/>
          <w:lang w:eastAsia="en-GB"/>
        </w:rPr>
        <w:t xml:space="preserve"> when he said that the burden of establishing a strong reason lay with the bank</w:t>
      </w:r>
      <w:r w:rsidRPr="004E1E73">
        <w:rPr>
          <w:rStyle w:val="FootnoteReference"/>
          <w:rFonts w:ascii="Times New Roman" w:eastAsia="Times New Roman" w:hAnsi="Times New Roman"/>
          <w:spacing w:val="-3"/>
          <w:sz w:val="28"/>
          <w:szCs w:val="28"/>
          <w:lang w:eastAsia="en-GB"/>
        </w:rPr>
        <w:footnoteReference w:id="55"/>
      </w:r>
      <w:r w:rsidR="00450A51" w:rsidRPr="004E1E73">
        <w:rPr>
          <w:rFonts w:ascii="Times New Roman" w:eastAsia="Times New Roman" w:hAnsi="Times New Roman"/>
          <w:spacing w:val="-3"/>
          <w:sz w:val="28"/>
          <w:szCs w:val="28"/>
          <w:lang w:eastAsia="en-GB"/>
        </w:rPr>
        <w:t xml:space="preserve">. </w:t>
      </w:r>
      <w:r w:rsidRPr="004E1E73">
        <w:rPr>
          <w:rFonts w:ascii="Times New Roman" w:eastAsia="Times New Roman" w:hAnsi="Times New Roman"/>
          <w:spacing w:val="-3"/>
          <w:sz w:val="28"/>
          <w:szCs w:val="28"/>
          <w:lang w:eastAsia="en-GB"/>
        </w:rPr>
        <w:t>A similar view was expressed by Calver J in</w:t>
      </w:r>
      <w:r w:rsidRPr="004E1E73">
        <w:rPr>
          <w:rFonts w:ascii="Times New Roman" w:eastAsia="Times New Roman" w:hAnsi="Times New Roman"/>
          <w:i/>
          <w:spacing w:val="-3"/>
          <w:sz w:val="28"/>
          <w:szCs w:val="28"/>
          <w:lang w:eastAsia="en-GB"/>
        </w:rPr>
        <w:t xml:space="preserve"> UAU</w:t>
      </w:r>
      <w:r w:rsidRPr="004E1E73">
        <w:rPr>
          <w:rFonts w:ascii="Times New Roman" w:eastAsia="Times New Roman" w:hAnsi="Times New Roman"/>
          <w:spacing w:val="-3"/>
          <w:sz w:val="28"/>
          <w:szCs w:val="28"/>
          <w:lang w:eastAsia="en-GB"/>
        </w:rPr>
        <w:t xml:space="preserve"> when he noted that “</w:t>
      </w:r>
      <w:bookmarkStart w:id="7" w:name="para12"/>
      <w:r w:rsidRPr="004E1E73">
        <w:rPr>
          <w:rFonts w:ascii="Times New Roman" w:hAnsi="Times New Roman"/>
          <w:i/>
          <w:color w:val="000000"/>
          <w:sz w:val="28"/>
          <w:szCs w:val="28"/>
        </w:rPr>
        <w:t>I remind myself that the burden of establishing a strong reason lies on the defendant</w:t>
      </w:r>
      <w:bookmarkEnd w:id="7"/>
      <w:r w:rsidRPr="004E1E73">
        <w:rPr>
          <w:rFonts w:ascii="Times New Roman" w:hAnsi="Times New Roman"/>
          <w:color w:val="000000"/>
          <w:sz w:val="28"/>
          <w:szCs w:val="28"/>
        </w:rPr>
        <w:t>”</w:t>
      </w:r>
      <w:r w:rsidRPr="004E1E73">
        <w:rPr>
          <w:rStyle w:val="FootnoteReference"/>
          <w:rFonts w:ascii="Times New Roman" w:hAnsi="Times New Roman"/>
          <w:color w:val="000000"/>
          <w:sz w:val="28"/>
          <w:szCs w:val="28"/>
        </w:rPr>
        <w:footnoteReference w:id="56"/>
      </w:r>
      <w:r w:rsidRPr="004E1E73">
        <w:rPr>
          <w:rFonts w:ascii="Times New Roman" w:hAnsi="Times New Roman"/>
          <w:color w:val="000000"/>
          <w:sz w:val="28"/>
          <w:szCs w:val="28"/>
        </w:rPr>
        <w:t>.</w:t>
      </w:r>
    </w:p>
    <w:p w14:paraId="0DBCFB01" w14:textId="5C321058" w:rsidR="0095151C" w:rsidRPr="004E1E73" w:rsidRDefault="0095151C" w:rsidP="004E1E73">
      <w:pPr>
        <w:spacing w:after="160" w:line="360" w:lineRule="auto"/>
        <w:jc w:val="both"/>
        <w:rPr>
          <w:rFonts w:ascii="Times New Roman" w:hAnsi="Times New Roman"/>
          <w:bCs/>
          <w:kern w:val="2"/>
          <w:sz w:val="28"/>
          <w:szCs w:val="28"/>
        </w:rPr>
      </w:pPr>
      <w:r w:rsidRPr="004E1E73">
        <w:rPr>
          <w:rFonts w:ascii="Times New Roman" w:hAnsi="Times New Roman"/>
          <w:kern w:val="2"/>
          <w:sz w:val="28"/>
          <w:szCs w:val="28"/>
        </w:rPr>
        <w:t xml:space="preserve"> Scenario (b) which is often referred to as a “derived claim” was first </w:t>
      </w:r>
      <w:r w:rsidRPr="004E1E73">
        <w:rPr>
          <w:rFonts w:ascii="Times New Roman" w:hAnsi="Times New Roman"/>
          <w:bCs/>
          <w:kern w:val="2"/>
          <w:sz w:val="28"/>
          <w:szCs w:val="28"/>
        </w:rPr>
        <w:t xml:space="preserve">considered by the Court of Appeal in </w:t>
      </w:r>
      <w:r w:rsidRPr="004E1E73">
        <w:rPr>
          <w:rFonts w:ascii="Times New Roman" w:hAnsi="Times New Roman"/>
          <w:bCs/>
          <w:i/>
          <w:iCs/>
          <w:kern w:val="2"/>
          <w:sz w:val="28"/>
          <w:szCs w:val="28"/>
        </w:rPr>
        <w:t>Through Transport Mutual Insurance Association (Eurasia) Ltd v New India Assurance Co Ltd</w:t>
      </w:r>
      <w:r w:rsidRPr="004E1E73">
        <w:rPr>
          <w:rFonts w:ascii="Times New Roman" w:hAnsi="Times New Roman"/>
          <w:bCs/>
          <w:kern w:val="2"/>
          <w:sz w:val="28"/>
          <w:szCs w:val="28"/>
        </w:rPr>
        <w:t xml:space="preserve"> (</w:t>
      </w:r>
      <w:r w:rsidRPr="004E1E73">
        <w:rPr>
          <w:rFonts w:ascii="Times New Roman" w:hAnsi="Times New Roman"/>
          <w:bCs/>
          <w:i/>
          <w:iCs/>
          <w:kern w:val="2"/>
          <w:sz w:val="28"/>
          <w:szCs w:val="28"/>
        </w:rPr>
        <w:t>The Hari Bhum</w:t>
      </w:r>
      <w:r w:rsidRPr="004E1E73">
        <w:rPr>
          <w:rFonts w:ascii="Times New Roman" w:hAnsi="Times New Roman"/>
          <w:bCs/>
          <w:kern w:val="2"/>
          <w:sz w:val="28"/>
          <w:szCs w:val="28"/>
        </w:rPr>
        <w:t>)</w:t>
      </w:r>
      <w:r w:rsidRPr="004E1E73">
        <w:rPr>
          <w:rStyle w:val="FootnoteReference"/>
          <w:rFonts w:ascii="Times New Roman" w:hAnsi="Times New Roman"/>
          <w:bCs/>
          <w:kern w:val="2"/>
          <w:sz w:val="28"/>
          <w:szCs w:val="28"/>
        </w:rPr>
        <w:footnoteReference w:id="57"/>
      </w:r>
      <w:r w:rsidRPr="004E1E73">
        <w:rPr>
          <w:rFonts w:ascii="Times New Roman" w:hAnsi="Times New Roman"/>
          <w:bCs/>
          <w:kern w:val="2"/>
          <w:sz w:val="28"/>
          <w:szCs w:val="28"/>
        </w:rPr>
        <w:t xml:space="preserve"> where, by way of subrogated rights, the insurers of cargo commenced proceedings against the ship owner’s P&amp;I club before the Finnish Courts despite a provision for a London seated arbitration clause in the Policy. The shipowner subsequently became insolvent, though the Finnish action was commenced under a Finnish legislation that permitted a direct claim against the insurers of an insolvent policy holder. The club sought an anti-suit injunction to restrain the Finnish proceedings</w:t>
      </w:r>
      <w:r w:rsidR="00450A51" w:rsidRPr="004E1E73">
        <w:rPr>
          <w:rFonts w:ascii="Times New Roman" w:hAnsi="Times New Roman"/>
          <w:bCs/>
          <w:kern w:val="2"/>
          <w:sz w:val="28"/>
          <w:szCs w:val="28"/>
        </w:rPr>
        <w:t xml:space="preserve">. </w:t>
      </w:r>
      <w:r w:rsidRPr="004E1E73">
        <w:rPr>
          <w:rFonts w:ascii="Times New Roman" w:hAnsi="Times New Roman"/>
          <w:bCs/>
          <w:kern w:val="2"/>
          <w:sz w:val="28"/>
          <w:szCs w:val="28"/>
        </w:rPr>
        <w:t>At first instance</w:t>
      </w:r>
      <w:r w:rsidRPr="004E1E73">
        <w:rPr>
          <w:rStyle w:val="FootnoteReference"/>
          <w:rFonts w:ascii="Times New Roman" w:hAnsi="Times New Roman"/>
          <w:bCs/>
          <w:kern w:val="2"/>
          <w:sz w:val="28"/>
          <w:szCs w:val="28"/>
        </w:rPr>
        <w:footnoteReference w:id="58"/>
      </w:r>
      <w:r w:rsidRPr="004E1E73">
        <w:rPr>
          <w:rFonts w:ascii="Times New Roman" w:hAnsi="Times New Roman"/>
          <w:bCs/>
          <w:kern w:val="2"/>
          <w:sz w:val="28"/>
          <w:szCs w:val="28"/>
        </w:rPr>
        <w:t xml:space="preserve"> Moore Bick J’s approach was that he had to examine the nature of the Finnish legislation so as to determine as a matter of English law whether the legislation conferred a derivative right or a wholly independent right. Moore Bick J decided that the effect of the legislation was that it transferred to the third party exactly the same rights that the </w:t>
      </w:r>
      <w:r w:rsidRPr="004E1E73">
        <w:rPr>
          <w:rFonts w:ascii="Times New Roman" w:hAnsi="Times New Roman"/>
          <w:bCs/>
          <w:kern w:val="2"/>
          <w:sz w:val="28"/>
          <w:szCs w:val="28"/>
        </w:rPr>
        <w:lastRenderedPageBreak/>
        <w:t>shipowner had</w:t>
      </w:r>
      <w:r w:rsidRPr="004E1E73">
        <w:rPr>
          <w:rStyle w:val="FootnoteReference"/>
          <w:rFonts w:ascii="Times New Roman" w:hAnsi="Times New Roman"/>
          <w:bCs/>
          <w:kern w:val="2"/>
          <w:sz w:val="28"/>
          <w:szCs w:val="28"/>
        </w:rPr>
        <w:footnoteReference w:id="59"/>
      </w:r>
      <w:r w:rsidR="00450A51" w:rsidRPr="004E1E73">
        <w:rPr>
          <w:rFonts w:ascii="Times New Roman" w:hAnsi="Times New Roman"/>
          <w:bCs/>
          <w:kern w:val="2"/>
          <w:sz w:val="28"/>
          <w:szCs w:val="28"/>
        </w:rPr>
        <w:t xml:space="preserve">. </w:t>
      </w:r>
      <w:r w:rsidRPr="004E1E73">
        <w:rPr>
          <w:rFonts w:ascii="Times New Roman" w:hAnsi="Times New Roman"/>
          <w:bCs/>
          <w:kern w:val="2"/>
          <w:sz w:val="28"/>
          <w:szCs w:val="28"/>
        </w:rPr>
        <w:t>Hence, under English law it was a derived claim, which meant that the Finnish proceedings were in breach of the arbitration clause</w:t>
      </w:r>
      <w:r w:rsidRPr="004E1E73">
        <w:rPr>
          <w:rStyle w:val="FootnoteReference"/>
          <w:rFonts w:ascii="Times New Roman" w:hAnsi="Times New Roman"/>
          <w:bCs/>
          <w:kern w:val="2"/>
          <w:sz w:val="28"/>
          <w:szCs w:val="28"/>
        </w:rPr>
        <w:footnoteReference w:id="60"/>
      </w:r>
      <w:r w:rsidR="00450A51" w:rsidRPr="004E1E73">
        <w:rPr>
          <w:rFonts w:ascii="Times New Roman" w:hAnsi="Times New Roman"/>
          <w:bCs/>
          <w:kern w:val="2"/>
          <w:sz w:val="28"/>
          <w:szCs w:val="28"/>
        </w:rPr>
        <w:t xml:space="preserve">. </w:t>
      </w:r>
      <w:r w:rsidRPr="004E1E73">
        <w:rPr>
          <w:rFonts w:ascii="Times New Roman" w:hAnsi="Times New Roman"/>
          <w:bCs/>
          <w:kern w:val="2"/>
          <w:sz w:val="28"/>
          <w:szCs w:val="28"/>
        </w:rPr>
        <w:t>The Court of Appeal affirmed the first instance decision but nevertheless did not grant the injunction sought but granted a declaration instead</w:t>
      </w:r>
      <w:r w:rsidRPr="004E1E73">
        <w:rPr>
          <w:rStyle w:val="FootnoteReference"/>
          <w:rFonts w:ascii="Times New Roman" w:hAnsi="Times New Roman"/>
          <w:bCs/>
          <w:kern w:val="2"/>
          <w:sz w:val="28"/>
          <w:szCs w:val="28"/>
        </w:rPr>
        <w:footnoteReference w:id="61"/>
      </w:r>
      <w:r w:rsidRPr="004E1E73">
        <w:rPr>
          <w:rFonts w:ascii="Times New Roman" w:hAnsi="Times New Roman"/>
          <w:bCs/>
          <w:kern w:val="2"/>
          <w:sz w:val="28"/>
          <w:szCs w:val="28"/>
        </w:rPr>
        <w:t>. Subsequent cases have adopted this characterisation approach. I</w:t>
      </w:r>
      <w:bookmarkStart w:id="8" w:name="_Hlk144935758"/>
      <w:r w:rsidRPr="004E1E73">
        <w:rPr>
          <w:rFonts w:ascii="Times New Roman" w:hAnsi="Times New Roman"/>
          <w:bCs/>
          <w:kern w:val="2"/>
          <w:sz w:val="28"/>
          <w:szCs w:val="28"/>
        </w:rPr>
        <w:t xml:space="preserve">n </w:t>
      </w:r>
      <w:r w:rsidRPr="004E1E73">
        <w:rPr>
          <w:rFonts w:ascii="Times New Roman" w:hAnsi="Times New Roman"/>
          <w:bCs/>
          <w:i/>
          <w:kern w:val="2"/>
          <w:sz w:val="28"/>
          <w:szCs w:val="28"/>
        </w:rPr>
        <w:t>London Steamship Owners’ Mutual Insurance Association Ltd v Kingdom of Spain, The Prestige</w:t>
      </w:r>
      <w:bookmarkEnd w:id="8"/>
      <w:r w:rsidRPr="004E1E73">
        <w:rPr>
          <w:rStyle w:val="FootnoteReference"/>
          <w:rFonts w:ascii="Times New Roman" w:hAnsi="Times New Roman"/>
          <w:bCs/>
          <w:kern w:val="2"/>
          <w:sz w:val="28"/>
          <w:szCs w:val="28"/>
        </w:rPr>
        <w:footnoteReference w:id="62"/>
      </w:r>
      <w:r w:rsidRPr="004E1E73">
        <w:rPr>
          <w:rFonts w:ascii="Times New Roman" w:hAnsi="Times New Roman"/>
          <w:bCs/>
          <w:kern w:val="2"/>
          <w:sz w:val="28"/>
          <w:szCs w:val="28"/>
        </w:rPr>
        <w:t xml:space="preserve">  where the English Court of Appeal held that the right to recover against the insurer under Spanish legislation was largely defined by the terms of the contract given the limited modification to the contractual obligation</w:t>
      </w:r>
      <w:r w:rsidRPr="004E1E73">
        <w:rPr>
          <w:rStyle w:val="FootnoteReference"/>
          <w:rFonts w:ascii="Times New Roman" w:hAnsi="Times New Roman"/>
          <w:bCs/>
          <w:kern w:val="2"/>
          <w:sz w:val="28"/>
          <w:szCs w:val="28"/>
        </w:rPr>
        <w:footnoteReference w:id="63"/>
      </w:r>
      <w:r w:rsidR="00450A51" w:rsidRPr="004E1E73">
        <w:rPr>
          <w:rFonts w:ascii="Times New Roman" w:hAnsi="Times New Roman"/>
          <w:bCs/>
          <w:kern w:val="2"/>
          <w:sz w:val="28"/>
          <w:szCs w:val="28"/>
        </w:rPr>
        <w:t xml:space="preserve">. </w:t>
      </w:r>
      <w:r w:rsidRPr="004E1E73">
        <w:rPr>
          <w:rFonts w:ascii="Times New Roman" w:hAnsi="Times New Roman"/>
          <w:bCs/>
          <w:kern w:val="2"/>
          <w:sz w:val="28"/>
          <w:szCs w:val="28"/>
        </w:rPr>
        <w:t>Hence the arbitration clause was binding</w:t>
      </w:r>
      <w:r w:rsidR="00450A51" w:rsidRPr="004E1E73">
        <w:rPr>
          <w:rFonts w:ascii="Times New Roman" w:hAnsi="Times New Roman"/>
          <w:bCs/>
          <w:kern w:val="2"/>
          <w:sz w:val="28"/>
          <w:szCs w:val="28"/>
        </w:rPr>
        <w:t xml:space="preserve">. </w:t>
      </w:r>
      <w:r w:rsidRPr="004E1E73">
        <w:rPr>
          <w:rFonts w:ascii="Times New Roman" w:hAnsi="Times New Roman"/>
          <w:bCs/>
          <w:kern w:val="2"/>
          <w:sz w:val="28"/>
          <w:szCs w:val="28"/>
        </w:rPr>
        <w:t xml:space="preserve">Whether the claim is treated as a tortious claim rather than contractual claim is irrelevant and what is important is the nature and scope of the right conferred by the Spanish legislation </w:t>
      </w:r>
      <w:r w:rsidRPr="004E1E73">
        <w:rPr>
          <w:rStyle w:val="FootnoteReference"/>
          <w:rFonts w:ascii="Times New Roman" w:hAnsi="Times New Roman"/>
          <w:bCs/>
          <w:kern w:val="2"/>
          <w:sz w:val="28"/>
          <w:szCs w:val="28"/>
        </w:rPr>
        <w:footnoteReference w:id="64"/>
      </w:r>
      <w:r w:rsidRPr="004E1E73">
        <w:rPr>
          <w:rFonts w:ascii="Times New Roman" w:hAnsi="Times New Roman"/>
          <w:bCs/>
          <w:kern w:val="2"/>
          <w:sz w:val="28"/>
          <w:szCs w:val="28"/>
        </w:rPr>
        <w:t>. Moore Bick LJ gave some guidance as to what might be considered as an independent right</w:t>
      </w:r>
      <w:r w:rsidRPr="004E1E73">
        <w:rPr>
          <w:rStyle w:val="FootnoteReference"/>
          <w:rFonts w:ascii="Times New Roman" w:hAnsi="Times New Roman"/>
          <w:bCs/>
          <w:kern w:val="2"/>
          <w:sz w:val="28"/>
          <w:szCs w:val="28"/>
        </w:rPr>
        <w:footnoteReference w:id="65"/>
      </w:r>
      <w:r w:rsidRPr="004E1E73">
        <w:rPr>
          <w:rFonts w:ascii="Times New Roman" w:hAnsi="Times New Roman"/>
          <w:bCs/>
          <w:kern w:val="2"/>
          <w:sz w:val="28"/>
          <w:szCs w:val="28"/>
        </w:rPr>
        <w:t>.</w:t>
      </w:r>
    </w:p>
    <w:p w14:paraId="25F6137B" w14:textId="2F96D411" w:rsidR="0095151C" w:rsidRPr="004E1E73" w:rsidRDefault="0095151C" w:rsidP="004E1E73">
      <w:pPr>
        <w:spacing w:after="160" w:line="360" w:lineRule="auto"/>
        <w:jc w:val="both"/>
        <w:rPr>
          <w:rFonts w:ascii="Times New Roman" w:hAnsi="Times New Roman"/>
          <w:bCs/>
          <w:kern w:val="2"/>
          <w:sz w:val="28"/>
          <w:szCs w:val="28"/>
        </w:rPr>
      </w:pPr>
      <w:r w:rsidRPr="004E1E73">
        <w:rPr>
          <w:rFonts w:ascii="Times New Roman" w:hAnsi="Times New Roman"/>
          <w:bCs/>
          <w:kern w:val="2"/>
          <w:sz w:val="28"/>
          <w:szCs w:val="28"/>
        </w:rPr>
        <w:lastRenderedPageBreak/>
        <w:t xml:space="preserve">Another case that considered this issue of characterisation is </w:t>
      </w:r>
      <w:r w:rsidRPr="004E1E73">
        <w:rPr>
          <w:rFonts w:ascii="Times New Roman" w:hAnsi="Times New Roman"/>
          <w:bCs/>
          <w:i/>
          <w:kern w:val="2"/>
          <w:sz w:val="28"/>
          <w:szCs w:val="28"/>
        </w:rPr>
        <w:t>Ship owners’ Mutual Protection and Indemnity Association (Luxembourg) v Containerships Denizcilik Nakliyat AS, (The Yusuf Cepnioglu)</w:t>
      </w:r>
      <w:r w:rsidRPr="004E1E73">
        <w:rPr>
          <w:rStyle w:val="FootnoteReference"/>
          <w:rFonts w:ascii="Times New Roman" w:hAnsi="Times New Roman"/>
          <w:bCs/>
          <w:kern w:val="2"/>
          <w:sz w:val="28"/>
          <w:szCs w:val="28"/>
        </w:rPr>
        <w:footnoteReference w:id="66"/>
      </w:r>
      <w:r w:rsidRPr="004E1E73">
        <w:rPr>
          <w:rFonts w:ascii="Times New Roman" w:hAnsi="Times New Roman"/>
          <w:bCs/>
          <w:kern w:val="2"/>
          <w:sz w:val="28"/>
          <w:szCs w:val="28"/>
        </w:rPr>
        <w:t xml:space="preserve"> which concerned an application for an anti-suit injunction to restrain proceedings commenced in Turkey. The charterers commenced proceedings against the insurers in Turkey despite the Owner’s contract of insurance providing for a London seated arbitration. The Court of Appeal, upholding the injunction granted by Teare J at first instance restraining the charterers’ action held that the Turkish action was contractual in nature</w:t>
      </w:r>
      <w:r w:rsidRPr="004E1E73">
        <w:rPr>
          <w:rStyle w:val="FootnoteReference"/>
          <w:rFonts w:ascii="Times New Roman" w:hAnsi="Times New Roman"/>
          <w:bCs/>
          <w:kern w:val="2"/>
          <w:sz w:val="28"/>
          <w:szCs w:val="28"/>
        </w:rPr>
        <w:footnoteReference w:id="67"/>
      </w:r>
      <w:r w:rsidRPr="004E1E73">
        <w:rPr>
          <w:rFonts w:ascii="Times New Roman" w:hAnsi="Times New Roman"/>
          <w:bCs/>
          <w:kern w:val="2"/>
          <w:sz w:val="28"/>
          <w:szCs w:val="28"/>
        </w:rPr>
        <w:t xml:space="preserve"> and it was not important that the clause in question would not have been enforceable in Turkey</w:t>
      </w:r>
      <w:r w:rsidRPr="004E1E73">
        <w:rPr>
          <w:rStyle w:val="FootnoteReference"/>
          <w:rFonts w:ascii="Times New Roman" w:hAnsi="Times New Roman"/>
          <w:bCs/>
          <w:kern w:val="2"/>
          <w:sz w:val="28"/>
          <w:szCs w:val="28"/>
        </w:rPr>
        <w:footnoteReference w:id="68"/>
      </w:r>
      <w:r w:rsidRPr="004E1E73">
        <w:rPr>
          <w:rFonts w:ascii="Times New Roman" w:hAnsi="Times New Roman"/>
          <w:bCs/>
          <w:kern w:val="2"/>
          <w:sz w:val="28"/>
          <w:szCs w:val="28"/>
        </w:rPr>
        <w:t xml:space="preserve">. More recently </w:t>
      </w:r>
      <w:r w:rsidRPr="004E1E73">
        <w:rPr>
          <w:rFonts w:ascii="Times New Roman" w:hAnsi="Times New Roman"/>
          <w:bCs/>
          <w:i/>
          <w:kern w:val="2"/>
          <w:sz w:val="28"/>
          <w:szCs w:val="28"/>
        </w:rPr>
        <w:t xml:space="preserve">in </w:t>
      </w:r>
      <w:bookmarkStart w:id="10" w:name="_Hlk147150367"/>
      <w:r w:rsidRPr="004E1E73">
        <w:rPr>
          <w:rFonts w:ascii="Times New Roman" w:hAnsi="Times New Roman"/>
          <w:bCs/>
          <w:i/>
          <w:kern w:val="2"/>
          <w:sz w:val="28"/>
          <w:szCs w:val="28"/>
        </w:rPr>
        <w:t>UK P&amp;I Club NV v Republica Bolivariana De Venezuela</w:t>
      </w:r>
      <w:r w:rsidRPr="004E1E73">
        <w:rPr>
          <w:rStyle w:val="FootnoteReference"/>
          <w:rFonts w:ascii="Times New Roman" w:hAnsi="Times New Roman"/>
          <w:bCs/>
          <w:kern w:val="2"/>
          <w:sz w:val="28"/>
          <w:szCs w:val="28"/>
        </w:rPr>
        <w:footnoteReference w:id="69"/>
      </w:r>
      <w:r w:rsidRPr="004E1E73">
        <w:rPr>
          <w:rFonts w:ascii="Times New Roman" w:hAnsi="Times New Roman"/>
          <w:bCs/>
          <w:kern w:val="2"/>
          <w:sz w:val="28"/>
          <w:szCs w:val="28"/>
        </w:rPr>
        <w:t xml:space="preserve">, </w:t>
      </w:r>
      <w:bookmarkEnd w:id="10"/>
      <w:r w:rsidRPr="004E1E73">
        <w:rPr>
          <w:rFonts w:ascii="Times New Roman" w:hAnsi="Times New Roman"/>
          <w:bCs/>
          <w:kern w:val="2"/>
          <w:sz w:val="28"/>
          <w:szCs w:val="28"/>
        </w:rPr>
        <w:t>where the English High Court considered an application for a final anti-suit injunction against Venezuela. The case arose out of the collusion of Venezuelan navy patrol vessel. The first claimant insured the vessel and after the collision Venezuela commenced proceedings in Dutch Curacao and in Venezuela. The claimant sought an anti-suit injunction on the basis that the insurance policy between it and the owners of the vessel contained an arbitration clause. Two issues arose for determination. First, whether Venezuela is bound to arbitrate the dispute in London and secondly, whether the claimant is entitled to a final anti-suit injunction to restrain the pursuit of both sets of foreign proceedings</w:t>
      </w:r>
      <w:r w:rsidR="00450A51" w:rsidRPr="004E1E73">
        <w:rPr>
          <w:rFonts w:ascii="Times New Roman" w:hAnsi="Times New Roman"/>
          <w:bCs/>
          <w:kern w:val="2"/>
          <w:sz w:val="28"/>
          <w:szCs w:val="28"/>
        </w:rPr>
        <w:t xml:space="preserve">. </w:t>
      </w:r>
    </w:p>
    <w:p w14:paraId="6C561F69" w14:textId="77777777" w:rsidR="0095151C" w:rsidRPr="004E1E73" w:rsidRDefault="00F70C02" w:rsidP="004E1E73">
      <w:pPr>
        <w:spacing w:after="160" w:line="360" w:lineRule="auto"/>
        <w:jc w:val="both"/>
        <w:rPr>
          <w:rFonts w:ascii="Times New Roman" w:hAnsi="Times New Roman"/>
          <w:bCs/>
          <w:kern w:val="2"/>
          <w:sz w:val="28"/>
          <w:szCs w:val="28"/>
        </w:rPr>
      </w:pPr>
      <w:r w:rsidRPr="004E1E73">
        <w:rPr>
          <w:rFonts w:ascii="Times New Roman" w:hAnsi="Times New Roman"/>
          <w:bCs/>
          <w:kern w:val="2"/>
          <w:sz w:val="28"/>
          <w:szCs w:val="28"/>
        </w:rPr>
        <w:lastRenderedPageBreak/>
        <w:t xml:space="preserve">Sir Ross </w:t>
      </w:r>
      <w:r w:rsidR="0095151C" w:rsidRPr="004E1E73">
        <w:rPr>
          <w:rFonts w:ascii="Times New Roman" w:hAnsi="Times New Roman"/>
          <w:bCs/>
          <w:kern w:val="2"/>
          <w:sz w:val="28"/>
          <w:szCs w:val="28"/>
        </w:rPr>
        <w:t>Cranston cited with approval</w:t>
      </w:r>
      <w:r w:rsidR="0095151C" w:rsidRPr="004E1E73">
        <w:rPr>
          <w:rStyle w:val="FootnoteReference"/>
          <w:rFonts w:ascii="Times New Roman" w:hAnsi="Times New Roman"/>
          <w:bCs/>
          <w:kern w:val="2"/>
          <w:sz w:val="28"/>
          <w:szCs w:val="28"/>
        </w:rPr>
        <w:footnoteReference w:id="70"/>
      </w:r>
      <w:r w:rsidR="0095151C" w:rsidRPr="004E1E73">
        <w:rPr>
          <w:rFonts w:ascii="Times New Roman" w:hAnsi="Times New Roman"/>
          <w:bCs/>
          <w:kern w:val="2"/>
          <w:sz w:val="28"/>
          <w:szCs w:val="28"/>
        </w:rPr>
        <w:t xml:space="preserve"> the approach adopted in the </w:t>
      </w:r>
      <w:r w:rsidR="0095151C" w:rsidRPr="004E1E73">
        <w:rPr>
          <w:rFonts w:ascii="Times New Roman" w:hAnsi="Times New Roman"/>
          <w:bCs/>
          <w:i/>
          <w:kern w:val="2"/>
          <w:sz w:val="28"/>
          <w:szCs w:val="28"/>
        </w:rPr>
        <w:t>Hari Bhum</w:t>
      </w:r>
      <w:r w:rsidR="0095151C" w:rsidRPr="004E1E73">
        <w:rPr>
          <w:rFonts w:ascii="Times New Roman" w:hAnsi="Times New Roman"/>
          <w:bCs/>
          <w:kern w:val="2"/>
          <w:sz w:val="28"/>
          <w:szCs w:val="28"/>
        </w:rPr>
        <w:t xml:space="preserve">, </w:t>
      </w:r>
      <w:r w:rsidR="0095151C" w:rsidRPr="004E1E73">
        <w:rPr>
          <w:rFonts w:ascii="Times New Roman" w:hAnsi="Times New Roman"/>
          <w:bCs/>
          <w:i/>
          <w:kern w:val="2"/>
          <w:sz w:val="28"/>
          <w:szCs w:val="28"/>
        </w:rPr>
        <w:t>The Prestige</w:t>
      </w:r>
      <w:r w:rsidR="0095151C" w:rsidRPr="004E1E73">
        <w:rPr>
          <w:rFonts w:ascii="Times New Roman" w:hAnsi="Times New Roman"/>
          <w:bCs/>
          <w:kern w:val="2"/>
          <w:sz w:val="28"/>
          <w:szCs w:val="28"/>
        </w:rPr>
        <w:t xml:space="preserve"> and </w:t>
      </w:r>
      <w:r w:rsidR="0095151C" w:rsidRPr="004E1E73">
        <w:rPr>
          <w:rFonts w:ascii="Times New Roman" w:hAnsi="Times New Roman"/>
          <w:bCs/>
          <w:i/>
          <w:kern w:val="2"/>
          <w:sz w:val="28"/>
          <w:szCs w:val="28"/>
        </w:rPr>
        <w:t>The Yusuf Cepnioglu</w:t>
      </w:r>
      <w:r w:rsidR="0095151C" w:rsidRPr="004E1E73">
        <w:rPr>
          <w:rFonts w:ascii="Times New Roman" w:hAnsi="Times New Roman"/>
          <w:bCs/>
          <w:kern w:val="2"/>
          <w:sz w:val="28"/>
          <w:szCs w:val="28"/>
        </w:rPr>
        <w:t>. He concluded that:</w:t>
      </w:r>
    </w:p>
    <w:p w14:paraId="3EFFF528" w14:textId="1D94634C" w:rsidR="0095151C" w:rsidRPr="004E1E73" w:rsidRDefault="0095151C" w:rsidP="004E1E73">
      <w:pPr>
        <w:spacing w:after="160" w:line="360" w:lineRule="auto"/>
        <w:ind w:left="720"/>
        <w:jc w:val="both"/>
        <w:rPr>
          <w:rFonts w:ascii="Times New Roman" w:hAnsi="Times New Roman"/>
          <w:bCs/>
          <w:kern w:val="2"/>
          <w:sz w:val="28"/>
          <w:szCs w:val="28"/>
        </w:rPr>
      </w:pPr>
      <w:r w:rsidRPr="004E1E73">
        <w:rPr>
          <w:rFonts w:ascii="Times New Roman" w:hAnsi="Times New Roman"/>
          <w:bCs/>
          <w:kern w:val="2"/>
          <w:sz w:val="28"/>
          <w:szCs w:val="28"/>
        </w:rPr>
        <w:t>“</w:t>
      </w:r>
      <w:r w:rsidRPr="004E1E73">
        <w:rPr>
          <w:rFonts w:ascii="Times New Roman" w:hAnsi="Times New Roman"/>
          <w:bCs/>
          <w:i/>
          <w:kern w:val="2"/>
          <w:sz w:val="28"/>
          <w:szCs w:val="28"/>
        </w:rPr>
        <w:t>in my judgement the only possible conclusion which can be drawn about Venezuelan law is that if there is a direct action by the third parties against liability insurers based on an analogy with that against a motor vehicle insurer, whether under the old or new, it is subject to the terms of the insurance contract</w:t>
      </w:r>
      <w:r w:rsidRPr="004E1E73">
        <w:rPr>
          <w:rFonts w:ascii="Times New Roman" w:hAnsi="Times New Roman"/>
          <w:bCs/>
          <w:kern w:val="2"/>
          <w:sz w:val="28"/>
          <w:szCs w:val="28"/>
        </w:rPr>
        <w:t>”</w:t>
      </w:r>
      <w:r w:rsidRPr="004E1E73">
        <w:rPr>
          <w:rStyle w:val="FootnoteReference"/>
          <w:rFonts w:ascii="Times New Roman" w:hAnsi="Times New Roman"/>
          <w:bCs/>
          <w:kern w:val="2"/>
          <w:sz w:val="28"/>
          <w:szCs w:val="28"/>
        </w:rPr>
        <w:footnoteReference w:id="71"/>
      </w:r>
      <w:r w:rsidR="00450A51" w:rsidRPr="004E1E73">
        <w:rPr>
          <w:rFonts w:ascii="Times New Roman" w:hAnsi="Times New Roman"/>
          <w:bCs/>
          <w:kern w:val="2"/>
          <w:sz w:val="28"/>
          <w:szCs w:val="28"/>
        </w:rPr>
        <w:t xml:space="preserve">. </w:t>
      </w:r>
    </w:p>
    <w:p w14:paraId="7C6CDCAA" w14:textId="77777777" w:rsidR="0095151C" w:rsidRPr="004E1E73" w:rsidRDefault="0095151C" w:rsidP="004E1E73">
      <w:pPr>
        <w:spacing w:after="160" w:line="360" w:lineRule="auto"/>
        <w:jc w:val="both"/>
        <w:rPr>
          <w:rFonts w:ascii="Times New Roman" w:hAnsi="Times New Roman"/>
          <w:bCs/>
          <w:kern w:val="2"/>
          <w:sz w:val="28"/>
          <w:szCs w:val="28"/>
        </w:rPr>
      </w:pPr>
      <w:r w:rsidRPr="004E1E73">
        <w:rPr>
          <w:rFonts w:ascii="Times New Roman" w:hAnsi="Times New Roman"/>
          <w:bCs/>
          <w:kern w:val="2"/>
          <w:sz w:val="28"/>
          <w:szCs w:val="28"/>
        </w:rPr>
        <w:t>He held that the claim commenced by Venezuela before the Venezuelan Courts is one that should be arbitrated in London because it is subject to the terms of the insurance contract</w:t>
      </w:r>
      <w:r w:rsidRPr="004E1E73">
        <w:rPr>
          <w:rStyle w:val="FootnoteReference"/>
          <w:rFonts w:ascii="Times New Roman" w:hAnsi="Times New Roman"/>
          <w:bCs/>
          <w:kern w:val="2"/>
          <w:sz w:val="28"/>
          <w:szCs w:val="28"/>
        </w:rPr>
        <w:footnoteReference w:id="72"/>
      </w:r>
      <w:r w:rsidRPr="004E1E73">
        <w:rPr>
          <w:rFonts w:ascii="Times New Roman" w:hAnsi="Times New Roman"/>
          <w:bCs/>
          <w:kern w:val="2"/>
          <w:sz w:val="28"/>
          <w:szCs w:val="28"/>
        </w:rPr>
        <w:t>. However, he refused to grant the final anti-suit injunction on the basis that the claimants are not entitled to a final injunction because of section 13(2) of the State Immunity Act 1978</w:t>
      </w:r>
      <w:r w:rsidRPr="004E1E73">
        <w:rPr>
          <w:rStyle w:val="FootnoteReference"/>
          <w:rFonts w:ascii="Times New Roman" w:hAnsi="Times New Roman"/>
          <w:bCs/>
          <w:kern w:val="2"/>
          <w:sz w:val="28"/>
          <w:szCs w:val="28"/>
        </w:rPr>
        <w:footnoteReference w:id="73"/>
      </w:r>
      <w:r w:rsidRPr="004E1E73">
        <w:rPr>
          <w:rFonts w:ascii="Times New Roman" w:hAnsi="Times New Roman"/>
          <w:bCs/>
          <w:kern w:val="2"/>
          <w:sz w:val="28"/>
          <w:szCs w:val="28"/>
        </w:rPr>
        <w:t xml:space="preserve">. </w:t>
      </w:r>
    </w:p>
    <w:p w14:paraId="775A5D7D" w14:textId="3022D791" w:rsidR="0095151C" w:rsidRPr="004E1E73" w:rsidRDefault="0095151C" w:rsidP="004E1E73">
      <w:pPr>
        <w:spacing w:after="160" w:line="360" w:lineRule="auto"/>
        <w:jc w:val="both"/>
        <w:rPr>
          <w:rFonts w:ascii="Times New Roman" w:hAnsi="Times New Roman"/>
          <w:kern w:val="2"/>
          <w:sz w:val="28"/>
          <w:szCs w:val="28"/>
        </w:rPr>
      </w:pPr>
      <w:r w:rsidRPr="004E1E73">
        <w:rPr>
          <w:rFonts w:ascii="Times New Roman" w:hAnsi="Times New Roman"/>
          <w:bCs/>
          <w:kern w:val="2"/>
          <w:sz w:val="28"/>
          <w:szCs w:val="28"/>
        </w:rPr>
        <w:t xml:space="preserve"> In relation to scenario (c),  once an English Court characterises the claim as derived claim, the issue then turns on what test to apply. It is clear that the English approach is now  that of “ high degree of probability” that there is   valid arbitration agreement and the dispute in question falls with the scope of the same. Indeed, the injunction in derived right cases is to be granted on the same basis as that of a direct contractual claim - on the basis of </w:t>
      </w:r>
      <w:r w:rsidRPr="004E1E73">
        <w:rPr>
          <w:rFonts w:ascii="Times New Roman" w:hAnsi="Times New Roman"/>
          <w:bCs/>
          <w:i/>
          <w:kern w:val="2"/>
          <w:sz w:val="28"/>
          <w:szCs w:val="28"/>
        </w:rPr>
        <w:t>Aggeliki Charis Compania Maritima SA v Pagnan SPA (Angelic Grace)</w:t>
      </w:r>
      <w:r w:rsidRPr="004E1E73">
        <w:rPr>
          <w:rFonts w:ascii="Times New Roman" w:hAnsi="Times New Roman"/>
          <w:bCs/>
          <w:kern w:val="2"/>
          <w:sz w:val="28"/>
          <w:szCs w:val="28"/>
        </w:rPr>
        <w:t xml:space="preserve"> </w:t>
      </w:r>
      <w:r w:rsidRPr="004E1E73">
        <w:rPr>
          <w:rStyle w:val="FootnoteReference"/>
          <w:rFonts w:ascii="Times New Roman" w:hAnsi="Times New Roman"/>
          <w:bCs/>
          <w:kern w:val="2"/>
          <w:sz w:val="28"/>
          <w:szCs w:val="28"/>
        </w:rPr>
        <w:footnoteReference w:id="74"/>
      </w:r>
      <w:r w:rsidRPr="004E1E73">
        <w:rPr>
          <w:rFonts w:ascii="Times New Roman" w:hAnsi="Times New Roman"/>
          <w:bCs/>
          <w:kern w:val="2"/>
          <w:sz w:val="28"/>
          <w:szCs w:val="28"/>
        </w:rPr>
        <w:t xml:space="preserve">. This is to protect the contractual right of a party not to be sued </w:t>
      </w:r>
      <w:r w:rsidRPr="004E1E73">
        <w:rPr>
          <w:rFonts w:ascii="Times New Roman" w:hAnsi="Times New Roman"/>
          <w:bCs/>
          <w:kern w:val="2"/>
          <w:sz w:val="28"/>
          <w:szCs w:val="28"/>
        </w:rPr>
        <w:lastRenderedPageBreak/>
        <w:t>in a foreign jurisdiction in breach of the arbitration agreement</w:t>
      </w:r>
      <w:r w:rsidR="00B70383" w:rsidRPr="004E1E73">
        <w:rPr>
          <w:rFonts w:ascii="Times New Roman" w:hAnsi="Times New Roman"/>
          <w:bCs/>
          <w:kern w:val="2"/>
          <w:sz w:val="28"/>
          <w:szCs w:val="28"/>
        </w:rPr>
        <w:t xml:space="preserve">. </w:t>
      </w:r>
      <w:r w:rsidRPr="004E1E73">
        <w:rPr>
          <w:rFonts w:ascii="Times New Roman" w:hAnsi="Times New Roman"/>
          <w:bCs/>
          <w:kern w:val="2"/>
          <w:sz w:val="28"/>
          <w:szCs w:val="28"/>
        </w:rPr>
        <w:t xml:space="preserve">This was the approach in </w:t>
      </w:r>
      <w:r w:rsidRPr="004E1E73">
        <w:rPr>
          <w:rFonts w:ascii="Times New Roman" w:hAnsi="Times New Roman"/>
          <w:bCs/>
          <w:i/>
          <w:kern w:val="2"/>
          <w:sz w:val="28"/>
          <w:szCs w:val="28"/>
        </w:rPr>
        <w:t xml:space="preserve">The </w:t>
      </w:r>
      <w:r w:rsidR="00450A51" w:rsidRPr="004E1E73">
        <w:rPr>
          <w:rFonts w:ascii="Times New Roman" w:hAnsi="Times New Roman"/>
          <w:bCs/>
          <w:i/>
          <w:kern w:val="2"/>
          <w:sz w:val="28"/>
          <w:szCs w:val="28"/>
        </w:rPr>
        <w:t>Yusuf Cepnioglu</w:t>
      </w:r>
      <w:r w:rsidR="00450A51" w:rsidRPr="004E1E73">
        <w:rPr>
          <w:rFonts w:ascii="Times New Roman" w:hAnsi="Times New Roman"/>
          <w:bCs/>
          <w:kern w:val="2"/>
          <w:sz w:val="28"/>
          <w:szCs w:val="28"/>
        </w:rPr>
        <w:t xml:space="preserve"> and</w:t>
      </w:r>
      <w:r w:rsidRPr="004E1E73">
        <w:rPr>
          <w:rFonts w:ascii="Times New Roman" w:hAnsi="Times New Roman"/>
          <w:bCs/>
          <w:kern w:val="2"/>
          <w:sz w:val="28"/>
          <w:szCs w:val="28"/>
        </w:rPr>
        <w:t xml:space="preserve"> has been applied in other cases such as London</w:t>
      </w:r>
      <w:r w:rsidRPr="004E1E73">
        <w:rPr>
          <w:rFonts w:ascii="Times New Roman" w:hAnsi="Times New Roman"/>
          <w:bCs/>
          <w:i/>
          <w:kern w:val="2"/>
          <w:sz w:val="28"/>
          <w:szCs w:val="28"/>
        </w:rPr>
        <w:t xml:space="preserve"> Steamship Owners’ Mutual Insurance Association Ltd v Spain and The French State (Nos 3 and 4)</w:t>
      </w:r>
      <w:r w:rsidRPr="004E1E73">
        <w:rPr>
          <w:rFonts w:ascii="Times New Roman" w:hAnsi="Times New Roman"/>
          <w:bCs/>
          <w:kern w:val="2"/>
          <w:sz w:val="28"/>
          <w:szCs w:val="28"/>
        </w:rPr>
        <w:t xml:space="preserve"> </w:t>
      </w:r>
      <w:r w:rsidRPr="004E1E73">
        <w:rPr>
          <w:rStyle w:val="FootnoteReference"/>
          <w:rFonts w:ascii="Times New Roman" w:hAnsi="Times New Roman"/>
          <w:bCs/>
          <w:kern w:val="2"/>
          <w:sz w:val="28"/>
          <w:szCs w:val="28"/>
        </w:rPr>
        <w:footnoteReference w:id="75"/>
      </w:r>
      <w:r w:rsidRPr="004E1E73">
        <w:rPr>
          <w:rFonts w:ascii="Times New Roman" w:hAnsi="Times New Roman"/>
          <w:bCs/>
          <w:kern w:val="2"/>
          <w:sz w:val="28"/>
          <w:szCs w:val="28"/>
        </w:rPr>
        <w:t xml:space="preserve">. </w:t>
      </w:r>
    </w:p>
    <w:p w14:paraId="60C18ECD" w14:textId="163C184C" w:rsidR="0095151C" w:rsidRPr="004E1E73" w:rsidRDefault="0095151C" w:rsidP="004E1E73">
      <w:pPr>
        <w:spacing w:after="160" w:line="360" w:lineRule="auto"/>
        <w:jc w:val="both"/>
        <w:rPr>
          <w:rFonts w:ascii="Times New Roman" w:hAnsi="Times New Roman"/>
          <w:kern w:val="2"/>
          <w:sz w:val="28"/>
          <w:szCs w:val="28"/>
        </w:rPr>
      </w:pPr>
      <w:r w:rsidRPr="004E1E73">
        <w:rPr>
          <w:rFonts w:ascii="Times New Roman" w:hAnsi="Times New Roman"/>
          <w:kern w:val="2"/>
          <w:sz w:val="28"/>
          <w:szCs w:val="28"/>
        </w:rPr>
        <w:t>Recently, in QBE</w:t>
      </w:r>
      <w:r w:rsidRPr="004E1E73">
        <w:rPr>
          <w:rFonts w:ascii="Times New Roman" w:hAnsi="Times New Roman"/>
          <w:i/>
          <w:kern w:val="2"/>
          <w:sz w:val="28"/>
          <w:szCs w:val="28"/>
        </w:rPr>
        <w:t xml:space="preserve"> Europe SA</w:t>
      </w:r>
      <w:r w:rsidRPr="004E1E73">
        <w:rPr>
          <w:rFonts w:ascii="Times New Roman" w:hAnsi="Times New Roman"/>
          <w:kern w:val="2"/>
          <w:sz w:val="28"/>
          <w:szCs w:val="28"/>
        </w:rPr>
        <w:t xml:space="preserve">, the policy contained a London seated arbitration clause, and the defendants were insurers of an undersea cable allegedly damaged by a yacht insured against liability by QBE UK. As a result of the damage the defendant Generali having indemnified the owners of the cable exercised its subrogation rights to commence proceedings against QBE UK in Spain. Foxton J having classified the Spanish action as having derived from the policy, granted an anti-suit injunction restraining Generali because the rights granted to Generali under Article 465 of the Spanish Maritime Navigation Act 2014 was a direct one. He </w:t>
      </w:r>
      <w:r w:rsidR="005905E0" w:rsidRPr="004E1E73">
        <w:rPr>
          <w:rFonts w:ascii="Times New Roman" w:hAnsi="Times New Roman"/>
          <w:kern w:val="2"/>
          <w:sz w:val="28"/>
          <w:szCs w:val="28"/>
        </w:rPr>
        <w:t>concluded</w:t>
      </w:r>
      <w:r w:rsidRPr="004E1E73">
        <w:rPr>
          <w:rFonts w:ascii="Times New Roman" w:hAnsi="Times New Roman"/>
          <w:kern w:val="2"/>
          <w:sz w:val="28"/>
          <w:szCs w:val="28"/>
        </w:rPr>
        <w:t xml:space="preserve"> that QBE made out to a very high level of probability that Article 465 gave a direct right to enforce the contractual promise</w:t>
      </w:r>
      <w:r w:rsidRPr="004E1E73">
        <w:rPr>
          <w:rStyle w:val="FootnoteReference"/>
          <w:rFonts w:ascii="Times New Roman" w:hAnsi="Times New Roman"/>
          <w:kern w:val="2"/>
          <w:sz w:val="28"/>
          <w:szCs w:val="28"/>
        </w:rPr>
        <w:footnoteReference w:id="76"/>
      </w:r>
      <w:r w:rsidRPr="004E1E73">
        <w:rPr>
          <w:rFonts w:ascii="Times New Roman" w:hAnsi="Times New Roman"/>
          <w:kern w:val="2"/>
          <w:sz w:val="28"/>
          <w:szCs w:val="28"/>
        </w:rPr>
        <w:t xml:space="preserve">. </w:t>
      </w:r>
    </w:p>
    <w:p w14:paraId="7C903B31" w14:textId="2C5AB6CE" w:rsidR="0095151C" w:rsidRPr="004E1E73" w:rsidRDefault="0095151C" w:rsidP="004E1E73">
      <w:pPr>
        <w:spacing w:line="360" w:lineRule="auto"/>
        <w:jc w:val="both"/>
        <w:rPr>
          <w:rFonts w:ascii="Times New Roman" w:hAnsi="Times New Roman"/>
          <w:kern w:val="2"/>
          <w:sz w:val="28"/>
          <w:szCs w:val="28"/>
        </w:rPr>
      </w:pPr>
      <w:r w:rsidRPr="004E1E73">
        <w:rPr>
          <w:rFonts w:ascii="Times New Roman" w:hAnsi="Times New Roman"/>
          <w:kern w:val="2"/>
          <w:sz w:val="28"/>
          <w:szCs w:val="28"/>
        </w:rPr>
        <w:t xml:space="preserve">As far as scenario (d) is concerned, this is often referred to as the “quasi contract” situation. </w:t>
      </w:r>
      <w:r w:rsidR="00531F19" w:rsidRPr="00DE5A8F">
        <w:rPr>
          <w:rFonts w:ascii="Times New Roman" w:hAnsi="Times New Roman"/>
          <w:kern w:val="2"/>
          <w:sz w:val="28"/>
          <w:szCs w:val="28"/>
        </w:rPr>
        <w:t xml:space="preserve">One difference between (d) and (b) above is that a </w:t>
      </w:r>
      <w:r w:rsidR="005905E0" w:rsidRPr="00DE5A8F">
        <w:rPr>
          <w:rFonts w:ascii="Times New Roman" w:hAnsi="Times New Roman"/>
          <w:kern w:val="2"/>
          <w:sz w:val="28"/>
          <w:szCs w:val="28"/>
        </w:rPr>
        <w:t>“</w:t>
      </w:r>
      <w:r w:rsidR="00531F19" w:rsidRPr="00DE5A8F">
        <w:rPr>
          <w:rFonts w:ascii="Times New Roman" w:hAnsi="Times New Roman"/>
          <w:kern w:val="2"/>
          <w:sz w:val="28"/>
          <w:szCs w:val="28"/>
        </w:rPr>
        <w:t>derived</w:t>
      </w:r>
      <w:r w:rsidR="005905E0" w:rsidRPr="00DE5A8F">
        <w:rPr>
          <w:rFonts w:ascii="Times New Roman" w:hAnsi="Times New Roman"/>
          <w:kern w:val="2"/>
          <w:sz w:val="28"/>
          <w:szCs w:val="28"/>
        </w:rPr>
        <w:t>”</w:t>
      </w:r>
      <w:r w:rsidR="00531F19" w:rsidRPr="00DE5A8F">
        <w:rPr>
          <w:rFonts w:ascii="Times New Roman" w:hAnsi="Times New Roman"/>
          <w:kern w:val="2"/>
          <w:sz w:val="28"/>
          <w:szCs w:val="28"/>
        </w:rPr>
        <w:t xml:space="preserve"> claim (b) is normally based on a subrogation claim where the third party is suing  in the name of the contracting party. Whilst in relation to </w:t>
      </w:r>
      <w:r w:rsidR="005905E0" w:rsidRPr="00DE5A8F">
        <w:rPr>
          <w:rFonts w:ascii="Times New Roman" w:hAnsi="Times New Roman"/>
          <w:kern w:val="2"/>
          <w:sz w:val="28"/>
          <w:szCs w:val="28"/>
        </w:rPr>
        <w:t>“</w:t>
      </w:r>
      <w:r w:rsidR="00531F19" w:rsidRPr="00DE5A8F">
        <w:rPr>
          <w:rFonts w:ascii="Times New Roman" w:hAnsi="Times New Roman"/>
          <w:kern w:val="2"/>
          <w:sz w:val="28"/>
          <w:szCs w:val="28"/>
        </w:rPr>
        <w:t>quasi-contract</w:t>
      </w:r>
      <w:r w:rsidR="005905E0" w:rsidRPr="00DE5A8F">
        <w:rPr>
          <w:rFonts w:ascii="Times New Roman" w:hAnsi="Times New Roman"/>
          <w:kern w:val="2"/>
          <w:sz w:val="28"/>
          <w:szCs w:val="28"/>
        </w:rPr>
        <w:t>”</w:t>
      </w:r>
      <w:r w:rsidR="00531F19" w:rsidRPr="00DE5A8F">
        <w:rPr>
          <w:rFonts w:ascii="Times New Roman" w:hAnsi="Times New Roman"/>
          <w:kern w:val="2"/>
          <w:sz w:val="28"/>
          <w:szCs w:val="28"/>
        </w:rPr>
        <w:t xml:space="preserve"> (d) the third party is suing in its own name under rights granted under a legislation</w:t>
      </w:r>
      <w:r w:rsidR="00450A51" w:rsidRPr="00DE5A8F">
        <w:rPr>
          <w:rFonts w:ascii="Times New Roman" w:hAnsi="Times New Roman"/>
          <w:kern w:val="2"/>
          <w:sz w:val="28"/>
          <w:szCs w:val="28"/>
        </w:rPr>
        <w:t xml:space="preserve">. </w:t>
      </w:r>
      <w:r w:rsidRPr="00DE5A8F">
        <w:rPr>
          <w:rFonts w:ascii="Times New Roman" w:hAnsi="Times New Roman"/>
          <w:kern w:val="2"/>
          <w:sz w:val="28"/>
          <w:szCs w:val="28"/>
        </w:rPr>
        <w:t>In</w:t>
      </w:r>
      <w:r w:rsidRPr="004E1E73">
        <w:rPr>
          <w:rFonts w:ascii="Times New Roman" w:hAnsi="Times New Roman"/>
          <w:kern w:val="2"/>
          <w:sz w:val="28"/>
          <w:szCs w:val="28"/>
        </w:rPr>
        <w:t xml:space="preserve"> earlier cases such as Sea</w:t>
      </w:r>
      <w:r w:rsidRPr="004E1E73">
        <w:rPr>
          <w:rFonts w:ascii="Times New Roman" w:hAnsi="Times New Roman"/>
          <w:i/>
          <w:kern w:val="2"/>
          <w:sz w:val="28"/>
          <w:szCs w:val="28"/>
        </w:rPr>
        <w:t xml:space="preserve"> </w:t>
      </w:r>
      <w:r w:rsidRPr="004E1E73">
        <w:rPr>
          <w:rFonts w:ascii="Times New Roman" w:hAnsi="Times New Roman"/>
          <w:i/>
          <w:kern w:val="2"/>
          <w:sz w:val="28"/>
          <w:szCs w:val="28"/>
        </w:rPr>
        <w:lastRenderedPageBreak/>
        <w:t>premium Shipping Ltd v Sea Consortium Pte Ltd</w:t>
      </w:r>
      <w:r w:rsidRPr="004E1E73">
        <w:rPr>
          <w:rStyle w:val="FootnoteReference"/>
          <w:rFonts w:ascii="Times New Roman" w:hAnsi="Times New Roman"/>
          <w:kern w:val="2"/>
          <w:sz w:val="28"/>
          <w:szCs w:val="28"/>
        </w:rPr>
        <w:footnoteReference w:id="77"/>
      </w:r>
      <w:r w:rsidRPr="004E1E73">
        <w:rPr>
          <w:rFonts w:ascii="Times New Roman" w:hAnsi="Times New Roman"/>
          <w:kern w:val="2"/>
          <w:sz w:val="28"/>
          <w:szCs w:val="28"/>
        </w:rPr>
        <w:t xml:space="preserve">  the English Courts granted injunctions against the non-party on the basis that, if a non-party that purports to bring a claim based on an agreement, it must respect the arbitration clause in that agreement. The English approach on this issue was evident in Qingado</w:t>
      </w:r>
      <w:r w:rsidRPr="004E1E73">
        <w:rPr>
          <w:rFonts w:ascii="Times New Roman" w:hAnsi="Times New Roman"/>
          <w:i/>
          <w:iCs/>
          <w:kern w:val="2"/>
          <w:sz w:val="28"/>
          <w:szCs w:val="28"/>
        </w:rPr>
        <w:t xml:space="preserve"> Huiquan Shipping v Shanghai Dong He Xin Industry</w:t>
      </w:r>
      <w:r w:rsidRPr="004E1E73">
        <w:rPr>
          <w:rFonts w:ascii="Times New Roman" w:hAnsi="Times New Roman"/>
          <w:kern w:val="2"/>
          <w:sz w:val="28"/>
          <w:szCs w:val="28"/>
        </w:rPr>
        <w:t xml:space="preserve"> </w:t>
      </w:r>
      <w:r w:rsidRPr="004E1E73">
        <w:rPr>
          <w:rFonts w:ascii="Times New Roman" w:hAnsi="Times New Roman"/>
          <w:kern w:val="2"/>
          <w:sz w:val="28"/>
          <w:szCs w:val="28"/>
          <w:vertAlign w:val="superscript"/>
        </w:rPr>
        <w:footnoteReference w:id="78"/>
      </w:r>
      <w:r w:rsidRPr="004E1E73">
        <w:rPr>
          <w:rFonts w:ascii="Times New Roman" w:hAnsi="Times New Roman"/>
          <w:kern w:val="2"/>
          <w:sz w:val="28"/>
          <w:szCs w:val="28"/>
        </w:rPr>
        <w:t xml:space="preserve">. This was where a settlement agreement was agreed because the charterers failed to pay the hire charges and the shipowner exercised a lien over the cargo on board. The settlement agreement was between the cargo owner and the shipowner, where the cargo owner’s agent would pay the sum owed to the shipowner so that the goods could be released. The settlement agreement was governed by English law and contained a London seated arbitration clause, but the shipowner’s agent was not a party to the same. The settlement agreement contained a clause that the shipowner would first pursue a claim to recover the sums due from the charterers in the first instance and then account to the cargo owner’s agent any sums recovered. The claim against the charterers was unsuccessful  and the agent paid the shipowner. The agent subsequently commenced Court proceedings in China to recover the monies paid under the settlement agreement on the basis that it was paid to the shipowner as an advance and the same were recoverable because of an oral agreement between the two parties. During the Chinese proceedings it was established that the claim was based on the settlement agreement. The shipowner sought an anti- suit injunction. The English Courts were prepared to grant the injunction because the refund was </w:t>
      </w:r>
      <w:r w:rsidRPr="004E1E73">
        <w:rPr>
          <w:rFonts w:ascii="Times New Roman" w:hAnsi="Times New Roman"/>
          <w:kern w:val="2"/>
          <w:sz w:val="28"/>
          <w:szCs w:val="28"/>
        </w:rPr>
        <w:lastRenderedPageBreak/>
        <w:t xml:space="preserve">based on monies paid under the settlement agreement, even though the agent was not a party to the settlement agreement or arbitration agreement. </w:t>
      </w:r>
    </w:p>
    <w:p w14:paraId="443BB625" w14:textId="6896E798" w:rsidR="0095151C" w:rsidRPr="004E1E73" w:rsidRDefault="0095151C" w:rsidP="004E1E73">
      <w:pPr>
        <w:tabs>
          <w:tab w:val="left" w:pos="-1440"/>
          <w:tab w:val="left" w:pos="-720"/>
          <w:tab w:val="left" w:pos="1152"/>
          <w:tab w:val="left" w:pos="1569"/>
          <w:tab w:val="left" w:pos="1843"/>
          <w:tab w:val="left" w:pos="2260"/>
          <w:tab w:val="left" w:pos="6480"/>
        </w:tabs>
        <w:suppressAutoHyphens/>
        <w:spacing w:line="360" w:lineRule="auto"/>
        <w:jc w:val="both"/>
        <w:rPr>
          <w:rFonts w:ascii="Times New Roman" w:eastAsia="Times New Roman" w:hAnsi="Times New Roman"/>
          <w:spacing w:val="-3"/>
          <w:sz w:val="28"/>
          <w:szCs w:val="28"/>
          <w:lang w:eastAsia="en-GB"/>
        </w:rPr>
      </w:pPr>
      <w:r w:rsidRPr="004E1E73">
        <w:rPr>
          <w:rFonts w:ascii="Times New Roman" w:hAnsi="Times New Roman"/>
          <w:kern w:val="2"/>
          <w:sz w:val="28"/>
          <w:szCs w:val="28"/>
        </w:rPr>
        <w:t xml:space="preserve">More recently, the English Courts have reaffirmed and sought to  rationalise this position in </w:t>
      </w:r>
      <w:r w:rsidRPr="004E1E73">
        <w:rPr>
          <w:rFonts w:ascii="Times New Roman" w:eastAsia="Times New Roman" w:hAnsi="Times New Roman"/>
          <w:i/>
          <w:spacing w:val="-3"/>
          <w:sz w:val="28"/>
          <w:szCs w:val="28"/>
          <w:lang w:eastAsia="en-GB"/>
        </w:rPr>
        <w:t>Times</w:t>
      </w:r>
      <w:r w:rsidRPr="004E1E73">
        <w:rPr>
          <w:rFonts w:ascii="Times New Roman" w:eastAsia="Times New Roman" w:hAnsi="Times New Roman"/>
          <w:i/>
          <w:iCs/>
          <w:spacing w:val="-3"/>
          <w:sz w:val="28"/>
          <w:szCs w:val="28"/>
          <w:lang w:eastAsia="en-GB"/>
        </w:rPr>
        <w:t xml:space="preserve"> Trading</w:t>
      </w:r>
      <w:r w:rsidRPr="004E1E73">
        <w:rPr>
          <w:rFonts w:ascii="Times New Roman" w:eastAsia="Times New Roman" w:hAnsi="Times New Roman"/>
          <w:spacing w:val="-3"/>
          <w:sz w:val="28"/>
          <w:szCs w:val="28"/>
          <w:lang w:eastAsia="en-GB"/>
        </w:rPr>
        <w:t xml:space="preserve"> where the claimant sought an interim anti-suit injunction to restrain the National Bank from continuing with proceedings it had commenced in Singapore in breach of a London seated arbitration clause. The dispute arose out of a mis-delivery of coal when the carrier discharged the coal without the production of the original bills of lading, rather against letters of indemnity. Although the bills of lading contained a 12-month time bar, the judge was satisfied that the “jurisdiction hurdle” for a contractual anti-suit injunction was met. The judge distinguished other authorities</w:t>
      </w:r>
      <w:r w:rsidRPr="004E1E73">
        <w:rPr>
          <w:rStyle w:val="FootnoteReference"/>
          <w:rFonts w:ascii="Times New Roman" w:eastAsia="Times New Roman" w:hAnsi="Times New Roman"/>
          <w:spacing w:val="-3"/>
          <w:sz w:val="28"/>
          <w:szCs w:val="28"/>
          <w:lang w:eastAsia="en-GB"/>
        </w:rPr>
        <w:footnoteReference w:id="79"/>
      </w:r>
      <w:r w:rsidRPr="004E1E73">
        <w:rPr>
          <w:rFonts w:ascii="Times New Roman" w:eastAsia="Times New Roman" w:hAnsi="Times New Roman"/>
          <w:spacing w:val="-3"/>
          <w:sz w:val="28"/>
          <w:szCs w:val="28"/>
          <w:lang w:eastAsia="en-GB"/>
        </w:rPr>
        <w:t xml:space="preserve"> and took the view that there was insufficient material in the authorities to support the view that in the context of strong reasons, a time bar being missed reasonably or unreasonably will necessarily militate against granting an anti-suit injunction </w:t>
      </w:r>
      <w:r w:rsidRPr="004E1E73">
        <w:rPr>
          <w:rStyle w:val="FootnoteReference"/>
          <w:rFonts w:ascii="Times New Roman" w:eastAsia="Times New Roman" w:hAnsi="Times New Roman"/>
          <w:spacing w:val="-3"/>
          <w:sz w:val="28"/>
          <w:szCs w:val="28"/>
          <w:lang w:eastAsia="en-GB"/>
        </w:rPr>
        <w:footnoteReference w:id="80"/>
      </w:r>
      <w:r w:rsidR="00450A51" w:rsidRPr="004E1E73">
        <w:rPr>
          <w:rFonts w:ascii="Times New Roman" w:eastAsia="Times New Roman" w:hAnsi="Times New Roman"/>
          <w:spacing w:val="-3"/>
          <w:sz w:val="28"/>
          <w:szCs w:val="28"/>
          <w:lang w:eastAsia="en-GB"/>
        </w:rPr>
        <w:t xml:space="preserve">. </w:t>
      </w:r>
      <w:r w:rsidRPr="004E1E73">
        <w:rPr>
          <w:rFonts w:ascii="Times New Roman" w:eastAsia="Times New Roman" w:hAnsi="Times New Roman"/>
          <w:spacing w:val="-3"/>
          <w:sz w:val="28"/>
          <w:szCs w:val="28"/>
          <w:lang w:eastAsia="en-GB"/>
        </w:rPr>
        <w:t>The injunction was granted not in the terms sought but with a condition that Times Trading should give an undertaking not to rely on any time bar arguments in the London seated arbitration</w:t>
      </w:r>
      <w:r w:rsidRPr="004E1E73">
        <w:rPr>
          <w:rStyle w:val="FootnoteReference"/>
          <w:rFonts w:ascii="Times New Roman" w:eastAsia="Times New Roman" w:hAnsi="Times New Roman"/>
          <w:spacing w:val="-3"/>
          <w:sz w:val="28"/>
          <w:szCs w:val="28"/>
          <w:lang w:eastAsia="en-GB"/>
        </w:rPr>
        <w:footnoteReference w:id="81"/>
      </w:r>
      <w:r w:rsidRPr="004E1E73">
        <w:rPr>
          <w:rFonts w:ascii="Times New Roman" w:eastAsia="Times New Roman" w:hAnsi="Times New Roman"/>
          <w:spacing w:val="-3"/>
          <w:sz w:val="28"/>
          <w:szCs w:val="28"/>
          <w:lang w:eastAsia="en-GB"/>
        </w:rPr>
        <w:t>.</w:t>
      </w:r>
    </w:p>
    <w:p w14:paraId="41C78049" w14:textId="261731A2" w:rsidR="0095151C" w:rsidRPr="004E1E73" w:rsidRDefault="0095151C" w:rsidP="004E1E73">
      <w:pPr>
        <w:tabs>
          <w:tab w:val="left" w:pos="-1440"/>
          <w:tab w:val="left" w:pos="-720"/>
          <w:tab w:val="left" w:pos="1152"/>
          <w:tab w:val="left" w:pos="1569"/>
          <w:tab w:val="left" w:pos="1843"/>
          <w:tab w:val="left" w:pos="2260"/>
          <w:tab w:val="left" w:pos="6480"/>
        </w:tabs>
        <w:suppressAutoHyphens/>
        <w:spacing w:line="360" w:lineRule="auto"/>
        <w:jc w:val="both"/>
        <w:rPr>
          <w:rFonts w:ascii="Times New Roman" w:eastAsia="Times New Roman" w:hAnsi="Times New Roman"/>
          <w:spacing w:val="-3"/>
          <w:sz w:val="28"/>
          <w:szCs w:val="28"/>
          <w:lang w:eastAsia="en-GB"/>
        </w:rPr>
      </w:pPr>
      <w:r w:rsidRPr="004E1E73">
        <w:rPr>
          <w:rFonts w:ascii="Times New Roman" w:eastAsia="Times New Roman" w:hAnsi="Times New Roman"/>
          <w:spacing w:val="-3"/>
          <w:sz w:val="28"/>
          <w:szCs w:val="28"/>
          <w:lang w:eastAsia="en-GB"/>
        </w:rPr>
        <w:t xml:space="preserve">In the process of reviewing the decided cases cited in the instant case, Cockerill J questioned the juridical underpinning of the authorities and said that there was no </w:t>
      </w:r>
      <w:r w:rsidRPr="004E1E73">
        <w:rPr>
          <w:rFonts w:ascii="Times New Roman" w:eastAsia="Times New Roman" w:hAnsi="Times New Roman"/>
          <w:spacing w:val="-3"/>
          <w:sz w:val="28"/>
          <w:szCs w:val="28"/>
          <w:lang w:eastAsia="en-GB"/>
        </w:rPr>
        <w:lastRenderedPageBreak/>
        <w:t>consistency</w:t>
      </w:r>
      <w:r w:rsidRPr="004E1E73">
        <w:rPr>
          <w:rStyle w:val="FootnoteReference"/>
          <w:rFonts w:ascii="Times New Roman" w:eastAsia="Times New Roman" w:hAnsi="Times New Roman"/>
          <w:spacing w:val="-3"/>
          <w:sz w:val="28"/>
          <w:szCs w:val="28"/>
          <w:lang w:eastAsia="en-GB"/>
        </w:rPr>
        <w:footnoteReference w:id="82"/>
      </w:r>
      <w:r w:rsidRPr="004E1E73">
        <w:rPr>
          <w:rFonts w:ascii="Times New Roman" w:eastAsia="Times New Roman" w:hAnsi="Times New Roman"/>
          <w:spacing w:val="-3"/>
          <w:sz w:val="28"/>
          <w:szCs w:val="28"/>
          <w:lang w:eastAsia="en-GB"/>
        </w:rPr>
        <w:t>. Some cases examined the vexatious and oppressive nature</w:t>
      </w:r>
      <w:r w:rsidRPr="004E1E73">
        <w:rPr>
          <w:rStyle w:val="FootnoteReference"/>
          <w:rFonts w:ascii="Times New Roman" w:eastAsia="Times New Roman" w:hAnsi="Times New Roman"/>
          <w:spacing w:val="-3"/>
          <w:sz w:val="28"/>
          <w:szCs w:val="28"/>
          <w:lang w:eastAsia="en-GB"/>
        </w:rPr>
        <w:footnoteReference w:id="83"/>
      </w:r>
      <w:r w:rsidRPr="004E1E73">
        <w:rPr>
          <w:rFonts w:ascii="Times New Roman" w:eastAsia="Times New Roman" w:hAnsi="Times New Roman"/>
          <w:spacing w:val="-3"/>
          <w:sz w:val="28"/>
          <w:szCs w:val="28"/>
          <w:lang w:eastAsia="en-GB"/>
        </w:rPr>
        <w:t xml:space="preserve"> of the claim whilst others adopted a contractual approach (</w:t>
      </w:r>
      <w:r w:rsidRPr="004E1E73">
        <w:rPr>
          <w:rFonts w:ascii="Times New Roman" w:eastAsia="Times New Roman" w:hAnsi="Times New Roman"/>
          <w:i/>
          <w:spacing w:val="-3"/>
          <w:sz w:val="28"/>
          <w:szCs w:val="28"/>
          <w:lang w:eastAsia="en-GB"/>
        </w:rPr>
        <w:t>Angelic Grace</w:t>
      </w:r>
      <w:r w:rsidRPr="004E1E73">
        <w:rPr>
          <w:rFonts w:ascii="Times New Roman" w:eastAsia="Times New Roman" w:hAnsi="Times New Roman"/>
          <w:spacing w:val="-3"/>
          <w:sz w:val="28"/>
          <w:szCs w:val="28"/>
          <w:lang w:eastAsia="en-GB"/>
        </w:rPr>
        <w:t>)</w:t>
      </w:r>
      <w:r w:rsidRPr="004E1E73">
        <w:rPr>
          <w:rStyle w:val="FootnoteReference"/>
          <w:rFonts w:ascii="Times New Roman" w:eastAsia="Times New Roman" w:hAnsi="Times New Roman"/>
          <w:spacing w:val="-3"/>
          <w:sz w:val="28"/>
          <w:szCs w:val="28"/>
          <w:lang w:eastAsia="en-GB"/>
        </w:rPr>
        <w:footnoteReference w:id="84"/>
      </w:r>
      <w:r w:rsidRPr="004E1E73">
        <w:rPr>
          <w:rFonts w:ascii="Times New Roman" w:eastAsia="Times New Roman" w:hAnsi="Times New Roman"/>
          <w:spacing w:val="-3"/>
          <w:sz w:val="28"/>
          <w:szCs w:val="28"/>
          <w:lang w:eastAsia="en-GB"/>
        </w:rPr>
        <w:t>. The judge was clear that there was no distinction to be drawn between the “derived cases” and the “quasi contract cases</w:t>
      </w:r>
      <w:r w:rsidR="00450A51" w:rsidRPr="004E1E73">
        <w:rPr>
          <w:rFonts w:ascii="Times New Roman" w:eastAsia="Times New Roman" w:hAnsi="Times New Roman"/>
          <w:spacing w:val="-3"/>
          <w:sz w:val="28"/>
          <w:szCs w:val="28"/>
          <w:lang w:eastAsia="en-GB"/>
        </w:rPr>
        <w:t>.”</w:t>
      </w:r>
      <w:r w:rsidRPr="004E1E73">
        <w:rPr>
          <w:rFonts w:ascii="Times New Roman" w:eastAsia="Times New Roman" w:hAnsi="Times New Roman"/>
          <w:spacing w:val="-3"/>
          <w:sz w:val="28"/>
          <w:szCs w:val="28"/>
          <w:lang w:eastAsia="en-GB"/>
        </w:rPr>
        <w:t xml:space="preserve">  In her view, both lines of authorities have a similar underpinning in that it would be invidious to permit a party who is invoking a contract as the basis for its claim to do so otherwise than in accordance with the jurisdictional regime of that contract</w:t>
      </w:r>
      <w:r w:rsidRPr="004E1E73">
        <w:rPr>
          <w:rStyle w:val="FootnoteReference"/>
          <w:rFonts w:ascii="Times New Roman" w:eastAsia="Times New Roman" w:hAnsi="Times New Roman"/>
          <w:spacing w:val="-3"/>
          <w:sz w:val="28"/>
          <w:szCs w:val="28"/>
          <w:lang w:eastAsia="en-GB"/>
        </w:rPr>
        <w:footnoteReference w:id="85"/>
      </w:r>
      <w:r w:rsidRPr="004E1E73">
        <w:rPr>
          <w:rFonts w:ascii="Times New Roman" w:eastAsia="Times New Roman" w:hAnsi="Times New Roman"/>
          <w:spacing w:val="-3"/>
          <w:sz w:val="28"/>
          <w:szCs w:val="28"/>
          <w:lang w:eastAsia="en-GB"/>
        </w:rPr>
        <w:t xml:space="preserve">. In any event, the judge concluded that the test to be applied is that of the </w:t>
      </w:r>
      <w:r w:rsidRPr="004E1E73">
        <w:rPr>
          <w:rFonts w:ascii="Times New Roman" w:eastAsia="Times New Roman" w:hAnsi="Times New Roman"/>
          <w:i/>
          <w:spacing w:val="-3"/>
          <w:sz w:val="28"/>
          <w:szCs w:val="28"/>
          <w:lang w:eastAsia="en-GB"/>
        </w:rPr>
        <w:t>Angelic Grace</w:t>
      </w:r>
      <w:r w:rsidRPr="004E1E73">
        <w:rPr>
          <w:rFonts w:ascii="Times New Roman" w:eastAsia="Times New Roman" w:hAnsi="Times New Roman"/>
          <w:spacing w:val="-3"/>
          <w:sz w:val="28"/>
          <w:szCs w:val="28"/>
          <w:lang w:eastAsia="en-GB"/>
        </w:rPr>
        <w:t xml:space="preserve"> and noted that:</w:t>
      </w:r>
    </w:p>
    <w:p w14:paraId="1D913801" w14:textId="77777777" w:rsidR="0095151C" w:rsidRPr="004E1E73" w:rsidRDefault="0095151C" w:rsidP="004E1E73">
      <w:pPr>
        <w:tabs>
          <w:tab w:val="left" w:pos="-1440"/>
          <w:tab w:val="left" w:pos="-720"/>
          <w:tab w:val="left" w:pos="1152"/>
          <w:tab w:val="left" w:pos="1569"/>
          <w:tab w:val="left" w:pos="1843"/>
          <w:tab w:val="left" w:pos="2260"/>
          <w:tab w:val="left" w:pos="6480"/>
        </w:tabs>
        <w:suppressAutoHyphens/>
        <w:spacing w:line="360" w:lineRule="auto"/>
        <w:ind w:left="720"/>
        <w:jc w:val="both"/>
        <w:rPr>
          <w:rFonts w:ascii="Times New Roman" w:eastAsia="Times New Roman" w:hAnsi="Times New Roman"/>
          <w:spacing w:val="-3"/>
          <w:sz w:val="28"/>
          <w:szCs w:val="28"/>
          <w:lang w:eastAsia="en-GB"/>
        </w:rPr>
      </w:pPr>
      <w:r w:rsidRPr="004E1E73">
        <w:rPr>
          <w:rFonts w:ascii="Times New Roman" w:eastAsia="Times New Roman" w:hAnsi="Times New Roman"/>
          <w:spacing w:val="-3"/>
          <w:sz w:val="28"/>
          <w:szCs w:val="28"/>
          <w:lang w:eastAsia="en-GB"/>
        </w:rPr>
        <w:t xml:space="preserve"> “so</w:t>
      </w:r>
      <w:r w:rsidRPr="004E1E73">
        <w:rPr>
          <w:rFonts w:ascii="Times New Roman" w:eastAsia="Times New Roman" w:hAnsi="Times New Roman"/>
          <w:i/>
          <w:spacing w:val="-3"/>
          <w:sz w:val="28"/>
          <w:szCs w:val="28"/>
          <w:lang w:eastAsia="en-GB"/>
        </w:rPr>
        <w:t xml:space="preserve"> much for the quasi- contact analysis- if the case is to be regarded as not contractual, I am satisfied that it should, like the existing quasi-contractual cases be treated as if it were a contractual case, applying the Angelic Grace test by analogy</w:t>
      </w:r>
      <w:r w:rsidRPr="004E1E73">
        <w:rPr>
          <w:rFonts w:ascii="Times New Roman" w:eastAsia="Times New Roman" w:hAnsi="Times New Roman"/>
          <w:spacing w:val="-3"/>
          <w:sz w:val="28"/>
          <w:szCs w:val="28"/>
          <w:lang w:eastAsia="en-GB"/>
        </w:rPr>
        <w:t>”</w:t>
      </w:r>
      <w:r w:rsidRPr="004E1E73">
        <w:rPr>
          <w:rStyle w:val="FootnoteReference"/>
          <w:rFonts w:ascii="Times New Roman" w:eastAsia="Times New Roman" w:hAnsi="Times New Roman"/>
          <w:spacing w:val="-3"/>
          <w:sz w:val="28"/>
          <w:szCs w:val="28"/>
          <w:lang w:eastAsia="en-GB"/>
        </w:rPr>
        <w:footnoteReference w:id="86"/>
      </w:r>
      <w:r w:rsidRPr="004E1E73">
        <w:rPr>
          <w:rFonts w:ascii="Times New Roman" w:eastAsia="Times New Roman" w:hAnsi="Times New Roman"/>
          <w:spacing w:val="-3"/>
          <w:sz w:val="28"/>
          <w:szCs w:val="28"/>
          <w:lang w:eastAsia="en-GB"/>
        </w:rPr>
        <w:t xml:space="preserve">. </w:t>
      </w:r>
    </w:p>
    <w:p w14:paraId="671E3CC7" w14:textId="77777777" w:rsidR="0095151C" w:rsidRPr="004E1E73" w:rsidRDefault="0095151C" w:rsidP="004E1E73">
      <w:pPr>
        <w:tabs>
          <w:tab w:val="left" w:pos="-1440"/>
          <w:tab w:val="left" w:pos="-720"/>
          <w:tab w:val="left" w:pos="1152"/>
          <w:tab w:val="left" w:pos="1569"/>
          <w:tab w:val="left" w:pos="1843"/>
          <w:tab w:val="left" w:pos="2260"/>
          <w:tab w:val="left" w:pos="6480"/>
        </w:tabs>
        <w:suppressAutoHyphens/>
        <w:spacing w:line="360" w:lineRule="auto"/>
        <w:jc w:val="both"/>
        <w:rPr>
          <w:rFonts w:ascii="Times New Roman" w:eastAsia="Times New Roman" w:hAnsi="Times New Roman"/>
          <w:spacing w:val="-3"/>
          <w:sz w:val="28"/>
          <w:szCs w:val="28"/>
          <w:lang w:eastAsia="en-GB"/>
        </w:rPr>
      </w:pPr>
      <w:r w:rsidRPr="004E1E73">
        <w:rPr>
          <w:rFonts w:ascii="Times New Roman" w:eastAsia="Times New Roman" w:hAnsi="Times New Roman"/>
          <w:spacing w:val="-3"/>
          <w:sz w:val="28"/>
          <w:szCs w:val="28"/>
          <w:lang w:eastAsia="en-GB"/>
        </w:rPr>
        <w:t xml:space="preserve">The approach of Cockerill J was adopted by Foxton J in </w:t>
      </w:r>
      <w:r w:rsidRPr="004E1E73">
        <w:rPr>
          <w:rFonts w:ascii="Times New Roman" w:eastAsia="Times New Roman" w:hAnsi="Times New Roman"/>
          <w:i/>
          <w:spacing w:val="-3"/>
          <w:sz w:val="28"/>
          <w:szCs w:val="28"/>
          <w:lang w:eastAsia="en-GB"/>
        </w:rPr>
        <w:t>QBE Europe SA</w:t>
      </w:r>
      <w:r w:rsidRPr="004E1E73">
        <w:rPr>
          <w:rStyle w:val="FootnoteReference"/>
          <w:rFonts w:ascii="Times New Roman" w:eastAsia="Times New Roman" w:hAnsi="Times New Roman"/>
          <w:i/>
          <w:spacing w:val="-3"/>
          <w:sz w:val="28"/>
          <w:szCs w:val="28"/>
          <w:lang w:eastAsia="en-GB"/>
        </w:rPr>
        <w:footnoteReference w:id="87"/>
      </w:r>
      <w:r w:rsidRPr="004E1E73">
        <w:rPr>
          <w:rFonts w:ascii="Times New Roman" w:eastAsia="Times New Roman" w:hAnsi="Times New Roman"/>
          <w:spacing w:val="-3"/>
          <w:sz w:val="28"/>
          <w:szCs w:val="28"/>
          <w:lang w:eastAsia="en-GB"/>
        </w:rPr>
        <w:t xml:space="preserve">. As discussed above, the case involved claims against both QBE Europe and QBE UK with the latter issuing the original policy. The policy was subsequently transferred to QBE Europe. Once Foxton J concluded that QBE UK was entitled to an anti-suit injunction, he held that QBE Europe should not be treated differently even though it was not a party to the original policy. Consequently, Generali could not seek to enforce a </w:t>
      </w:r>
      <w:r w:rsidRPr="004E1E73">
        <w:rPr>
          <w:rFonts w:ascii="Times New Roman" w:eastAsia="Times New Roman" w:hAnsi="Times New Roman"/>
          <w:spacing w:val="-3"/>
          <w:sz w:val="28"/>
          <w:szCs w:val="28"/>
          <w:lang w:eastAsia="en-GB"/>
        </w:rPr>
        <w:lastRenderedPageBreak/>
        <w:t>contractual right without respecting the condition attached to that right- the London seated arbitration clause</w:t>
      </w:r>
      <w:r w:rsidRPr="004E1E73">
        <w:rPr>
          <w:rStyle w:val="FootnoteReference"/>
          <w:rFonts w:ascii="Times New Roman" w:eastAsia="Times New Roman" w:hAnsi="Times New Roman"/>
          <w:spacing w:val="-3"/>
          <w:sz w:val="28"/>
          <w:szCs w:val="28"/>
          <w:lang w:eastAsia="en-GB"/>
        </w:rPr>
        <w:footnoteReference w:id="88"/>
      </w:r>
      <w:r w:rsidRPr="004E1E73">
        <w:rPr>
          <w:rFonts w:ascii="Times New Roman" w:eastAsia="Times New Roman" w:hAnsi="Times New Roman"/>
          <w:spacing w:val="-3"/>
          <w:sz w:val="28"/>
          <w:szCs w:val="28"/>
          <w:lang w:eastAsia="en-GB"/>
        </w:rPr>
        <w:t xml:space="preserve">. </w:t>
      </w:r>
    </w:p>
    <w:p w14:paraId="0E0E83E6" w14:textId="10CD46DD" w:rsidR="0095151C" w:rsidRPr="004E1E73" w:rsidRDefault="0095151C" w:rsidP="004E1E73">
      <w:pPr>
        <w:spacing w:line="360" w:lineRule="auto"/>
        <w:jc w:val="both"/>
        <w:rPr>
          <w:rFonts w:ascii="Times New Roman" w:hAnsi="Times New Roman"/>
          <w:sz w:val="28"/>
          <w:szCs w:val="28"/>
        </w:rPr>
      </w:pPr>
      <w:r w:rsidRPr="004E1E73">
        <w:rPr>
          <w:rFonts w:ascii="Times New Roman" w:hAnsi="Times New Roman"/>
          <w:sz w:val="28"/>
          <w:szCs w:val="28"/>
        </w:rPr>
        <w:t>Hence, over the years, the landscape of granting anti-suit injunctions has changed. The following inferences are drawn from the emerging jurisprudence. First, the test for grating an anti-suit injunction is no longer whether the foreign proceedings are “vexatious” and/or “oppressive” but that the applicant must demonstrate a “high degree of probability” that there is a valid arbitration agreement and the dispute in question falls within the scope of the same</w:t>
      </w:r>
      <w:r w:rsidR="00450A51" w:rsidRPr="004E1E73">
        <w:rPr>
          <w:rFonts w:ascii="Times New Roman" w:hAnsi="Times New Roman"/>
          <w:sz w:val="28"/>
          <w:szCs w:val="28"/>
        </w:rPr>
        <w:t xml:space="preserve">. </w:t>
      </w:r>
      <w:r w:rsidRPr="004E1E73">
        <w:rPr>
          <w:rFonts w:ascii="Times New Roman" w:hAnsi="Times New Roman"/>
          <w:sz w:val="28"/>
          <w:szCs w:val="28"/>
        </w:rPr>
        <w:t>Secondly, if the first point is satisfied, the English courts will grant the injunction sought unless there are “strong reasons” not to. This will normally be delay</w:t>
      </w:r>
      <w:r w:rsidRPr="004E1E73">
        <w:rPr>
          <w:rStyle w:val="FootnoteReference"/>
          <w:rFonts w:ascii="Times New Roman" w:hAnsi="Times New Roman"/>
          <w:sz w:val="28"/>
          <w:szCs w:val="28"/>
        </w:rPr>
        <w:footnoteReference w:id="89"/>
      </w:r>
      <w:r w:rsidRPr="004E1E73">
        <w:rPr>
          <w:rFonts w:ascii="Times New Roman" w:hAnsi="Times New Roman"/>
          <w:sz w:val="28"/>
          <w:szCs w:val="28"/>
        </w:rPr>
        <w:t>. Thirdly, it is for the defendant to persuade the court of the existence of a strong reason as to why the injunction should not be granted. Fourthly, the fact that a foreign Court may react with hostility is not a strong reason not to grant the injunction. Fifthly, the jurisdiction to grant anti-suit injunctions should be exercise cautiously. Sixthly,  comity is no longer given prominence with little or no role at all</w:t>
      </w:r>
      <w:r w:rsidR="00450A51" w:rsidRPr="004E1E73">
        <w:rPr>
          <w:rFonts w:ascii="Times New Roman" w:hAnsi="Times New Roman"/>
          <w:sz w:val="28"/>
          <w:szCs w:val="28"/>
        </w:rPr>
        <w:t xml:space="preserve">. </w:t>
      </w:r>
      <w:r w:rsidRPr="004E1E73">
        <w:rPr>
          <w:rFonts w:ascii="Times New Roman" w:hAnsi="Times New Roman"/>
          <w:sz w:val="28"/>
          <w:szCs w:val="28"/>
        </w:rPr>
        <w:t xml:space="preserve">Comity is best served by giving effect to the arbitration clause by granting an anti-suit injunction when appropriate to do so. </w:t>
      </w:r>
      <w:r w:rsidR="004E1E73" w:rsidRPr="005919D2">
        <w:rPr>
          <w:rFonts w:ascii="Times New Roman" w:hAnsi="Times New Roman"/>
          <w:sz w:val="28"/>
          <w:szCs w:val="28"/>
        </w:rPr>
        <w:t>Seventh, English Courts are now prepared to grant an anti-suit injunction even where the seat of the arbitration is not London as long as the underlying agreement is governed by English law and “personam” jurisdiction can be established over the defendant with little or no attention paid to comity.</w:t>
      </w:r>
      <w:r w:rsidR="004E1E73" w:rsidRPr="004E1E73">
        <w:rPr>
          <w:rFonts w:ascii="Times New Roman" w:hAnsi="Times New Roman"/>
          <w:b/>
          <w:sz w:val="28"/>
          <w:szCs w:val="28"/>
        </w:rPr>
        <w:t xml:space="preserve"> </w:t>
      </w:r>
    </w:p>
    <w:p w14:paraId="5DE6CDB8" w14:textId="77777777" w:rsidR="0095151C" w:rsidRPr="004E1E73" w:rsidRDefault="0095151C" w:rsidP="004E1E73">
      <w:pPr>
        <w:spacing w:line="360" w:lineRule="auto"/>
        <w:jc w:val="both"/>
        <w:rPr>
          <w:rFonts w:ascii="Times New Roman" w:hAnsi="Times New Roman"/>
          <w:b/>
          <w:sz w:val="28"/>
          <w:szCs w:val="28"/>
        </w:rPr>
      </w:pPr>
      <w:r w:rsidRPr="004E1E73">
        <w:rPr>
          <w:rFonts w:ascii="Times New Roman" w:hAnsi="Times New Roman"/>
          <w:b/>
          <w:sz w:val="28"/>
          <w:szCs w:val="28"/>
        </w:rPr>
        <w:t xml:space="preserve">Delay and Anti-suit injunction: The Earlier approach </w:t>
      </w:r>
    </w:p>
    <w:p w14:paraId="7A6EEA66" w14:textId="77777777" w:rsidR="0095151C" w:rsidRPr="004E1E73" w:rsidRDefault="0095151C" w:rsidP="004E1E73">
      <w:pPr>
        <w:spacing w:line="360" w:lineRule="auto"/>
        <w:jc w:val="both"/>
        <w:rPr>
          <w:rFonts w:ascii="Times New Roman" w:hAnsi="Times New Roman"/>
          <w:sz w:val="28"/>
          <w:szCs w:val="28"/>
        </w:rPr>
      </w:pPr>
      <w:r w:rsidRPr="004E1E73">
        <w:rPr>
          <w:rFonts w:ascii="Times New Roman" w:hAnsi="Times New Roman"/>
          <w:sz w:val="28"/>
          <w:szCs w:val="28"/>
        </w:rPr>
        <w:lastRenderedPageBreak/>
        <w:t xml:space="preserve">Having discussed the changing landscape of anti-suit injunctions, it is important to examine how the English Courts have dealt with the issue of delay. The English position was that a party that does not seek relief promptly runs the risk of the Courts not granting the injunction. This was made very clear in cases such as </w:t>
      </w:r>
      <w:r w:rsidRPr="004E1E73">
        <w:rPr>
          <w:rFonts w:ascii="Times New Roman" w:hAnsi="Times New Roman"/>
          <w:i/>
          <w:sz w:val="28"/>
          <w:szCs w:val="28"/>
        </w:rPr>
        <w:t>Angelic Grace</w:t>
      </w:r>
      <w:r w:rsidRPr="004E1E73">
        <w:rPr>
          <w:rStyle w:val="FootnoteReference"/>
          <w:rFonts w:ascii="Times New Roman" w:hAnsi="Times New Roman"/>
          <w:sz w:val="28"/>
          <w:szCs w:val="28"/>
        </w:rPr>
        <w:footnoteReference w:id="90"/>
      </w:r>
      <w:r w:rsidRPr="004E1E73">
        <w:rPr>
          <w:rFonts w:ascii="Times New Roman" w:hAnsi="Times New Roman"/>
          <w:sz w:val="28"/>
          <w:szCs w:val="28"/>
        </w:rPr>
        <w:t xml:space="preserve">, </w:t>
      </w:r>
      <w:r w:rsidRPr="004E1E73">
        <w:rPr>
          <w:rFonts w:ascii="Times New Roman" w:hAnsi="Times New Roman"/>
          <w:i/>
          <w:sz w:val="28"/>
          <w:szCs w:val="28"/>
        </w:rPr>
        <w:t>Verity Shipping SA v N.V. Norexa</w:t>
      </w:r>
      <w:r w:rsidRPr="004E1E73">
        <w:rPr>
          <w:rStyle w:val="FootnoteReference"/>
          <w:rFonts w:ascii="Times New Roman" w:hAnsi="Times New Roman"/>
          <w:sz w:val="28"/>
          <w:szCs w:val="28"/>
        </w:rPr>
        <w:footnoteReference w:id="91"/>
      </w:r>
      <w:r w:rsidRPr="004E1E73">
        <w:rPr>
          <w:rFonts w:ascii="Times New Roman" w:hAnsi="Times New Roman"/>
          <w:sz w:val="28"/>
          <w:szCs w:val="28"/>
        </w:rPr>
        <w:t xml:space="preserve"> and </w:t>
      </w:r>
      <w:r w:rsidRPr="004E1E73">
        <w:rPr>
          <w:rFonts w:ascii="Times New Roman" w:hAnsi="Times New Roman"/>
          <w:i/>
          <w:sz w:val="28"/>
          <w:szCs w:val="28"/>
        </w:rPr>
        <w:t>Transfield Shipping Inc v Chiping Xinfa Huayu Alumina Co Ltd</w:t>
      </w:r>
      <w:r w:rsidRPr="004E1E73">
        <w:rPr>
          <w:rStyle w:val="FootnoteReference"/>
          <w:rFonts w:ascii="Times New Roman" w:hAnsi="Times New Roman"/>
          <w:sz w:val="28"/>
          <w:szCs w:val="28"/>
        </w:rPr>
        <w:footnoteReference w:id="92"/>
      </w:r>
      <w:r w:rsidRPr="004E1E73">
        <w:rPr>
          <w:rFonts w:ascii="Times New Roman" w:hAnsi="Times New Roman"/>
          <w:sz w:val="28"/>
          <w:szCs w:val="28"/>
        </w:rPr>
        <w:t xml:space="preserve"> . </w:t>
      </w:r>
    </w:p>
    <w:p w14:paraId="0C23541A" w14:textId="42AB8B1C"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sz w:val="28"/>
          <w:szCs w:val="28"/>
        </w:rPr>
        <w:t xml:space="preserve">In </w:t>
      </w:r>
      <w:r w:rsidRPr="004E1E73">
        <w:rPr>
          <w:rFonts w:ascii="Times New Roman" w:hAnsi="Times New Roman"/>
          <w:i/>
          <w:sz w:val="28"/>
          <w:szCs w:val="28"/>
        </w:rPr>
        <w:t>Essar Shipping Ltd v Bank of China</w:t>
      </w:r>
      <w:r w:rsidRPr="004E1E73">
        <w:rPr>
          <w:rStyle w:val="FootnoteReference"/>
          <w:rFonts w:ascii="Times New Roman" w:hAnsi="Times New Roman"/>
          <w:sz w:val="28"/>
          <w:szCs w:val="28"/>
        </w:rPr>
        <w:footnoteReference w:id="93"/>
      </w:r>
      <w:r w:rsidRPr="004E1E73">
        <w:rPr>
          <w:rFonts w:ascii="Times New Roman" w:hAnsi="Times New Roman"/>
          <w:sz w:val="28"/>
          <w:szCs w:val="28"/>
        </w:rPr>
        <w:t>, Walker J considered an application for an anti-suit injunction to restrain proceedings in China</w:t>
      </w:r>
      <w:r w:rsidR="00450A51" w:rsidRPr="004E1E73">
        <w:rPr>
          <w:rFonts w:ascii="Times New Roman" w:hAnsi="Times New Roman"/>
          <w:sz w:val="28"/>
          <w:szCs w:val="28"/>
        </w:rPr>
        <w:t xml:space="preserve">. </w:t>
      </w:r>
      <w:r w:rsidRPr="004E1E73">
        <w:rPr>
          <w:rFonts w:ascii="Times New Roman" w:hAnsi="Times New Roman"/>
          <w:sz w:val="28"/>
          <w:szCs w:val="28"/>
        </w:rPr>
        <w:t xml:space="preserve">He noted that a party seeking injunctive relief does not have to rush to the Courts prematurely, but nevertheless must seek the same promptly. In essence, the lack of promptness will increase the probability that such injunction will be seen as interfering with the </w:t>
      </w:r>
      <w:bookmarkStart w:id="11" w:name="para43"/>
      <w:r w:rsidRPr="004E1E73">
        <w:rPr>
          <w:rFonts w:ascii="Times New Roman" w:hAnsi="Times New Roman"/>
          <w:sz w:val="28"/>
          <w:szCs w:val="28"/>
        </w:rPr>
        <w:t>jurisdiction of the foreign Court.</w:t>
      </w:r>
      <w:r w:rsidRPr="004E1E73">
        <w:rPr>
          <w:rStyle w:val="FootnoteReference"/>
          <w:rFonts w:ascii="Times New Roman" w:hAnsi="Times New Roman"/>
          <w:color w:val="000000"/>
          <w:sz w:val="28"/>
          <w:szCs w:val="28"/>
        </w:rPr>
        <w:footnoteReference w:id="94"/>
      </w:r>
      <w:bookmarkEnd w:id="11"/>
      <w:r w:rsidRPr="004E1E73">
        <w:rPr>
          <w:rFonts w:ascii="Times New Roman" w:hAnsi="Times New Roman"/>
          <w:color w:val="000000"/>
          <w:sz w:val="28"/>
          <w:szCs w:val="28"/>
        </w:rPr>
        <w:t xml:space="preserve"> Walker J also rejected the argument that a party to an arbitration agreement was entitled first to challenge the foreign Court’s jurisdiction, without prejudicing its position in relation to an application for anti-suit injunction in this jurisdiction</w:t>
      </w:r>
      <w:r w:rsidRPr="004E1E73">
        <w:rPr>
          <w:rStyle w:val="FootnoteReference"/>
          <w:rFonts w:ascii="Times New Roman" w:hAnsi="Times New Roman"/>
          <w:color w:val="000000"/>
          <w:sz w:val="28"/>
          <w:szCs w:val="28"/>
        </w:rPr>
        <w:footnoteReference w:id="95"/>
      </w:r>
      <w:r w:rsidRPr="004E1E73">
        <w:rPr>
          <w:rFonts w:ascii="Times New Roman" w:hAnsi="Times New Roman"/>
          <w:color w:val="000000"/>
          <w:sz w:val="28"/>
          <w:szCs w:val="28"/>
        </w:rPr>
        <w:t xml:space="preserve">.    </w:t>
      </w:r>
    </w:p>
    <w:p w14:paraId="425E2577" w14:textId="77777777"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i/>
          <w:color w:val="000000"/>
          <w:sz w:val="28"/>
          <w:szCs w:val="28"/>
        </w:rPr>
        <w:t>Essar</w:t>
      </w:r>
      <w:r w:rsidRPr="004E1E73">
        <w:rPr>
          <w:rFonts w:ascii="Times New Roman" w:hAnsi="Times New Roman"/>
          <w:color w:val="000000"/>
          <w:sz w:val="28"/>
          <w:szCs w:val="28"/>
        </w:rPr>
        <w:t xml:space="preserve"> was decided after the first instance judgment of </w:t>
      </w:r>
      <w:r w:rsidRPr="004E1E73">
        <w:rPr>
          <w:rFonts w:ascii="Times New Roman" w:hAnsi="Times New Roman"/>
          <w:i/>
          <w:color w:val="000000"/>
          <w:sz w:val="28"/>
          <w:szCs w:val="28"/>
        </w:rPr>
        <w:t>Ecobank</w:t>
      </w:r>
      <w:r w:rsidRPr="004E1E73">
        <w:rPr>
          <w:rFonts w:ascii="Times New Roman" w:hAnsi="Times New Roman"/>
          <w:color w:val="000000"/>
          <w:sz w:val="28"/>
          <w:szCs w:val="28"/>
        </w:rPr>
        <w:t xml:space="preserve">, hence Walker J did not have the benefit of the Court of Appeal's decision. The Court of Appeal in </w:t>
      </w:r>
      <w:r w:rsidRPr="004E1E73">
        <w:rPr>
          <w:rFonts w:ascii="Times New Roman" w:hAnsi="Times New Roman"/>
          <w:i/>
          <w:color w:val="000000"/>
          <w:sz w:val="28"/>
          <w:szCs w:val="28"/>
        </w:rPr>
        <w:lastRenderedPageBreak/>
        <w:t xml:space="preserve">Ecobank </w:t>
      </w:r>
      <w:r w:rsidRPr="004E1E73">
        <w:rPr>
          <w:rFonts w:ascii="Times New Roman" w:hAnsi="Times New Roman"/>
          <w:color w:val="000000"/>
          <w:sz w:val="28"/>
          <w:szCs w:val="28"/>
        </w:rPr>
        <w:t>made it clear that the timing of the application for an injunction is very important and an applicant that seeks to “enjoin his opponent” must act promptly</w:t>
      </w:r>
      <w:r w:rsidRPr="004E1E73">
        <w:rPr>
          <w:rStyle w:val="FootnoteReference"/>
          <w:rFonts w:ascii="Times New Roman" w:hAnsi="Times New Roman"/>
          <w:color w:val="000000"/>
          <w:sz w:val="28"/>
          <w:szCs w:val="28"/>
        </w:rPr>
        <w:footnoteReference w:id="96"/>
      </w:r>
      <w:r w:rsidRPr="004E1E73">
        <w:rPr>
          <w:rFonts w:ascii="Times New Roman" w:hAnsi="Times New Roman"/>
          <w:color w:val="000000"/>
          <w:sz w:val="28"/>
          <w:szCs w:val="28"/>
        </w:rPr>
        <w:t xml:space="preserve">. </w:t>
      </w:r>
    </w:p>
    <w:p w14:paraId="30D00CAA" w14:textId="0D00BBBF" w:rsidR="0095151C" w:rsidRPr="004E1E73" w:rsidRDefault="0095151C" w:rsidP="004E1E73">
      <w:pPr>
        <w:spacing w:line="360" w:lineRule="auto"/>
        <w:jc w:val="both"/>
        <w:rPr>
          <w:rFonts w:ascii="Times New Roman" w:hAnsi="Times New Roman"/>
          <w:b/>
          <w:i/>
          <w:sz w:val="28"/>
          <w:szCs w:val="28"/>
        </w:rPr>
      </w:pPr>
      <w:r w:rsidRPr="004E1E73">
        <w:rPr>
          <w:rFonts w:ascii="Times New Roman" w:hAnsi="Times New Roman"/>
          <w:sz w:val="28"/>
          <w:szCs w:val="28"/>
        </w:rPr>
        <w:t xml:space="preserve">The risk of delay and the likelihood of the English Court refusing an injunction based on delay was evident in </w:t>
      </w:r>
      <w:r w:rsidRPr="004E1E73">
        <w:rPr>
          <w:rFonts w:ascii="Times New Roman" w:hAnsi="Times New Roman"/>
          <w:i/>
          <w:sz w:val="28"/>
          <w:szCs w:val="28"/>
        </w:rPr>
        <w:t>Ecobank</w:t>
      </w:r>
      <w:r w:rsidRPr="004E1E73">
        <w:rPr>
          <w:rFonts w:ascii="Times New Roman" w:hAnsi="Times New Roman"/>
          <w:sz w:val="28"/>
          <w:szCs w:val="28"/>
        </w:rPr>
        <w:t xml:space="preserve"> and reiterated in </w:t>
      </w:r>
      <w:r w:rsidRPr="004E1E73">
        <w:rPr>
          <w:rFonts w:ascii="Times New Roman" w:hAnsi="Times New Roman"/>
          <w:i/>
          <w:sz w:val="28"/>
          <w:szCs w:val="28"/>
        </w:rPr>
        <w:t>ADM Asia- Pacific Trading Ltd v PT Budi Semesta Satria</w:t>
      </w:r>
      <w:r w:rsidRPr="004E1E73">
        <w:rPr>
          <w:rStyle w:val="FootnoteReference"/>
          <w:rFonts w:ascii="Times New Roman" w:hAnsi="Times New Roman"/>
          <w:sz w:val="28"/>
          <w:szCs w:val="28"/>
        </w:rPr>
        <w:footnoteReference w:id="97"/>
      </w:r>
      <w:r w:rsidRPr="004E1E73">
        <w:rPr>
          <w:rFonts w:ascii="Times New Roman" w:hAnsi="Times New Roman"/>
          <w:sz w:val="28"/>
          <w:szCs w:val="28"/>
        </w:rPr>
        <w:t xml:space="preserve">  where the applicant sought an anti-suit injunction to restrain the defendant from continuing proceedings commenced in Indonesia on the basis that the proceedings were in breach of an arbitration agreement between the parties.  The parties had entered into a stock financing agreement by which the claimant was to supply goods to the defendants pursuant to individual sale contracts</w:t>
      </w:r>
      <w:r w:rsidR="00450A51" w:rsidRPr="004E1E73">
        <w:rPr>
          <w:rFonts w:ascii="Times New Roman" w:hAnsi="Times New Roman"/>
          <w:sz w:val="28"/>
          <w:szCs w:val="28"/>
        </w:rPr>
        <w:t xml:space="preserve">. </w:t>
      </w:r>
      <w:r w:rsidRPr="004E1E73">
        <w:rPr>
          <w:rFonts w:ascii="Times New Roman" w:hAnsi="Times New Roman"/>
          <w:sz w:val="28"/>
          <w:szCs w:val="28"/>
        </w:rPr>
        <w:t xml:space="preserve">The stock financing agreement contained an Indonesian jurisdiction clause whilst each sales contract was subject to English law and contained a London seated arbitration clause. In </w:t>
      </w:r>
      <w:r w:rsidR="00450A51" w:rsidRPr="004E1E73">
        <w:rPr>
          <w:rFonts w:ascii="Times New Roman" w:hAnsi="Times New Roman"/>
          <w:sz w:val="28"/>
          <w:szCs w:val="28"/>
        </w:rPr>
        <w:t>May 2013,</w:t>
      </w:r>
      <w:r w:rsidRPr="004E1E73">
        <w:rPr>
          <w:rFonts w:ascii="Times New Roman" w:hAnsi="Times New Roman"/>
          <w:sz w:val="28"/>
          <w:szCs w:val="28"/>
        </w:rPr>
        <w:t xml:space="preserve"> the respondent commenced proceedings in Indonesia, but the Court did not formally serve those proceedings until May 2014, but the claimant made clear that it would be challenging the jurisdiction of the Indonesian Courts. In the meantime, the claimant referred the dispute to arbitration in London in June 2013, but the arbitration did not progress and in May 2014, the claimant gave notice to renew the arbitration claim. In the meantime, the claimant engaged in the Indonesia proceeding, attended three hearings and filed extensive submissions not only on jurisdiction but on the substantive issues. On appeal, the Indonesian Courts ultimately accepted jurisdiction in July 2015. In </w:t>
      </w:r>
      <w:r w:rsidR="00450A51" w:rsidRPr="004E1E73">
        <w:rPr>
          <w:rFonts w:ascii="Times New Roman" w:hAnsi="Times New Roman"/>
          <w:sz w:val="28"/>
          <w:szCs w:val="28"/>
        </w:rPr>
        <w:t>September 2015,</w:t>
      </w:r>
      <w:r w:rsidRPr="004E1E73">
        <w:rPr>
          <w:rFonts w:ascii="Times New Roman" w:hAnsi="Times New Roman"/>
          <w:sz w:val="28"/>
          <w:szCs w:val="28"/>
        </w:rPr>
        <w:t xml:space="preserve"> the claimant sought an injunction from the English Courts</w:t>
      </w:r>
      <w:r w:rsidR="00450A51" w:rsidRPr="004E1E73">
        <w:rPr>
          <w:rFonts w:ascii="Times New Roman" w:hAnsi="Times New Roman"/>
          <w:sz w:val="28"/>
          <w:szCs w:val="28"/>
        </w:rPr>
        <w:t xml:space="preserve">. </w:t>
      </w:r>
      <w:r w:rsidRPr="004E1E73">
        <w:rPr>
          <w:rFonts w:ascii="Times New Roman" w:hAnsi="Times New Roman"/>
          <w:sz w:val="28"/>
          <w:szCs w:val="28"/>
        </w:rPr>
        <w:t>The claimant argued that delay was not in itself a sufficient basis for refusing to enforce an arbitration agreement</w:t>
      </w:r>
      <w:r w:rsidR="00450A51" w:rsidRPr="004E1E73">
        <w:rPr>
          <w:rFonts w:ascii="Times New Roman" w:hAnsi="Times New Roman"/>
          <w:sz w:val="28"/>
          <w:szCs w:val="28"/>
        </w:rPr>
        <w:t xml:space="preserve">. </w:t>
      </w:r>
      <w:r w:rsidRPr="004E1E73">
        <w:rPr>
          <w:rFonts w:ascii="Times New Roman" w:hAnsi="Times New Roman"/>
          <w:sz w:val="28"/>
          <w:szCs w:val="28"/>
        </w:rPr>
        <w:t xml:space="preserve">This was rejected by Philips J who simply relied on the approach of the </w:t>
      </w:r>
      <w:r w:rsidRPr="004E1E73">
        <w:rPr>
          <w:rFonts w:ascii="Times New Roman" w:hAnsi="Times New Roman"/>
          <w:sz w:val="28"/>
          <w:szCs w:val="28"/>
        </w:rPr>
        <w:lastRenderedPageBreak/>
        <w:t xml:space="preserve">Court of Appeal in </w:t>
      </w:r>
      <w:r w:rsidRPr="004E1E73">
        <w:rPr>
          <w:rFonts w:ascii="Times New Roman" w:hAnsi="Times New Roman"/>
          <w:i/>
          <w:sz w:val="28"/>
          <w:szCs w:val="28"/>
        </w:rPr>
        <w:t>Ecobank</w:t>
      </w:r>
      <w:r w:rsidR="00450A51" w:rsidRPr="004E1E73">
        <w:rPr>
          <w:rFonts w:ascii="Times New Roman" w:hAnsi="Times New Roman"/>
          <w:sz w:val="28"/>
          <w:szCs w:val="28"/>
        </w:rPr>
        <w:t xml:space="preserve">. </w:t>
      </w:r>
      <w:r w:rsidRPr="004E1E73">
        <w:rPr>
          <w:rFonts w:ascii="Times New Roman" w:hAnsi="Times New Roman"/>
          <w:sz w:val="28"/>
          <w:szCs w:val="28"/>
        </w:rPr>
        <w:t xml:space="preserve">He held that the claimant’s argument was at odds with the general approach that has been adopted by the English Courts and this was confirmed by the Court of Appeal’s decision in </w:t>
      </w:r>
      <w:r w:rsidRPr="004E1E73">
        <w:rPr>
          <w:rFonts w:ascii="Times New Roman" w:hAnsi="Times New Roman"/>
          <w:i/>
          <w:sz w:val="28"/>
          <w:szCs w:val="28"/>
        </w:rPr>
        <w:t>Ecobank</w:t>
      </w:r>
      <w:r w:rsidRPr="004E1E73">
        <w:rPr>
          <w:rStyle w:val="FootnoteReference"/>
          <w:rFonts w:ascii="Times New Roman" w:hAnsi="Times New Roman"/>
          <w:sz w:val="28"/>
          <w:szCs w:val="28"/>
        </w:rPr>
        <w:footnoteReference w:id="98"/>
      </w:r>
      <w:r w:rsidR="00450A51" w:rsidRPr="004E1E73">
        <w:rPr>
          <w:rFonts w:ascii="Times New Roman" w:hAnsi="Times New Roman"/>
          <w:sz w:val="28"/>
          <w:szCs w:val="28"/>
        </w:rPr>
        <w:t xml:space="preserve">. </w:t>
      </w:r>
      <w:r w:rsidRPr="004E1E73">
        <w:rPr>
          <w:rFonts w:ascii="Times New Roman" w:hAnsi="Times New Roman"/>
          <w:sz w:val="28"/>
          <w:szCs w:val="28"/>
        </w:rPr>
        <w:t>Consequently, he held that the claimant did not apply for an anti-suit quickly and actively engaged with the Indonesian proceedings (both substantive and jurisdictional) for more than a year. As a result, he declined to grant the injunction sought because “</w:t>
      </w:r>
      <w:r w:rsidRPr="004E1E73">
        <w:rPr>
          <w:rFonts w:ascii="Times New Roman" w:hAnsi="Times New Roman"/>
          <w:i/>
          <w:iCs/>
          <w:sz w:val="28"/>
          <w:szCs w:val="28"/>
        </w:rPr>
        <w:t>in those circumstances both general and discretionary considerations and the needs of comity lead me to refuse the application</w:t>
      </w:r>
      <w:r w:rsidRPr="004E1E73">
        <w:rPr>
          <w:rFonts w:ascii="Times New Roman" w:hAnsi="Times New Roman"/>
          <w:iCs/>
          <w:sz w:val="28"/>
          <w:szCs w:val="28"/>
        </w:rPr>
        <w:t>"</w:t>
      </w:r>
      <w:r w:rsidRPr="004E1E73">
        <w:rPr>
          <w:rStyle w:val="FootnoteReference"/>
          <w:rFonts w:ascii="Times New Roman" w:hAnsi="Times New Roman"/>
          <w:iCs/>
          <w:sz w:val="28"/>
          <w:szCs w:val="28"/>
        </w:rPr>
        <w:footnoteReference w:id="99"/>
      </w:r>
      <w:r w:rsidRPr="004E1E73">
        <w:rPr>
          <w:rFonts w:ascii="Times New Roman" w:hAnsi="Times New Roman"/>
          <w:iCs/>
          <w:sz w:val="28"/>
          <w:szCs w:val="28"/>
        </w:rPr>
        <w:t xml:space="preserve">. </w:t>
      </w:r>
      <w:r w:rsidRPr="004E1E73">
        <w:rPr>
          <w:rFonts w:ascii="Times New Roman" w:hAnsi="Times New Roman"/>
          <w:sz w:val="28"/>
          <w:szCs w:val="28"/>
        </w:rPr>
        <w:t xml:space="preserve">It is clear from these authorities that a party seeking an anti-suit injunction must do so promptly or run the real risk of the injunction not being granted on grounds of delay. </w:t>
      </w:r>
    </w:p>
    <w:p w14:paraId="3882A5B5" w14:textId="77777777" w:rsidR="0095151C" w:rsidRPr="004E1E73" w:rsidRDefault="0095151C" w:rsidP="004E1E73">
      <w:pPr>
        <w:spacing w:line="360" w:lineRule="auto"/>
        <w:jc w:val="both"/>
        <w:rPr>
          <w:rFonts w:ascii="Times New Roman" w:hAnsi="Times New Roman"/>
          <w:b/>
          <w:color w:val="000000"/>
          <w:sz w:val="28"/>
          <w:szCs w:val="28"/>
        </w:rPr>
      </w:pPr>
      <w:r w:rsidRPr="004E1E73">
        <w:rPr>
          <w:rFonts w:ascii="Times New Roman" w:hAnsi="Times New Roman"/>
          <w:b/>
          <w:color w:val="000000"/>
          <w:sz w:val="28"/>
          <w:szCs w:val="28"/>
        </w:rPr>
        <w:t>Delay and Comity: A New Flexible Approach?</w:t>
      </w:r>
    </w:p>
    <w:p w14:paraId="071BE354" w14:textId="22372FD1"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The need for promptness was highlighted above. However, recent cases on delay seem to take a different approach. The issue now seems to be not just about promptness but how far advanced the foreign proceedings are. This was the position in </w:t>
      </w:r>
      <w:r w:rsidRPr="004E1E73">
        <w:rPr>
          <w:rFonts w:ascii="Times New Roman" w:hAnsi="Times New Roman"/>
          <w:i/>
          <w:iCs/>
          <w:color w:val="000000"/>
          <w:sz w:val="28"/>
          <w:szCs w:val="28"/>
        </w:rPr>
        <w:t>Av B</w:t>
      </w:r>
      <w:r w:rsidRPr="004E1E73">
        <w:rPr>
          <w:rFonts w:ascii="Times New Roman" w:hAnsi="Times New Roman"/>
          <w:color w:val="000000"/>
          <w:sz w:val="28"/>
          <w:szCs w:val="28"/>
        </w:rPr>
        <w:t xml:space="preserve"> where Calver J was faced with an application for a final anti-suit injunction by the shipowner against the defendant arising out of a charterparty where the defendants alleged that the cargo on board the ship had been damaged and it subsequently commenced proceedings in China</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The Claimant unsuccessfully challenged the jurisdiction of the court on the basis the bill of lading contained a London seated LMAA arbitration clause</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The claimant then commenced arbitration proceedings but there was a delay of about 3 months between the time the Chinese proceedings were commenced and applying for an injunction.</w:t>
      </w:r>
    </w:p>
    <w:p w14:paraId="53ECC76F" w14:textId="18BC470E"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lastRenderedPageBreak/>
        <w:t>Calver J was clear about his approach that, although the claimant did not seek an anti-suit injunction straight away instead it challenged the jurisdiction of the Chinese Court first, the delay in question was not particularly great. What is more important is the extent to which the foreign proceedings had progressed during the delay. If there has been little progress or “justifiable delay</w:t>
      </w:r>
      <w:r w:rsidR="00450A51" w:rsidRPr="004E1E73">
        <w:rPr>
          <w:rFonts w:ascii="Times New Roman" w:hAnsi="Times New Roman"/>
          <w:color w:val="000000"/>
          <w:sz w:val="28"/>
          <w:szCs w:val="28"/>
        </w:rPr>
        <w:t>,”</w:t>
      </w:r>
      <w:r w:rsidRPr="004E1E73">
        <w:rPr>
          <w:rFonts w:ascii="Times New Roman" w:hAnsi="Times New Roman"/>
          <w:color w:val="000000"/>
          <w:sz w:val="28"/>
          <w:szCs w:val="28"/>
        </w:rPr>
        <w:t xml:space="preserve"> then this will not stop the Court from exercising its discretion in granting the anti-suit injunction</w:t>
      </w:r>
      <w:r w:rsidRPr="004E1E73">
        <w:rPr>
          <w:rStyle w:val="FootnoteReference"/>
          <w:rFonts w:ascii="Times New Roman" w:hAnsi="Times New Roman"/>
          <w:color w:val="000000"/>
          <w:sz w:val="28"/>
          <w:szCs w:val="28"/>
        </w:rPr>
        <w:footnoteReference w:id="100"/>
      </w:r>
      <w:r w:rsidRPr="004E1E73">
        <w:rPr>
          <w:rFonts w:ascii="Times New Roman" w:hAnsi="Times New Roman"/>
          <w:color w:val="000000"/>
          <w:sz w:val="28"/>
          <w:szCs w:val="28"/>
        </w:rPr>
        <w:t>. However, where the foreign proceedings have progressed to the merits, that would be a powerful reason against granting the anti-suit injunctions</w:t>
      </w:r>
      <w:r w:rsidRPr="004E1E73">
        <w:rPr>
          <w:rStyle w:val="FootnoteReference"/>
          <w:rFonts w:ascii="Times New Roman" w:hAnsi="Times New Roman"/>
          <w:color w:val="000000"/>
          <w:sz w:val="28"/>
          <w:szCs w:val="28"/>
        </w:rPr>
        <w:footnoteReference w:id="101"/>
      </w:r>
      <w:r w:rsidRPr="004E1E73">
        <w:rPr>
          <w:rFonts w:ascii="Times New Roman" w:hAnsi="Times New Roman"/>
          <w:color w:val="000000"/>
          <w:sz w:val="28"/>
          <w:szCs w:val="28"/>
        </w:rPr>
        <w:t>. Consequently, he did not consider that the delay was sufficiently serious to refuse the injunction sought given that the Chinese decision on jurisdiction was given very quickly and the proceedings were not too advanced</w:t>
      </w:r>
      <w:r w:rsidRPr="004E1E73">
        <w:rPr>
          <w:rStyle w:val="FootnoteReference"/>
          <w:rFonts w:ascii="Times New Roman" w:hAnsi="Times New Roman"/>
          <w:color w:val="000000"/>
          <w:sz w:val="28"/>
          <w:szCs w:val="28"/>
        </w:rPr>
        <w:footnoteReference w:id="102"/>
      </w:r>
      <w:r w:rsidRPr="004E1E73">
        <w:rPr>
          <w:rFonts w:ascii="Times New Roman" w:hAnsi="Times New Roman"/>
          <w:color w:val="000000"/>
          <w:sz w:val="28"/>
          <w:szCs w:val="28"/>
        </w:rPr>
        <w:t>.</w:t>
      </w:r>
    </w:p>
    <w:p w14:paraId="3DABD6D3" w14:textId="77777777"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Another illustration of how the English Courts are dealing with delay is evident in </w:t>
      </w:r>
      <w:r w:rsidRPr="004E1E73">
        <w:rPr>
          <w:rFonts w:ascii="Times New Roman" w:hAnsi="Times New Roman"/>
          <w:i/>
          <w:iCs/>
          <w:color w:val="000000"/>
          <w:sz w:val="28"/>
          <w:szCs w:val="28"/>
        </w:rPr>
        <w:t>Times Trading</w:t>
      </w:r>
      <w:r w:rsidRPr="004E1E73">
        <w:rPr>
          <w:rFonts w:ascii="Times New Roman" w:hAnsi="Times New Roman"/>
          <w:color w:val="000000"/>
          <w:sz w:val="28"/>
          <w:szCs w:val="28"/>
        </w:rPr>
        <w:t xml:space="preserve"> where the defendant argued that there was considerable delay on the part of the claimant in applying for the injunction. Whilst Cockerill J acknowledged that there had been some delay (although not as long as argued by the claimant) and the application was not made entirely promptly</w:t>
      </w:r>
      <w:r w:rsidRPr="004E1E73">
        <w:rPr>
          <w:rStyle w:val="FootnoteReference"/>
          <w:rFonts w:ascii="Times New Roman" w:hAnsi="Times New Roman"/>
          <w:color w:val="000000"/>
          <w:sz w:val="28"/>
          <w:szCs w:val="28"/>
        </w:rPr>
        <w:footnoteReference w:id="103"/>
      </w:r>
      <w:r w:rsidRPr="004E1E73">
        <w:rPr>
          <w:rFonts w:ascii="Times New Roman" w:hAnsi="Times New Roman"/>
          <w:color w:val="000000"/>
          <w:sz w:val="28"/>
          <w:szCs w:val="28"/>
        </w:rPr>
        <w:t>, nevertheless the judge felt that it was not a case of “egregious” delay that would lead the Court to refusing to grant the injunction sought on the grounds of delay alone</w:t>
      </w:r>
      <w:r w:rsidRPr="004E1E73">
        <w:rPr>
          <w:rStyle w:val="FootnoteReference"/>
          <w:rFonts w:ascii="Times New Roman" w:hAnsi="Times New Roman"/>
          <w:color w:val="000000"/>
          <w:sz w:val="28"/>
          <w:szCs w:val="28"/>
        </w:rPr>
        <w:footnoteReference w:id="104"/>
      </w:r>
      <w:r w:rsidRPr="004E1E73">
        <w:rPr>
          <w:rFonts w:ascii="Times New Roman" w:hAnsi="Times New Roman"/>
          <w:color w:val="000000"/>
          <w:sz w:val="28"/>
          <w:szCs w:val="28"/>
        </w:rPr>
        <w:t>.</w:t>
      </w:r>
    </w:p>
    <w:p w14:paraId="045D2CE8" w14:textId="30C7A31B"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lastRenderedPageBreak/>
        <w:t xml:space="preserve">Calver J again emphasised the same approach to delay in </w:t>
      </w:r>
      <w:r w:rsidRPr="004E1E73">
        <w:rPr>
          <w:rFonts w:ascii="Times New Roman" w:hAnsi="Times New Roman"/>
          <w:i/>
          <w:color w:val="000000"/>
          <w:sz w:val="28"/>
          <w:szCs w:val="28"/>
        </w:rPr>
        <w:t>ZHD</w:t>
      </w:r>
      <w:r w:rsidRPr="004E1E73">
        <w:rPr>
          <w:rFonts w:ascii="Times New Roman" w:hAnsi="Times New Roman"/>
          <w:color w:val="000000"/>
          <w:sz w:val="28"/>
          <w:szCs w:val="28"/>
        </w:rPr>
        <w:t xml:space="preserve"> where the applicant had delayed for about 4 months before seeking an anti-suit injunction. Calver J again reiterated that the length of delay was less important than the extent to which the foreign proceedings had progressed during the delay window</w:t>
      </w:r>
      <w:r w:rsidRPr="004E1E73">
        <w:rPr>
          <w:rStyle w:val="FootnoteReference"/>
          <w:rFonts w:ascii="Times New Roman" w:hAnsi="Times New Roman"/>
          <w:color w:val="000000"/>
          <w:sz w:val="28"/>
          <w:szCs w:val="28"/>
        </w:rPr>
        <w:footnoteReference w:id="105"/>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In this case, the claimant had sought to challenge the jurisdiction of the Vietnamese Court before seeking an anti-suit injunction</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Calver J took the view that very little progress had been made in the Vietnamese proceedings and granting the injunction would lead to little waste of judicial resources in the Vietnamese Court and no prejudice to the respondent that the application was made three to four months late</w:t>
      </w:r>
      <w:r w:rsidRPr="004E1E73">
        <w:rPr>
          <w:rStyle w:val="FootnoteReference"/>
          <w:rFonts w:ascii="Times New Roman" w:hAnsi="Times New Roman"/>
          <w:color w:val="000000"/>
          <w:sz w:val="28"/>
          <w:szCs w:val="28"/>
        </w:rPr>
        <w:footnoteReference w:id="106"/>
      </w:r>
      <w:r w:rsidRPr="004E1E73">
        <w:rPr>
          <w:rFonts w:ascii="Times New Roman" w:hAnsi="Times New Roman"/>
          <w:color w:val="000000"/>
          <w:sz w:val="28"/>
          <w:szCs w:val="28"/>
        </w:rPr>
        <w:t xml:space="preserve">. Consequently, he held that the delay was not a strong enough reason to refuse to grant the injunction sought. </w:t>
      </w:r>
    </w:p>
    <w:p w14:paraId="05906201" w14:textId="77777777"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Even a delay of many months may not be enough to dissuade an English Court from granting an anti-suit injunction. This was the position in </w:t>
      </w:r>
      <w:r w:rsidRPr="004E1E73">
        <w:rPr>
          <w:rFonts w:ascii="Times New Roman" w:hAnsi="Times New Roman"/>
          <w:i/>
          <w:iCs/>
          <w:color w:val="000000"/>
          <w:sz w:val="28"/>
          <w:szCs w:val="28"/>
        </w:rPr>
        <w:t>VTB Bank PJSC</w:t>
      </w:r>
      <w:r w:rsidRPr="004E1E73">
        <w:rPr>
          <w:rFonts w:ascii="Times New Roman" w:hAnsi="Times New Roman"/>
          <w:color w:val="000000"/>
          <w:sz w:val="28"/>
          <w:szCs w:val="28"/>
        </w:rPr>
        <w:t xml:space="preserve"> where a dispute arose out of a facility agreement between VTB as lender and a company within the group of companies belonging to the defendant. This loan was guaranteed by other companies within the group. There were two other pledges by way of security, one by another company within the group and the other by the defendant. The facility agreement was governed by English Law with a LCIA London seated arbitration clause, whilst the Pledge Agreement provided for Armenia Law and a London LCIA arbitration clause. In 2018 VTB called in the whole loan and VTB sought to enforce the Facility Agreement against the guarantors successfully obtained an arbitration award in its favour in March 2021. The defendant then commenced two sets of proceedings in Armenia and argued that VTB was guilty of </w:t>
      </w:r>
      <w:r w:rsidRPr="004E1E73">
        <w:rPr>
          <w:rFonts w:ascii="Times New Roman" w:hAnsi="Times New Roman"/>
          <w:color w:val="000000"/>
          <w:sz w:val="28"/>
          <w:szCs w:val="28"/>
        </w:rPr>
        <w:lastRenderedPageBreak/>
        <w:t>delay having waited well over a year and that the foreign Court had devoted time and consideration to the case. However, Butcher J rejected these arguments for several reasons. First, although the termination proceedings were commenced in 2019, it was not clear whether the defendant was going to pursue the claims. Secondly, in June 2020 there were adjournments in the termination proceedings to determine whether those procedures should continue or be transferred to the insolvency proceedings. Hence, different considerations would have emerged in relation to the injunction. Thirdly, Butcher J acknowledged that there was a delay between October 2020 and February 2021 but there were reasons for the delay, namely the enforcement proceedings and the facility agreement arbitration. In any event, not a great deal of progress had been made in the termination proceedings. Fourthly, the termination proceedings remained at an early stage, as there was a hearing in relation to VTB’s jurisdiction challenge and no ruling had been produced in relation to that jurisdiction challenge. Fifthly, no significant resources had been committed to the termination proceedings. In fact, the involvement of the foreign Court had been very limited hence no real issue of comity arose. In any event, the costs incurred in relation to those proceedings at the time the injunction application was made were very minimal. Finally, the judge was not persuaded that the defendant had suffered any prejudice by the delay and no evidence was before the Court to that effect. Consequently, Butcher J held that he did not consider that the delay was sufficient to justify refusing to grant the injunction sought</w:t>
      </w:r>
      <w:r w:rsidRPr="004E1E73">
        <w:rPr>
          <w:rStyle w:val="FootnoteReference"/>
          <w:rFonts w:ascii="Times New Roman" w:hAnsi="Times New Roman"/>
          <w:color w:val="000000"/>
          <w:sz w:val="28"/>
          <w:szCs w:val="28"/>
        </w:rPr>
        <w:footnoteReference w:id="107"/>
      </w:r>
      <w:r w:rsidRPr="004E1E73">
        <w:rPr>
          <w:rFonts w:ascii="Times New Roman" w:hAnsi="Times New Roman"/>
          <w:color w:val="000000"/>
          <w:sz w:val="28"/>
          <w:szCs w:val="28"/>
        </w:rPr>
        <w:t xml:space="preserve">. </w:t>
      </w:r>
    </w:p>
    <w:p w14:paraId="0F0C69CD" w14:textId="77777777"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Where a party can demonstrate that there is an objective justification (in the form of legal advice) for the delay, that it may succeed in its jurisdictional challenge in </w:t>
      </w:r>
      <w:r w:rsidRPr="004E1E73">
        <w:rPr>
          <w:rFonts w:ascii="Times New Roman" w:hAnsi="Times New Roman"/>
          <w:color w:val="000000"/>
          <w:sz w:val="28"/>
          <w:szCs w:val="28"/>
        </w:rPr>
        <w:lastRenderedPageBreak/>
        <w:t xml:space="preserve">foreign proceedings and those proceedings will be resolved speedily, then the English Courts may still be persuaded to grant an injunction irrespective of the delay. This was the position in </w:t>
      </w:r>
      <w:r w:rsidRPr="004E1E73">
        <w:rPr>
          <w:rFonts w:ascii="Times New Roman" w:hAnsi="Times New Roman"/>
          <w:i/>
          <w:iCs/>
          <w:color w:val="000000"/>
          <w:sz w:val="28"/>
          <w:szCs w:val="28"/>
        </w:rPr>
        <w:t xml:space="preserve">Specialised  Vessels </w:t>
      </w:r>
      <w:r w:rsidRPr="004E1E73">
        <w:rPr>
          <w:rFonts w:ascii="Times New Roman" w:hAnsi="Times New Roman"/>
          <w:color w:val="000000"/>
          <w:sz w:val="28"/>
          <w:szCs w:val="28"/>
        </w:rPr>
        <w:t xml:space="preserve">where Calver J cited </w:t>
      </w:r>
      <w:r w:rsidRPr="004E1E73">
        <w:rPr>
          <w:rFonts w:ascii="Times New Roman" w:hAnsi="Times New Roman"/>
          <w:i/>
          <w:iCs/>
          <w:color w:val="000000"/>
          <w:sz w:val="28"/>
          <w:szCs w:val="28"/>
        </w:rPr>
        <w:t xml:space="preserve">Ecom Agroindustrial Corp Ltd  v Moshfraf Composite Textile Mills Ltd </w:t>
      </w:r>
      <w:r w:rsidRPr="004E1E73">
        <w:rPr>
          <w:rFonts w:ascii="Times New Roman" w:hAnsi="Times New Roman"/>
          <w:color w:val="000000"/>
          <w:sz w:val="28"/>
          <w:szCs w:val="28"/>
        </w:rPr>
        <w:t xml:space="preserve"> </w:t>
      </w:r>
      <w:r w:rsidRPr="004E1E73">
        <w:rPr>
          <w:rStyle w:val="FootnoteReference"/>
          <w:rFonts w:ascii="Times New Roman" w:hAnsi="Times New Roman"/>
          <w:color w:val="000000"/>
          <w:sz w:val="28"/>
          <w:szCs w:val="28"/>
        </w:rPr>
        <w:footnoteReference w:id="108"/>
      </w:r>
      <w:r w:rsidRPr="004E1E73">
        <w:rPr>
          <w:rFonts w:ascii="Times New Roman" w:hAnsi="Times New Roman"/>
          <w:color w:val="000000"/>
          <w:sz w:val="28"/>
          <w:szCs w:val="28"/>
        </w:rPr>
        <w:t xml:space="preserve"> with approval and held that given the objective justification that the legal advice received by the claimant suggested that the jurisdictional challenge would be resolved quickly and successfully and the Nigerian proceedings  had not progressed much</w:t>
      </w:r>
      <w:r w:rsidRPr="004E1E73">
        <w:rPr>
          <w:rStyle w:val="FootnoteReference"/>
          <w:rFonts w:ascii="Times New Roman" w:hAnsi="Times New Roman"/>
          <w:color w:val="000000"/>
          <w:sz w:val="28"/>
          <w:szCs w:val="28"/>
        </w:rPr>
        <w:footnoteReference w:id="109"/>
      </w:r>
      <w:r w:rsidRPr="004E1E73">
        <w:rPr>
          <w:rFonts w:ascii="Times New Roman" w:hAnsi="Times New Roman"/>
          <w:color w:val="000000"/>
          <w:sz w:val="28"/>
          <w:szCs w:val="28"/>
        </w:rPr>
        <w:t>, he was satisfied that the injunction should not be refused on the grounds of delay,  because the delay  was caused by the foreign Court’s process and it was not a case of the applicant seeking “to have two bites at the cherry”</w:t>
      </w:r>
      <w:r w:rsidRPr="004E1E73">
        <w:rPr>
          <w:rStyle w:val="FootnoteReference"/>
          <w:rFonts w:ascii="Times New Roman" w:hAnsi="Times New Roman"/>
          <w:color w:val="000000"/>
          <w:sz w:val="28"/>
          <w:szCs w:val="28"/>
        </w:rPr>
        <w:footnoteReference w:id="110"/>
      </w:r>
      <w:r w:rsidRPr="004E1E73">
        <w:rPr>
          <w:rFonts w:ascii="Times New Roman" w:hAnsi="Times New Roman"/>
          <w:color w:val="000000"/>
          <w:sz w:val="28"/>
          <w:szCs w:val="28"/>
        </w:rPr>
        <w:t>. Consequently, the delay in bringing the application for anti-suit injunction should not count as a reason to refuse the injunction sought</w:t>
      </w:r>
      <w:r w:rsidRPr="004E1E73">
        <w:rPr>
          <w:rStyle w:val="FootnoteReference"/>
          <w:rFonts w:ascii="Times New Roman" w:hAnsi="Times New Roman"/>
          <w:color w:val="000000"/>
          <w:sz w:val="28"/>
          <w:szCs w:val="28"/>
        </w:rPr>
        <w:footnoteReference w:id="111"/>
      </w:r>
      <w:r w:rsidRPr="004E1E73">
        <w:rPr>
          <w:rFonts w:ascii="Times New Roman" w:hAnsi="Times New Roman"/>
          <w:color w:val="000000"/>
          <w:sz w:val="28"/>
          <w:szCs w:val="28"/>
        </w:rPr>
        <w:t xml:space="preserve">. </w:t>
      </w:r>
    </w:p>
    <w:p w14:paraId="6A43A21B" w14:textId="77777777" w:rsidR="0095151C" w:rsidRPr="004E1E73" w:rsidRDefault="0095151C" w:rsidP="004E1E73">
      <w:pPr>
        <w:spacing w:line="360" w:lineRule="auto"/>
        <w:jc w:val="both"/>
        <w:rPr>
          <w:rFonts w:ascii="Times New Roman" w:hAnsi="Times New Roman"/>
          <w:kern w:val="2"/>
          <w:sz w:val="28"/>
          <w:szCs w:val="28"/>
        </w:rPr>
      </w:pPr>
      <w:r w:rsidRPr="004E1E73">
        <w:rPr>
          <w:rFonts w:ascii="Times New Roman" w:hAnsi="Times New Roman"/>
          <w:color w:val="000000"/>
          <w:sz w:val="28"/>
          <w:szCs w:val="28"/>
        </w:rPr>
        <w:t>Where the parties enter into commercial negotiations to try and resolve their dispute and renegotiate key agreements, then the English Courts may accept this as justification for the delay. This was the position</w:t>
      </w:r>
      <w:r w:rsidRPr="004E1E73">
        <w:rPr>
          <w:rFonts w:ascii="Times New Roman" w:hAnsi="Times New Roman"/>
          <w:kern w:val="2"/>
          <w:sz w:val="28"/>
          <w:szCs w:val="28"/>
        </w:rPr>
        <w:t xml:space="preserve"> in </w:t>
      </w:r>
      <w:bookmarkStart w:id="12" w:name="_Hlk149585864"/>
      <w:r w:rsidRPr="004E1E73">
        <w:rPr>
          <w:rFonts w:ascii="Times New Roman" w:hAnsi="Times New Roman"/>
          <w:i/>
          <w:kern w:val="2"/>
          <w:sz w:val="28"/>
          <w:szCs w:val="28"/>
        </w:rPr>
        <w:t>Africa Finance Corporation v AIteo Eastern E &amp; P Company Limited</w:t>
      </w:r>
      <w:r w:rsidRPr="004E1E73">
        <w:rPr>
          <w:rStyle w:val="FootnoteReference"/>
          <w:rFonts w:ascii="Times New Roman" w:hAnsi="Times New Roman"/>
          <w:kern w:val="2"/>
          <w:sz w:val="28"/>
          <w:szCs w:val="28"/>
        </w:rPr>
        <w:footnoteReference w:id="112"/>
      </w:r>
      <w:bookmarkEnd w:id="12"/>
      <w:r w:rsidRPr="004E1E73">
        <w:rPr>
          <w:rFonts w:ascii="Times New Roman" w:hAnsi="Times New Roman"/>
          <w:kern w:val="2"/>
          <w:sz w:val="28"/>
          <w:szCs w:val="28"/>
        </w:rPr>
        <w:t xml:space="preserve"> the English Court was prepared to grant an injunction even though the applicant did not proceed promptly and there was a 13-month delay. The claimant had sought a final injunction from the English Courts having been granted an interim injunction ex-parte. The appellants were a group of bankers as lenders. The lenders had provided a $2 billion credit facility to the </w:t>
      </w:r>
      <w:r w:rsidRPr="004E1E73">
        <w:rPr>
          <w:rFonts w:ascii="Times New Roman" w:hAnsi="Times New Roman"/>
          <w:kern w:val="2"/>
          <w:sz w:val="28"/>
          <w:szCs w:val="28"/>
        </w:rPr>
        <w:lastRenderedPageBreak/>
        <w:t>defendants under two facility agreements-an onshore facility agreement and an offshore facility agreement. They both contained ICC London arbitration clauses with the former being governed by Nigerian law whilst the latter agreement was governed by English law. Sometime in 2018 concerns were raised by the lenders about the sums due to them and in 2019 alleged certain breaches which they asked the lenders to rectify. In October 2019 after the borrowers denied that any sums were due, the lenders sent a demand letter demanding full payment of the debt and the sum of $1.7 billion. The borrowers then commenced proceedings in Nigeria against the lenders and obtained an interim injunction preventing the lenders from initiating or taking steps to enforce the indebtedness. The majority of lenders, rather than seeking an anti-suit injunction from the English Courts, appealed to the Nigerian Court of Appeal to set aside the Nigerian injunction and dismiss the application. The other lender sought a stay as well as a stay of the Nigerian injunction and any further action pending the determination of the appeal before the Nigerian Court. Teare J dismissed the borrowers’ argument that the lenders by appealing to the Nigerian Court of Appeal had submitted to the jurisdiction of the Nigerian Courts. The judge held that the lenders had not taken steps in the Nigerian proceedings</w:t>
      </w:r>
      <w:r w:rsidRPr="004E1E73">
        <w:rPr>
          <w:rStyle w:val="FootnoteReference"/>
          <w:rFonts w:ascii="Times New Roman" w:hAnsi="Times New Roman"/>
          <w:kern w:val="2"/>
          <w:sz w:val="28"/>
          <w:szCs w:val="28"/>
        </w:rPr>
        <w:footnoteReference w:id="113"/>
      </w:r>
      <w:r w:rsidRPr="004E1E73">
        <w:rPr>
          <w:rFonts w:ascii="Times New Roman" w:hAnsi="Times New Roman"/>
          <w:kern w:val="2"/>
          <w:sz w:val="28"/>
          <w:szCs w:val="28"/>
        </w:rPr>
        <w:t xml:space="preserve">. </w:t>
      </w:r>
    </w:p>
    <w:p w14:paraId="3FAECE55" w14:textId="3C31D78A" w:rsidR="0095151C" w:rsidRPr="004E1E73" w:rsidRDefault="0095151C" w:rsidP="004E1E73">
      <w:pPr>
        <w:spacing w:after="160" w:line="360" w:lineRule="auto"/>
        <w:jc w:val="both"/>
        <w:rPr>
          <w:rFonts w:ascii="Times New Roman" w:hAnsi="Times New Roman"/>
          <w:kern w:val="2"/>
          <w:sz w:val="28"/>
          <w:szCs w:val="28"/>
        </w:rPr>
      </w:pPr>
      <w:r w:rsidRPr="004E1E73">
        <w:rPr>
          <w:rFonts w:ascii="Times New Roman" w:hAnsi="Times New Roman"/>
          <w:kern w:val="2"/>
          <w:sz w:val="28"/>
          <w:szCs w:val="28"/>
        </w:rPr>
        <w:t>Having determined that no steps had been taken in the Nigerian proceedings by the lenders, Teare J considered the issue of delay</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The judge did concede that by negotiating rather than applying to the English Courts promptly for an anti-suit injunction, the lenders ran the risk that such relief would be refused but that did not make the desire to resolve the dispute between the parties by restructuring an unreasonable step</w:t>
      </w:r>
      <w:r w:rsidRPr="004E1E73">
        <w:rPr>
          <w:rStyle w:val="FootnoteReference"/>
          <w:rFonts w:ascii="Times New Roman" w:hAnsi="Times New Roman"/>
          <w:kern w:val="2"/>
          <w:sz w:val="28"/>
          <w:szCs w:val="28"/>
        </w:rPr>
        <w:footnoteReference w:id="114"/>
      </w:r>
      <w:r w:rsidRPr="004E1E73">
        <w:rPr>
          <w:rFonts w:ascii="Times New Roman" w:hAnsi="Times New Roman"/>
          <w:kern w:val="2"/>
          <w:sz w:val="28"/>
          <w:szCs w:val="28"/>
        </w:rPr>
        <w:t xml:space="preserve">. Furthermore, he was persuaded that there was a good reason </w:t>
      </w:r>
      <w:r w:rsidRPr="004E1E73">
        <w:rPr>
          <w:rFonts w:ascii="Times New Roman" w:hAnsi="Times New Roman"/>
          <w:kern w:val="2"/>
          <w:sz w:val="28"/>
          <w:szCs w:val="28"/>
        </w:rPr>
        <w:lastRenderedPageBreak/>
        <w:t>for the 13-month delay as the lenders were engaged with the borrowers in seeking to restructure the facility agreements and commencing arbitration  could “kill off of the restructuring negotiations”</w:t>
      </w:r>
      <w:r w:rsidRPr="004E1E73">
        <w:rPr>
          <w:rStyle w:val="FootnoteReference"/>
          <w:rFonts w:ascii="Times New Roman" w:hAnsi="Times New Roman"/>
          <w:kern w:val="2"/>
          <w:sz w:val="28"/>
          <w:szCs w:val="28"/>
        </w:rPr>
        <w:footnoteReference w:id="115"/>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Given that the proceedings before the Nigerian Courts had not progressed, hence not much time and resources had been expanded</w:t>
      </w:r>
      <w:r w:rsidRPr="004E1E73">
        <w:rPr>
          <w:rStyle w:val="FootnoteReference"/>
          <w:rFonts w:ascii="Times New Roman" w:hAnsi="Times New Roman"/>
          <w:kern w:val="2"/>
          <w:sz w:val="28"/>
          <w:szCs w:val="28"/>
        </w:rPr>
        <w:footnoteReference w:id="116"/>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In any event, given that there was no risk of offending the Nigerian Courts, the delay did not militate against granting the injunction sought</w:t>
      </w:r>
      <w:r w:rsidRPr="004E1E73">
        <w:rPr>
          <w:rStyle w:val="FootnoteReference"/>
          <w:rFonts w:ascii="Times New Roman" w:hAnsi="Times New Roman"/>
          <w:kern w:val="2"/>
          <w:sz w:val="28"/>
          <w:szCs w:val="28"/>
        </w:rPr>
        <w:footnoteReference w:id="117"/>
      </w:r>
      <w:r w:rsidRPr="004E1E73">
        <w:rPr>
          <w:rFonts w:ascii="Times New Roman" w:hAnsi="Times New Roman"/>
          <w:kern w:val="2"/>
          <w:sz w:val="28"/>
          <w:szCs w:val="28"/>
        </w:rPr>
        <w:t>. Consequently, although there was a 13-month delay there were reasonable explanations because the parties sought to renegotiate and restructure the facility agreements</w:t>
      </w:r>
      <w:r w:rsidRPr="004E1E73">
        <w:rPr>
          <w:rStyle w:val="FootnoteReference"/>
          <w:rFonts w:ascii="Times New Roman" w:hAnsi="Times New Roman"/>
          <w:kern w:val="2"/>
          <w:sz w:val="28"/>
          <w:szCs w:val="28"/>
        </w:rPr>
        <w:footnoteReference w:id="118"/>
      </w:r>
      <w:r w:rsidRPr="004E1E73">
        <w:rPr>
          <w:rFonts w:ascii="Times New Roman" w:hAnsi="Times New Roman"/>
          <w:kern w:val="2"/>
          <w:sz w:val="28"/>
          <w:szCs w:val="28"/>
        </w:rPr>
        <w:t xml:space="preserve">. </w:t>
      </w:r>
    </w:p>
    <w:p w14:paraId="302E7BA1" w14:textId="77777777" w:rsidR="0095151C" w:rsidRPr="004E1E73" w:rsidRDefault="0095151C" w:rsidP="004E1E73">
      <w:pPr>
        <w:spacing w:after="160" w:line="360" w:lineRule="auto"/>
        <w:jc w:val="both"/>
        <w:rPr>
          <w:rFonts w:ascii="Times New Roman" w:hAnsi="Times New Roman"/>
          <w:b/>
          <w:kern w:val="2"/>
          <w:sz w:val="28"/>
          <w:szCs w:val="28"/>
        </w:rPr>
      </w:pPr>
      <w:r w:rsidRPr="004E1E73">
        <w:rPr>
          <w:rFonts w:ascii="Times New Roman" w:hAnsi="Times New Roman"/>
          <w:b/>
          <w:kern w:val="2"/>
          <w:sz w:val="28"/>
          <w:szCs w:val="28"/>
        </w:rPr>
        <w:t xml:space="preserve">The New Approach: Flexibility or Uncertainty? </w:t>
      </w:r>
    </w:p>
    <w:p w14:paraId="0249A6C9" w14:textId="7EBD4F2B" w:rsidR="0095151C" w:rsidRPr="004E1E73" w:rsidRDefault="0095151C" w:rsidP="004E1E73">
      <w:pPr>
        <w:spacing w:after="160" w:line="360" w:lineRule="auto"/>
        <w:jc w:val="both"/>
        <w:rPr>
          <w:rFonts w:ascii="Times New Roman" w:hAnsi="Times New Roman"/>
          <w:kern w:val="2"/>
          <w:sz w:val="28"/>
          <w:szCs w:val="28"/>
        </w:rPr>
      </w:pPr>
      <w:r w:rsidRPr="004E1E73">
        <w:rPr>
          <w:rFonts w:ascii="Times New Roman" w:hAnsi="Times New Roman"/>
          <w:kern w:val="2"/>
          <w:sz w:val="28"/>
          <w:szCs w:val="28"/>
        </w:rPr>
        <w:t>As discussed above, this degree of flexibility carries with it uncertainty and it is an encouragement to delay in applying for an anti-suit injunction. The following inferences can be drawn from the new line of authorities. First, delay is acceptable as long as the foreign proceedings are not too advanced. What seems to be</w:t>
      </w:r>
      <w:r w:rsidR="005905E0">
        <w:rPr>
          <w:rFonts w:ascii="Times New Roman" w:hAnsi="Times New Roman"/>
          <w:kern w:val="2"/>
          <w:sz w:val="28"/>
          <w:szCs w:val="28"/>
        </w:rPr>
        <w:t xml:space="preserve"> important</w:t>
      </w:r>
      <w:r w:rsidRPr="004E1E73">
        <w:rPr>
          <w:rFonts w:ascii="Times New Roman" w:hAnsi="Times New Roman"/>
          <w:kern w:val="2"/>
          <w:sz w:val="28"/>
          <w:szCs w:val="28"/>
        </w:rPr>
        <w:t xml:space="preserve"> is the level of progress made in the foreign proceedings and the level of resources expanded</w:t>
      </w:r>
      <w:r w:rsidR="00B70383" w:rsidRPr="004E1E73">
        <w:rPr>
          <w:rFonts w:ascii="Times New Roman" w:hAnsi="Times New Roman"/>
          <w:kern w:val="2"/>
          <w:sz w:val="28"/>
          <w:szCs w:val="28"/>
        </w:rPr>
        <w:t xml:space="preserve">. </w:t>
      </w:r>
      <w:r w:rsidRPr="004E1E73">
        <w:rPr>
          <w:rFonts w:ascii="Times New Roman" w:hAnsi="Times New Roman"/>
          <w:kern w:val="2"/>
          <w:sz w:val="28"/>
          <w:szCs w:val="28"/>
        </w:rPr>
        <w:t xml:space="preserve">Secondly, it is now acceptable to seek to challenge the jurisdiction of the foreign Courts first and even wait for the outcome of that challenge before approaching the English Courts for injunctive relief. Thirdly, legal advice to the effect that a jurisdictional challenge of the foreign proceedings will be resolved quickly would suffice to excuse the delay in applying for an anti-suit injunction. Fourthly, an attempt to renegotiate the underlying contract would suffice as a reasonable justification for delay. Fifthly, it now seems that the issue of delay will </w:t>
      </w:r>
      <w:r w:rsidRPr="004E1E73">
        <w:rPr>
          <w:rFonts w:ascii="Times New Roman" w:hAnsi="Times New Roman"/>
          <w:kern w:val="2"/>
          <w:sz w:val="28"/>
          <w:szCs w:val="28"/>
        </w:rPr>
        <w:lastRenderedPageBreak/>
        <w:t>now be assessed on a case-by-case basis</w:t>
      </w:r>
      <w:r w:rsidR="00450A51" w:rsidRPr="004E1E73">
        <w:rPr>
          <w:rFonts w:ascii="Times New Roman" w:hAnsi="Times New Roman"/>
          <w:kern w:val="2"/>
          <w:sz w:val="28"/>
          <w:szCs w:val="28"/>
        </w:rPr>
        <w:t xml:space="preserve">. </w:t>
      </w:r>
      <w:r w:rsidRPr="004E1E73">
        <w:rPr>
          <w:rFonts w:ascii="Times New Roman" w:hAnsi="Times New Roman"/>
          <w:kern w:val="2"/>
          <w:sz w:val="28"/>
          <w:szCs w:val="28"/>
        </w:rPr>
        <w:t>In essence “each case must turn on its own facts on the evidence before the Court”</w:t>
      </w:r>
      <w:r w:rsidRPr="004E1E73">
        <w:rPr>
          <w:rStyle w:val="FootnoteReference"/>
          <w:rFonts w:ascii="Times New Roman" w:hAnsi="Times New Roman"/>
          <w:kern w:val="2"/>
          <w:sz w:val="28"/>
          <w:szCs w:val="28"/>
        </w:rPr>
        <w:footnoteReference w:id="119"/>
      </w:r>
      <w:r w:rsidRPr="004E1E73">
        <w:rPr>
          <w:rFonts w:ascii="Times New Roman" w:hAnsi="Times New Roman"/>
          <w:kern w:val="2"/>
          <w:sz w:val="28"/>
          <w:szCs w:val="28"/>
        </w:rPr>
        <w:t xml:space="preserve">. Indeed, what is starting to emerge is that the time of delay is widening with applicants waiting for up to 13months before seeking injunctive relief. This level of flexibility could lead to a high level of uncertainty. </w:t>
      </w:r>
    </w:p>
    <w:p w14:paraId="5E901195" w14:textId="77777777" w:rsidR="0095151C" w:rsidRPr="004E1E73" w:rsidRDefault="0095151C" w:rsidP="004E1E73">
      <w:pPr>
        <w:spacing w:line="360" w:lineRule="auto"/>
        <w:jc w:val="both"/>
        <w:rPr>
          <w:rFonts w:ascii="Times New Roman" w:hAnsi="Times New Roman"/>
          <w:b/>
          <w:color w:val="000000"/>
          <w:sz w:val="28"/>
          <w:szCs w:val="28"/>
        </w:rPr>
      </w:pPr>
      <w:r w:rsidRPr="004E1E73">
        <w:rPr>
          <w:rFonts w:ascii="Times New Roman" w:hAnsi="Times New Roman"/>
          <w:b/>
          <w:color w:val="000000"/>
          <w:sz w:val="28"/>
          <w:szCs w:val="28"/>
        </w:rPr>
        <w:t xml:space="preserve">Promptness or Second Bite of the Cherry? A Need for Consistency </w:t>
      </w:r>
    </w:p>
    <w:p w14:paraId="57FF738C" w14:textId="77777777"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The following observations are offered. In earlier cases such as the </w:t>
      </w:r>
      <w:r w:rsidRPr="004E1E73">
        <w:rPr>
          <w:rFonts w:ascii="Times New Roman" w:hAnsi="Times New Roman"/>
          <w:i/>
          <w:iCs/>
          <w:color w:val="000000"/>
          <w:sz w:val="28"/>
          <w:szCs w:val="28"/>
        </w:rPr>
        <w:t>Angelic Grace</w:t>
      </w:r>
      <w:r w:rsidRPr="004E1E73">
        <w:rPr>
          <w:rFonts w:ascii="Times New Roman" w:hAnsi="Times New Roman"/>
          <w:color w:val="000000"/>
          <w:sz w:val="28"/>
          <w:szCs w:val="28"/>
        </w:rPr>
        <w:t xml:space="preserve">, </w:t>
      </w:r>
      <w:r w:rsidRPr="004E1E73">
        <w:rPr>
          <w:rFonts w:ascii="Times New Roman" w:hAnsi="Times New Roman"/>
          <w:i/>
          <w:iCs/>
          <w:color w:val="000000"/>
          <w:sz w:val="28"/>
          <w:szCs w:val="28"/>
        </w:rPr>
        <w:t>Skier Star</w:t>
      </w:r>
      <w:r w:rsidRPr="004E1E73">
        <w:rPr>
          <w:rFonts w:ascii="Times New Roman" w:hAnsi="Times New Roman"/>
          <w:color w:val="000000"/>
          <w:sz w:val="28"/>
          <w:szCs w:val="28"/>
        </w:rPr>
        <w:t xml:space="preserve">, and </w:t>
      </w:r>
      <w:r w:rsidRPr="004E1E73">
        <w:rPr>
          <w:rFonts w:ascii="Times New Roman" w:hAnsi="Times New Roman"/>
          <w:i/>
          <w:iCs/>
          <w:color w:val="000000"/>
          <w:sz w:val="28"/>
          <w:szCs w:val="28"/>
        </w:rPr>
        <w:t>Transfield</w:t>
      </w:r>
      <w:r w:rsidRPr="004E1E73">
        <w:rPr>
          <w:rFonts w:ascii="Times New Roman" w:hAnsi="Times New Roman"/>
          <w:color w:val="000000"/>
          <w:sz w:val="28"/>
          <w:szCs w:val="28"/>
        </w:rPr>
        <w:t xml:space="preserve">, the message was clear- if you delay in seeking injunctive relief, you do so at your peril. An applicant must act promptly in seeking injunctive relief and this approach was fully endorsed by Clarke LJ in </w:t>
      </w:r>
      <w:r w:rsidRPr="004E1E73">
        <w:rPr>
          <w:rFonts w:ascii="Times New Roman" w:hAnsi="Times New Roman"/>
          <w:i/>
          <w:color w:val="000000"/>
          <w:sz w:val="28"/>
          <w:szCs w:val="28"/>
        </w:rPr>
        <w:t>Ecobank</w:t>
      </w:r>
      <w:r w:rsidRPr="004E1E73">
        <w:rPr>
          <w:rStyle w:val="FootnoteReference"/>
          <w:rFonts w:ascii="Times New Roman" w:hAnsi="Times New Roman"/>
          <w:color w:val="000000"/>
          <w:sz w:val="28"/>
          <w:szCs w:val="28"/>
        </w:rPr>
        <w:footnoteReference w:id="120"/>
      </w:r>
      <w:r w:rsidRPr="004E1E73">
        <w:rPr>
          <w:rFonts w:ascii="Times New Roman" w:hAnsi="Times New Roman"/>
          <w:color w:val="000000"/>
          <w:sz w:val="28"/>
          <w:szCs w:val="28"/>
        </w:rPr>
        <w:t xml:space="preserve">. As discussed above, a number of first instance judgments have cited and applied the Court of Appeal’s reasoning in </w:t>
      </w:r>
      <w:r w:rsidRPr="004E1E73">
        <w:rPr>
          <w:rFonts w:ascii="Times New Roman" w:hAnsi="Times New Roman"/>
          <w:i/>
          <w:iCs/>
          <w:color w:val="000000"/>
          <w:sz w:val="28"/>
          <w:szCs w:val="28"/>
        </w:rPr>
        <w:t>Ecobank</w:t>
      </w:r>
      <w:r w:rsidRPr="004E1E73">
        <w:rPr>
          <w:rStyle w:val="FootnoteReference"/>
          <w:rFonts w:ascii="Times New Roman" w:hAnsi="Times New Roman"/>
          <w:color w:val="000000"/>
          <w:sz w:val="28"/>
          <w:szCs w:val="28"/>
        </w:rPr>
        <w:footnoteReference w:id="121"/>
      </w:r>
      <w:r w:rsidRPr="004E1E73">
        <w:rPr>
          <w:rFonts w:ascii="Times New Roman" w:hAnsi="Times New Roman"/>
          <w:color w:val="000000"/>
          <w:sz w:val="28"/>
          <w:szCs w:val="28"/>
        </w:rPr>
        <w:t xml:space="preserve">. </w:t>
      </w:r>
    </w:p>
    <w:p w14:paraId="7E009A59" w14:textId="1EDB2B5C" w:rsidR="0095151C" w:rsidRPr="004E1E73" w:rsidRDefault="0095151C" w:rsidP="004E1E73">
      <w:pPr>
        <w:spacing w:line="360" w:lineRule="auto"/>
        <w:jc w:val="both"/>
        <w:rPr>
          <w:rFonts w:ascii="Times New Roman" w:hAnsi="Times New Roman"/>
          <w:color w:val="3D3D3D"/>
          <w:sz w:val="28"/>
          <w:szCs w:val="28"/>
          <w:shd w:val="clear" w:color="auto" w:fill="FFFFFF"/>
        </w:rPr>
      </w:pPr>
      <w:r w:rsidRPr="004E1E73">
        <w:rPr>
          <w:rFonts w:ascii="Times New Roman" w:hAnsi="Times New Roman"/>
          <w:color w:val="000000"/>
          <w:sz w:val="28"/>
          <w:szCs w:val="28"/>
        </w:rPr>
        <w:t xml:space="preserve">A closer examination of the </w:t>
      </w:r>
      <w:r w:rsidRPr="004E1E73">
        <w:rPr>
          <w:rFonts w:ascii="Times New Roman" w:hAnsi="Times New Roman"/>
          <w:i/>
          <w:iCs/>
          <w:color w:val="000000"/>
          <w:sz w:val="28"/>
          <w:szCs w:val="28"/>
        </w:rPr>
        <w:t>Times Trading</w:t>
      </w:r>
      <w:r w:rsidRPr="004E1E73">
        <w:rPr>
          <w:rFonts w:ascii="Times New Roman" w:hAnsi="Times New Roman"/>
          <w:color w:val="000000"/>
          <w:sz w:val="28"/>
          <w:szCs w:val="28"/>
        </w:rPr>
        <w:t xml:space="preserve"> line of</w:t>
      </w:r>
      <w:r w:rsidR="00531F19">
        <w:rPr>
          <w:rFonts w:ascii="Times New Roman" w:hAnsi="Times New Roman"/>
          <w:color w:val="000000"/>
          <w:sz w:val="28"/>
          <w:szCs w:val="28"/>
        </w:rPr>
        <w:t xml:space="preserve"> authorities</w:t>
      </w:r>
      <w:r w:rsidRPr="004E1E73">
        <w:rPr>
          <w:rFonts w:ascii="Times New Roman" w:hAnsi="Times New Roman"/>
          <w:color w:val="000000"/>
          <w:sz w:val="28"/>
          <w:szCs w:val="28"/>
        </w:rPr>
        <w:t xml:space="preserve"> is important. In </w:t>
      </w:r>
      <w:r w:rsidRPr="004E1E73">
        <w:rPr>
          <w:rFonts w:ascii="Times New Roman" w:hAnsi="Times New Roman"/>
          <w:i/>
          <w:iCs/>
          <w:color w:val="000000"/>
          <w:sz w:val="28"/>
          <w:szCs w:val="28"/>
        </w:rPr>
        <w:t>Times Trading</w:t>
      </w:r>
      <w:r w:rsidRPr="004E1E73">
        <w:rPr>
          <w:rFonts w:ascii="Times New Roman" w:hAnsi="Times New Roman"/>
          <w:color w:val="000000"/>
          <w:sz w:val="28"/>
          <w:szCs w:val="28"/>
        </w:rPr>
        <w:t xml:space="preserve"> there was a delay of about four months and in </w:t>
      </w:r>
      <w:r w:rsidRPr="004E1E73">
        <w:rPr>
          <w:rFonts w:ascii="Times New Roman" w:hAnsi="Times New Roman"/>
          <w:i/>
          <w:iCs/>
          <w:color w:val="000000"/>
          <w:sz w:val="28"/>
          <w:szCs w:val="28"/>
        </w:rPr>
        <w:t>ZHD</w:t>
      </w:r>
      <w:r w:rsidRPr="004E1E73">
        <w:rPr>
          <w:rFonts w:ascii="Times New Roman" w:hAnsi="Times New Roman"/>
          <w:color w:val="000000"/>
          <w:sz w:val="28"/>
          <w:szCs w:val="28"/>
        </w:rPr>
        <w:t xml:space="preserve"> there was about six months delay in applying. In </w:t>
      </w:r>
      <w:r w:rsidRPr="004E1E73">
        <w:rPr>
          <w:rFonts w:ascii="Times New Roman" w:hAnsi="Times New Roman"/>
          <w:i/>
          <w:iCs/>
          <w:color w:val="000000"/>
          <w:sz w:val="28"/>
          <w:szCs w:val="28"/>
        </w:rPr>
        <w:t xml:space="preserve">Specialised Vessel </w:t>
      </w:r>
      <w:r w:rsidRPr="004E1E73">
        <w:rPr>
          <w:rFonts w:ascii="Times New Roman" w:hAnsi="Times New Roman"/>
          <w:color w:val="000000"/>
          <w:sz w:val="28"/>
          <w:szCs w:val="28"/>
        </w:rPr>
        <w:t xml:space="preserve">and </w:t>
      </w:r>
      <w:r w:rsidRPr="004E1E73">
        <w:rPr>
          <w:rFonts w:ascii="Times New Roman" w:hAnsi="Times New Roman"/>
          <w:i/>
          <w:iCs/>
          <w:color w:val="000000"/>
          <w:sz w:val="28"/>
          <w:szCs w:val="28"/>
        </w:rPr>
        <w:t>VTB</w:t>
      </w:r>
      <w:r w:rsidRPr="004E1E73">
        <w:rPr>
          <w:rFonts w:ascii="Times New Roman" w:hAnsi="Times New Roman"/>
          <w:color w:val="000000"/>
          <w:sz w:val="28"/>
          <w:szCs w:val="28"/>
        </w:rPr>
        <w:t xml:space="preserve">, the applicant applied a year after the first proceedings were served, whilst in </w:t>
      </w:r>
      <w:r w:rsidRPr="004E1E73">
        <w:rPr>
          <w:rFonts w:ascii="Times New Roman" w:hAnsi="Times New Roman"/>
          <w:i/>
          <w:iCs/>
          <w:color w:val="000000"/>
          <w:sz w:val="28"/>
          <w:szCs w:val="28"/>
        </w:rPr>
        <w:t xml:space="preserve">A v B </w:t>
      </w:r>
      <w:r w:rsidRPr="004E1E73">
        <w:rPr>
          <w:rFonts w:ascii="Times New Roman" w:hAnsi="Times New Roman"/>
          <w:color w:val="000000"/>
          <w:sz w:val="28"/>
          <w:szCs w:val="28"/>
        </w:rPr>
        <w:t>the application was only made after the Chinese Court had dismissed the claimant’s jurisdictional challenge</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The emerging theme from these cases is that if the foreign proceedings have not progressed far and there is no prejudice in granting the injunction sought, then the delay should not be a reason not to grant the injunction</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The author accepts that delay per se should not be a reason not to grant interim relief, and the eloquent view </w:t>
      </w:r>
      <w:r w:rsidRPr="004E1E73">
        <w:rPr>
          <w:rFonts w:ascii="Times New Roman" w:hAnsi="Times New Roman"/>
          <w:color w:val="000000"/>
          <w:sz w:val="28"/>
          <w:szCs w:val="28"/>
        </w:rPr>
        <w:lastRenderedPageBreak/>
        <w:t>expressed by Raphael that “</w:t>
      </w:r>
      <w:r w:rsidRPr="004E1E73">
        <w:rPr>
          <w:rFonts w:ascii="Times New Roman" w:hAnsi="Times New Roman"/>
          <w:i/>
          <w:color w:val="000000"/>
          <w:sz w:val="28"/>
          <w:szCs w:val="28"/>
        </w:rPr>
        <w:t>the significance of delay will depend on all circumstances of a particular case</w:t>
      </w:r>
      <w:r w:rsidRPr="004E1E73">
        <w:rPr>
          <w:rFonts w:ascii="Times New Roman" w:hAnsi="Times New Roman"/>
          <w:color w:val="000000"/>
          <w:sz w:val="28"/>
          <w:szCs w:val="28"/>
        </w:rPr>
        <w:t>”</w:t>
      </w:r>
      <w:r w:rsidRPr="004E1E73">
        <w:rPr>
          <w:rStyle w:val="FootnoteReference"/>
          <w:rFonts w:ascii="Times New Roman" w:hAnsi="Times New Roman"/>
          <w:color w:val="000000"/>
          <w:sz w:val="28"/>
          <w:szCs w:val="28"/>
        </w:rPr>
        <w:footnoteReference w:id="122"/>
      </w:r>
      <w:r w:rsidRPr="004E1E73">
        <w:rPr>
          <w:rFonts w:ascii="Times New Roman" w:hAnsi="Times New Roman"/>
          <w:color w:val="000000"/>
          <w:sz w:val="28"/>
          <w:szCs w:val="28"/>
        </w:rPr>
        <w:t xml:space="preserve">. Indeed, the author does not advocate a prescriptive approach, nevertheless, the new-found flexibility by the English Courts in relation to delay is sending out the wrong message. This is so because it is at odds with previous authorities and a “green light” for an applicant to challenge the jurisdiction of the foreign Court first and then wait and see what happens. This was clearly the case in </w:t>
      </w:r>
      <w:r w:rsidRPr="004E1E73">
        <w:rPr>
          <w:rFonts w:ascii="Times New Roman" w:hAnsi="Times New Roman"/>
          <w:i/>
          <w:iCs/>
          <w:color w:val="000000"/>
          <w:sz w:val="28"/>
          <w:szCs w:val="28"/>
        </w:rPr>
        <w:t>Av B</w:t>
      </w:r>
      <w:r w:rsidRPr="004E1E73">
        <w:rPr>
          <w:rFonts w:ascii="Times New Roman" w:hAnsi="Times New Roman"/>
          <w:color w:val="000000"/>
          <w:sz w:val="28"/>
          <w:szCs w:val="28"/>
        </w:rPr>
        <w:t xml:space="preserve"> and to some extent in </w:t>
      </w:r>
      <w:r w:rsidRPr="004E1E73">
        <w:rPr>
          <w:rFonts w:ascii="Times New Roman" w:hAnsi="Times New Roman"/>
          <w:i/>
          <w:iCs/>
          <w:color w:val="000000"/>
          <w:sz w:val="28"/>
          <w:szCs w:val="28"/>
        </w:rPr>
        <w:t>Specialised Vessel</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This begs the question:  is it now the case that a party is at liberty to first challenge the jurisdiction of the foreign Court and wait for the outcome of that challenge before applying for injunctive relief as long as the matter has not progressed to its merit? If yes, this approach is at odds with the Court of Appeal’s decision in </w:t>
      </w:r>
      <w:r w:rsidRPr="004E1E73">
        <w:rPr>
          <w:rFonts w:ascii="Times New Roman" w:hAnsi="Times New Roman"/>
          <w:i/>
          <w:color w:val="000000"/>
          <w:sz w:val="28"/>
          <w:szCs w:val="28"/>
        </w:rPr>
        <w:t>Ecobank</w:t>
      </w:r>
      <w:r w:rsidRPr="004E1E73">
        <w:rPr>
          <w:rStyle w:val="FootnoteReference"/>
          <w:rFonts w:ascii="Times New Roman" w:hAnsi="Times New Roman"/>
          <w:color w:val="000000"/>
          <w:sz w:val="28"/>
          <w:szCs w:val="28"/>
        </w:rPr>
        <w:footnoteReference w:id="123"/>
      </w:r>
      <w:r w:rsidRPr="004E1E73">
        <w:rPr>
          <w:rFonts w:ascii="Times New Roman" w:hAnsi="Times New Roman"/>
          <w:color w:val="000000"/>
          <w:sz w:val="28"/>
          <w:szCs w:val="28"/>
        </w:rPr>
        <w:t xml:space="preserve"> and indeed </w:t>
      </w:r>
      <w:r w:rsidRPr="004E1E73">
        <w:rPr>
          <w:rFonts w:ascii="Times New Roman" w:hAnsi="Times New Roman"/>
          <w:i/>
          <w:iCs/>
          <w:color w:val="000000"/>
          <w:sz w:val="28"/>
          <w:szCs w:val="28"/>
        </w:rPr>
        <w:t>Essar</w:t>
      </w:r>
      <w:r w:rsidRPr="004E1E73">
        <w:rPr>
          <w:rFonts w:ascii="Times New Roman" w:hAnsi="Times New Roman"/>
          <w:color w:val="000000"/>
          <w:sz w:val="28"/>
          <w:szCs w:val="28"/>
        </w:rPr>
        <w:t xml:space="preserve">. In </w:t>
      </w:r>
      <w:r w:rsidRPr="004E1E73">
        <w:rPr>
          <w:rFonts w:ascii="Times New Roman" w:hAnsi="Times New Roman"/>
          <w:i/>
          <w:iCs/>
          <w:color w:val="000000"/>
          <w:sz w:val="28"/>
          <w:szCs w:val="28"/>
        </w:rPr>
        <w:t>Ecobank</w:t>
      </w:r>
      <w:r w:rsidRPr="004E1E73">
        <w:rPr>
          <w:rFonts w:ascii="Times New Roman" w:hAnsi="Times New Roman"/>
          <w:color w:val="000000"/>
          <w:sz w:val="28"/>
          <w:szCs w:val="28"/>
        </w:rPr>
        <w:t>, Clarke LJ made crystal clear that an applicant is not entitled to wait and see what the foreign Court decides when he noted that:</w:t>
      </w:r>
    </w:p>
    <w:p w14:paraId="782E3606" w14:textId="77777777" w:rsidR="0095151C" w:rsidRPr="004E1E73" w:rsidRDefault="0095151C" w:rsidP="004E1E73">
      <w:pPr>
        <w:spacing w:line="360" w:lineRule="auto"/>
        <w:ind w:left="720"/>
        <w:jc w:val="both"/>
        <w:rPr>
          <w:rFonts w:ascii="Times New Roman" w:hAnsi="Times New Roman"/>
          <w:color w:val="3D3D3D"/>
          <w:sz w:val="28"/>
          <w:szCs w:val="28"/>
          <w:shd w:val="clear" w:color="auto" w:fill="FFFFFF"/>
        </w:rPr>
      </w:pPr>
      <w:r w:rsidRPr="004E1E73">
        <w:rPr>
          <w:rFonts w:ascii="Times New Roman" w:hAnsi="Times New Roman"/>
          <w:color w:val="3D3D3D"/>
          <w:sz w:val="28"/>
          <w:szCs w:val="28"/>
          <w:shd w:val="clear" w:color="auto" w:fill="FFFFFF"/>
        </w:rPr>
        <w:t>“</w:t>
      </w:r>
      <w:r w:rsidRPr="004E1E73">
        <w:rPr>
          <w:rFonts w:ascii="Times New Roman" w:hAnsi="Times New Roman"/>
          <w:i/>
          <w:color w:val="3D3D3D"/>
          <w:sz w:val="28"/>
          <w:szCs w:val="28"/>
          <w:shd w:val="clear" w:color="auto" w:fill="FFFFFF"/>
        </w:rPr>
        <w:t>Further the tenor of modern authorities is that an applicant should act promptly and claim injunctive relief at an early stage; and should not adopt an attitude of waiting to see what the foreign court decides</w:t>
      </w:r>
      <w:r w:rsidRPr="004E1E73">
        <w:rPr>
          <w:rFonts w:ascii="Times New Roman" w:hAnsi="Times New Roman"/>
          <w:color w:val="3D3D3D"/>
          <w:sz w:val="28"/>
          <w:szCs w:val="28"/>
          <w:shd w:val="clear" w:color="auto" w:fill="FFFFFF"/>
        </w:rPr>
        <w:t>”</w:t>
      </w:r>
      <w:r w:rsidRPr="004E1E73">
        <w:rPr>
          <w:rStyle w:val="FootnoteReference"/>
          <w:rFonts w:ascii="Times New Roman" w:hAnsi="Times New Roman"/>
          <w:color w:val="3D3D3D"/>
          <w:sz w:val="28"/>
          <w:szCs w:val="28"/>
          <w:shd w:val="clear" w:color="auto" w:fill="FFFFFF"/>
        </w:rPr>
        <w:footnoteReference w:id="124"/>
      </w:r>
      <w:r w:rsidRPr="004E1E73">
        <w:rPr>
          <w:rFonts w:ascii="Times New Roman" w:hAnsi="Times New Roman"/>
          <w:color w:val="3D3D3D"/>
          <w:sz w:val="28"/>
          <w:szCs w:val="28"/>
          <w:shd w:val="clear" w:color="auto" w:fill="FFFFFF"/>
        </w:rPr>
        <w:t>.</w:t>
      </w:r>
    </w:p>
    <w:p w14:paraId="1FDB8163" w14:textId="27156C31" w:rsidR="0095151C" w:rsidRPr="004E1E73" w:rsidRDefault="0095151C" w:rsidP="004E1E73">
      <w:pPr>
        <w:spacing w:line="360" w:lineRule="auto"/>
        <w:ind w:left="70"/>
        <w:jc w:val="both"/>
        <w:rPr>
          <w:rFonts w:ascii="Times New Roman" w:hAnsi="Times New Roman"/>
          <w:color w:val="000000"/>
          <w:sz w:val="28"/>
          <w:szCs w:val="28"/>
        </w:rPr>
      </w:pPr>
      <w:r w:rsidRPr="004E1E73">
        <w:rPr>
          <w:rFonts w:ascii="Times New Roman" w:hAnsi="Times New Roman"/>
          <w:color w:val="000000"/>
          <w:sz w:val="28"/>
          <w:szCs w:val="28"/>
        </w:rPr>
        <w:t xml:space="preserve">Furthermore, it will be recalled that in </w:t>
      </w:r>
      <w:r w:rsidRPr="004E1E73">
        <w:rPr>
          <w:rFonts w:ascii="Times New Roman" w:hAnsi="Times New Roman"/>
          <w:i/>
          <w:color w:val="000000"/>
          <w:sz w:val="28"/>
          <w:szCs w:val="28"/>
        </w:rPr>
        <w:t>Essar</w:t>
      </w:r>
      <w:r w:rsidRPr="004E1E73">
        <w:rPr>
          <w:rFonts w:ascii="Times New Roman" w:hAnsi="Times New Roman"/>
          <w:color w:val="000000"/>
          <w:sz w:val="28"/>
          <w:szCs w:val="28"/>
        </w:rPr>
        <w:t xml:space="preserve">, Walker J rejected the argument that a party was entitled to first challenge the jurisdiction of the foreign Court </w:t>
      </w:r>
      <w:r w:rsidRPr="004E1E73">
        <w:rPr>
          <w:rStyle w:val="FootnoteReference"/>
          <w:rFonts w:ascii="Times New Roman" w:hAnsi="Times New Roman"/>
          <w:color w:val="000000"/>
          <w:sz w:val="28"/>
          <w:szCs w:val="28"/>
        </w:rPr>
        <w:footnoteReference w:id="125"/>
      </w:r>
      <w:r w:rsidRPr="004E1E73">
        <w:rPr>
          <w:rFonts w:ascii="Times New Roman" w:hAnsi="Times New Roman"/>
          <w:color w:val="000000"/>
          <w:sz w:val="28"/>
          <w:szCs w:val="28"/>
        </w:rPr>
        <w:t xml:space="preserve">and this was determined before </w:t>
      </w:r>
      <w:r w:rsidRPr="004E1E73">
        <w:rPr>
          <w:rFonts w:ascii="Times New Roman" w:hAnsi="Times New Roman"/>
          <w:i/>
          <w:color w:val="000000"/>
          <w:sz w:val="28"/>
          <w:szCs w:val="28"/>
        </w:rPr>
        <w:t>Ecobank</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This approach has been followed in </w:t>
      </w:r>
      <w:r w:rsidRPr="004E1E73">
        <w:rPr>
          <w:rFonts w:ascii="Times New Roman" w:hAnsi="Times New Roman"/>
          <w:i/>
          <w:color w:val="000000"/>
          <w:sz w:val="28"/>
          <w:szCs w:val="28"/>
        </w:rPr>
        <w:t>ADM Asia</w:t>
      </w:r>
      <w:r w:rsidRPr="004E1E73">
        <w:rPr>
          <w:rFonts w:ascii="Times New Roman" w:hAnsi="Times New Roman"/>
          <w:color w:val="000000"/>
          <w:sz w:val="28"/>
          <w:szCs w:val="28"/>
        </w:rPr>
        <w:t xml:space="preserve"> where the applicant argued that it should not be obliged to seek relief in two </w:t>
      </w:r>
      <w:r w:rsidRPr="004E1E73">
        <w:rPr>
          <w:rFonts w:ascii="Times New Roman" w:hAnsi="Times New Roman"/>
          <w:color w:val="000000"/>
          <w:sz w:val="28"/>
          <w:szCs w:val="28"/>
        </w:rPr>
        <w:lastRenderedPageBreak/>
        <w:t>jurisdictions simultaneously</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This argument was correctly rejected by Phillips J on the basis that such an approach was at odds with the Court of Appeal’s decision in </w:t>
      </w:r>
      <w:r w:rsidRPr="004E1E73">
        <w:rPr>
          <w:rFonts w:ascii="Times New Roman" w:hAnsi="Times New Roman"/>
          <w:i/>
          <w:iCs/>
          <w:color w:val="000000"/>
          <w:sz w:val="28"/>
          <w:szCs w:val="28"/>
        </w:rPr>
        <w:t>Ecobank</w:t>
      </w:r>
      <w:r w:rsidRPr="004E1E73">
        <w:rPr>
          <w:rStyle w:val="FootnoteReference"/>
          <w:rFonts w:ascii="Times New Roman" w:hAnsi="Times New Roman"/>
          <w:color w:val="000000"/>
          <w:sz w:val="28"/>
          <w:szCs w:val="28"/>
        </w:rPr>
        <w:footnoteReference w:id="126"/>
      </w:r>
      <w:r w:rsidRPr="004E1E73">
        <w:rPr>
          <w:rFonts w:ascii="Times New Roman" w:hAnsi="Times New Roman"/>
          <w:color w:val="000000"/>
          <w:sz w:val="28"/>
          <w:szCs w:val="28"/>
        </w:rPr>
        <w:t xml:space="preserve"> and the approach adopted by the Commercial Court in relation to anti-suit injunctions</w:t>
      </w:r>
      <w:r w:rsidRPr="004E1E73">
        <w:rPr>
          <w:rStyle w:val="FootnoteReference"/>
          <w:rFonts w:ascii="Times New Roman" w:hAnsi="Times New Roman"/>
          <w:color w:val="000000"/>
          <w:sz w:val="28"/>
          <w:szCs w:val="28"/>
        </w:rPr>
        <w:footnoteReference w:id="127"/>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Further support for this argument can be found in </w:t>
      </w:r>
      <w:r w:rsidRPr="004E1E73">
        <w:rPr>
          <w:rFonts w:ascii="Times New Roman" w:hAnsi="Times New Roman"/>
          <w:i/>
          <w:color w:val="000000"/>
          <w:sz w:val="28"/>
          <w:szCs w:val="28"/>
        </w:rPr>
        <w:t>Magellan Spirit</w:t>
      </w:r>
      <w:r w:rsidR="00035FC6">
        <w:rPr>
          <w:rStyle w:val="FootnoteReference"/>
          <w:rFonts w:ascii="Times New Roman" w:hAnsi="Times New Roman"/>
          <w:i/>
          <w:color w:val="000000"/>
          <w:sz w:val="28"/>
          <w:szCs w:val="28"/>
        </w:rPr>
        <w:footnoteReference w:id="128"/>
      </w:r>
      <w:r w:rsidRPr="004E1E73">
        <w:rPr>
          <w:rFonts w:ascii="Times New Roman" w:hAnsi="Times New Roman"/>
          <w:color w:val="000000"/>
          <w:sz w:val="28"/>
          <w:szCs w:val="28"/>
        </w:rPr>
        <w:t xml:space="preserve">. Although the Court of Appeal’s decision in </w:t>
      </w:r>
      <w:r w:rsidRPr="004E1E73">
        <w:rPr>
          <w:rFonts w:ascii="Times New Roman" w:hAnsi="Times New Roman"/>
          <w:i/>
          <w:color w:val="000000"/>
          <w:sz w:val="28"/>
          <w:szCs w:val="28"/>
        </w:rPr>
        <w:t>Ecobank</w:t>
      </w:r>
      <w:r w:rsidRPr="004E1E73">
        <w:rPr>
          <w:rFonts w:ascii="Times New Roman" w:hAnsi="Times New Roman"/>
          <w:color w:val="000000"/>
          <w:sz w:val="28"/>
          <w:szCs w:val="28"/>
        </w:rPr>
        <w:t xml:space="preserve"> was not cited in </w:t>
      </w:r>
      <w:r w:rsidRPr="004E1E73">
        <w:rPr>
          <w:rFonts w:ascii="Times New Roman" w:hAnsi="Times New Roman"/>
          <w:i/>
          <w:iCs/>
          <w:color w:val="000000"/>
          <w:sz w:val="28"/>
          <w:szCs w:val="28"/>
        </w:rPr>
        <w:t>Magellan</w:t>
      </w:r>
      <w:r w:rsidRPr="004E1E73">
        <w:rPr>
          <w:rFonts w:ascii="Times New Roman" w:hAnsi="Times New Roman"/>
          <w:color w:val="000000"/>
          <w:sz w:val="28"/>
          <w:szCs w:val="28"/>
        </w:rPr>
        <w:t xml:space="preserve">, it adopted a similar approach to </w:t>
      </w:r>
      <w:r w:rsidRPr="004E1E73">
        <w:rPr>
          <w:rFonts w:ascii="Times New Roman" w:hAnsi="Times New Roman"/>
          <w:i/>
          <w:iCs/>
          <w:color w:val="000000"/>
          <w:sz w:val="28"/>
          <w:szCs w:val="28"/>
        </w:rPr>
        <w:t>Ecobank</w:t>
      </w:r>
      <w:r w:rsidRPr="004E1E73">
        <w:rPr>
          <w:rFonts w:ascii="Times New Roman" w:hAnsi="Times New Roman"/>
          <w:color w:val="000000"/>
          <w:sz w:val="28"/>
          <w:szCs w:val="28"/>
        </w:rPr>
        <w:t xml:space="preserve">. In particular, the comments of Leggatt J that </w:t>
      </w:r>
    </w:p>
    <w:p w14:paraId="42FF7A86" w14:textId="77777777" w:rsidR="0095151C" w:rsidRPr="004E1E73" w:rsidRDefault="0095151C" w:rsidP="004E1E73">
      <w:pPr>
        <w:spacing w:line="360" w:lineRule="auto"/>
        <w:ind w:left="720"/>
        <w:jc w:val="both"/>
        <w:rPr>
          <w:rFonts w:ascii="Times New Roman" w:hAnsi="Times New Roman"/>
          <w:color w:val="000000"/>
          <w:sz w:val="28"/>
          <w:szCs w:val="28"/>
        </w:rPr>
      </w:pPr>
      <w:r w:rsidRPr="004E1E73">
        <w:rPr>
          <w:rFonts w:ascii="Times New Roman" w:hAnsi="Times New Roman"/>
          <w:color w:val="000000"/>
          <w:sz w:val="28"/>
          <w:szCs w:val="28"/>
        </w:rPr>
        <w:t>“</w:t>
      </w:r>
      <w:r w:rsidRPr="004E1E73">
        <w:rPr>
          <w:rFonts w:ascii="Times New Roman" w:hAnsi="Times New Roman"/>
          <w:i/>
          <w:iCs/>
          <w:color w:val="000000"/>
          <w:sz w:val="28"/>
          <w:szCs w:val="28"/>
        </w:rPr>
        <w:t>lack of promptness alone may justify refusal of an injunction even if there has been no significant progress in the foreign proceedings and no detrimental reliance</w:t>
      </w:r>
      <w:r w:rsidRPr="004E1E73">
        <w:rPr>
          <w:rFonts w:ascii="Times New Roman" w:hAnsi="Times New Roman"/>
          <w:color w:val="000000"/>
          <w:sz w:val="28"/>
          <w:szCs w:val="28"/>
        </w:rPr>
        <w:t>”</w:t>
      </w:r>
      <w:r w:rsidRPr="004E1E73">
        <w:rPr>
          <w:rStyle w:val="FootnoteReference"/>
          <w:rFonts w:ascii="Times New Roman" w:hAnsi="Times New Roman"/>
          <w:color w:val="000000"/>
          <w:sz w:val="28"/>
          <w:szCs w:val="28"/>
        </w:rPr>
        <w:footnoteReference w:id="129"/>
      </w:r>
      <w:r w:rsidRPr="004E1E73">
        <w:rPr>
          <w:rFonts w:ascii="Times New Roman" w:hAnsi="Times New Roman"/>
          <w:color w:val="000000"/>
          <w:sz w:val="28"/>
          <w:szCs w:val="28"/>
        </w:rPr>
        <w:t xml:space="preserve"> . </w:t>
      </w:r>
    </w:p>
    <w:p w14:paraId="5E0C2C10" w14:textId="1B5C34F5" w:rsidR="0095151C" w:rsidRPr="004E1E73" w:rsidRDefault="0095151C" w:rsidP="004E1E73">
      <w:pPr>
        <w:spacing w:line="360" w:lineRule="auto"/>
        <w:jc w:val="both"/>
        <w:rPr>
          <w:rFonts w:ascii="Times New Roman" w:hAnsi="Times New Roman"/>
          <w:color w:val="3D3D3D"/>
          <w:sz w:val="28"/>
          <w:szCs w:val="28"/>
          <w:shd w:val="clear" w:color="auto" w:fill="FFFFFF"/>
        </w:rPr>
      </w:pPr>
      <w:r w:rsidRPr="004E1E73">
        <w:rPr>
          <w:rFonts w:ascii="Times New Roman" w:hAnsi="Times New Roman"/>
          <w:color w:val="000000"/>
          <w:sz w:val="28"/>
          <w:szCs w:val="28"/>
        </w:rPr>
        <w:t>This is a clear statement that is at odds with the</w:t>
      </w:r>
      <w:r w:rsidRPr="004E1E73">
        <w:rPr>
          <w:rFonts w:ascii="Times New Roman" w:hAnsi="Times New Roman"/>
          <w:i/>
          <w:iCs/>
          <w:color w:val="000000"/>
          <w:sz w:val="28"/>
          <w:szCs w:val="28"/>
        </w:rPr>
        <w:t xml:space="preserve"> Times Trading</w:t>
      </w:r>
      <w:r w:rsidRPr="004E1E73">
        <w:rPr>
          <w:rFonts w:ascii="Times New Roman" w:hAnsi="Times New Roman"/>
          <w:color w:val="000000"/>
          <w:sz w:val="28"/>
          <w:szCs w:val="28"/>
        </w:rPr>
        <w:t xml:space="preserve"> line of authorities which suggest that the key determinant factor is not promptness but how far the foreign proceedings have progressed</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Consequently, there is a clear tension between the earlier authorities on delay and the emerging jurisprudence. Indeed, this tension potentially allows a second bite of the cherry something that the Court of Appeal was keen to avoid in </w:t>
      </w:r>
      <w:r w:rsidRPr="004E1E73">
        <w:rPr>
          <w:rFonts w:ascii="Times New Roman" w:hAnsi="Times New Roman"/>
          <w:i/>
          <w:iCs/>
          <w:color w:val="000000"/>
          <w:sz w:val="28"/>
          <w:szCs w:val="28"/>
        </w:rPr>
        <w:t>Ecobank</w:t>
      </w:r>
      <w:r w:rsidRPr="004E1E73">
        <w:rPr>
          <w:rStyle w:val="FootnoteReference"/>
          <w:rFonts w:ascii="Times New Roman" w:hAnsi="Times New Roman"/>
          <w:color w:val="000000"/>
          <w:sz w:val="28"/>
          <w:szCs w:val="28"/>
        </w:rPr>
        <w:footnoteReference w:id="130"/>
      </w:r>
      <w:r w:rsidR="00450A51" w:rsidRPr="004E1E73">
        <w:rPr>
          <w:rFonts w:ascii="Times New Roman" w:hAnsi="Times New Roman"/>
          <w:color w:val="000000"/>
          <w:sz w:val="28"/>
          <w:szCs w:val="28"/>
        </w:rPr>
        <w:t xml:space="preserve">. </w:t>
      </w:r>
    </w:p>
    <w:p w14:paraId="1403434C" w14:textId="77777777"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 It is worth noting that there are certain jurisdictions where an applicant seeking to challenge the jurisdiction of the Court is compelled to file its defence at the same time. In such circumstances it would be extremely unwise for a party to wait for the </w:t>
      </w:r>
      <w:r w:rsidRPr="004E1E73">
        <w:rPr>
          <w:rFonts w:ascii="Times New Roman" w:hAnsi="Times New Roman"/>
          <w:color w:val="000000"/>
          <w:sz w:val="28"/>
          <w:szCs w:val="28"/>
        </w:rPr>
        <w:lastRenderedPageBreak/>
        <w:t>outcome of that application before applying for an anti-suit injunction as the merits may also have been decided.</w:t>
      </w:r>
    </w:p>
    <w:p w14:paraId="5C397A26" w14:textId="67C2215F"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Indeed,  it is worth remembering that the quality of legal advice will always vary, and an applicant may not always be correctly advised. In </w:t>
      </w:r>
      <w:r w:rsidRPr="004E1E73">
        <w:rPr>
          <w:rFonts w:ascii="Times New Roman" w:hAnsi="Times New Roman"/>
          <w:i/>
          <w:iCs/>
          <w:color w:val="000000"/>
          <w:sz w:val="28"/>
          <w:szCs w:val="28"/>
        </w:rPr>
        <w:t>Specialised Vessel</w:t>
      </w:r>
      <w:r w:rsidRPr="004E1E73">
        <w:rPr>
          <w:rFonts w:ascii="Times New Roman" w:hAnsi="Times New Roman"/>
          <w:color w:val="000000"/>
          <w:sz w:val="28"/>
          <w:szCs w:val="28"/>
        </w:rPr>
        <w:t>, it was clear that the advice that the jurisdictional challenge would be dealt with swiftly turned out not to be the case. In the author’s view, an applicant should apply promptly (once it is aware of the breach) for an anti- suit injunction irrespective of what the advice is in relation the local proceedings. If cost is the issue, then an applicant can always seek to recover the costs incurred in the foreign proceedings from the English Courts to the extent that the same has not been or cannot be recovered in those proceedings.</w:t>
      </w:r>
      <w:r w:rsidR="00035FC6">
        <w:rPr>
          <w:rFonts w:ascii="Times New Roman" w:hAnsi="Times New Roman"/>
          <w:color w:val="000000"/>
          <w:sz w:val="28"/>
          <w:szCs w:val="28"/>
        </w:rPr>
        <w:t xml:space="preserve"> </w:t>
      </w:r>
      <w:r w:rsidRPr="004E1E73">
        <w:rPr>
          <w:rFonts w:ascii="Times New Roman" w:hAnsi="Times New Roman"/>
          <w:color w:val="000000"/>
          <w:sz w:val="28"/>
          <w:szCs w:val="28"/>
        </w:rPr>
        <w:t xml:space="preserve">In relation to the delay in </w:t>
      </w:r>
      <w:r w:rsidRPr="004E1E73">
        <w:rPr>
          <w:rFonts w:ascii="Times New Roman" w:hAnsi="Times New Roman"/>
          <w:i/>
          <w:iCs/>
          <w:color w:val="000000"/>
          <w:sz w:val="28"/>
          <w:szCs w:val="28"/>
        </w:rPr>
        <w:t>Africa Finance Corporation</w:t>
      </w:r>
      <w:r w:rsidRPr="004E1E73">
        <w:rPr>
          <w:rFonts w:ascii="Times New Roman" w:hAnsi="Times New Roman"/>
          <w:color w:val="000000"/>
          <w:sz w:val="28"/>
          <w:szCs w:val="28"/>
        </w:rPr>
        <w:t xml:space="preserve">, the lenders could have asked for an undertaking from the borrowers not to raise the issue of delay in any subsequent injunction application in lieu of seeking an injunction straight away. This would be clear evidence that it would have moved promptly if an undertaking was not forth coming but also keep the re-negotiations alive without damaging relationship between the parties. Indeed, the use of such undertakings is nothing new and this was considered by </w:t>
      </w:r>
      <w:r w:rsidRPr="004E1E73">
        <w:rPr>
          <w:rFonts w:ascii="Times New Roman" w:eastAsia="Times New Roman" w:hAnsi="Times New Roman"/>
          <w:spacing w:val="-3"/>
          <w:sz w:val="28"/>
          <w:szCs w:val="28"/>
          <w:lang w:eastAsia="en-GB"/>
        </w:rPr>
        <w:t>Henshaw J in Daiichi</w:t>
      </w:r>
      <w:r w:rsidRPr="004E1E73">
        <w:rPr>
          <w:rFonts w:ascii="Times New Roman" w:eastAsia="Times New Roman" w:hAnsi="Times New Roman"/>
          <w:i/>
          <w:spacing w:val="-3"/>
          <w:sz w:val="28"/>
          <w:szCs w:val="28"/>
          <w:lang w:eastAsia="en-GB"/>
        </w:rPr>
        <w:t xml:space="preserve"> v Chubb Seguro Brasil SA</w:t>
      </w:r>
      <w:r w:rsidRPr="004E1E73">
        <w:rPr>
          <w:rStyle w:val="FootnoteReference"/>
          <w:rFonts w:ascii="Times New Roman" w:eastAsia="Times New Roman" w:hAnsi="Times New Roman"/>
          <w:spacing w:val="-3"/>
          <w:sz w:val="28"/>
          <w:szCs w:val="28"/>
          <w:lang w:eastAsia="en-GB"/>
        </w:rPr>
        <w:footnoteReference w:id="131"/>
      </w:r>
      <w:r w:rsidRPr="004E1E73">
        <w:rPr>
          <w:rFonts w:ascii="Times New Roman" w:eastAsia="Times New Roman" w:hAnsi="Times New Roman"/>
          <w:bCs/>
          <w:iCs/>
          <w:spacing w:val="-3"/>
          <w:sz w:val="28"/>
          <w:szCs w:val="28"/>
          <w:lang w:eastAsia="en-GB"/>
        </w:rPr>
        <w:t xml:space="preserve"> . </w:t>
      </w:r>
      <w:r w:rsidRPr="004E1E73">
        <w:rPr>
          <w:rFonts w:ascii="Times New Roman" w:hAnsi="Times New Roman"/>
          <w:color w:val="000000"/>
          <w:sz w:val="28"/>
          <w:szCs w:val="28"/>
        </w:rPr>
        <w:t xml:space="preserve">In that case, an anti-suit injunction was granted despite the applicant not applying promptly. However, there was a significant feature in that case that distinguishes it from cases such as </w:t>
      </w:r>
      <w:r w:rsidRPr="004E1E73">
        <w:rPr>
          <w:rFonts w:ascii="Times New Roman" w:hAnsi="Times New Roman"/>
          <w:i/>
          <w:iCs/>
          <w:color w:val="000000"/>
          <w:sz w:val="28"/>
          <w:szCs w:val="28"/>
        </w:rPr>
        <w:t>Essar</w:t>
      </w:r>
      <w:r w:rsidRPr="004E1E73">
        <w:rPr>
          <w:rFonts w:ascii="Times New Roman" w:hAnsi="Times New Roman"/>
          <w:color w:val="000000"/>
          <w:sz w:val="28"/>
          <w:szCs w:val="28"/>
        </w:rPr>
        <w:t xml:space="preserve"> and </w:t>
      </w:r>
      <w:r w:rsidRPr="004E1E73">
        <w:rPr>
          <w:rFonts w:ascii="Times New Roman" w:hAnsi="Times New Roman"/>
          <w:i/>
          <w:iCs/>
          <w:color w:val="000000"/>
          <w:sz w:val="28"/>
          <w:szCs w:val="28"/>
        </w:rPr>
        <w:t>ADM Asia</w:t>
      </w:r>
      <w:r w:rsidRPr="004E1E73">
        <w:rPr>
          <w:rFonts w:ascii="Times New Roman" w:hAnsi="Times New Roman"/>
          <w:color w:val="000000"/>
          <w:sz w:val="28"/>
          <w:szCs w:val="28"/>
        </w:rPr>
        <w:t>. This is because Chubb provided an undertaking not to pursue its claims in Brazil which had been provided in lieu of Daiichi applying for an anti-suit injunction</w:t>
      </w:r>
      <w:r w:rsidRPr="004E1E73">
        <w:rPr>
          <w:rStyle w:val="FootnoteReference"/>
          <w:rFonts w:ascii="Times New Roman" w:hAnsi="Times New Roman"/>
          <w:color w:val="000000"/>
          <w:sz w:val="28"/>
          <w:szCs w:val="28"/>
        </w:rPr>
        <w:footnoteReference w:id="132"/>
      </w:r>
      <w:r w:rsidRPr="004E1E73">
        <w:rPr>
          <w:rFonts w:ascii="Times New Roman" w:hAnsi="Times New Roman"/>
          <w:color w:val="000000"/>
          <w:sz w:val="28"/>
          <w:szCs w:val="28"/>
        </w:rPr>
        <w:t xml:space="preserve"> . This arrangement was conceived as a way of avoiding the need for an anti-suit injunction. </w:t>
      </w:r>
      <w:r w:rsidRPr="004E1E73">
        <w:rPr>
          <w:rFonts w:ascii="Times New Roman" w:hAnsi="Times New Roman"/>
          <w:color w:val="000000"/>
          <w:sz w:val="28"/>
          <w:szCs w:val="28"/>
        </w:rPr>
        <w:lastRenderedPageBreak/>
        <w:t>That being the case, it was logical and coherent for Henshaw J to grant the injunction sought</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Consequently, there is no overriding reason why such an approach could not have been adopted in </w:t>
      </w:r>
      <w:r w:rsidRPr="004E1E73">
        <w:rPr>
          <w:rFonts w:ascii="Times New Roman" w:hAnsi="Times New Roman"/>
          <w:i/>
          <w:iCs/>
          <w:color w:val="000000"/>
          <w:sz w:val="28"/>
          <w:szCs w:val="28"/>
        </w:rPr>
        <w:t>Africa Finance Corporation</w:t>
      </w:r>
      <w:r w:rsidRPr="004E1E73">
        <w:rPr>
          <w:rFonts w:ascii="Times New Roman" w:hAnsi="Times New Roman"/>
          <w:color w:val="000000"/>
          <w:sz w:val="28"/>
          <w:szCs w:val="28"/>
        </w:rPr>
        <w:t xml:space="preserve">. </w:t>
      </w:r>
    </w:p>
    <w:p w14:paraId="240FDED8" w14:textId="77777777" w:rsidR="0095151C" w:rsidRPr="004E1E73" w:rsidRDefault="0095151C" w:rsidP="004E1E73">
      <w:pPr>
        <w:spacing w:line="360" w:lineRule="auto"/>
        <w:jc w:val="both"/>
        <w:rPr>
          <w:rFonts w:ascii="Times New Roman" w:hAnsi="Times New Roman"/>
          <w:b/>
          <w:color w:val="000000"/>
          <w:sz w:val="28"/>
          <w:szCs w:val="28"/>
        </w:rPr>
      </w:pPr>
      <w:r w:rsidRPr="004E1E73">
        <w:rPr>
          <w:rFonts w:ascii="Times New Roman" w:hAnsi="Times New Roman"/>
          <w:b/>
          <w:color w:val="000000"/>
          <w:sz w:val="28"/>
          <w:szCs w:val="28"/>
        </w:rPr>
        <w:t xml:space="preserve">Conclusion </w:t>
      </w:r>
    </w:p>
    <w:p w14:paraId="0FE4D28C" w14:textId="3727604A"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This article examined the approach of the English Courts to delay in applying for an anti-suit injunction</w:t>
      </w:r>
      <w:r w:rsidR="005905E0"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It started by examining the recent approach of the English Courts to granting anti-suit injunctions so as to contextualise the discussion. It was clearly demonstrated that the approach to granting anti-suit injunctions as a whole has changed and so has the attitude towards delay. Although the English Courts </w:t>
      </w:r>
      <w:r w:rsidR="00B70383" w:rsidRPr="004E1E73">
        <w:rPr>
          <w:rFonts w:ascii="Times New Roman" w:hAnsi="Times New Roman"/>
          <w:color w:val="000000"/>
          <w:sz w:val="28"/>
          <w:szCs w:val="28"/>
        </w:rPr>
        <w:t>repeatedly say</w:t>
      </w:r>
      <w:r w:rsidRPr="004E1E73">
        <w:rPr>
          <w:rFonts w:ascii="Times New Roman" w:hAnsi="Times New Roman"/>
          <w:color w:val="000000"/>
          <w:sz w:val="28"/>
          <w:szCs w:val="28"/>
        </w:rPr>
        <w:t xml:space="preserve"> that the discretion to grant anti-suit injunctions must be exercised cautiously, however, in the author’s view the recent approach has been anything but cautious with little regard for comity.</w:t>
      </w:r>
      <w:r w:rsidR="004F371B" w:rsidRPr="004E1E73">
        <w:rPr>
          <w:rFonts w:ascii="Times New Roman" w:hAnsi="Times New Roman"/>
          <w:color w:val="000000"/>
          <w:sz w:val="28"/>
          <w:szCs w:val="28"/>
        </w:rPr>
        <w:t xml:space="preserve"> </w:t>
      </w:r>
      <w:r w:rsidR="004F371B" w:rsidRPr="00DE5A8F">
        <w:rPr>
          <w:rFonts w:ascii="Times New Roman" w:hAnsi="Times New Roman"/>
          <w:color w:val="000000"/>
          <w:sz w:val="28"/>
          <w:szCs w:val="28"/>
        </w:rPr>
        <w:t>The less cautious approach is further demonstrated by the recent developments</w:t>
      </w:r>
      <w:r w:rsidR="00531F19" w:rsidRPr="00DE5A8F">
        <w:rPr>
          <w:rFonts w:ascii="Times New Roman" w:hAnsi="Times New Roman"/>
          <w:color w:val="000000"/>
          <w:sz w:val="28"/>
          <w:szCs w:val="28"/>
        </w:rPr>
        <w:t xml:space="preserve"> on</w:t>
      </w:r>
      <w:r w:rsidR="004F371B" w:rsidRPr="00DE5A8F">
        <w:rPr>
          <w:rFonts w:ascii="Times New Roman" w:hAnsi="Times New Roman"/>
          <w:color w:val="000000"/>
          <w:sz w:val="28"/>
          <w:szCs w:val="28"/>
        </w:rPr>
        <w:t xml:space="preserve"> granting anti-suit injunctions in relation to foreign seated arbitrations</w:t>
      </w:r>
      <w:r w:rsidR="00450A51" w:rsidRPr="00DE5A8F">
        <w:rPr>
          <w:rFonts w:ascii="Times New Roman" w:hAnsi="Times New Roman"/>
          <w:color w:val="000000"/>
          <w:sz w:val="28"/>
          <w:szCs w:val="28"/>
        </w:rPr>
        <w:t xml:space="preserve">. </w:t>
      </w:r>
      <w:r w:rsidRPr="00DE5A8F">
        <w:rPr>
          <w:rFonts w:ascii="Times New Roman" w:hAnsi="Times New Roman"/>
          <w:color w:val="000000"/>
          <w:sz w:val="28"/>
          <w:szCs w:val="28"/>
        </w:rPr>
        <w:t>As demonstrated above, earlier authorities make clear that delay will not be tolerated, and an application for injunctive relief must be made promptly. It is indeed no coincidence that the length</w:t>
      </w:r>
      <w:r w:rsidRPr="004E1E73">
        <w:rPr>
          <w:rFonts w:ascii="Times New Roman" w:hAnsi="Times New Roman"/>
          <w:color w:val="000000"/>
          <w:sz w:val="28"/>
          <w:szCs w:val="28"/>
        </w:rPr>
        <w:t xml:space="preserve"> of delay that is starting to emerge is widening, and a delay of 13 months should not be tolerated</w:t>
      </w:r>
      <w:r w:rsidR="005905E0" w:rsidRPr="004E1E73">
        <w:rPr>
          <w:rFonts w:ascii="Times New Roman" w:hAnsi="Times New Roman"/>
          <w:color w:val="000000"/>
          <w:sz w:val="28"/>
          <w:szCs w:val="28"/>
        </w:rPr>
        <w:t xml:space="preserve">. </w:t>
      </w:r>
      <w:r w:rsidRPr="004E1E73">
        <w:rPr>
          <w:rFonts w:ascii="Times New Roman" w:hAnsi="Times New Roman"/>
          <w:color w:val="000000"/>
          <w:sz w:val="28"/>
          <w:szCs w:val="28"/>
        </w:rPr>
        <w:t>It is the author’s contention   that the new approach is sending out the wrong message to parties about seeking relief promptly</w:t>
      </w:r>
      <w:r w:rsidR="00B70383" w:rsidRPr="004E1E73">
        <w:rPr>
          <w:rFonts w:ascii="Times New Roman" w:hAnsi="Times New Roman"/>
          <w:color w:val="000000"/>
          <w:sz w:val="28"/>
          <w:szCs w:val="28"/>
        </w:rPr>
        <w:t xml:space="preserve">. </w:t>
      </w:r>
      <w:r w:rsidRPr="004E1E73">
        <w:rPr>
          <w:rFonts w:ascii="Times New Roman" w:hAnsi="Times New Roman"/>
          <w:color w:val="000000"/>
          <w:sz w:val="28"/>
          <w:szCs w:val="28"/>
        </w:rPr>
        <w:t>Consequently, applicants are now waiting much longer before seeking an anti-suit injunction</w:t>
      </w:r>
      <w:r w:rsidR="005905E0" w:rsidRPr="004E1E73">
        <w:rPr>
          <w:rFonts w:ascii="Times New Roman" w:hAnsi="Times New Roman"/>
          <w:color w:val="000000"/>
          <w:sz w:val="28"/>
          <w:szCs w:val="28"/>
        </w:rPr>
        <w:t xml:space="preserve">. </w:t>
      </w:r>
      <w:r w:rsidRPr="004E1E73">
        <w:rPr>
          <w:rFonts w:ascii="Times New Roman" w:hAnsi="Times New Roman"/>
          <w:color w:val="000000"/>
          <w:sz w:val="28"/>
          <w:szCs w:val="28"/>
        </w:rPr>
        <w:t>Furthermore, the new-found flexibility means that the English courts are now allowing a party to first challenge the jurisdiction of the foreign court before seeking an anti-suit injunction</w:t>
      </w:r>
      <w:r w:rsidR="00450A51" w:rsidRPr="004E1E73">
        <w:rPr>
          <w:rFonts w:ascii="Times New Roman" w:hAnsi="Times New Roman"/>
          <w:color w:val="000000"/>
          <w:sz w:val="28"/>
          <w:szCs w:val="28"/>
        </w:rPr>
        <w:t xml:space="preserve">. </w:t>
      </w:r>
      <w:r w:rsidRPr="004E1E73">
        <w:rPr>
          <w:rFonts w:ascii="Times New Roman" w:hAnsi="Times New Roman"/>
          <w:color w:val="000000"/>
          <w:sz w:val="28"/>
          <w:szCs w:val="28"/>
        </w:rPr>
        <w:t xml:space="preserve">This plainly does not sit comfortably with earlier authorities and in particular the Court of Appeal’s decision in </w:t>
      </w:r>
      <w:r w:rsidRPr="004E1E73">
        <w:rPr>
          <w:rFonts w:ascii="Times New Roman" w:hAnsi="Times New Roman"/>
          <w:i/>
          <w:iCs/>
          <w:color w:val="000000"/>
          <w:sz w:val="28"/>
          <w:szCs w:val="28"/>
        </w:rPr>
        <w:t>Ecobank.</w:t>
      </w:r>
      <w:r w:rsidRPr="004E1E73">
        <w:rPr>
          <w:rFonts w:ascii="Times New Roman" w:hAnsi="Times New Roman"/>
          <w:color w:val="000000"/>
          <w:sz w:val="28"/>
          <w:szCs w:val="28"/>
        </w:rPr>
        <w:t xml:space="preserve"> Some of the recent authorities regularly cite</w:t>
      </w:r>
      <w:r w:rsidRPr="004E1E73">
        <w:rPr>
          <w:rFonts w:ascii="Times New Roman" w:hAnsi="Times New Roman"/>
          <w:i/>
          <w:color w:val="000000"/>
          <w:sz w:val="28"/>
          <w:szCs w:val="28"/>
        </w:rPr>
        <w:t xml:space="preserve"> </w:t>
      </w:r>
      <w:r w:rsidRPr="004E1E73">
        <w:rPr>
          <w:rFonts w:ascii="Times New Roman" w:hAnsi="Times New Roman"/>
          <w:i/>
          <w:color w:val="000000"/>
          <w:sz w:val="28"/>
          <w:szCs w:val="28"/>
        </w:rPr>
        <w:lastRenderedPageBreak/>
        <w:t>Ecobank</w:t>
      </w:r>
      <w:r w:rsidRPr="004E1E73">
        <w:rPr>
          <w:rFonts w:ascii="Times New Roman" w:hAnsi="Times New Roman"/>
          <w:color w:val="000000"/>
          <w:sz w:val="28"/>
          <w:szCs w:val="28"/>
        </w:rPr>
        <w:t xml:space="preserve"> as the leading authority, yet they seem to sidestep the principles laid down by Clarke LJ.</w:t>
      </w:r>
    </w:p>
    <w:p w14:paraId="586E02AD" w14:textId="77777777" w:rsidR="0095151C" w:rsidRPr="004E1E73" w:rsidRDefault="0095151C" w:rsidP="004E1E73">
      <w:pPr>
        <w:spacing w:line="360" w:lineRule="auto"/>
        <w:jc w:val="both"/>
        <w:rPr>
          <w:rFonts w:ascii="Times New Roman" w:hAnsi="Times New Roman"/>
          <w:color w:val="000000"/>
          <w:sz w:val="28"/>
          <w:szCs w:val="28"/>
        </w:rPr>
      </w:pPr>
      <w:r w:rsidRPr="004E1E73">
        <w:rPr>
          <w:rFonts w:ascii="Times New Roman" w:hAnsi="Times New Roman"/>
          <w:color w:val="000000"/>
          <w:sz w:val="28"/>
          <w:szCs w:val="28"/>
        </w:rPr>
        <w:t xml:space="preserve">Consequently, the two diverging approaches will need to be reconciled by the English Courts. It is hoped that the ability to have a second bite of the cherry will be made less appealing by the English Courts. </w:t>
      </w:r>
    </w:p>
    <w:p w14:paraId="0F697B12" w14:textId="77777777" w:rsidR="007B72C3" w:rsidRPr="004E1E73" w:rsidRDefault="007B72C3" w:rsidP="004E1E73">
      <w:pPr>
        <w:pStyle w:val="SingleSpace"/>
        <w:spacing w:line="360" w:lineRule="auto"/>
        <w:rPr>
          <w:rFonts w:ascii="Times New Roman" w:hAnsi="Times New Roman"/>
        </w:rPr>
      </w:pPr>
    </w:p>
    <w:sectPr w:rsidR="007B72C3" w:rsidRPr="004E1E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2195" w14:textId="77777777" w:rsidR="00EA2E6D" w:rsidRDefault="00EA2E6D" w:rsidP="0095151C">
      <w:pPr>
        <w:spacing w:after="0" w:line="240" w:lineRule="auto"/>
      </w:pPr>
      <w:r>
        <w:separator/>
      </w:r>
    </w:p>
  </w:endnote>
  <w:endnote w:type="continuationSeparator" w:id="0">
    <w:p w14:paraId="3582BC37" w14:textId="77777777" w:rsidR="00EA2E6D" w:rsidRDefault="00EA2E6D" w:rsidP="0095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912878"/>
      <w:docPartObj>
        <w:docPartGallery w:val="Page Numbers (Bottom of Page)"/>
        <w:docPartUnique/>
      </w:docPartObj>
    </w:sdtPr>
    <w:sdtEndPr>
      <w:rPr>
        <w:noProof/>
      </w:rPr>
    </w:sdtEndPr>
    <w:sdtContent>
      <w:p w14:paraId="5B9C05DD" w14:textId="77777777" w:rsidR="0095151C" w:rsidRDefault="00951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9CFB9" w14:textId="77777777" w:rsidR="0095151C" w:rsidRDefault="00951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0374" w14:textId="77777777" w:rsidR="00EA2E6D" w:rsidRDefault="00EA2E6D" w:rsidP="0095151C">
      <w:pPr>
        <w:spacing w:after="0" w:line="240" w:lineRule="auto"/>
      </w:pPr>
      <w:r>
        <w:separator/>
      </w:r>
    </w:p>
  </w:footnote>
  <w:footnote w:type="continuationSeparator" w:id="0">
    <w:p w14:paraId="7317EF48" w14:textId="77777777" w:rsidR="00EA2E6D" w:rsidRDefault="00EA2E6D" w:rsidP="0095151C">
      <w:pPr>
        <w:spacing w:after="0" w:line="240" w:lineRule="auto"/>
      </w:pPr>
      <w:r>
        <w:continuationSeparator/>
      </w:r>
    </w:p>
  </w:footnote>
  <w:footnote w:id="1">
    <w:p w14:paraId="1CEABB12" w14:textId="0F723421" w:rsidR="00B92443" w:rsidRPr="00B92443" w:rsidRDefault="00B92443" w:rsidP="00B92443">
      <w:pPr>
        <w:pStyle w:val="FootnoteText"/>
        <w:jc w:val="both"/>
        <w:rPr>
          <w:rFonts w:ascii="Times New Roman" w:hAnsi="Times New Roman"/>
          <w:lang w:val="en-GB"/>
        </w:rPr>
      </w:pPr>
      <w:r>
        <w:rPr>
          <w:rFonts w:ascii="Times New Roman" w:hAnsi="Times New Roman"/>
          <w:lang w:val="en-GB"/>
        </w:rPr>
        <w:t>*LLM, PhD (Wales)</w:t>
      </w:r>
      <w:r w:rsidR="005905E0">
        <w:rPr>
          <w:rFonts w:ascii="Times New Roman" w:hAnsi="Times New Roman"/>
          <w:lang w:val="en-GB"/>
        </w:rPr>
        <w:t xml:space="preserve">. </w:t>
      </w:r>
      <w:r>
        <w:rPr>
          <w:rFonts w:ascii="Times New Roman" w:hAnsi="Times New Roman"/>
          <w:lang w:val="en-GB"/>
        </w:rPr>
        <w:t xml:space="preserve">Associate Professor, University of East Anglia. Solicitor, Senior Courts of England &amp; Wales. </w:t>
      </w:r>
    </w:p>
    <w:p w14:paraId="74176A4B" w14:textId="77777777" w:rsidR="0095151C" w:rsidRPr="005B23FD" w:rsidRDefault="0095151C" w:rsidP="0095151C">
      <w:pPr>
        <w:pStyle w:val="FootnoteText"/>
        <w:jc w:val="both"/>
        <w:rPr>
          <w:rFonts w:ascii="Times New Roman" w:hAnsi="Times New Roman"/>
          <w:b/>
        </w:rPr>
      </w:pPr>
      <w:r w:rsidRPr="005B23FD">
        <w:rPr>
          <w:rStyle w:val="FootnoteReference"/>
          <w:rFonts w:ascii="Times New Roman" w:hAnsi="Times New Roman"/>
        </w:rPr>
        <w:footnoteRef/>
      </w:r>
      <w:r w:rsidRPr="005B23FD">
        <w:rPr>
          <w:rFonts w:ascii="Times New Roman" w:hAnsi="Times New Roman"/>
        </w:rPr>
        <w:t xml:space="preserve"> This is sometimes referred to as forum non</w:t>
      </w:r>
      <w:r w:rsidRPr="005B23FD">
        <w:rPr>
          <w:rFonts w:ascii="Times New Roman" w:hAnsi="Times New Roman"/>
          <w:lang w:val="en-GB"/>
        </w:rPr>
        <w:t>-</w:t>
      </w:r>
      <w:r w:rsidRPr="005B23FD">
        <w:rPr>
          <w:rFonts w:ascii="Times New Roman" w:hAnsi="Times New Roman"/>
        </w:rPr>
        <w:t xml:space="preserve">conveniens. This is a common law doctrine where a court may refuse to exercise jurisdiction over a matter where there is a more appropriate forum available to the parties.  </w:t>
      </w:r>
    </w:p>
  </w:footnote>
  <w:footnote w:id="2">
    <w:p w14:paraId="4155A766" w14:textId="77777777" w:rsidR="0095151C" w:rsidRPr="0095151C" w:rsidRDefault="0095151C" w:rsidP="0095151C">
      <w:pPr>
        <w:pStyle w:val="FootnoteText"/>
        <w:rPr>
          <w:rFonts w:ascii="Times New Roman" w:hAnsi="Times New Roman"/>
          <w:lang w:val="en-GB"/>
        </w:rPr>
      </w:pPr>
      <w:r w:rsidRPr="005B23FD">
        <w:rPr>
          <w:rStyle w:val="FootnoteReference"/>
          <w:rFonts w:ascii="Times New Roman" w:hAnsi="Times New Roman"/>
        </w:rPr>
        <w:footnoteRef/>
      </w:r>
      <w:r w:rsidRPr="005B23FD">
        <w:rPr>
          <w:rFonts w:ascii="Times New Roman" w:hAnsi="Times New Roman"/>
        </w:rPr>
        <w:t xml:space="preserve"> </w:t>
      </w:r>
      <w:r w:rsidRPr="0095151C">
        <w:rPr>
          <w:rFonts w:ascii="Times New Roman" w:hAnsi="Times New Roman"/>
          <w:lang w:val="en-GB"/>
        </w:rPr>
        <w:t xml:space="preserve">The decision of the UK Supreme Court in </w:t>
      </w:r>
      <w:bookmarkStart w:id="1" w:name="_Hlk149585213"/>
      <w:r w:rsidRPr="0095151C">
        <w:rPr>
          <w:rFonts w:ascii="Times New Roman" w:hAnsi="Times New Roman"/>
          <w:i/>
          <w:lang w:val="en-GB"/>
        </w:rPr>
        <w:t xml:space="preserve">Enka </w:t>
      </w:r>
      <w:r w:rsidRPr="0095151C">
        <w:rPr>
          <w:rFonts w:ascii="Times New Roman" w:hAnsi="Times New Roman"/>
          <w:bCs/>
          <w:i/>
          <w:color w:val="000000"/>
        </w:rPr>
        <w:t>Insaat Ve Sanayi AS </w:t>
      </w:r>
      <w:bookmarkEnd w:id="1"/>
      <w:r w:rsidRPr="0095151C">
        <w:rPr>
          <w:rFonts w:ascii="Times New Roman" w:hAnsi="Times New Roman"/>
          <w:bCs/>
          <w:i/>
          <w:iCs/>
          <w:color w:val="000000"/>
        </w:rPr>
        <w:t>v</w:t>
      </w:r>
      <w:r w:rsidRPr="0095151C">
        <w:rPr>
          <w:rFonts w:ascii="Times New Roman" w:hAnsi="Times New Roman"/>
          <w:bCs/>
          <w:i/>
          <w:color w:val="000000"/>
        </w:rPr>
        <w:t> OOO Insurance Company Chubb</w:t>
      </w:r>
      <w:r w:rsidRPr="0095151C">
        <w:rPr>
          <w:rFonts w:ascii="Times New Roman" w:hAnsi="Times New Roman"/>
          <w:bCs/>
          <w:color w:val="000000"/>
          <w:lang w:val="en-GB"/>
        </w:rPr>
        <w:t xml:space="preserve"> [2020] UKSC 38, [2020] 2 Lloyd's Rep 449, highlights the importance of the law governing the arbitration agreement. </w:t>
      </w:r>
    </w:p>
  </w:footnote>
  <w:footnote w:id="3">
    <w:p w14:paraId="0E03BA1E" w14:textId="77777777" w:rsidR="0095151C" w:rsidRPr="0095151C" w:rsidRDefault="0095151C" w:rsidP="0095151C">
      <w:pPr>
        <w:pStyle w:val="FootnoteText"/>
        <w:rPr>
          <w:rFonts w:ascii="Times New Roman" w:hAnsi="Times New Roman"/>
          <w:lang w:val="en-GB"/>
        </w:rPr>
      </w:pPr>
      <w:r w:rsidRPr="0095151C">
        <w:rPr>
          <w:rStyle w:val="FootnoteReference"/>
          <w:rFonts w:ascii="Times New Roman" w:hAnsi="Times New Roman"/>
        </w:rPr>
        <w:footnoteRef/>
      </w:r>
      <w:r w:rsidRPr="0095151C">
        <w:rPr>
          <w:rFonts w:ascii="Times New Roman" w:hAnsi="Times New Roman"/>
        </w:rPr>
        <w:t xml:space="preserve"> </w:t>
      </w:r>
      <w:r w:rsidRPr="0095151C">
        <w:rPr>
          <w:rFonts w:ascii="Times New Roman" w:hAnsi="Times New Roman"/>
          <w:lang w:val="en-GB"/>
        </w:rPr>
        <w:t>[2020] EWCA Civ 599.</w:t>
      </w:r>
    </w:p>
  </w:footnote>
  <w:footnote w:id="4">
    <w:p w14:paraId="4007BE01" w14:textId="77777777" w:rsidR="0095151C" w:rsidRPr="0095151C" w:rsidRDefault="0095151C" w:rsidP="0095151C">
      <w:pPr>
        <w:pStyle w:val="FootnoteText"/>
        <w:rPr>
          <w:lang w:val="en-GB"/>
        </w:rPr>
      </w:pPr>
      <w:r w:rsidRPr="0095151C">
        <w:rPr>
          <w:rStyle w:val="FootnoteReference"/>
        </w:rPr>
        <w:footnoteRef/>
      </w:r>
      <w:r w:rsidRPr="0095151C">
        <w:t xml:space="preserve"> </w:t>
      </w:r>
      <w:r w:rsidRPr="0095151C">
        <w:rPr>
          <w:lang w:val="en-GB"/>
        </w:rPr>
        <w:t>See</w:t>
      </w:r>
      <w:r w:rsidRPr="0095151C">
        <w:rPr>
          <w:i/>
          <w:lang w:val="en-GB"/>
        </w:rPr>
        <w:t xml:space="preserve"> </w:t>
      </w:r>
      <w:r w:rsidRPr="0095151C">
        <w:rPr>
          <w:rFonts w:ascii="Times New Roman" w:hAnsi="Times New Roman"/>
          <w:i/>
          <w:lang w:val="en-GB"/>
        </w:rPr>
        <w:t xml:space="preserve">Enka </w:t>
      </w:r>
      <w:r w:rsidRPr="0095151C">
        <w:rPr>
          <w:rFonts w:ascii="Times New Roman" w:hAnsi="Times New Roman"/>
          <w:bCs/>
          <w:i/>
          <w:color w:val="000000"/>
        </w:rPr>
        <w:t>Insaat Ve Sanayi AS</w:t>
      </w:r>
      <w:r w:rsidRPr="0095151C">
        <w:rPr>
          <w:rFonts w:ascii="Times New Roman" w:hAnsi="Times New Roman"/>
          <w:bCs/>
          <w:i/>
          <w:color w:val="000000"/>
          <w:lang w:val="en-GB"/>
        </w:rPr>
        <w:t xml:space="preserve"> </w:t>
      </w:r>
      <w:r w:rsidRPr="0095151C">
        <w:rPr>
          <w:rFonts w:ascii="Times New Roman" w:hAnsi="Times New Roman"/>
          <w:bCs/>
          <w:color w:val="000000"/>
          <w:lang w:val="en-GB"/>
        </w:rPr>
        <w:t>at para 184.</w:t>
      </w:r>
      <w:r w:rsidRPr="0095151C">
        <w:rPr>
          <w:rFonts w:ascii="Times New Roman" w:hAnsi="Times New Roman"/>
          <w:bCs/>
          <w:i/>
          <w:color w:val="000000"/>
          <w:lang w:val="en-GB"/>
        </w:rPr>
        <w:t xml:space="preserve"> AIG v Woods </w:t>
      </w:r>
      <w:r w:rsidRPr="0095151C">
        <w:rPr>
          <w:rFonts w:ascii="Times New Roman" w:hAnsi="Times New Roman"/>
          <w:bCs/>
          <w:color w:val="000000"/>
          <w:lang w:val="en-GB"/>
        </w:rPr>
        <w:t>at para 8</w:t>
      </w:r>
      <w:r w:rsidRPr="0095151C">
        <w:rPr>
          <w:rFonts w:ascii="Times New Roman" w:hAnsi="Times New Roman"/>
          <w:bCs/>
          <w:i/>
          <w:color w:val="000000"/>
          <w:lang w:val="en-GB"/>
        </w:rPr>
        <w:t xml:space="preserve"> </w:t>
      </w:r>
      <w:r w:rsidRPr="0095151C">
        <w:rPr>
          <w:rFonts w:ascii="Times New Roman" w:hAnsi="Times New Roman"/>
          <w:bCs/>
          <w:color w:val="000000"/>
          <w:lang w:val="en-GB"/>
        </w:rPr>
        <w:t xml:space="preserve"> and </w:t>
      </w:r>
      <w:r w:rsidRPr="0095151C">
        <w:rPr>
          <w:rFonts w:ascii="Times New Roman" w:hAnsi="Times New Roman"/>
          <w:bCs/>
          <w:i/>
          <w:color w:val="000000"/>
          <w:lang w:val="en-GB"/>
        </w:rPr>
        <w:t xml:space="preserve">Riverrock </w:t>
      </w:r>
      <w:r w:rsidRPr="0095151C">
        <w:rPr>
          <w:rFonts w:ascii="Times New Roman" w:hAnsi="Times New Roman"/>
          <w:bCs/>
          <w:color w:val="000000"/>
          <w:lang w:val="en-GB"/>
        </w:rPr>
        <w:t xml:space="preserve"> at para 91.</w:t>
      </w:r>
      <w:r w:rsidR="001047B3">
        <w:rPr>
          <w:rFonts w:ascii="Times New Roman" w:hAnsi="Times New Roman"/>
          <w:bCs/>
          <w:color w:val="000000"/>
          <w:lang w:val="en-GB"/>
        </w:rPr>
        <w:t xml:space="preserve"> </w:t>
      </w:r>
      <w:r w:rsidRPr="0095151C">
        <w:rPr>
          <w:rFonts w:ascii="Times New Roman" w:hAnsi="Times New Roman"/>
          <w:bCs/>
          <w:i/>
          <w:color w:val="000000"/>
          <w:lang w:val="en-GB"/>
        </w:rPr>
        <w:t>QBE SA</w:t>
      </w:r>
      <w:r w:rsidRPr="0095151C">
        <w:rPr>
          <w:rFonts w:ascii="Times New Roman" w:hAnsi="Times New Roman"/>
          <w:bCs/>
          <w:color w:val="000000"/>
          <w:lang w:val="en-GB"/>
        </w:rPr>
        <w:t xml:space="preserve"> at para 11. </w:t>
      </w:r>
    </w:p>
  </w:footnote>
  <w:footnote w:id="5">
    <w:p w14:paraId="0411138B" w14:textId="77777777" w:rsidR="009230A7" w:rsidRPr="009230A7" w:rsidRDefault="009230A7">
      <w:pPr>
        <w:pStyle w:val="FootnoteText"/>
        <w:rPr>
          <w:lang w:val="en-GB"/>
        </w:rPr>
      </w:pPr>
      <w:r>
        <w:rPr>
          <w:rStyle w:val="FootnoteReference"/>
        </w:rPr>
        <w:footnoteRef/>
      </w:r>
      <w:r>
        <w:t xml:space="preserve"> </w:t>
      </w:r>
      <w:r>
        <w:rPr>
          <w:lang w:val="en-GB"/>
        </w:rPr>
        <w:t xml:space="preserve">See </w:t>
      </w:r>
      <w:r w:rsidRPr="00255478">
        <w:rPr>
          <w:i/>
          <w:lang w:val="en-GB"/>
        </w:rPr>
        <w:t>SQD v QYP</w:t>
      </w:r>
      <w:r>
        <w:rPr>
          <w:lang w:val="en-GB"/>
        </w:rPr>
        <w:t xml:space="preserve"> [2023] EWHC 2145 ( Comm). </w:t>
      </w:r>
    </w:p>
  </w:footnote>
  <w:footnote w:id="6">
    <w:p w14:paraId="1E27738B" w14:textId="77777777" w:rsidR="0095151C" w:rsidRPr="00124EA3" w:rsidRDefault="0095151C" w:rsidP="0095151C">
      <w:pPr>
        <w:pStyle w:val="FootnoteText"/>
        <w:jc w:val="both"/>
        <w:rPr>
          <w:rFonts w:ascii="Times New Roman" w:hAnsi="Times New Roman"/>
          <w:lang w:val="en-GB"/>
        </w:rPr>
      </w:pPr>
      <w:r>
        <w:rPr>
          <w:rStyle w:val="FootnoteReference"/>
        </w:rPr>
        <w:footnoteRef/>
      </w:r>
      <w:r>
        <w:t xml:space="preserve"> </w:t>
      </w:r>
      <w:r>
        <w:rPr>
          <w:lang w:val="en-GB"/>
        </w:rPr>
        <w:t>See for example,</w:t>
      </w:r>
      <w:r w:rsidRPr="006D66B3">
        <w:rPr>
          <w:rFonts w:ascii="Times New Roman" w:hAnsi="Times New Roman"/>
          <w:i/>
          <w:lang w:val="en-GB"/>
        </w:rPr>
        <w:t xml:space="preserve"> </w:t>
      </w:r>
      <w:r w:rsidRPr="005B23FD">
        <w:rPr>
          <w:rFonts w:ascii="Times New Roman" w:hAnsi="Times New Roman"/>
          <w:i/>
          <w:lang w:val="en-GB"/>
        </w:rPr>
        <w:t xml:space="preserve">Donohue v Armco </w:t>
      </w:r>
      <w:r w:rsidRPr="005B23FD">
        <w:rPr>
          <w:rFonts w:ascii="Times New Roman" w:hAnsi="Times New Roman"/>
        </w:rPr>
        <w:t>[2001] UKHL 64, [2002]</w:t>
      </w:r>
      <w:r w:rsidRPr="005B23FD">
        <w:rPr>
          <w:rFonts w:ascii="Times New Roman" w:hAnsi="Times New Roman"/>
          <w:lang w:val="en-GB"/>
        </w:rPr>
        <w:t xml:space="preserve"> 1</w:t>
      </w:r>
      <w:r w:rsidRPr="005B23FD">
        <w:rPr>
          <w:rFonts w:ascii="Times New Roman" w:hAnsi="Times New Roman"/>
        </w:rPr>
        <w:t xml:space="preserve"> Lloyd’s Rep.425.</w:t>
      </w:r>
      <w:r w:rsidRPr="006D66B3">
        <w:rPr>
          <w:rFonts w:ascii="Times New Roman" w:hAnsi="Times New Roman"/>
        </w:rPr>
        <w:t xml:space="preserve"> </w:t>
      </w:r>
      <w:r>
        <w:rPr>
          <w:rFonts w:ascii="Times New Roman" w:hAnsi="Times New Roman"/>
          <w:lang w:val="en-GB"/>
        </w:rPr>
        <w:t xml:space="preserve">The </w:t>
      </w:r>
      <w:r w:rsidRPr="006D66B3">
        <w:rPr>
          <w:rFonts w:ascii="Times New Roman" w:hAnsi="Times New Roman"/>
          <w:i/>
        </w:rPr>
        <w:t>Angelic Grace</w:t>
      </w:r>
      <w:r w:rsidRPr="006D66B3">
        <w:rPr>
          <w:rFonts w:ascii="Times New Roman" w:hAnsi="Times New Roman"/>
        </w:rPr>
        <w:t xml:space="preserve"> [1995] 1 Lloyd’s Rep 87,</w:t>
      </w:r>
      <w:r w:rsidRPr="006D66B3">
        <w:rPr>
          <w:rFonts w:ascii="Times New Roman" w:eastAsia="Times New Roman" w:hAnsi="Times New Roman"/>
          <w:b/>
          <w:i/>
          <w:spacing w:val="-3"/>
          <w:lang w:eastAsia="en-GB"/>
        </w:rPr>
        <w:t xml:space="preserve"> </w:t>
      </w:r>
      <w:r w:rsidRPr="00202E19">
        <w:rPr>
          <w:rFonts w:ascii="Times New Roman" w:eastAsia="Times New Roman" w:hAnsi="Times New Roman"/>
          <w:i/>
          <w:spacing w:val="-3"/>
          <w:lang w:eastAsia="en-GB"/>
        </w:rPr>
        <w:t>XL Insurance Limited v Owens Cornin</w:t>
      </w:r>
      <w:r w:rsidRPr="006D66B3">
        <w:rPr>
          <w:rFonts w:ascii="Times New Roman" w:eastAsia="Times New Roman" w:hAnsi="Times New Roman"/>
          <w:b/>
          <w:i/>
          <w:spacing w:val="-3"/>
          <w:lang w:eastAsia="en-GB"/>
        </w:rPr>
        <w:t xml:space="preserve"> </w:t>
      </w:r>
      <w:r w:rsidRPr="006D66B3">
        <w:rPr>
          <w:rFonts w:ascii="Times New Roman" w:hAnsi="Times New Roman"/>
        </w:rPr>
        <w:t xml:space="preserve">[2000] 2 Lloyd’s Rep. 500 and </w:t>
      </w:r>
      <w:r w:rsidRPr="006D66B3">
        <w:rPr>
          <w:rFonts w:ascii="Times New Roman" w:hAnsi="Times New Roman"/>
          <w:i/>
        </w:rPr>
        <w:t>Welex AG v Rosa Maritime Ltd</w:t>
      </w:r>
      <w:r w:rsidRPr="006D66B3">
        <w:rPr>
          <w:rFonts w:ascii="Times New Roman" w:hAnsi="Times New Roman"/>
        </w:rPr>
        <w:t>, [2003] EWCA Civ 938; [2003] 2 Lloyd’s Rep 509.</w:t>
      </w:r>
      <w:r>
        <w:rPr>
          <w:rFonts w:ascii="Times New Roman" w:hAnsi="Times New Roman"/>
          <w:lang w:val="en-GB"/>
        </w:rPr>
        <w:t xml:space="preserve"> </w:t>
      </w:r>
    </w:p>
  </w:footnote>
  <w:footnote w:id="7">
    <w:p w14:paraId="6A88703D" w14:textId="77777777" w:rsidR="0095151C" w:rsidRPr="00124EA3" w:rsidRDefault="0095151C" w:rsidP="0095151C">
      <w:pPr>
        <w:pStyle w:val="FootnoteText"/>
        <w:rPr>
          <w:lang w:val="en-GB"/>
        </w:rPr>
      </w:pPr>
      <w:r>
        <w:rPr>
          <w:rStyle w:val="FootnoteReference"/>
        </w:rPr>
        <w:footnoteRef/>
      </w:r>
      <w:r>
        <w:t xml:space="preserve"> </w:t>
      </w:r>
      <w:r>
        <w:rPr>
          <w:lang w:val="en-GB"/>
        </w:rPr>
        <w:t xml:space="preserve">This is discussed later in this article. </w:t>
      </w:r>
    </w:p>
  </w:footnote>
  <w:footnote w:id="8">
    <w:p w14:paraId="0F46BEB6" w14:textId="77777777" w:rsidR="0095151C" w:rsidRPr="002B30BB" w:rsidRDefault="0095151C" w:rsidP="0095151C">
      <w:pPr>
        <w:pStyle w:val="FootnoteText"/>
        <w:jc w:val="both"/>
        <w:rPr>
          <w:lang w:val="en-GB"/>
        </w:rPr>
      </w:pPr>
      <w:r>
        <w:rPr>
          <w:rStyle w:val="FootnoteReference"/>
        </w:rPr>
        <w:footnoteRef/>
      </w:r>
      <w:r>
        <w:t xml:space="preserve"> </w:t>
      </w:r>
      <w:r>
        <w:rPr>
          <w:lang w:val="en-GB"/>
        </w:rPr>
        <w:t xml:space="preserve">[2020] EWHC 1078, [2020] 2 Lloyd’s Rep 317. [2020] 2 Lloyd’s  Rep 317. </w:t>
      </w:r>
    </w:p>
  </w:footnote>
  <w:footnote w:id="9">
    <w:p w14:paraId="280F0AD5" w14:textId="77777777" w:rsidR="0095151C" w:rsidRPr="007027FA" w:rsidRDefault="0095151C" w:rsidP="0095151C">
      <w:pPr>
        <w:pStyle w:val="FootnoteText"/>
        <w:jc w:val="both"/>
        <w:rPr>
          <w:lang w:val="en-GB"/>
        </w:rPr>
      </w:pPr>
      <w:r>
        <w:rPr>
          <w:rStyle w:val="FootnoteReference"/>
        </w:rPr>
        <w:footnoteRef/>
      </w:r>
      <w:r>
        <w:t xml:space="preserve"> </w:t>
      </w:r>
      <w:r>
        <w:rPr>
          <w:lang w:val="en-GB"/>
        </w:rPr>
        <w:t xml:space="preserve">[2020] EWHC 2483 (Comm). [2020] 2 Lloyd’s Rep. 591. </w:t>
      </w:r>
    </w:p>
  </w:footnote>
  <w:footnote w:id="10">
    <w:p w14:paraId="641F687D" w14:textId="77777777" w:rsidR="0095151C" w:rsidRPr="000C4AD7" w:rsidRDefault="0095151C" w:rsidP="0095151C">
      <w:pPr>
        <w:pStyle w:val="FootnoteText"/>
        <w:jc w:val="both"/>
        <w:rPr>
          <w:lang w:val="en-GB"/>
        </w:rPr>
      </w:pPr>
      <w:r>
        <w:rPr>
          <w:rStyle w:val="FootnoteReference"/>
        </w:rPr>
        <w:footnoteRef/>
      </w:r>
      <w:r>
        <w:t xml:space="preserve"> </w:t>
      </w:r>
      <w:r>
        <w:rPr>
          <w:lang w:val="en-GB"/>
        </w:rPr>
        <w:t>[2021] EWHC 1386 (Comm).</w:t>
      </w:r>
    </w:p>
  </w:footnote>
  <w:footnote w:id="11">
    <w:p w14:paraId="23F87ED2" w14:textId="77777777" w:rsidR="0095151C" w:rsidRPr="000C4AD7" w:rsidRDefault="0095151C" w:rsidP="0095151C">
      <w:pPr>
        <w:pStyle w:val="FootnoteText"/>
        <w:jc w:val="both"/>
        <w:rPr>
          <w:lang w:val="en-GB"/>
        </w:rPr>
      </w:pPr>
      <w:r>
        <w:rPr>
          <w:rStyle w:val="FootnoteReference"/>
        </w:rPr>
        <w:footnoteRef/>
      </w:r>
      <w:r>
        <w:rPr>
          <w:lang w:val="en-GB"/>
        </w:rPr>
        <w:t xml:space="preserve"> [2021] EWHC 1262 (Comm). [2021] 2 C.L.C 91.</w:t>
      </w:r>
    </w:p>
  </w:footnote>
  <w:footnote w:id="12">
    <w:p w14:paraId="0F25F7FD" w14:textId="77777777" w:rsidR="0095151C" w:rsidRPr="00387DDB" w:rsidRDefault="0095151C" w:rsidP="0095151C">
      <w:pPr>
        <w:pStyle w:val="FootnoteText"/>
        <w:jc w:val="both"/>
        <w:rPr>
          <w:lang w:val="en-GB"/>
        </w:rPr>
      </w:pPr>
      <w:r>
        <w:rPr>
          <w:rStyle w:val="FootnoteReference"/>
        </w:rPr>
        <w:footnoteRef/>
      </w:r>
      <w:r>
        <w:t xml:space="preserve"> </w:t>
      </w:r>
      <w:r>
        <w:rPr>
          <w:lang w:val="en-GB"/>
        </w:rPr>
        <w:t xml:space="preserve">[2021] EWHC 333 (Comm).[2021] 2 Lloyd’s Rep. 354. </w:t>
      </w:r>
    </w:p>
  </w:footnote>
  <w:footnote w:id="13">
    <w:p w14:paraId="3EA75324" w14:textId="77777777" w:rsidR="0095151C" w:rsidRPr="00387DDB" w:rsidRDefault="0095151C" w:rsidP="0095151C">
      <w:pPr>
        <w:pStyle w:val="FootnoteText"/>
        <w:jc w:val="both"/>
        <w:rPr>
          <w:lang w:val="en-GB"/>
        </w:rPr>
      </w:pPr>
      <w:r>
        <w:rPr>
          <w:rStyle w:val="FootnoteReference"/>
        </w:rPr>
        <w:footnoteRef/>
      </w:r>
      <w:r>
        <w:t xml:space="preserve"> </w:t>
      </w:r>
      <w:r>
        <w:rPr>
          <w:lang w:val="en-GB"/>
        </w:rPr>
        <w:t>[2020] EWHC 3657 (Comm). [2021]  2 C.L.C 47.</w:t>
      </w:r>
    </w:p>
  </w:footnote>
  <w:footnote w:id="14">
    <w:p w14:paraId="342D68B1" w14:textId="77777777" w:rsidR="0095151C" w:rsidRPr="00387DDB" w:rsidRDefault="0095151C" w:rsidP="0095151C">
      <w:pPr>
        <w:pStyle w:val="FootnoteText"/>
        <w:jc w:val="both"/>
        <w:rPr>
          <w:lang w:val="en-GB"/>
        </w:rPr>
      </w:pPr>
      <w:r>
        <w:rPr>
          <w:rStyle w:val="FootnoteReference"/>
        </w:rPr>
        <w:footnoteRef/>
      </w:r>
      <w:r>
        <w:t xml:space="preserve"> </w:t>
      </w:r>
      <w:r>
        <w:rPr>
          <w:lang w:val="en-GB"/>
        </w:rPr>
        <w:t>[2021] EWHC, 1548 (Comm).</w:t>
      </w:r>
    </w:p>
  </w:footnote>
  <w:footnote w:id="15">
    <w:p w14:paraId="4D161542"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[2022] EWHC 1655 (Comm). [2022] 2 Lloyd’s Rep. 520. </w:t>
      </w:r>
    </w:p>
  </w:footnote>
  <w:footnote w:id="16">
    <w:p w14:paraId="633A5F57" w14:textId="4C4269D5" w:rsidR="0095151C" w:rsidRPr="005919D2" w:rsidRDefault="0095151C" w:rsidP="0095151C">
      <w:pPr>
        <w:pStyle w:val="FootnoteText"/>
        <w:rPr>
          <w:lang w:val="en-GB"/>
        </w:rPr>
      </w:pPr>
      <w:r w:rsidRPr="005919D2">
        <w:rPr>
          <w:rStyle w:val="FootnoteReference"/>
        </w:rPr>
        <w:footnoteRef/>
      </w:r>
      <w:r w:rsidRPr="005919D2">
        <w:t xml:space="preserve"> </w:t>
      </w:r>
      <w:bookmarkStart w:id="2" w:name="_Hlk152318892"/>
      <w:bookmarkStart w:id="3" w:name="_Hlk150885813"/>
      <w:r w:rsidRPr="005919D2">
        <w:rPr>
          <w:i/>
          <w:lang w:val="en-GB"/>
        </w:rPr>
        <w:t>SQD v QYP</w:t>
      </w:r>
      <w:r w:rsidRPr="005919D2">
        <w:rPr>
          <w:lang w:val="en-GB"/>
        </w:rPr>
        <w:t xml:space="preserve"> [2023] EWHC 2145 ( Comm</w:t>
      </w:r>
      <w:bookmarkEnd w:id="2"/>
      <w:r w:rsidRPr="005919D2">
        <w:rPr>
          <w:lang w:val="en-GB"/>
        </w:rPr>
        <w:t>)</w:t>
      </w:r>
      <w:bookmarkEnd w:id="3"/>
      <w:r w:rsidRPr="005919D2">
        <w:rPr>
          <w:lang w:val="en-GB"/>
        </w:rPr>
        <w:t xml:space="preserve">,  </w:t>
      </w:r>
      <w:r w:rsidRPr="005919D2">
        <w:rPr>
          <w:i/>
          <w:lang w:val="en-GB"/>
        </w:rPr>
        <w:t xml:space="preserve">Deutsche Bank AG v Ruschemalliance LLC </w:t>
      </w:r>
      <w:r w:rsidRPr="005919D2">
        <w:rPr>
          <w:lang w:val="en-GB"/>
        </w:rPr>
        <w:t>[2023] EWCA Civ 1144. This case is the appeal from SQD which was handed down as SQD at first instance</w:t>
      </w:r>
      <w:r w:rsidR="009230A7" w:rsidRPr="005919D2">
        <w:rPr>
          <w:lang w:val="en-GB"/>
        </w:rPr>
        <w:t xml:space="preserve">,  </w:t>
      </w:r>
      <w:r w:rsidR="009230A7" w:rsidRPr="005919D2">
        <w:rPr>
          <w:i/>
          <w:lang w:val="en-GB"/>
        </w:rPr>
        <w:t>CommerzBank AG</w:t>
      </w:r>
      <w:r w:rsidR="009230A7" w:rsidRPr="005919D2">
        <w:rPr>
          <w:lang w:val="en-GB"/>
        </w:rPr>
        <w:t xml:space="preserve"> v </w:t>
      </w:r>
      <w:bookmarkStart w:id="4" w:name="_Hlk152319154"/>
      <w:r w:rsidR="009230A7" w:rsidRPr="005919D2">
        <w:rPr>
          <w:i/>
          <w:lang w:val="en-GB"/>
        </w:rPr>
        <w:t>Ruschemalliance LLC</w:t>
      </w:r>
      <w:r w:rsidR="009230A7" w:rsidRPr="005919D2">
        <w:rPr>
          <w:lang w:val="en-GB"/>
        </w:rPr>
        <w:t xml:space="preserve"> </w:t>
      </w:r>
      <w:bookmarkEnd w:id="4"/>
      <w:r w:rsidR="009230A7" w:rsidRPr="005919D2">
        <w:rPr>
          <w:lang w:val="en-GB"/>
        </w:rPr>
        <w:t>[2023] EWHC</w:t>
      </w:r>
      <w:r w:rsidR="00C5309C" w:rsidRPr="005919D2">
        <w:rPr>
          <w:lang w:val="en-GB"/>
        </w:rPr>
        <w:t xml:space="preserve"> </w:t>
      </w:r>
      <w:r w:rsidR="009230A7" w:rsidRPr="005919D2">
        <w:rPr>
          <w:lang w:val="en-GB"/>
        </w:rPr>
        <w:t xml:space="preserve">2510 (Comm), </w:t>
      </w:r>
      <w:r w:rsidR="009230A7" w:rsidRPr="005919D2">
        <w:rPr>
          <w:i/>
          <w:lang w:val="en-GB"/>
        </w:rPr>
        <w:t>Unicredit Bank AG v Ruschemalliance LLC</w:t>
      </w:r>
      <w:r w:rsidR="009230A7" w:rsidRPr="005919D2">
        <w:rPr>
          <w:lang w:val="en-GB"/>
        </w:rPr>
        <w:t xml:space="preserve">  unreported</w:t>
      </w:r>
      <w:r w:rsidR="005905E0" w:rsidRPr="005919D2">
        <w:rPr>
          <w:lang w:val="en-GB"/>
        </w:rPr>
        <w:t xml:space="preserve">. </w:t>
      </w:r>
      <w:r w:rsidRPr="005919D2">
        <w:rPr>
          <w:lang w:val="en-GB"/>
        </w:rPr>
        <w:t xml:space="preserve">See also </w:t>
      </w:r>
      <w:r w:rsidRPr="005919D2">
        <w:rPr>
          <w:i/>
          <w:lang w:val="en-GB"/>
        </w:rPr>
        <w:t xml:space="preserve">Renaissance Securities (Cyprus) Limited </w:t>
      </w:r>
      <w:r w:rsidRPr="005919D2">
        <w:rPr>
          <w:lang w:val="en-GB"/>
        </w:rPr>
        <w:t xml:space="preserve">v </w:t>
      </w:r>
      <w:r w:rsidRPr="005919D2">
        <w:rPr>
          <w:i/>
          <w:lang w:val="en-GB"/>
        </w:rPr>
        <w:t>Chlodwig Enterprises Limited</w:t>
      </w:r>
      <w:r w:rsidRPr="005919D2">
        <w:rPr>
          <w:lang w:val="en-GB"/>
        </w:rPr>
        <w:t xml:space="preserve"> [2003] EWHC 2816 (Comm).</w:t>
      </w:r>
    </w:p>
  </w:footnote>
  <w:footnote w:id="17">
    <w:p w14:paraId="516868B1"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[2023] EWCA Civ 1144. </w:t>
      </w:r>
    </w:p>
  </w:footnote>
  <w:footnote w:id="18">
    <w:p w14:paraId="2D853135" w14:textId="77777777" w:rsidR="009F5C6D" w:rsidRPr="005919D2" w:rsidRDefault="009F5C6D">
      <w:pPr>
        <w:pStyle w:val="FootnoteText"/>
        <w:rPr>
          <w:lang w:val="en-GB"/>
        </w:rPr>
      </w:pPr>
      <w:r w:rsidRPr="005919D2">
        <w:rPr>
          <w:rStyle w:val="FootnoteReference"/>
        </w:rPr>
        <w:footnoteRef/>
      </w:r>
      <w:r w:rsidRPr="005919D2">
        <w:t xml:space="preserve"> </w:t>
      </w:r>
      <w:r w:rsidRPr="005919D2">
        <w:rPr>
          <w:lang w:val="en-GB"/>
        </w:rPr>
        <w:t xml:space="preserve">See also </w:t>
      </w:r>
      <w:r w:rsidRPr="005919D2">
        <w:rPr>
          <w:i/>
          <w:lang w:val="en-GB"/>
        </w:rPr>
        <w:t xml:space="preserve">CommerzBank </w:t>
      </w:r>
      <w:r w:rsidRPr="005919D2">
        <w:rPr>
          <w:lang w:val="en-GB"/>
        </w:rPr>
        <w:t xml:space="preserve">and </w:t>
      </w:r>
      <w:r w:rsidRPr="005919D2">
        <w:rPr>
          <w:i/>
          <w:lang w:val="en-GB"/>
        </w:rPr>
        <w:t>Unicredit Bank AG</w:t>
      </w:r>
      <w:r w:rsidRPr="005919D2">
        <w:rPr>
          <w:lang w:val="en-GB"/>
        </w:rPr>
        <w:t xml:space="preserve">. </w:t>
      </w:r>
    </w:p>
  </w:footnote>
  <w:footnote w:id="19">
    <w:p w14:paraId="69BD8F19"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i/>
          <w:lang w:val="en-GB"/>
        </w:rPr>
        <w:t>SQD v QYP</w:t>
      </w:r>
      <w:r w:rsidRPr="005919D2">
        <w:rPr>
          <w:lang w:val="en-GB"/>
        </w:rPr>
        <w:t xml:space="preserve"> [2023] EWHC 2145 ( Comm).</w:t>
      </w:r>
    </w:p>
  </w:footnote>
  <w:footnote w:id="20">
    <w:p w14:paraId="2827B1E9"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97. </w:t>
      </w:r>
    </w:p>
  </w:footnote>
  <w:footnote w:id="21">
    <w:p w14:paraId="15E10CD7"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100. </w:t>
      </w:r>
    </w:p>
  </w:footnote>
  <w:footnote w:id="22">
    <w:p w14:paraId="75B65BBC"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98.</w:t>
      </w:r>
    </w:p>
  </w:footnote>
  <w:footnote w:id="23">
    <w:p w14:paraId="6FEA2E02"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[2023] EWHC 2365 (Comm).</w:t>
      </w:r>
    </w:p>
  </w:footnote>
  <w:footnote w:id="24">
    <w:p w14:paraId="05F40688" w14:textId="77777777" w:rsidR="004E1E73" w:rsidRPr="005919D2" w:rsidRDefault="004E1E73" w:rsidP="004E1E73">
      <w:pPr>
        <w:pStyle w:val="FootnoteText"/>
      </w:pPr>
      <w:r w:rsidRPr="005919D2">
        <w:rPr>
          <w:rStyle w:val="FootnoteReference"/>
        </w:rPr>
        <w:footnoteRef/>
      </w:r>
      <w:r w:rsidRPr="005919D2">
        <w:t xml:space="preserve"> At paras 23 to 25. </w:t>
      </w:r>
    </w:p>
  </w:footnote>
  <w:footnote w:id="25">
    <w:p w14:paraId="7DAB2FFF" w14:textId="2690A83A" w:rsidR="003E142F" w:rsidRPr="005919D2" w:rsidRDefault="003E142F" w:rsidP="00531F19">
      <w:pPr>
        <w:pStyle w:val="FootnoteText"/>
        <w:jc w:val="both"/>
        <w:rPr>
          <w:lang w:val="en-GB"/>
        </w:rPr>
      </w:pPr>
      <w:r w:rsidRPr="005919D2">
        <w:rPr>
          <w:rStyle w:val="FootnoteReference"/>
        </w:rPr>
        <w:footnoteRef/>
      </w:r>
      <w:r w:rsidRPr="005919D2">
        <w:t xml:space="preserve"> </w:t>
      </w:r>
      <w:r w:rsidRPr="005919D2">
        <w:rPr>
          <w:lang w:val="en-GB"/>
        </w:rPr>
        <w:t>At para 25. There are no French domestic laws governing arbitration but there are provisions of French Law which apply to international arbitration</w:t>
      </w:r>
      <w:r w:rsidR="00450A51" w:rsidRPr="005919D2">
        <w:rPr>
          <w:lang w:val="en-GB"/>
        </w:rPr>
        <w:t xml:space="preserve">. </w:t>
      </w:r>
      <w:r w:rsidRPr="005919D2">
        <w:rPr>
          <w:lang w:val="en-GB"/>
        </w:rPr>
        <w:t xml:space="preserve">It will be recalled that in </w:t>
      </w:r>
      <w:r w:rsidRPr="005919D2">
        <w:rPr>
          <w:i/>
          <w:lang w:val="en-GB"/>
        </w:rPr>
        <w:t>Enka v Chubb</w:t>
      </w:r>
      <w:r w:rsidRPr="005919D2">
        <w:rPr>
          <w:lang w:val="en-GB"/>
        </w:rPr>
        <w:t xml:space="preserve"> the UK Supreme Court held that</w:t>
      </w:r>
      <w:r w:rsidR="00531F19" w:rsidRPr="005919D2">
        <w:rPr>
          <w:lang w:val="en-GB"/>
        </w:rPr>
        <w:t xml:space="preserve">, </w:t>
      </w:r>
      <w:r w:rsidRPr="005919D2">
        <w:rPr>
          <w:lang w:val="en-GB"/>
        </w:rPr>
        <w:t>where the parties have not chosen the law to govern the arbitration agreement, then the law governing the main contract will also govern the arbitration agreement unless this can be negated</w:t>
      </w:r>
      <w:r w:rsidR="00450A51" w:rsidRPr="005919D2">
        <w:rPr>
          <w:lang w:val="en-GB"/>
        </w:rPr>
        <w:t xml:space="preserve">. </w:t>
      </w:r>
      <w:r w:rsidRPr="005919D2">
        <w:rPr>
          <w:lang w:val="en-GB"/>
        </w:rPr>
        <w:t xml:space="preserve">The choice of a different country as the seat of the arbitration will not on its own be sufficient </w:t>
      </w:r>
      <w:r w:rsidR="00BF5D99" w:rsidRPr="005919D2">
        <w:rPr>
          <w:lang w:val="en-GB"/>
        </w:rPr>
        <w:t>to negate the inference that the law of the governing the main contract will also govern the arbitration agreement</w:t>
      </w:r>
      <w:r w:rsidR="00450A51" w:rsidRPr="005919D2">
        <w:rPr>
          <w:lang w:val="en-GB"/>
        </w:rPr>
        <w:t xml:space="preserve">. </w:t>
      </w:r>
      <w:r w:rsidR="00BF5D99" w:rsidRPr="005919D2">
        <w:rPr>
          <w:lang w:val="en-GB"/>
        </w:rPr>
        <w:t xml:space="preserve">However,  one way this inference can be negated is if there is a provision of the law of the seat to the effect that the law of the seat will also govern the arbitration agreement. See pars 170 (iv) to (vi). </w:t>
      </w:r>
    </w:p>
  </w:footnote>
  <w:footnote w:id="26">
    <w:p w14:paraId="2B5D4A5D" w14:textId="77777777" w:rsidR="004E1E73" w:rsidRPr="005919D2" w:rsidRDefault="004E1E73" w:rsidP="004E1E73">
      <w:pPr>
        <w:pStyle w:val="FootnoteText"/>
        <w:rPr>
          <w:lang w:val="en-US"/>
        </w:rPr>
      </w:pPr>
      <w:r w:rsidRPr="005919D2">
        <w:rPr>
          <w:rStyle w:val="FootnoteReference"/>
        </w:rPr>
        <w:footnoteRef/>
      </w:r>
      <w:r w:rsidRPr="005919D2">
        <w:t xml:space="preserve"> At Para 30. </w:t>
      </w:r>
    </w:p>
  </w:footnote>
  <w:footnote w:id="27">
    <w:p w14:paraId="34FAAE06"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At paras 37 and 38.</w:t>
      </w:r>
    </w:p>
  </w:footnote>
  <w:footnote w:id="28">
    <w:p w14:paraId="0FF2E6A9"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 xml:space="preserve">At para 48. </w:t>
      </w:r>
    </w:p>
  </w:footnote>
  <w:footnote w:id="29">
    <w:p w14:paraId="7487A9FF" w14:textId="77777777" w:rsidR="004E1E73" w:rsidRPr="005919D2" w:rsidRDefault="004E1E73" w:rsidP="004E1E73">
      <w:pPr>
        <w:pStyle w:val="FootnoteText"/>
        <w:rPr>
          <w:lang w:val="en-US"/>
        </w:rPr>
      </w:pPr>
      <w:r w:rsidRPr="005919D2">
        <w:rPr>
          <w:rStyle w:val="FootnoteReference"/>
        </w:rPr>
        <w:footnoteRef/>
      </w:r>
      <w:r w:rsidRPr="005919D2">
        <w:t>[ 2023] EWHC 2510 (Comm).</w:t>
      </w:r>
    </w:p>
  </w:footnote>
  <w:footnote w:id="30">
    <w:p w14:paraId="13919C37"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At para 20.</w:t>
      </w:r>
    </w:p>
  </w:footnote>
  <w:footnote w:id="31">
    <w:p w14:paraId="5422B821"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 xml:space="preserve">At para 20. </w:t>
      </w:r>
    </w:p>
  </w:footnote>
  <w:footnote w:id="32">
    <w:p w14:paraId="52FEB523"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 xml:space="preserve">At para 28. </w:t>
      </w:r>
    </w:p>
  </w:footnote>
  <w:footnote w:id="33">
    <w:p w14:paraId="1077CFD1"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At para 35.</w:t>
      </w:r>
    </w:p>
  </w:footnote>
  <w:footnote w:id="34">
    <w:p w14:paraId="5F6C3F12"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At para 35.</w:t>
      </w:r>
    </w:p>
  </w:footnote>
  <w:footnote w:id="35">
    <w:p w14:paraId="56BC6D94"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 xml:space="preserve">At para 39. </w:t>
      </w:r>
    </w:p>
  </w:footnote>
  <w:footnote w:id="36">
    <w:p w14:paraId="15C4B104" w14:textId="77777777" w:rsidR="004E1E73" w:rsidRPr="005919D2" w:rsidRDefault="004E1E73" w:rsidP="004E1E73">
      <w:pPr>
        <w:pStyle w:val="FootnoteText"/>
        <w:rPr>
          <w:lang w:val="en-US"/>
        </w:rPr>
      </w:pPr>
      <w:r w:rsidRPr="005919D2">
        <w:rPr>
          <w:rStyle w:val="FootnoteReference"/>
        </w:rPr>
        <w:footnoteRef/>
      </w:r>
      <w:r w:rsidRPr="005919D2">
        <w:t xml:space="preserve"> </w:t>
      </w:r>
      <w:r w:rsidRPr="005919D2">
        <w:rPr>
          <w:lang w:val="en-US"/>
        </w:rPr>
        <w:t xml:space="preserve">At para 79. </w:t>
      </w:r>
    </w:p>
  </w:footnote>
  <w:footnote w:id="37">
    <w:p w14:paraId="35C7AFA9"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This application was applied for and granted ex parte. </w:t>
      </w:r>
    </w:p>
  </w:footnote>
  <w:footnote w:id="38">
    <w:p w14:paraId="48AAABA1" w14:textId="1FB30325"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first instance Bright J formed the view that whilst the French Courts will not grant an anti-suit injunction, they could grant a retaliatory injunction to counter the one granted by the English Courts. See para 84</w:t>
      </w:r>
      <w:r w:rsidR="00450A51" w:rsidRPr="005919D2">
        <w:rPr>
          <w:lang w:val="en-GB"/>
        </w:rPr>
        <w:t xml:space="preserve">. </w:t>
      </w:r>
    </w:p>
  </w:footnote>
  <w:footnote w:id="39">
    <w:p w14:paraId="56871308"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42. </w:t>
      </w:r>
    </w:p>
  </w:footnote>
  <w:footnote w:id="40">
    <w:p w14:paraId="16F2080E"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[2022] EWHC 768 (Comm) [2022] 1 C.L.C 877. </w:t>
      </w:r>
    </w:p>
  </w:footnote>
  <w:footnote w:id="41">
    <w:p w14:paraId="5E2BB502" w14:textId="77777777" w:rsidR="0095151C" w:rsidRPr="005919D2" w:rsidRDefault="0095151C" w:rsidP="0095151C">
      <w:pPr>
        <w:pStyle w:val="FootnoteText"/>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[2015] EWCA Civ 1309.</w:t>
      </w:r>
    </w:p>
  </w:footnote>
  <w:footnote w:id="42">
    <w:p w14:paraId="4DCC0935"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This was the position in </w:t>
      </w:r>
      <w:r w:rsidRPr="005919D2">
        <w:rPr>
          <w:i/>
          <w:lang w:val="en-GB"/>
        </w:rPr>
        <w:t>Africa Finance Corporation</w:t>
      </w:r>
      <w:r w:rsidRPr="005919D2">
        <w:rPr>
          <w:lang w:val="en-GB"/>
        </w:rPr>
        <w:t xml:space="preserve">. </w:t>
      </w:r>
    </w:p>
  </w:footnote>
  <w:footnote w:id="43">
    <w:p w14:paraId="278A1D48"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[2022]EWHC 2062 (Comm) at para 64. </w:t>
      </w:r>
    </w:p>
  </w:footnote>
  <w:footnote w:id="44">
    <w:p w14:paraId="789223A0"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[2022] EWCA Civ 781 [2023] 1 AII E.R. (Comm) 381. at par 10.</w:t>
      </w:r>
    </w:p>
  </w:footnote>
  <w:footnote w:id="45">
    <w:p w14:paraId="196DB47A"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[2021] EWHC 2567 (Comm). [2022] 1 Lloyd’s Rep. I.R 485. </w:t>
      </w:r>
    </w:p>
  </w:footnote>
  <w:footnote w:id="46">
    <w:p w14:paraId="20B16FD5"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58. He relied on the decision of the High Court in </w:t>
      </w:r>
      <w:r w:rsidRPr="005919D2">
        <w:rPr>
          <w:i/>
          <w:lang w:val="en-GB"/>
        </w:rPr>
        <w:t>Catlin Syndicate Ltd v Amec Foster Wheeler USA Corp</w:t>
      </w:r>
      <w:r w:rsidRPr="005919D2">
        <w:rPr>
          <w:lang w:val="en-GB"/>
        </w:rPr>
        <w:t xml:space="preserve"> [2020] EWHC 2530 (Comm). </w:t>
      </w:r>
    </w:p>
  </w:footnote>
  <w:footnote w:id="47">
    <w:p w14:paraId="521C0B1B"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See Fn 1</w:t>
      </w:r>
      <w:r w:rsidR="009F5C6D" w:rsidRPr="005919D2">
        <w:rPr>
          <w:lang w:val="en-GB"/>
        </w:rPr>
        <w:t>9</w:t>
      </w:r>
      <w:r w:rsidRPr="005919D2">
        <w:rPr>
          <w:lang w:val="en-GB"/>
        </w:rPr>
        <w:t xml:space="preserve"> at para 17. </w:t>
      </w:r>
      <w:r w:rsidR="009F5C6D" w:rsidRPr="005919D2">
        <w:rPr>
          <w:lang w:val="en-GB"/>
        </w:rPr>
        <w:t xml:space="preserve">See also </w:t>
      </w:r>
      <w:r w:rsidR="009F5C6D" w:rsidRPr="005919D2">
        <w:rPr>
          <w:i/>
          <w:lang w:val="en-GB"/>
        </w:rPr>
        <w:t>Commerzbank</w:t>
      </w:r>
      <w:r w:rsidR="009F5C6D" w:rsidRPr="005919D2">
        <w:rPr>
          <w:lang w:val="en-GB"/>
        </w:rPr>
        <w:t>.</w:t>
      </w:r>
    </w:p>
  </w:footnote>
  <w:footnote w:id="48">
    <w:p w14:paraId="18E2E4A6"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See</w:t>
      </w:r>
      <w:r w:rsidR="00215373" w:rsidRPr="005919D2">
        <w:rPr>
          <w:lang w:val="en-GB"/>
        </w:rPr>
        <w:t xml:space="preserve"> [2023] EWCA Civ 114 at </w:t>
      </w:r>
      <w:r w:rsidRPr="005919D2">
        <w:rPr>
          <w:lang w:val="en-GB"/>
        </w:rPr>
        <w:t xml:space="preserve"> paras 11 and 12. See also </w:t>
      </w:r>
      <w:r w:rsidRPr="005919D2">
        <w:rPr>
          <w:i/>
          <w:lang w:val="en-GB"/>
        </w:rPr>
        <w:t>Renaissance Securities (Cyprus) Limited</w:t>
      </w:r>
      <w:r w:rsidR="00531F19" w:rsidRPr="005919D2">
        <w:rPr>
          <w:i/>
          <w:lang w:val="en-GB"/>
        </w:rPr>
        <w:t xml:space="preserve"> </w:t>
      </w:r>
      <w:r w:rsidR="00531F19" w:rsidRPr="005919D2">
        <w:rPr>
          <w:lang w:val="en-GB"/>
        </w:rPr>
        <w:t>at</w:t>
      </w:r>
      <w:r w:rsidRPr="005919D2">
        <w:rPr>
          <w:lang w:val="en-GB"/>
        </w:rPr>
        <w:t xml:space="preserve"> para 34. </w:t>
      </w:r>
    </w:p>
  </w:footnote>
  <w:footnote w:id="49">
    <w:p w14:paraId="536A85FA"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Para 91.</w:t>
      </w:r>
    </w:p>
  </w:footnote>
  <w:footnote w:id="50">
    <w:p w14:paraId="38A2A136"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Para 92. Although the judge refused to grant a mandatory injunction.</w:t>
      </w:r>
    </w:p>
  </w:footnote>
  <w:footnote w:id="51">
    <w:p w14:paraId="520F62D7" w14:textId="77777777" w:rsidR="0095151C" w:rsidRPr="005919D2" w:rsidRDefault="0095151C" w:rsidP="0095151C">
      <w:pPr>
        <w:pStyle w:val="FootnoteText"/>
        <w:jc w:val="both"/>
        <w:rPr>
          <w:bCs/>
          <w:lang w:val="en-GB"/>
        </w:rPr>
      </w:pPr>
      <w:r w:rsidRPr="005919D2">
        <w:rPr>
          <w:rStyle w:val="FootnoteReference"/>
        </w:rPr>
        <w:footnoteRef/>
      </w:r>
      <w:r w:rsidRPr="005919D2">
        <w:t xml:space="preserve"> </w:t>
      </w:r>
      <w:r w:rsidRPr="005919D2">
        <w:rPr>
          <w:bCs/>
          <w:lang w:val="en-GB"/>
        </w:rPr>
        <w:t>[2021] EWHC1931 (Comm) [2021] 1 Lloyd’s Rep. I.R.601.</w:t>
      </w:r>
    </w:p>
  </w:footnote>
  <w:footnote w:id="52">
    <w:p w14:paraId="334FC439" w14:textId="77777777" w:rsidR="0095151C" w:rsidRPr="005919D2" w:rsidRDefault="0095151C" w:rsidP="0095151C">
      <w:pPr>
        <w:pStyle w:val="FootnoteText"/>
        <w:jc w:val="both"/>
        <w:rPr>
          <w:bCs/>
          <w:lang w:val="en-GB"/>
        </w:rPr>
      </w:pPr>
      <w:r w:rsidRPr="005919D2">
        <w:rPr>
          <w:rStyle w:val="FootnoteReference"/>
          <w:bCs/>
        </w:rPr>
        <w:footnoteRef/>
      </w:r>
      <w:r w:rsidRPr="005919D2">
        <w:rPr>
          <w:bCs/>
        </w:rPr>
        <w:t xml:space="preserve"> </w:t>
      </w:r>
      <w:r w:rsidRPr="005919D2">
        <w:rPr>
          <w:bCs/>
          <w:lang w:val="en-GB"/>
        </w:rPr>
        <w:t xml:space="preserve">[2020] EWHC 3645 (Comm) [2021] 1 Lloyd’s Rep. 177. </w:t>
      </w:r>
    </w:p>
  </w:footnote>
  <w:footnote w:id="53">
    <w:p w14:paraId="16278AB0" w14:textId="4F27725A" w:rsidR="0095151C" w:rsidRPr="005919D2" w:rsidRDefault="0095151C" w:rsidP="0095151C">
      <w:pPr>
        <w:pStyle w:val="FootnoteText"/>
        <w:jc w:val="both"/>
        <w:rPr>
          <w:bCs/>
          <w:lang w:val="en-GB"/>
        </w:rPr>
      </w:pPr>
      <w:r w:rsidRPr="005919D2">
        <w:rPr>
          <w:rStyle w:val="FootnoteReference"/>
          <w:bCs/>
        </w:rPr>
        <w:footnoteRef/>
      </w:r>
      <w:r w:rsidRPr="005919D2">
        <w:rPr>
          <w:bCs/>
        </w:rPr>
        <w:t xml:space="preserve"> </w:t>
      </w:r>
      <w:r w:rsidRPr="005919D2">
        <w:rPr>
          <w:bCs/>
          <w:lang w:val="en-GB"/>
        </w:rPr>
        <w:t>In relation to</w:t>
      </w:r>
      <w:r w:rsidRPr="005919D2">
        <w:rPr>
          <w:bCs/>
          <w:i/>
          <w:lang w:val="en-GB"/>
        </w:rPr>
        <w:t xml:space="preserve"> Markel</w:t>
      </w:r>
      <w:r w:rsidRPr="005919D2">
        <w:rPr>
          <w:bCs/>
          <w:lang w:val="en-GB"/>
        </w:rPr>
        <w:t xml:space="preserve">, see pars 127. In relation to </w:t>
      </w:r>
      <w:r w:rsidRPr="005919D2">
        <w:rPr>
          <w:bCs/>
          <w:i/>
          <w:lang w:val="en-GB"/>
        </w:rPr>
        <w:t>Ulusoy</w:t>
      </w:r>
      <w:r w:rsidRPr="005919D2">
        <w:rPr>
          <w:bCs/>
          <w:lang w:val="en-GB"/>
        </w:rPr>
        <w:t>, see para 96</w:t>
      </w:r>
      <w:r w:rsidR="00450A51" w:rsidRPr="005919D2">
        <w:rPr>
          <w:bCs/>
          <w:lang w:val="en-GB"/>
        </w:rPr>
        <w:t xml:space="preserve">. </w:t>
      </w:r>
      <w:r w:rsidRPr="005919D2">
        <w:rPr>
          <w:bCs/>
          <w:lang w:val="en-GB"/>
        </w:rPr>
        <w:t xml:space="preserve">See also </w:t>
      </w:r>
      <w:r w:rsidRPr="005919D2">
        <w:rPr>
          <w:bCs/>
          <w:i/>
          <w:iCs/>
          <w:lang w:val="en-GB"/>
        </w:rPr>
        <w:t>Times Trading</w:t>
      </w:r>
      <w:r w:rsidRPr="005919D2">
        <w:rPr>
          <w:bCs/>
          <w:lang w:val="en-GB"/>
        </w:rPr>
        <w:t xml:space="preserve"> at para 93. </w:t>
      </w:r>
    </w:p>
  </w:footnote>
  <w:footnote w:id="54">
    <w:p w14:paraId="06003C76"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See </w:t>
      </w:r>
      <w:r w:rsidRPr="005919D2">
        <w:rPr>
          <w:i/>
          <w:lang w:val="en-GB"/>
        </w:rPr>
        <w:t>Deutsche Bank AG</w:t>
      </w:r>
      <w:r w:rsidRPr="005919D2">
        <w:rPr>
          <w:lang w:val="en-GB"/>
        </w:rPr>
        <w:t xml:space="preserve"> at para 42. </w:t>
      </w:r>
    </w:p>
  </w:footnote>
  <w:footnote w:id="55">
    <w:p w14:paraId="521C2906"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89. See also </w:t>
      </w:r>
      <w:r w:rsidRPr="005919D2">
        <w:rPr>
          <w:i/>
          <w:lang w:val="en-GB"/>
        </w:rPr>
        <w:t>Nori Holding Ltd v PJSC Bank Otkritie Financial Corporation</w:t>
      </w:r>
      <w:r w:rsidRPr="005919D2">
        <w:rPr>
          <w:lang w:val="en-GB"/>
        </w:rPr>
        <w:t xml:space="preserve"> [2018] EWHC 1343 (Comm), [2018], 2 Lloyd’s Rep 80 at par 63. </w:t>
      </w:r>
    </w:p>
  </w:footnote>
  <w:footnote w:id="56">
    <w:p w14:paraId="1D5EA0D3"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12. </w:t>
      </w:r>
    </w:p>
  </w:footnote>
  <w:footnote w:id="57">
    <w:p w14:paraId="524C89BB"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[2004] EWCA Civ 1598. [2005] 1 Lloyd’s Rep. 67. </w:t>
      </w:r>
    </w:p>
  </w:footnote>
  <w:footnote w:id="58">
    <w:p w14:paraId="5D4CA4EC"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[2003] EWHC 3158 (Comm) [2004] Lloyd’s Rep 206. </w:t>
      </w:r>
    </w:p>
  </w:footnote>
  <w:footnote w:id="59">
    <w:p w14:paraId="605FD157"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19.</w:t>
      </w:r>
    </w:p>
  </w:footnote>
  <w:footnote w:id="60">
    <w:p w14:paraId="56EEEE1D"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20.</w:t>
      </w:r>
    </w:p>
  </w:footnote>
  <w:footnote w:id="61">
    <w:p w14:paraId="2731C3E0"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98.</w:t>
      </w:r>
    </w:p>
  </w:footnote>
  <w:footnote w:id="62">
    <w:p w14:paraId="3B342D16" w14:textId="77777777" w:rsidR="0095151C" w:rsidRPr="005919D2" w:rsidRDefault="0095151C" w:rsidP="0095151C">
      <w:pPr>
        <w:pStyle w:val="FootnoteText"/>
        <w:rPr>
          <w:lang w:val="en-US"/>
        </w:rPr>
      </w:pPr>
      <w:r w:rsidRPr="005919D2">
        <w:rPr>
          <w:rStyle w:val="FootnoteReference"/>
        </w:rPr>
        <w:footnoteRef/>
      </w:r>
      <w:r w:rsidRPr="005919D2">
        <w:t xml:space="preserve"> </w:t>
      </w:r>
      <w:r w:rsidRPr="005919D2">
        <w:rPr>
          <w:lang w:val="en-US"/>
        </w:rPr>
        <w:t>[2015] EWCA Civ 333. [2015] 2 Lloyd’s Rep 33.</w:t>
      </w:r>
    </w:p>
  </w:footnote>
  <w:footnote w:id="63">
    <w:p w14:paraId="5BB26E1F" w14:textId="77777777" w:rsidR="0095151C" w:rsidRPr="005919D2" w:rsidRDefault="0095151C" w:rsidP="0095151C">
      <w:pPr>
        <w:pStyle w:val="FootnoteText"/>
        <w:rPr>
          <w:lang w:val="en-US"/>
        </w:rPr>
      </w:pPr>
      <w:r w:rsidRPr="005919D2">
        <w:rPr>
          <w:rStyle w:val="FootnoteReference"/>
        </w:rPr>
        <w:footnoteRef/>
      </w:r>
      <w:r w:rsidRPr="005919D2">
        <w:t xml:space="preserve"> </w:t>
      </w:r>
      <w:r w:rsidRPr="005919D2">
        <w:rPr>
          <w:lang w:val="en-US"/>
        </w:rPr>
        <w:t xml:space="preserve">At para 26. </w:t>
      </w:r>
    </w:p>
  </w:footnote>
  <w:footnote w:id="64">
    <w:p w14:paraId="67377FE3" w14:textId="77777777" w:rsidR="0095151C" w:rsidRPr="005919D2" w:rsidRDefault="0095151C" w:rsidP="0095151C">
      <w:pPr>
        <w:pStyle w:val="FootnoteText"/>
        <w:rPr>
          <w:lang w:val="en-US"/>
        </w:rPr>
      </w:pPr>
      <w:r w:rsidRPr="005919D2">
        <w:rPr>
          <w:rStyle w:val="FootnoteReference"/>
        </w:rPr>
        <w:footnoteRef/>
      </w:r>
      <w:r w:rsidRPr="005919D2">
        <w:t xml:space="preserve"> </w:t>
      </w:r>
      <w:r w:rsidRPr="005919D2">
        <w:rPr>
          <w:lang w:val="en-US"/>
        </w:rPr>
        <w:t>At Para 9.</w:t>
      </w:r>
    </w:p>
  </w:footnote>
  <w:footnote w:id="65">
    <w:p w14:paraId="5732257E" w14:textId="77777777" w:rsidR="0095151C" w:rsidRPr="005919D2" w:rsidRDefault="0095151C" w:rsidP="0095151C">
      <w:pPr>
        <w:pStyle w:val="FootnoteText"/>
        <w:jc w:val="both"/>
        <w:rPr>
          <w:lang w:val="en-US"/>
        </w:rPr>
      </w:pPr>
      <w:r w:rsidRPr="005919D2">
        <w:rPr>
          <w:rStyle w:val="FootnoteReference"/>
        </w:rPr>
        <w:footnoteRef/>
      </w:r>
      <w:r w:rsidRPr="005919D2">
        <w:t xml:space="preserve"> </w:t>
      </w:r>
      <w:r w:rsidRPr="005919D2">
        <w:rPr>
          <w:lang w:val="en-US"/>
        </w:rPr>
        <w:t xml:space="preserve">At para 26. Moore Bick noted that: </w:t>
      </w:r>
      <w:bookmarkStart w:id="9" w:name="para26"/>
      <w:r w:rsidRPr="005919D2">
        <w:rPr>
          <w:lang w:val="en-US"/>
        </w:rPr>
        <w:t>“</w:t>
      </w:r>
      <w:r w:rsidRPr="005919D2">
        <w:rPr>
          <w:i/>
          <w:iCs/>
          <w:color w:val="000000"/>
        </w:rPr>
        <w:t>In some cases, it may not be easy to decide on which side of the line the case falls, but the court must ultimately determine whether the right conferred on the claimant is in substance one to enforce the obligation created by the contract of insurance or one to enforce a liability which is independent of the contract. In the former case the nature and scope of the obligation will be governed by the law under which it was created, in a case of this kind the proper law of the contract. In the latter it will be governed by the law of the country whose legislation created it. One useful indication may be the extent to which the law creating the right of direct action seeks to modify the scope of the obligation to which the contract would otherwise give rise</w:t>
      </w:r>
      <w:r w:rsidRPr="005919D2">
        <w:rPr>
          <w:color w:val="000000"/>
          <w:lang w:val="en-US"/>
        </w:rPr>
        <w:t>”</w:t>
      </w:r>
      <w:r w:rsidRPr="005919D2">
        <w:rPr>
          <w:color w:val="000000"/>
        </w:rPr>
        <w:t>.</w:t>
      </w:r>
      <w:bookmarkEnd w:id="9"/>
    </w:p>
  </w:footnote>
  <w:footnote w:id="66">
    <w:p w14:paraId="39D5408B"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[2016] EWCA Civ 386. [2016] 1 Lloyd’s Rep 641. </w:t>
      </w:r>
    </w:p>
  </w:footnote>
  <w:footnote w:id="67">
    <w:p w14:paraId="4519F24E"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17. </w:t>
      </w:r>
    </w:p>
  </w:footnote>
  <w:footnote w:id="68">
    <w:p w14:paraId="0F718410"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Para 20.</w:t>
      </w:r>
    </w:p>
  </w:footnote>
  <w:footnote w:id="69">
    <w:p w14:paraId="10E4189B" w14:textId="77777777" w:rsidR="0095151C" w:rsidRPr="005919D2" w:rsidRDefault="0095151C" w:rsidP="0095151C">
      <w:pPr>
        <w:pStyle w:val="FootnoteText"/>
        <w:rPr>
          <w:lang w:val="en-GB"/>
        </w:rPr>
      </w:pPr>
      <w:r w:rsidRPr="005919D2">
        <w:rPr>
          <w:rStyle w:val="FootnoteReference"/>
        </w:rPr>
        <w:footnoteRef/>
      </w:r>
      <w:r w:rsidRPr="005919D2">
        <w:rPr>
          <w:lang w:val="en-GB"/>
        </w:rPr>
        <w:t xml:space="preserve"> See fn 1</w:t>
      </w:r>
      <w:r w:rsidR="00215373" w:rsidRPr="005919D2">
        <w:rPr>
          <w:lang w:val="en-GB"/>
        </w:rPr>
        <w:t>5</w:t>
      </w:r>
      <w:r w:rsidRPr="005919D2">
        <w:rPr>
          <w:lang w:val="en-GB"/>
        </w:rPr>
        <w:t>.</w:t>
      </w:r>
    </w:p>
  </w:footnote>
  <w:footnote w:id="70">
    <w:p w14:paraId="1990AE07"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paras 34 to 41.</w:t>
      </w:r>
    </w:p>
  </w:footnote>
  <w:footnote w:id="71">
    <w:p w14:paraId="5E711377"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75.</w:t>
      </w:r>
    </w:p>
  </w:footnote>
  <w:footnote w:id="72">
    <w:p w14:paraId="33049CAA"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129. </w:t>
      </w:r>
    </w:p>
  </w:footnote>
  <w:footnote w:id="73">
    <w:p w14:paraId="52FAF6D4"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129. </w:t>
      </w:r>
    </w:p>
  </w:footnote>
  <w:footnote w:id="74">
    <w:p w14:paraId="00DC1164" w14:textId="77777777" w:rsidR="0095151C" w:rsidRPr="005919D2" w:rsidRDefault="0095151C" w:rsidP="0095151C">
      <w:pPr>
        <w:pStyle w:val="FootnoteText"/>
        <w:rPr>
          <w:lang w:val="en-US"/>
        </w:rPr>
      </w:pPr>
      <w:r w:rsidRPr="005919D2">
        <w:rPr>
          <w:rStyle w:val="FootnoteReference"/>
        </w:rPr>
        <w:footnoteRef/>
      </w:r>
      <w:r w:rsidRPr="005919D2">
        <w:t xml:space="preserve"> </w:t>
      </w:r>
      <w:r w:rsidRPr="005919D2">
        <w:rPr>
          <w:lang w:val="en-US"/>
        </w:rPr>
        <w:t xml:space="preserve"> [1995] 1 Lloyd’s Rep. 87.</w:t>
      </w:r>
    </w:p>
  </w:footnote>
  <w:footnote w:id="75">
    <w:p w14:paraId="1593CBCC" w14:textId="32B5559F" w:rsidR="0095151C" w:rsidRPr="005919D2" w:rsidRDefault="0095151C" w:rsidP="00531F19">
      <w:pPr>
        <w:pStyle w:val="FootnoteText"/>
        <w:jc w:val="both"/>
        <w:rPr>
          <w:lang w:val="en-GB"/>
        </w:rPr>
      </w:pPr>
      <w:r w:rsidRPr="005919D2">
        <w:rPr>
          <w:rStyle w:val="FootnoteReference"/>
        </w:rPr>
        <w:footnoteRef/>
      </w:r>
      <w:r w:rsidRPr="005919D2">
        <w:t xml:space="preserve"> </w:t>
      </w:r>
      <w:r w:rsidRPr="005919D2">
        <w:rPr>
          <w:lang w:val="en-GB"/>
        </w:rPr>
        <w:t>[2021] EWCA civ 1589. [2022] 1 Lloyd’s Rep 539</w:t>
      </w:r>
      <w:r w:rsidR="00450A51" w:rsidRPr="005919D2">
        <w:rPr>
          <w:lang w:val="en-GB"/>
        </w:rPr>
        <w:t xml:space="preserve">. </w:t>
      </w:r>
      <w:r w:rsidR="00F70C02" w:rsidRPr="005919D2">
        <w:rPr>
          <w:lang w:val="en-GB"/>
        </w:rPr>
        <w:t xml:space="preserve">The saga in relation to these cases </w:t>
      </w:r>
      <w:r w:rsidR="00531F19" w:rsidRPr="005919D2">
        <w:rPr>
          <w:lang w:val="en-GB"/>
        </w:rPr>
        <w:t xml:space="preserve"> is </w:t>
      </w:r>
      <w:r w:rsidR="00F70C02" w:rsidRPr="005919D2">
        <w:rPr>
          <w:lang w:val="en-GB"/>
        </w:rPr>
        <w:t xml:space="preserve">still ongoing in the English Courts. The most recent are </w:t>
      </w:r>
      <w:r w:rsidR="00F70C02" w:rsidRPr="005919D2">
        <w:rPr>
          <w:i/>
          <w:lang w:val="en-GB"/>
        </w:rPr>
        <w:t>London Steamship v Spain</w:t>
      </w:r>
      <w:r w:rsidR="00F70C02" w:rsidRPr="005919D2">
        <w:rPr>
          <w:lang w:val="en-GB"/>
        </w:rPr>
        <w:t xml:space="preserve"> [2023] EWHC 2473 (Comm)  which involved Spain’s challenges under sections 67, 68 and 69 of the Arbitration Act 1996 to partial awards issued in 2023</w:t>
      </w:r>
      <w:r w:rsidR="009F5C6D" w:rsidRPr="005919D2">
        <w:rPr>
          <w:lang w:val="en-GB"/>
        </w:rPr>
        <w:t xml:space="preserve"> and </w:t>
      </w:r>
      <w:r w:rsidR="004F371B" w:rsidRPr="005919D2">
        <w:rPr>
          <w:i/>
          <w:lang w:val="en-GB"/>
        </w:rPr>
        <w:t xml:space="preserve">The </w:t>
      </w:r>
      <w:r w:rsidR="00F70C02" w:rsidRPr="005919D2">
        <w:rPr>
          <w:i/>
          <w:lang w:val="en-GB"/>
        </w:rPr>
        <w:t>French State</w:t>
      </w:r>
      <w:r w:rsidR="004F371B" w:rsidRPr="005919D2">
        <w:rPr>
          <w:i/>
          <w:lang w:val="en-GB"/>
        </w:rPr>
        <w:t xml:space="preserve"> </w:t>
      </w:r>
      <w:r w:rsidR="004F371B" w:rsidRPr="005919D2">
        <w:rPr>
          <w:lang w:val="en-GB"/>
        </w:rPr>
        <w:t xml:space="preserve">[2023] EWHC 2474 (Comm) involved an application for an extension of time and leave to appeal the awards. </w:t>
      </w:r>
    </w:p>
  </w:footnote>
  <w:footnote w:id="76">
    <w:p w14:paraId="61FE19DD"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64.</w:t>
      </w:r>
    </w:p>
  </w:footnote>
  <w:footnote w:id="77">
    <w:p w14:paraId="6C3326EF" w14:textId="7FDBCE70"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[2001] EWHC 540</w:t>
      </w:r>
      <w:r w:rsidR="00450A51" w:rsidRPr="005919D2">
        <w:rPr>
          <w:lang w:val="en-GB"/>
        </w:rPr>
        <w:t xml:space="preserve">. </w:t>
      </w:r>
      <w:r w:rsidRPr="005919D2">
        <w:rPr>
          <w:lang w:val="en-GB"/>
        </w:rPr>
        <w:t xml:space="preserve">See also </w:t>
      </w:r>
      <w:r w:rsidRPr="005919D2">
        <w:rPr>
          <w:i/>
          <w:lang w:val="en-GB"/>
        </w:rPr>
        <w:t>Dell Emerging markets (EMEA) Ltd v IB Maroc.com SA</w:t>
      </w:r>
      <w:r w:rsidRPr="005919D2">
        <w:rPr>
          <w:lang w:val="en-GB"/>
        </w:rPr>
        <w:t xml:space="preserve"> [2017] EWHC2397 (Comm) [2017] 2 C.L.C 417., </w:t>
      </w:r>
      <w:r w:rsidRPr="005919D2">
        <w:rPr>
          <w:i/>
          <w:lang w:val="en-GB"/>
        </w:rPr>
        <w:t>Clearlake Shipping Pte Ltd v Xiang Da marine Ltd</w:t>
      </w:r>
      <w:r w:rsidRPr="005919D2">
        <w:rPr>
          <w:lang w:val="en-GB"/>
        </w:rPr>
        <w:t xml:space="preserve"> [2019] EWHC 1536 (Comm).</w:t>
      </w:r>
    </w:p>
  </w:footnote>
  <w:footnote w:id="78">
    <w:p w14:paraId="016999B6" w14:textId="77777777" w:rsidR="0095151C" w:rsidRPr="005919D2" w:rsidRDefault="0095151C" w:rsidP="0095151C">
      <w:pPr>
        <w:pStyle w:val="FootnoteText"/>
        <w:rPr>
          <w:lang w:val="en-US"/>
        </w:rPr>
      </w:pPr>
      <w:r w:rsidRPr="005919D2">
        <w:rPr>
          <w:rStyle w:val="FootnoteReference"/>
        </w:rPr>
        <w:footnoteRef/>
      </w:r>
      <w:r w:rsidRPr="005919D2">
        <w:t xml:space="preserve"> </w:t>
      </w:r>
      <w:r w:rsidRPr="005919D2">
        <w:rPr>
          <w:lang w:val="en-US"/>
        </w:rPr>
        <w:t xml:space="preserve">[2018] EWHC 3009 (Comm), [2019] 1 Lloyd’s Rep. 520. </w:t>
      </w:r>
    </w:p>
  </w:footnote>
  <w:footnote w:id="79">
    <w:p w14:paraId="4B3A8A66"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See case such as </w:t>
      </w:r>
      <w:r w:rsidRPr="005919D2">
        <w:rPr>
          <w:i/>
          <w:lang w:val="en-GB"/>
        </w:rPr>
        <w:t>The Yusuf Cepnioglu</w:t>
      </w:r>
      <w:r w:rsidRPr="005919D2">
        <w:rPr>
          <w:lang w:val="en-GB"/>
        </w:rPr>
        <w:t xml:space="preserve"> [2016] EWCA Civ 386, [2016] 1 Lloyd’s rep 641, </w:t>
      </w:r>
      <w:r w:rsidRPr="005919D2">
        <w:rPr>
          <w:i/>
          <w:lang w:val="en-GB"/>
        </w:rPr>
        <w:t>Dell Emerging Markets (EMEA) Ltd v IB Maroc SA</w:t>
      </w:r>
      <w:r w:rsidRPr="005919D2">
        <w:rPr>
          <w:lang w:val="en-GB"/>
        </w:rPr>
        <w:t xml:space="preserve"> and </w:t>
      </w:r>
      <w:r w:rsidRPr="005919D2">
        <w:rPr>
          <w:i/>
          <w:lang w:val="en-GB"/>
        </w:rPr>
        <w:t>Qingado Huiquan Shipping v Shanghai Dong He Xin Industry</w:t>
      </w:r>
      <w:r w:rsidRPr="005919D2">
        <w:rPr>
          <w:lang w:val="en-GB"/>
        </w:rPr>
        <w:t xml:space="preserve"> [2018] EWHC 3009 (Comm), [2019] 1 Lloyd’s Rep 520. </w:t>
      </w:r>
    </w:p>
  </w:footnote>
  <w:footnote w:id="80">
    <w:p w14:paraId="1FDC3623"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At para 93.</w:t>
      </w:r>
    </w:p>
  </w:footnote>
  <w:footnote w:id="81">
    <w:p w14:paraId="5E159BCE"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Para 114.</w:t>
      </w:r>
    </w:p>
  </w:footnote>
  <w:footnote w:id="82">
    <w:p w14:paraId="7E07056C"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62.</w:t>
      </w:r>
    </w:p>
  </w:footnote>
  <w:footnote w:id="83">
    <w:p w14:paraId="6E680D66"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See for example</w:t>
      </w:r>
      <w:r w:rsidRPr="005919D2">
        <w:rPr>
          <w:i/>
          <w:lang w:val="en-GB"/>
        </w:rPr>
        <w:t>, Jewel Owner Ltd v Sagaan Developments Trading Limited</w:t>
      </w:r>
      <w:r w:rsidRPr="005919D2">
        <w:rPr>
          <w:lang w:val="en-GB"/>
        </w:rPr>
        <w:t>, MD Gemini, The [2012] EWHC 2850 (Comm) [2012] 2 Lloyd’s Rep 672.</w:t>
      </w:r>
    </w:p>
  </w:footnote>
  <w:footnote w:id="84">
    <w:p w14:paraId="28D6E3FD" w14:textId="77777777" w:rsidR="0095151C" w:rsidRPr="005919D2" w:rsidRDefault="0095151C" w:rsidP="0095151C">
      <w:pPr>
        <w:pStyle w:val="FootnoteText"/>
        <w:rPr>
          <w:lang w:val="en-GB"/>
        </w:rPr>
      </w:pPr>
      <w:r w:rsidRPr="005919D2">
        <w:rPr>
          <w:rStyle w:val="FootnoteReference"/>
        </w:rPr>
        <w:footnoteRef/>
      </w:r>
      <w:r w:rsidRPr="005919D2">
        <w:rPr>
          <w:lang w:val="en-GB"/>
        </w:rPr>
        <w:t xml:space="preserve"> See also </w:t>
      </w:r>
      <w:r w:rsidRPr="005919D2">
        <w:t xml:space="preserve"> </w:t>
      </w:r>
      <w:r w:rsidRPr="005919D2">
        <w:rPr>
          <w:i/>
          <w:lang w:val="en-GB"/>
        </w:rPr>
        <w:t xml:space="preserve">Qingadao v SDHX </w:t>
      </w:r>
      <w:r w:rsidRPr="005919D2">
        <w:rPr>
          <w:lang w:val="en-GB"/>
        </w:rPr>
        <w:t>[2019] 1 Lloyd’s Rep 520.</w:t>
      </w:r>
    </w:p>
  </w:footnote>
  <w:footnote w:id="85">
    <w:p w14:paraId="56F523F8"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73.</w:t>
      </w:r>
    </w:p>
  </w:footnote>
  <w:footnote w:id="86">
    <w:p w14:paraId="1571D0BD"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paras 69 and 78. </w:t>
      </w:r>
    </w:p>
  </w:footnote>
  <w:footnote w:id="87">
    <w:p w14:paraId="4A61AEDD"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21.</w:t>
      </w:r>
    </w:p>
  </w:footnote>
  <w:footnote w:id="88">
    <w:p w14:paraId="207E23B6" w14:textId="3E8C14DE"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21. </w:t>
      </w:r>
      <w:r w:rsidR="00584C3E" w:rsidRPr="005919D2">
        <w:rPr>
          <w:lang w:val="en-GB"/>
        </w:rPr>
        <w:t xml:space="preserve">This approach is firmly established as this was endorsed by the Court of Appeal in </w:t>
      </w:r>
      <w:r w:rsidR="00584C3E" w:rsidRPr="005919D2">
        <w:rPr>
          <w:i/>
          <w:lang w:val="en-GB"/>
        </w:rPr>
        <w:t>London Steam ship</w:t>
      </w:r>
      <w:r w:rsidR="00584C3E" w:rsidRPr="005919D2">
        <w:rPr>
          <w:lang w:val="en-GB"/>
        </w:rPr>
        <w:t xml:space="preserve"> v S</w:t>
      </w:r>
      <w:r w:rsidR="00584C3E" w:rsidRPr="005919D2">
        <w:rPr>
          <w:i/>
          <w:lang w:val="en-GB"/>
        </w:rPr>
        <w:t>pain</w:t>
      </w:r>
      <w:r w:rsidR="00584C3E" w:rsidRPr="005919D2">
        <w:rPr>
          <w:lang w:val="en-GB"/>
        </w:rPr>
        <w:t xml:space="preserve"> and </w:t>
      </w:r>
      <w:r w:rsidR="00584C3E" w:rsidRPr="005919D2">
        <w:rPr>
          <w:i/>
          <w:lang w:val="en-GB"/>
        </w:rPr>
        <w:t>France</w:t>
      </w:r>
      <w:r w:rsidR="00450A51" w:rsidRPr="005919D2">
        <w:rPr>
          <w:lang w:val="en-GB"/>
        </w:rPr>
        <w:t xml:space="preserve">. </w:t>
      </w:r>
      <w:r w:rsidR="00584C3E" w:rsidRPr="005919D2">
        <w:rPr>
          <w:lang w:val="en-GB"/>
        </w:rPr>
        <w:t xml:space="preserve">See Fn 61. </w:t>
      </w:r>
    </w:p>
  </w:footnote>
  <w:footnote w:id="89">
    <w:p w14:paraId="222CC546" w14:textId="44D51570"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This issue is discussed later</w:t>
      </w:r>
      <w:r w:rsidR="00450A51" w:rsidRPr="005919D2">
        <w:rPr>
          <w:lang w:val="en-GB"/>
        </w:rPr>
        <w:t xml:space="preserve">. </w:t>
      </w:r>
    </w:p>
  </w:footnote>
  <w:footnote w:id="90">
    <w:p w14:paraId="2A98E533"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[1995] 1 Lloyd’s Rep 87 at 96. </w:t>
      </w:r>
    </w:p>
  </w:footnote>
  <w:footnote w:id="91">
    <w:p w14:paraId="469D960A"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[2008] EWHC 213 (Comm); [2008] 1 Lloyd’s Rep 652.</w:t>
      </w:r>
    </w:p>
  </w:footnote>
  <w:footnote w:id="92">
    <w:p w14:paraId="2691E689"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[2009] EWHC 36</w:t>
      </w:r>
      <w:r w:rsidRPr="005919D2">
        <w:rPr>
          <w:rFonts w:ascii="Times New Roman" w:hAnsi="Times New Roman"/>
          <w:lang w:val="en-GB"/>
        </w:rPr>
        <w:t>29</w:t>
      </w:r>
      <w:r w:rsidRPr="005919D2">
        <w:rPr>
          <w:rFonts w:ascii="Times New Roman" w:hAnsi="Times New Roman"/>
        </w:rPr>
        <w:t>(QB).</w:t>
      </w:r>
    </w:p>
  </w:footnote>
  <w:footnote w:id="93">
    <w:p w14:paraId="4645D4A2"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[2015] EWHC 3266 (Comm), [2016] 1 Lloyd’s Rep 427. </w:t>
      </w:r>
    </w:p>
  </w:footnote>
  <w:footnote w:id="94">
    <w:p w14:paraId="7FFB33E6"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At para 43. </w:t>
      </w:r>
    </w:p>
  </w:footnote>
  <w:footnote w:id="95">
    <w:p w14:paraId="6302F1B8"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At par</w:t>
      </w:r>
      <w:r w:rsidRPr="005919D2">
        <w:rPr>
          <w:rFonts w:ascii="Times New Roman" w:hAnsi="Times New Roman"/>
          <w:lang w:val="en-GB"/>
        </w:rPr>
        <w:t xml:space="preserve">a </w:t>
      </w:r>
      <w:r w:rsidRPr="005919D2">
        <w:rPr>
          <w:rFonts w:ascii="Times New Roman" w:hAnsi="Times New Roman"/>
        </w:rPr>
        <w:t xml:space="preserve">46. </w:t>
      </w:r>
    </w:p>
  </w:footnote>
  <w:footnote w:id="96">
    <w:p w14:paraId="030000BB"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85. See also para 135. </w:t>
      </w:r>
    </w:p>
  </w:footnote>
  <w:footnote w:id="97">
    <w:p w14:paraId="3228B417"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[2016</w:t>
      </w:r>
      <w:r w:rsidRPr="005919D2">
        <w:rPr>
          <w:rFonts w:ascii="Times New Roman" w:hAnsi="Times New Roman"/>
          <w:lang w:val="en-GB"/>
        </w:rPr>
        <w:t xml:space="preserve">] </w:t>
      </w:r>
      <w:r w:rsidRPr="005919D2">
        <w:rPr>
          <w:rFonts w:ascii="Times New Roman" w:hAnsi="Times New Roman"/>
        </w:rPr>
        <w:t>EWHC</w:t>
      </w:r>
      <w:r w:rsidRPr="005919D2">
        <w:rPr>
          <w:rFonts w:ascii="Times New Roman" w:hAnsi="Times New Roman"/>
          <w:lang w:val="en-GB"/>
        </w:rPr>
        <w:t xml:space="preserve"> </w:t>
      </w:r>
      <w:r w:rsidRPr="005919D2">
        <w:rPr>
          <w:rFonts w:ascii="Times New Roman" w:hAnsi="Times New Roman"/>
        </w:rPr>
        <w:t>1427</w:t>
      </w:r>
      <w:r w:rsidRPr="005919D2">
        <w:rPr>
          <w:rFonts w:ascii="Times New Roman" w:hAnsi="Times New Roman"/>
          <w:lang w:val="en-GB"/>
        </w:rPr>
        <w:t xml:space="preserve">. </w:t>
      </w:r>
      <w:r w:rsidRPr="005919D2">
        <w:rPr>
          <w:rFonts w:ascii="Times New Roman" w:hAnsi="Times New Roman"/>
        </w:rPr>
        <w:t xml:space="preserve">(Comm). </w:t>
      </w:r>
    </w:p>
  </w:footnote>
  <w:footnote w:id="98">
    <w:p w14:paraId="5E91AC00"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At par</w:t>
      </w:r>
      <w:r w:rsidRPr="005919D2">
        <w:rPr>
          <w:rFonts w:ascii="Times New Roman" w:hAnsi="Times New Roman"/>
          <w:lang w:val="en-GB"/>
        </w:rPr>
        <w:t>a</w:t>
      </w:r>
      <w:r w:rsidRPr="005919D2">
        <w:rPr>
          <w:rFonts w:ascii="Times New Roman" w:hAnsi="Times New Roman"/>
        </w:rPr>
        <w:t xml:space="preserve"> 48. </w:t>
      </w:r>
    </w:p>
  </w:footnote>
  <w:footnote w:id="99">
    <w:p w14:paraId="15805E16" w14:textId="77777777" w:rsidR="0095151C" w:rsidRPr="005919D2" w:rsidRDefault="0095151C" w:rsidP="0095151C">
      <w:pPr>
        <w:pStyle w:val="FootnoteText"/>
        <w:spacing w:line="240" w:lineRule="auto"/>
        <w:jc w:val="both"/>
        <w:rPr>
          <w:rFonts w:ascii="Times New Roman" w:hAnsi="Times New Roman"/>
        </w:rPr>
      </w:pPr>
      <w:r w:rsidRPr="005919D2">
        <w:rPr>
          <w:rStyle w:val="FootnoteReference"/>
          <w:rFonts w:ascii="Times New Roman" w:hAnsi="Times New Roman"/>
        </w:rPr>
        <w:footnoteRef/>
      </w:r>
      <w:r w:rsidRPr="005919D2">
        <w:rPr>
          <w:rFonts w:ascii="Times New Roman" w:hAnsi="Times New Roman"/>
        </w:rPr>
        <w:t xml:space="preserve"> At par</w:t>
      </w:r>
      <w:r w:rsidRPr="005919D2">
        <w:rPr>
          <w:rFonts w:ascii="Times New Roman" w:hAnsi="Times New Roman"/>
          <w:lang w:val="en-GB"/>
        </w:rPr>
        <w:t xml:space="preserve">a </w:t>
      </w:r>
      <w:r w:rsidRPr="005919D2">
        <w:rPr>
          <w:rFonts w:ascii="Times New Roman" w:hAnsi="Times New Roman"/>
        </w:rPr>
        <w:t xml:space="preserve">56. </w:t>
      </w:r>
    </w:p>
  </w:footnote>
  <w:footnote w:id="100">
    <w:p w14:paraId="78A61C8C"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At para 36. </w:t>
      </w:r>
    </w:p>
  </w:footnote>
  <w:footnote w:id="101">
    <w:p w14:paraId="17A22DA8"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See para 36. </w:t>
      </w:r>
    </w:p>
  </w:footnote>
  <w:footnote w:id="102">
    <w:p w14:paraId="43BE572E"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At para 38. </w:t>
      </w:r>
    </w:p>
  </w:footnote>
  <w:footnote w:id="103">
    <w:p w14:paraId="78234EAF"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At para 110.</w:t>
      </w:r>
    </w:p>
  </w:footnote>
  <w:footnote w:id="104">
    <w:p w14:paraId="7D8E7AA5"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At para 111. </w:t>
      </w:r>
    </w:p>
  </w:footnote>
  <w:footnote w:id="105">
    <w:p w14:paraId="5E03FB82"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At para 39.</w:t>
      </w:r>
    </w:p>
  </w:footnote>
  <w:footnote w:id="106">
    <w:p w14:paraId="59D495E6"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At para 40. </w:t>
      </w:r>
    </w:p>
  </w:footnote>
  <w:footnote w:id="107">
    <w:p w14:paraId="4B877311" w14:textId="613E0988" w:rsidR="0095151C" w:rsidRPr="005919D2" w:rsidRDefault="0095151C" w:rsidP="0095151C">
      <w:pPr>
        <w:pStyle w:val="FootnoteText"/>
        <w:jc w:val="both"/>
        <w:rPr>
          <w:bCs/>
          <w:lang w:val="en-GB"/>
        </w:rPr>
      </w:pPr>
      <w:r w:rsidRPr="005919D2">
        <w:rPr>
          <w:rStyle w:val="FootnoteReference"/>
          <w:bCs/>
        </w:rPr>
        <w:footnoteRef/>
      </w:r>
      <w:r w:rsidRPr="005919D2">
        <w:rPr>
          <w:bCs/>
        </w:rPr>
        <w:t xml:space="preserve"> </w:t>
      </w:r>
      <w:r w:rsidRPr="005919D2">
        <w:rPr>
          <w:bCs/>
          <w:lang w:val="en-GB"/>
        </w:rPr>
        <w:t>At para 43</w:t>
      </w:r>
      <w:r w:rsidR="00450A51" w:rsidRPr="005919D2">
        <w:rPr>
          <w:bCs/>
          <w:lang w:val="en-GB"/>
        </w:rPr>
        <w:t xml:space="preserve">. </w:t>
      </w:r>
      <w:r w:rsidRPr="005919D2">
        <w:rPr>
          <w:bCs/>
          <w:lang w:val="en-GB"/>
        </w:rPr>
        <w:t xml:space="preserve">In </w:t>
      </w:r>
      <w:r w:rsidRPr="005919D2">
        <w:rPr>
          <w:bCs/>
          <w:i/>
          <w:iCs/>
          <w:lang w:val="en-GB"/>
        </w:rPr>
        <w:t>SRS Middle East FTZE v Chemie Tech DMCC</w:t>
      </w:r>
      <w:r w:rsidRPr="005919D2">
        <w:rPr>
          <w:bCs/>
          <w:lang w:val="en-GB"/>
        </w:rPr>
        <w:t xml:space="preserve"> [2020] EWHC 2904 (Comm), Barker J rejected the Defendant’s allegation of delay as the Claimant moved very promptly to seek relief. See para 56.</w:t>
      </w:r>
    </w:p>
  </w:footnote>
  <w:footnote w:id="108">
    <w:p w14:paraId="26563D34"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[2013] EWHC 1276 (Comm).</w:t>
      </w:r>
    </w:p>
  </w:footnote>
  <w:footnote w:id="109">
    <w:p w14:paraId="5576A831"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See para 43 for all relevant factors. </w:t>
      </w:r>
    </w:p>
  </w:footnote>
  <w:footnote w:id="110">
    <w:p w14:paraId="441F3166"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At para 45.</w:t>
      </w:r>
    </w:p>
  </w:footnote>
  <w:footnote w:id="111">
    <w:p w14:paraId="7BB6E879"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At para 47.</w:t>
      </w:r>
    </w:p>
  </w:footnote>
  <w:footnote w:id="112">
    <w:p w14:paraId="330162AB"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[2022] EWHC 768 (Comm) [2022] 1 C.L.C 877. </w:t>
      </w:r>
    </w:p>
  </w:footnote>
  <w:footnote w:id="113">
    <w:p w14:paraId="57330593"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paras 64 and 65.</w:t>
      </w:r>
    </w:p>
  </w:footnote>
  <w:footnote w:id="114">
    <w:p w14:paraId="5B69AEDE"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paras 74- 76.</w:t>
      </w:r>
    </w:p>
  </w:footnote>
  <w:footnote w:id="115">
    <w:p w14:paraId="00666C05"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paras 75 to 78.</w:t>
      </w:r>
    </w:p>
  </w:footnote>
  <w:footnote w:id="116">
    <w:p w14:paraId="744AA879"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At para 94.</w:t>
      </w:r>
    </w:p>
  </w:footnote>
  <w:footnote w:id="117">
    <w:p w14:paraId="6F2E0DAF"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94. </w:t>
      </w:r>
    </w:p>
  </w:footnote>
  <w:footnote w:id="118">
    <w:p w14:paraId="54CFF82C" w14:textId="77777777" w:rsidR="0095151C" w:rsidRPr="005919D2" w:rsidRDefault="0095151C" w:rsidP="0095151C">
      <w:pPr>
        <w:pStyle w:val="FootnoteText"/>
        <w:rPr>
          <w:rFonts w:cs="Calibri"/>
          <w:lang w:val="en-GB"/>
        </w:rPr>
      </w:pPr>
      <w:r w:rsidRPr="005919D2">
        <w:rPr>
          <w:rStyle w:val="FootnoteReference"/>
        </w:rPr>
        <w:footnoteRef/>
      </w:r>
      <w:r w:rsidRPr="005919D2">
        <w:t xml:space="preserve"> </w:t>
      </w:r>
      <w:r w:rsidRPr="005919D2">
        <w:rPr>
          <w:rFonts w:cs="Calibri"/>
          <w:kern w:val="2"/>
        </w:rPr>
        <w:t>Substantial delay on its own can result in equitable relief being denied though it does not necessarily do so.</w:t>
      </w:r>
    </w:p>
  </w:footnote>
  <w:footnote w:id="119">
    <w:p w14:paraId="497084BA"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i/>
          <w:lang w:val="en-GB"/>
        </w:rPr>
        <w:t>Africa Finance Corporation</w:t>
      </w:r>
      <w:r w:rsidRPr="005919D2">
        <w:rPr>
          <w:lang w:val="en-GB"/>
        </w:rPr>
        <w:t xml:space="preserve"> at par 73. </w:t>
      </w:r>
    </w:p>
  </w:footnote>
  <w:footnote w:id="120">
    <w:p w14:paraId="7CA0BE1D"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At paras 123 and 137.</w:t>
      </w:r>
    </w:p>
  </w:footnote>
  <w:footnote w:id="121">
    <w:p w14:paraId="3DAA69FA"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bCs/>
          <w:lang w:val="en-GB"/>
        </w:rPr>
        <w:t xml:space="preserve">See for example </w:t>
      </w:r>
      <w:r w:rsidRPr="005919D2">
        <w:rPr>
          <w:bCs/>
          <w:i/>
          <w:iCs/>
          <w:lang w:val="en-GB"/>
        </w:rPr>
        <w:t>ADM Asia</w:t>
      </w:r>
      <w:r w:rsidRPr="005919D2">
        <w:rPr>
          <w:bCs/>
          <w:lang w:val="en-GB"/>
        </w:rPr>
        <w:t xml:space="preserve">. </w:t>
      </w:r>
    </w:p>
  </w:footnote>
  <w:footnote w:id="122">
    <w:p w14:paraId="4DB07702"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See Thomas Raphael (n) 70 at 8.21.</w:t>
      </w:r>
    </w:p>
  </w:footnote>
  <w:footnote w:id="123">
    <w:p w14:paraId="05D263BE"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Paras 129 and 130. </w:t>
      </w:r>
    </w:p>
  </w:footnote>
  <w:footnote w:id="124">
    <w:p w14:paraId="73492598" w14:textId="77777777" w:rsidR="0095151C" w:rsidRPr="005919D2" w:rsidRDefault="0095151C" w:rsidP="0095151C">
      <w:pPr>
        <w:pStyle w:val="FootnoteText"/>
        <w:rPr>
          <w:lang w:val="en-GB"/>
        </w:rPr>
      </w:pPr>
      <w:r w:rsidRPr="005919D2">
        <w:rPr>
          <w:rStyle w:val="FootnoteReference"/>
        </w:rPr>
        <w:footnoteRef/>
      </w:r>
      <w:r w:rsidRPr="005919D2">
        <w:t xml:space="preserve"> </w:t>
      </w:r>
      <w:r w:rsidRPr="005919D2">
        <w:rPr>
          <w:lang w:val="en-GB"/>
        </w:rPr>
        <w:t xml:space="preserve">At para 129. </w:t>
      </w:r>
    </w:p>
  </w:footnote>
  <w:footnote w:id="125">
    <w:p w14:paraId="5834338D"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Paras 46 and 50.</w:t>
      </w:r>
    </w:p>
  </w:footnote>
  <w:footnote w:id="126">
    <w:p w14:paraId="65AA8176"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At para 40. </w:t>
      </w:r>
    </w:p>
  </w:footnote>
  <w:footnote w:id="127">
    <w:p w14:paraId="59357285"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At para 48. </w:t>
      </w:r>
    </w:p>
  </w:footnote>
  <w:footnote w:id="128">
    <w:p w14:paraId="72772C4F" w14:textId="77777777" w:rsidR="00035FC6" w:rsidRPr="005919D2" w:rsidRDefault="00035FC6">
      <w:pPr>
        <w:pStyle w:val="FootnoteText"/>
        <w:rPr>
          <w:lang w:val="en-GB"/>
        </w:rPr>
      </w:pPr>
      <w:r w:rsidRPr="005919D2">
        <w:rPr>
          <w:rStyle w:val="FootnoteReference"/>
        </w:rPr>
        <w:footnoteRef/>
      </w:r>
      <w:r w:rsidRPr="005919D2">
        <w:t xml:space="preserve"> </w:t>
      </w:r>
      <w:r w:rsidRPr="005919D2">
        <w:rPr>
          <w:lang w:val="en-GB"/>
        </w:rPr>
        <w:t>[2016] EWHC 454 (Comm).</w:t>
      </w:r>
    </w:p>
  </w:footnote>
  <w:footnote w:id="129">
    <w:p w14:paraId="60EBC44A"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At para 61. </w:t>
      </w:r>
    </w:p>
  </w:footnote>
  <w:footnote w:id="130">
    <w:p w14:paraId="4FD632CF"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See para 130.</w:t>
      </w:r>
    </w:p>
  </w:footnote>
  <w:footnote w:id="131">
    <w:p w14:paraId="67680690" w14:textId="77777777" w:rsidR="0095151C" w:rsidRPr="005919D2" w:rsidRDefault="0095151C" w:rsidP="0095151C">
      <w:pPr>
        <w:pStyle w:val="FootnoteText"/>
        <w:jc w:val="both"/>
        <w:rPr>
          <w:rFonts w:ascii="Times New Roman" w:hAnsi="Times New Roman"/>
          <w:lang w:val="en-GB"/>
        </w:rPr>
      </w:pPr>
      <w:r w:rsidRPr="005919D2">
        <w:rPr>
          <w:rStyle w:val="FootnoteReference"/>
          <w:rFonts w:ascii="Times New Roman" w:hAnsi="Times New Roman"/>
        </w:rPr>
        <w:footnoteRef/>
      </w:r>
      <w:r w:rsidRPr="005919D2">
        <w:rPr>
          <w:rFonts w:ascii="Times New Roman" w:hAnsi="Times New Roman"/>
        </w:rPr>
        <w:t xml:space="preserve"> </w:t>
      </w:r>
      <w:r w:rsidRPr="005919D2">
        <w:rPr>
          <w:rFonts w:ascii="Times New Roman" w:hAnsi="Times New Roman"/>
          <w:lang w:val="en-GB"/>
        </w:rPr>
        <w:t>[2020] EWHC 1223 (Comm), [2020] 2 Lloyd’s Rep 137.</w:t>
      </w:r>
    </w:p>
  </w:footnote>
  <w:footnote w:id="132">
    <w:p w14:paraId="1CD0BA93" w14:textId="77777777" w:rsidR="0095151C" w:rsidRPr="005919D2" w:rsidRDefault="0095151C" w:rsidP="0095151C">
      <w:pPr>
        <w:pStyle w:val="FootnoteText"/>
        <w:jc w:val="both"/>
        <w:rPr>
          <w:lang w:val="en-GB"/>
        </w:rPr>
      </w:pPr>
      <w:r w:rsidRPr="005919D2">
        <w:rPr>
          <w:rStyle w:val="FootnoteReference"/>
        </w:rPr>
        <w:footnoteRef/>
      </w:r>
      <w:r w:rsidRPr="005919D2">
        <w:t xml:space="preserve"> </w:t>
      </w:r>
      <w:r w:rsidRPr="005919D2">
        <w:rPr>
          <w:lang w:val="en-GB"/>
        </w:rPr>
        <w:t xml:space="preserve"> At para 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9A3F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C8C1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5202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62E8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1E34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A6F4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BE1D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289C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9CFE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BAFD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91593"/>
    <w:multiLevelType w:val="multilevel"/>
    <w:tmpl w:val="D8F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843A2"/>
    <w:multiLevelType w:val="hybridMultilevel"/>
    <w:tmpl w:val="144ADDDC"/>
    <w:lvl w:ilvl="0" w:tplc="FFFFFFFF">
      <w:start w:val="1"/>
      <w:numFmt w:val="lowerLetter"/>
      <w:lvlText w:val="(%1)"/>
      <w:lvlJc w:val="left"/>
      <w:pPr>
        <w:ind w:left="816" w:hanging="45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130F1E"/>
    <w:multiLevelType w:val="multilevel"/>
    <w:tmpl w:val="3A4C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A3A02"/>
    <w:multiLevelType w:val="multilevel"/>
    <w:tmpl w:val="46C6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C7A29"/>
    <w:multiLevelType w:val="multilevel"/>
    <w:tmpl w:val="3A4C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9B130E"/>
    <w:multiLevelType w:val="hybridMultilevel"/>
    <w:tmpl w:val="60E82D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A24149"/>
    <w:multiLevelType w:val="hybridMultilevel"/>
    <w:tmpl w:val="2CF2A810"/>
    <w:lvl w:ilvl="0" w:tplc="FAD20B1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36C2D"/>
    <w:multiLevelType w:val="multilevel"/>
    <w:tmpl w:val="46C6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8A2282"/>
    <w:multiLevelType w:val="multilevel"/>
    <w:tmpl w:val="E8AE060E"/>
    <w:lvl w:ilvl="0">
      <w:start w:val="1"/>
      <w:numFmt w:val="upperRoman"/>
      <w:pStyle w:val="Heading1"/>
      <w:lvlText w:val="%1."/>
      <w:lvlJc w:val="left"/>
      <w:pPr>
        <w:tabs>
          <w:tab w:val="num" w:pos="720"/>
        </w:tabs>
        <w:ind w:left="720" w:hanging="720"/>
      </w:pPr>
      <w:rPr>
        <w:rFonts w:hint="default"/>
        <w:caps w:val="0"/>
        <w:color w:val="auto"/>
        <w:u w:val="none"/>
      </w:rPr>
    </w:lvl>
    <w:lvl w:ilvl="1">
      <w:start w:val="1"/>
      <w:numFmt w:val="upperLetter"/>
      <w:pStyle w:val="Heading2"/>
      <w:lvlText w:val="%2."/>
      <w:lvlJc w:val="left"/>
      <w:pPr>
        <w:tabs>
          <w:tab w:val="num" w:pos="1440"/>
        </w:tabs>
        <w:ind w:left="1440" w:hanging="720"/>
      </w:pPr>
      <w:rPr>
        <w:rFonts w:hint="default"/>
        <w:caps w:val="0"/>
        <w:color w:val="auto"/>
        <w:u w:val="none"/>
      </w:rPr>
    </w:lvl>
    <w:lvl w:ilvl="2">
      <w:start w:val="1"/>
      <w:numFmt w:val="decimal"/>
      <w:pStyle w:val="Heading3"/>
      <w:lvlText w:val="%3."/>
      <w:lvlJc w:val="left"/>
      <w:pPr>
        <w:tabs>
          <w:tab w:val="num" w:pos="2160"/>
        </w:tabs>
        <w:ind w:left="2160" w:hanging="720"/>
      </w:pPr>
      <w:rPr>
        <w:rFonts w:hint="default"/>
        <w:caps w:val="0"/>
        <w:color w:val="auto"/>
        <w:u w:val="none"/>
      </w:rPr>
    </w:lvl>
    <w:lvl w:ilvl="3">
      <w:start w:val="1"/>
      <w:numFmt w:val="lowerLetter"/>
      <w:pStyle w:val="Heading4"/>
      <w:lvlText w:val="%4."/>
      <w:lvlJc w:val="left"/>
      <w:pPr>
        <w:tabs>
          <w:tab w:val="num" w:pos="2880"/>
        </w:tabs>
        <w:ind w:left="2880" w:hanging="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16cid:durableId="709034754">
    <w:abstractNumId w:val="9"/>
  </w:num>
  <w:num w:numId="2" w16cid:durableId="183255286">
    <w:abstractNumId w:val="7"/>
  </w:num>
  <w:num w:numId="3" w16cid:durableId="1743795115">
    <w:abstractNumId w:val="6"/>
  </w:num>
  <w:num w:numId="4" w16cid:durableId="1274823135">
    <w:abstractNumId w:val="5"/>
  </w:num>
  <w:num w:numId="5" w16cid:durableId="201945439">
    <w:abstractNumId w:val="4"/>
  </w:num>
  <w:num w:numId="6" w16cid:durableId="1389955926">
    <w:abstractNumId w:val="8"/>
  </w:num>
  <w:num w:numId="7" w16cid:durableId="1441485756">
    <w:abstractNumId w:val="3"/>
  </w:num>
  <w:num w:numId="8" w16cid:durableId="440104353">
    <w:abstractNumId w:val="2"/>
  </w:num>
  <w:num w:numId="9" w16cid:durableId="1318605979">
    <w:abstractNumId w:val="1"/>
  </w:num>
  <w:num w:numId="10" w16cid:durableId="1948341266">
    <w:abstractNumId w:val="0"/>
  </w:num>
  <w:num w:numId="11" w16cid:durableId="1829902225">
    <w:abstractNumId w:val="18"/>
  </w:num>
  <w:num w:numId="12" w16cid:durableId="384261886">
    <w:abstractNumId w:val="18"/>
  </w:num>
  <w:num w:numId="13" w16cid:durableId="324626051">
    <w:abstractNumId w:val="18"/>
  </w:num>
  <w:num w:numId="14" w16cid:durableId="310793008">
    <w:abstractNumId w:val="18"/>
  </w:num>
  <w:num w:numId="15" w16cid:durableId="682316142">
    <w:abstractNumId w:val="18"/>
  </w:num>
  <w:num w:numId="16" w16cid:durableId="1625039877">
    <w:abstractNumId w:val="18"/>
  </w:num>
  <w:num w:numId="17" w16cid:durableId="52119753">
    <w:abstractNumId w:val="18"/>
  </w:num>
  <w:num w:numId="18" w16cid:durableId="6253055">
    <w:abstractNumId w:val="18"/>
  </w:num>
  <w:num w:numId="19" w16cid:durableId="1082876931">
    <w:abstractNumId w:val="18"/>
  </w:num>
  <w:num w:numId="20" w16cid:durableId="815877924">
    <w:abstractNumId w:val="18"/>
  </w:num>
  <w:num w:numId="21" w16cid:durableId="277109292">
    <w:abstractNumId w:val="18"/>
  </w:num>
  <w:num w:numId="22" w16cid:durableId="939604536">
    <w:abstractNumId w:val="18"/>
  </w:num>
  <w:num w:numId="23" w16cid:durableId="1406758203">
    <w:abstractNumId w:val="18"/>
  </w:num>
  <w:num w:numId="24" w16cid:durableId="295069625">
    <w:abstractNumId w:val="18"/>
  </w:num>
  <w:num w:numId="25" w16cid:durableId="254022126">
    <w:abstractNumId w:val="18"/>
  </w:num>
  <w:num w:numId="26" w16cid:durableId="174081466">
    <w:abstractNumId w:val="18"/>
  </w:num>
  <w:num w:numId="27" w16cid:durableId="1755593528">
    <w:abstractNumId w:val="18"/>
  </w:num>
  <w:num w:numId="28" w16cid:durableId="533346168">
    <w:abstractNumId w:val="18"/>
  </w:num>
  <w:num w:numId="29" w16cid:durableId="1104960594">
    <w:abstractNumId w:val="18"/>
  </w:num>
  <w:num w:numId="30" w16cid:durableId="875776646">
    <w:abstractNumId w:val="18"/>
  </w:num>
  <w:num w:numId="31" w16cid:durableId="991250133">
    <w:abstractNumId w:val="18"/>
  </w:num>
  <w:num w:numId="32" w16cid:durableId="1127775901">
    <w:abstractNumId w:val="18"/>
  </w:num>
  <w:num w:numId="33" w16cid:durableId="1367368573">
    <w:abstractNumId w:val="18"/>
  </w:num>
  <w:num w:numId="34" w16cid:durableId="1056127159">
    <w:abstractNumId w:val="18"/>
  </w:num>
  <w:num w:numId="35" w16cid:durableId="489833111">
    <w:abstractNumId w:val="18"/>
  </w:num>
  <w:num w:numId="36" w16cid:durableId="1151795212">
    <w:abstractNumId w:val="18"/>
  </w:num>
  <w:num w:numId="37" w16cid:durableId="1450859031">
    <w:abstractNumId w:val="18"/>
  </w:num>
  <w:num w:numId="38" w16cid:durableId="1319337722">
    <w:abstractNumId w:val="12"/>
    <w:lvlOverride w:ilvl="0">
      <w:startOverride w:val="71"/>
    </w:lvlOverride>
  </w:num>
  <w:num w:numId="39" w16cid:durableId="1674182900">
    <w:abstractNumId w:val="14"/>
  </w:num>
  <w:num w:numId="40" w16cid:durableId="2124957612">
    <w:abstractNumId w:val="10"/>
  </w:num>
  <w:num w:numId="41" w16cid:durableId="1727948135">
    <w:abstractNumId w:val="15"/>
  </w:num>
  <w:num w:numId="42" w16cid:durableId="1271819687">
    <w:abstractNumId w:val="11"/>
  </w:num>
  <w:num w:numId="43" w16cid:durableId="1626502677">
    <w:abstractNumId w:val="13"/>
    <w:lvlOverride w:ilvl="0">
      <w:startOverride w:val="98"/>
    </w:lvlOverride>
  </w:num>
  <w:num w:numId="44" w16cid:durableId="1304966532">
    <w:abstractNumId w:val="17"/>
  </w:num>
  <w:num w:numId="45" w16cid:durableId="1718968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1C"/>
    <w:rsid w:val="00035FC6"/>
    <w:rsid w:val="0006255D"/>
    <w:rsid w:val="001047B3"/>
    <w:rsid w:val="0019687F"/>
    <w:rsid w:val="00215373"/>
    <w:rsid w:val="002679AA"/>
    <w:rsid w:val="002F726A"/>
    <w:rsid w:val="003E142F"/>
    <w:rsid w:val="00450A51"/>
    <w:rsid w:val="004E082C"/>
    <w:rsid w:val="004E1E73"/>
    <w:rsid w:val="004F371B"/>
    <w:rsid w:val="00531F19"/>
    <w:rsid w:val="00556CB8"/>
    <w:rsid w:val="00584C3E"/>
    <w:rsid w:val="005905E0"/>
    <w:rsid w:val="005919D2"/>
    <w:rsid w:val="00622122"/>
    <w:rsid w:val="006924D1"/>
    <w:rsid w:val="007334DD"/>
    <w:rsid w:val="00762FF7"/>
    <w:rsid w:val="007845F9"/>
    <w:rsid w:val="007B72C3"/>
    <w:rsid w:val="008A64FB"/>
    <w:rsid w:val="008D4576"/>
    <w:rsid w:val="009230A7"/>
    <w:rsid w:val="0095151C"/>
    <w:rsid w:val="009F5C6D"/>
    <w:rsid w:val="00AD64F8"/>
    <w:rsid w:val="00B70383"/>
    <w:rsid w:val="00B92443"/>
    <w:rsid w:val="00BF48D5"/>
    <w:rsid w:val="00BF5D99"/>
    <w:rsid w:val="00C2444C"/>
    <w:rsid w:val="00C5309C"/>
    <w:rsid w:val="00DE5A8F"/>
    <w:rsid w:val="00E55A3F"/>
    <w:rsid w:val="00E847BF"/>
    <w:rsid w:val="00EA2E6D"/>
    <w:rsid w:val="00ED02DC"/>
    <w:rsid w:val="00F7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AF2B0"/>
  <w15:chartTrackingRefBased/>
  <w15:docId w15:val="{F656B0C5-7FF0-43F9-9C62-38637C3F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1C"/>
    <w:pPr>
      <w:spacing w:after="200" w:line="276" w:lineRule="auto"/>
    </w:pPr>
    <w:rPr>
      <w:rFonts w:ascii="Calibri" w:eastAsia="Calibri" w:hAnsi="Calibri"/>
      <w:sz w:val="22"/>
      <w:szCs w:val="22"/>
      <w:lang w:val="en-GB" w:eastAsia="en-US"/>
    </w:rPr>
  </w:style>
  <w:style w:type="paragraph" w:styleId="Heading1">
    <w:name w:val="heading 1"/>
    <w:basedOn w:val="Normal"/>
    <w:link w:val="Heading1Char"/>
    <w:uiPriority w:val="9"/>
    <w:qFormat/>
    <w:pPr>
      <w:numPr>
        <w:numId w:val="37"/>
      </w:numPr>
      <w:spacing w:after="240"/>
      <w:outlineLvl w:val="0"/>
    </w:pPr>
    <w:rPr>
      <w:bCs/>
      <w:kern w:val="32"/>
      <w:szCs w:val="32"/>
    </w:rPr>
  </w:style>
  <w:style w:type="paragraph" w:styleId="Heading2">
    <w:name w:val="heading 2"/>
    <w:basedOn w:val="Normal"/>
    <w:link w:val="Heading2Char"/>
    <w:qFormat/>
    <w:pPr>
      <w:numPr>
        <w:ilvl w:val="1"/>
        <w:numId w:val="37"/>
      </w:numPr>
      <w:spacing w:after="240"/>
      <w:outlineLvl w:val="1"/>
    </w:pPr>
    <w:rPr>
      <w:bCs/>
      <w:iCs/>
      <w:szCs w:val="28"/>
    </w:rPr>
  </w:style>
  <w:style w:type="paragraph" w:styleId="Heading3">
    <w:name w:val="heading 3"/>
    <w:basedOn w:val="Normal"/>
    <w:link w:val="Heading3Char"/>
    <w:qFormat/>
    <w:pPr>
      <w:numPr>
        <w:ilvl w:val="2"/>
        <w:numId w:val="37"/>
      </w:numPr>
      <w:spacing w:after="240"/>
      <w:outlineLvl w:val="2"/>
    </w:pPr>
    <w:rPr>
      <w:bCs/>
      <w:szCs w:val="26"/>
    </w:rPr>
  </w:style>
  <w:style w:type="paragraph" w:styleId="Heading4">
    <w:name w:val="heading 4"/>
    <w:basedOn w:val="Normal"/>
    <w:link w:val="Heading4Char"/>
    <w:qFormat/>
    <w:pPr>
      <w:numPr>
        <w:ilvl w:val="3"/>
        <w:numId w:val="37"/>
      </w:numPr>
      <w:spacing w:after="240"/>
      <w:outlineLvl w:val="3"/>
    </w:pPr>
    <w:rPr>
      <w:bCs/>
      <w:szCs w:val="28"/>
    </w:rPr>
  </w:style>
  <w:style w:type="paragraph" w:styleId="Heading5">
    <w:name w:val="heading 5"/>
    <w:basedOn w:val="Normal"/>
    <w:link w:val="Heading5Char"/>
    <w:qFormat/>
    <w:pPr>
      <w:numPr>
        <w:ilvl w:val="4"/>
        <w:numId w:val="37"/>
      </w:numPr>
      <w:spacing w:after="240"/>
      <w:outlineLvl w:val="4"/>
    </w:pPr>
    <w:rPr>
      <w:bCs/>
      <w:iCs/>
      <w:szCs w:val="26"/>
    </w:rPr>
  </w:style>
  <w:style w:type="paragraph" w:styleId="Heading6">
    <w:name w:val="heading 6"/>
    <w:basedOn w:val="Normal"/>
    <w:link w:val="Heading6Char"/>
    <w:qFormat/>
    <w:pPr>
      <w:numPr>
        <w:ilvl w:val="5"/>
        <w:numId w:val="37"/>
      </w:numPr>
      <w:spacing w:after="240"/>
      <w:outlineLvl w:val="5"/>
    </w:pPr>
    <w:rPr>
      <w:bCs/>
    </w:rPr>
  </w:style>
  <w:style w:type="paragraph" w:styleId="Heading7">
    <w:name w:val="heading 7"/>
    <w:basedOn w:val="Normal"/>
    <w:link w:val="Heading7Char"/>
    <w:qFormat/>
    <w:pPr>
      <w:numPr>
        <w:ilvl w:val="6"/>
        <w:numId w:val="37"/>
      </w:numPr>
      <w:spacing w:after="240"/>
      <w:outlineLvl w:val="6"/>
    </w:pPr>
  </w:style>
  <w:style w:type="paragraph" w:styleId="Heading8">
    <w:name w:val="heading 8"/>
    <w:basedOn w:val="Normal"/>
    <w:link w:val="Heading8Char"/>
    <w:qFormat/>
    <w:pPr>
      <w:numPr>
        <w:ilvl w:val="7"/>
        <w:numId w:val="37"/>
      </w:numPr>
      <w:spacing w:after="240"/>
      <w:outlineLvl w:val="7"/>
    </w:pPr>
    <w:rPr>
      <w:iCs/>
    </w:rPr>
  </w:style>
  <w:style w:type="paragraph" w:styleId="Heading9">
    <w:name w:val="heading 9"/>
    <w:basedOn w:val="Normal"/>
    <w:link w:val="Heading9Char"/>
    <w:qFormat/>
    <w:pPr>
      <w:numPr>
        <w:ilvl w:val="8"/>
        <w:numId w:val="37"/>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character" w:customStyle="1" w:styleId="SingleSpaceChar">
    <w:name w:val="Single Space Char"/>
    <w:basedOn w:val="DefaultParagraphFont"/>
    <w:link w:val="SingleSpace"/>
  </w:style>
  <w:style w:type="character" w:customStyle="1" w:styleId="Heading1Char">
    <w:name w:val="Heading 1 Char"/>
    <w:basedOn w:val="DefaultParagraphFont"/>
    <w:link w:val="Heading1"/>
    <w:uiPriority w:val="9"/>
    <w:rPr>
      <w:bCs/>
      <w:kern w:val="32"/>
      <w:sz w:val="24"/>
      <w:szCs w:val="32"/>
    </w:rPr>
  </w:style>
  <w:style w:type="character" w:customStyle="1" w:styleId="Heading2Char">
    <w:name w:val="Heading 2 Char"/>
    <w:basedOn w:val="DefaultParagraphFont"/>
    <w:link w:val="Heading2"/>
    <w:rPr>
      <w:bCs/>
      <w:iCs/>
      <w:sz w:val="24"/>
      <w:szCs w:val="28"/>
    </w:rPr>
  </w:style>
  <w:style w:type="character" w:customStyle="1" w:styleId="Heading3Char">
    <w:name w:val="Heading 3 Char"/>
    <w:basedOn w:val="DefaultParagraphFont"/>
    <w:link w:val="Heading3"/>
    <w:rPr>
      <w:bCs/>
      <w:sz w:val="24"/>
      <w:szCs w:val="26"/>
    </w:rPr>
  </w:style>
  <w:style w:type="character" w:customStyle="1" w:styleId="Heading4Char">
    <w:name w:val="Heading 4 Char"/>
    <w:basedOn w:val="DefaultParagraphFont"/>
    <w:link w:val="Heading4"/>
    <w:rPr>
      <w:bCs/>
      <w:sz w:val="24"/>
      <w:szCs w:val="28"/>
    </w:rPr>
  </w:style>
  <w:style w:type="character" w:customStyle="1" w:styleId="Heading5Char">
    <w:name w:val="Heading 5 Char"/>
    <w:basedOn w:val="DefaultParagraphFont"/>
    <w:link w:val="Heading5"/>
    <w:rPr>
      <w:bCs/>
      <w:iCs/>
      <w:sz w:val="24"/>
      <w:szCs w:val="26"/>
    </w:rPr>
  </w:style>
  <w:style w:type="character" w:customStyle="1" w:styleId="Heading6Char">
    <w:name w:val="Heading 6 Char"/>
    <w:basedOn w:val="DefaultParagraphFont"/>
    <w:link w:val="Heading6"/>
    <w:rPr>
      <w:bCs/>
      <w:sz w:val="24"/>
      <w:szCs w:val="22"/>
    </w:rPr>
  </w:style>
  <w:style w:type="character" w:customStyle="1" w:styleId="Heading7Char">
    <w:name w:val="Heading 7 Char"/>
    <w:basedOn w:val="DefaultParagraphFont"/>
    <w:link w:val="Heading7"/>
    <w:rPr>
      <w:sz w:val="24"/>
      <w:szCs w:val="24"/>
    </w:rPr>
  </w:style>
  <w:style w:type="character" w:customStyle="1" w:styleId="Heading8Char">
    <w:name w:val="Heading 8 Char"/>
    <w:basedOn w:val="DefaultParagraphFont"/>
    <w:link w:val="Heading8"/>
    <w:rPr>
      <w:iCs/>
      <w:sz w:val="24"/>
      <w:szCs w:val="24"/>
    </w:rPr>
  </w:style>
  <w:style w:type="character" w:customStyle="1" w:styleId="Heading9Char">
    <w:name w:val="Heading 9 Char"/>
    <w:basedOn w:val="DefaultParagraphFont"/>
    <w:link w:val="Heading9"/>
    <w:rPr>
      <w:sz w:val="24"/>
      <w:szCs w:val="22"/>
    </w:rPr>
  </w:style>
  <w:style w:type="paragraph" w:styleId="Caption">
    <w:name w:val="caption"/>
    <w:basedOn w:val="Normal"/>
    <w:next w:val="Normal"/>
    <w:qFormat/>
    <w:pPr>
      <w:spacing w:before="120" w:after="120"/>
    </w:pPr>
    <w:rPr>
      <w:b/>
      <w:bCs/>
      <w:sz w:val="20"/>
      <w:szCs w:val="20"/>
    </w:rPr>
  </w:style>
  <w:style w:type="paragraph" w:styleId="Title">
    <w:name w:val="Title"/>
    <w:basedOn w:val="Normal"/>
    <w:link w:val="TitleChar"/>
    <w:qFormat/>
    <w:pPr>
      <w:keepNext/>
      <w:spacing w:after="240"/>
      <w:jc w:val="center"/>
    </w:pPr>
    <w:rPr>
      <w:rFonts w:cs="Arial"/>
      <w:b/>
      <w:bCs/>
    </w:rPr>
  </w:style>
  <w:style w:type="character" w:customStyle="1" w:styleId="TitleChar">
    <w:name w:val="Title Char"/>
    <w:basedOn w:val="DefaultParagraphFont"/>
    <w:link w:val="Title"/>
    <w:rPr>
      <w:rFonts w:cs="Arial"/>
      <w:b/>
      <w:bCs/>
      <w:sz w:val="24"/>
      <w:szCs w:val="24"/>
    </w:rPr>
  </w:style>
  <w:style w:type="paragraph" w:styleId="Subtitle">
    <w:name w:val="Subtitle"/>
    <w:basedOn w:val="Normal"/>
    <w:link w:val="SubtitleChar"/>
    <w:qFormat/>
    <w:pPr>
      <w:spacing w:after="240"/>
      <w:jc w:val="center"/>
      <w:outlineLvl w:val="1"/>
    </w:pPr>
    <w:rPr>
      <w:rFonts w:ascii="Arial" w:hAnsi="Arial" w:cs="Arial"/>
    </w:rPr>
  </w:style>
  <w:style w:type="character" w:customStyle="1" w:styleId="SubtitleChar">
    <w:name w:val="Subtitle Char"/>
    <w:basedOn w:val="DefaultParagraphFont"/>
    <w:link w:val="Subtitle"/>
    <w:rPr>
      <w:rFonts w:ascii="Arial" w:hAnsi="Arial" w:cs="Arial"/>
      <w:sz w:val="24"/>
      <w:szCs w:val="24"/>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styleId="ListNumber">
    <w:name w:val="List Number"/>
    <w:basedOn w:val="Normal"/>
    <w:uiPriority w:val="99"/>
    <w:semiHidden/>
    <w:unhideWhenUsed/>
    <w:pPr>
      <w:numPr>
        <w:numId w:val="6"/>
      </w:numPr>
      <w:spacing w:after="240"/>
      <w:ind w:left="1440" w:hanging="720"/>
    </w:pPr>
  </w:style>
  <w:style w:type="paragraph" w:styleId="ListNumber2">
    <w:name w:val="List Number 2"/>
    <w:basedOn w:val="Normal"/>
    <w:uiPriority w:val="99"/>
    <w:semiHidden/>
    <w:unhideWhenUsed/>
    <w:pPr>
      <w:numPr>
        <w:numId w:val="7"/>
      </w:numPr>
      <w:spacing w:after="240"/>
      <w:ind w:left="0" w:firstLine="720"/>
    </w:pPr>
  </w:style>
  <w:style w:type="paragraph" w:styleId="ListBullet">
    <w:name w:val="List Bullet"/>
    <w:basedOn w:val="Normal"/>
    <w:uiPriority w:val="99"/>
    <w:semiHidden/>
    <w:unhideWhenUsed/>
    <w:pPr>
      <w:numPr>
        <w:numId w:val="1"/>
      </w:numPr>
      <w:spacing w:after="240"/>
      <w:ind w:left="1080" w:right="720"/>
    </w:pPr>
  </w:style>
  <w:style w:type="paragraph" w:styleId="ListBullet2">
    <w:name w:val="List Bullet 2"/>
    <w:basedOn w:val="Normal"/>
    <w:uiPriority w:val="99"/>
    <w:semiHidden/>
    <w:unhideWhenUsed/>
    <w:pPr>
      <w:numPr>
        <w:numId w:val="2"/>
      </w:numPr>
      <w:spacing w:after="240"/>
      <w:ind w:left="1800" w:right="1440"/>
    </w:pPr>
  </w:style>
  <w:style w:type="paragraph" w:customStyle="1" w:styleId="DoubleIndent">
    <w:name w:val="Double Indent"/>
    <w:basedOn w:val="SingleSpace"/>
    <w:link w:val="DoubleIndentChar"/>
    <w:qFormat/>
    <w:pPr>
      <w:spacing w:after="240"/>
      <w:ind w:left="1440" w:right="1440"/>
    </w:pPr>
  </w:style>
  <w:style w:type="character" w:customStyle="1" w:styleId="DoubleIndentChar">
    <w:name w:val="Double Indent Char"/>
    <w:basedOn w:val="SingleSpaceChar"/>
    <w:link w:val="DoubleIndent"/>
    <w:rPr>
      <w:sz w:val="24"/>
      <w:szCs w:val="24"/>
    </w:rPr>
  </w:style>
  <w:style w:type="paragraph" w:customStyle="1" w:styleId="DoubleSpace">
    <w:name w:val="Double Space"/>
    <w:basedOn w:val="SingleSpace"/>
    <w:link w:val="DoubleSpaceChar"/>
    <w:qFormat/>
    <w:pPr>
      <w:spacing w:after="240" w:line="480" w:lineRule="auto"/>
      <w:contextualSpacing/>
    </w:pPr>
  </w:style>
  <w:style w:type="character" w:customStyle="1" w:styleId="DoubleSpaceChar">
    <w:name w:val="Double Space Char"/>
    <w:basedOn w:val="SingleSpaceChar"/>
    <w:link w:val="DoubleSpace"/>
    <w:rPr>
      <w:sz w:val="24"/>
      <w:szCs w:val="24"/>
    </w:rPr>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sz w:val="24"/>
      <w:szCs w:val="24"/>
    </w:rPr>
  </w:style>
  <w:style w:type="paragraph" w:styleId="BodyText2">
    <w:name w:val="Body Text 2"/>
    <w:basedOn w:val="Normal"/>
    <w:link w:val="BodyText2Char"/>
    <w:uiPriority w:val="99"/>
    <w:semiHidden/>
    <w:unhideWhenUsed/>
    <w:pPr>
      <w:spacing w:after="240" w:line="480" w:lineRule="auto"/>
    </w:pPr>
  </w:style>
  <w:style w:type="character" w:customStyle="1" w:styleId="BodyText2Char">
    <w:name w:val="Body Text 2 Char"/>
    <w:basedOn w:val="DefaultParagraphFont"/>
    <w:link w:val="BodyText2"/>
    <w:uiPriority w:val="99"/>
    <w:semiHidden/>
    <w:rPr>
      <w:sz w:val="24"/>
      <w:szCs w:val="24"/>
    </w:rPr>
  </w:style>
  <w:style w:type="paragraph" w:styleId="BodyText3">
    <w:name w:val="Body Text 3"/>
    <w:basedOn w:val="Normal"/>
    <w:link w:val="BodyText3Char"/>
    <w:uiPriority w:val="99"/>
    <w:semiHidden/>
    <w:unhideWhenUsed/>
    <w:pPr>
      <w:spacing w:after="16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ind w:firstLine="720"/>
    </w:pPr>
  </w:style>
  <w:style w:type="character" w:customStyle="1" w:styleId="BodyTextFirstIndentChar">
    <w:name w:val="Body Text First Indent Char"/>
    <w:basedOn w:val="BodyTextChar"/>
    <w:link w:val="BodyTextFirstIndent"/>
    <w:uiPriority w:val="99"/>
    <w:semiHidden/>
    <w:rPr>
      <w:sz w:val="24"/>
      <w:szCs w:val="24"/>
    </w:rPr>
  </w:style>
  <w:style w:type="paragraph" w:styleId="BodyTextIndent">
    <w:name w:val="Body Text Indent"/>
    <w:basedOn w:val="Normal"/>
    <w:link w:val="BodyTextIndentChar"/>
    <w:uiPriority w:val="99"/>
    <w:semiHidden/>
    <w:unhideWhenUsed/>
    <w:pPr>
      <w:spacing w:after="240"/>
      <w:ind w:left="720"/>
    </w:p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2">
    <w:name w:val="Body Text Indent 2"/>
    <w:basedOn w:val="Normal"/>
    <w:link w:val="BodyTextIndent2Char"/>
    <w:uiPriority w:val="99"/>
    <w:semiHidden/>
    <w:unhideWhenUsed/>
    <w:pPr>
      <w:spacing w:after="240" w:line="480" w:lineRule="auto"/>
      <w:ind w:left="720"/>
    </w:pPr>
  </w:style>
  <w:style w:type="character" w:customStyle="1" w:styleId="BodyTextIndent2Char">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semiHidden/>
    <w:unhideWhenUsed/>
    <w:pPr>
      <w:spacing w:after="160"/>
      <w:ind w:left="72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FootnoteText">
    <w:name w:val="footnote text"/>
    <w:basedOn w:val="Normal"/>
    <w:link w:val="FootnoteTextChar"/>
    <w:uiPriority w:val="99"/>
    <w:semiHidden/>
    <w:unhideWhenUsed/>
    <w:rsid w:val="0095151C"/>
    <w:rPr>
      <w:sz w:val="20"/>
      <w:szCs w:val="20"/>
      <w:lang w:val="x-none"/>
    </w:rPr>
  </w:style>
  <w:style w:type="character" w:customStyle="1" w:styleId="FootnoteTextChar">
    <w:name w:val="Footnote Text Char"/>
    <w:basedOn w:val="DefaultParagraphFont"/>
    <w:link w:val="FootnoteText"/>
    <w:uiPriority w:val="99"/>
    <w:semiHidden/>
    <w:rsid w:val="0095151C"/>
    <w:rPr>
      <w:rFonts w:ascii="Calibri" w:eastAsia="Calibri" w:hAnsi="Calibri"/>
      <w:lang w:val="x-none" w:eastAsia="en-US"/>
    </w:rPr>
  </w:style>
  <w:style w:type="character" w:styleId="FootnoteReference">
    <w:name w:val="footnote reference"/>
    <w:uiPriority w:val="99"/>
    <w:semiHidden/>
    <w:unhideWhenUsed/>
    <w:rsid w:val="0095151C"/>
    <w:rPr>
      <w:vertAlign w:val="superscript"/>
    </w:rPr>
  </w:style>
  <w:style w:type="paragraph" w:customStyle="1" w:styleId="indent1">
    <w:name w:val="indent1"/>
    <w:basedOn w:val="Normal"/>
    <w:rsid w:val="0095151C"/>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semiHidden/>
    <w:unhideWhenUsed/>
    <w:rsid w:val="0095151C"/>
    <w:rPr>
      <w:color w:val="0000FF"/>
      <w:u w:val="single"/>
    </w:rPr>
  </w:style>
  <w:style w:type="paragraph" w:styleId="BalloonText">
    <w:name w:val="Balloon Text"/>
    <w:basedOn w:val="Normal"/>
    <w:link w:val="BalloonTextChar"/>
    <w:uiPriority w:val="99"/>
    <w:semiHidden/>
    <w:unhideWhenUsed/>
    <w:rsid w:val="0095151C"/>
    <w:pPr>
      <w:spacing w:after="0" w:line="240" w:lineRule="auto"/>
    </w:pPr>
    <w:rPr>
      <w:rFonts w:ascii="Arial" w:hAnsi="Arial"/>
      <w:sz w:val="16"/>
      <w:szCs w:val="16"/>
      <w:lang w:val="x-none"/>
    </w:rPr>
  </w:style>
  <w:style w:type="character" w:customStyle="1" w:styleId="BalloonTextChar">
    <w:name w:val="Balloon Text Char"/>
    <w:basedOn w:val="DefaultParagraphFont"/>
    <w:link w:val="BalloonText"/>
    <w:uiPriority w:val="99"/>
    <w:semiHidden/>
    <w:rsid w:val="0095151C"/>
    <w:rPr>
      <w:rFonts w:ascii="Arial" w:eastAsia="Calibri" w:hAnsi="Arial"/>
      <w:sz w:val="16"/>
      <w:szCs w:val="16"/>
      <w:lang w:val="x-none" w:eastAsia="en-US"/>
    </w:rPr>
  </w:style>
  <w:style w:type="paragraph" w:styleId="Header">
    <w:name w:val="header"/>
    <w:basedOn w:val="Normal"/>
    <w:link w:val="HeaderChar"/>
    <w:uiPriority w:val="99"/>
    <w:unhideWhenUsed/>
    <w:rsid w:val="0095151C"/>
    <w:pPr>
      <w:tabs>
        <w:tab w:val="center" w:pos="4513"/>
        <w:tab w:val="right" w:pos="9026"/>
      </w:tabs>
    </w:pPr>
    <w:rPr>
      <w:lang w:val="x-none"/>
    </w:rPr>
  </w:style>
  <w:style w:type="character" w:customStyle="1" w:styleId="HeaderChar">
    <w:name w:val="Header Char"/>
    <w:basedOn w:val="DefaultParagraphFont"/>
    <w:link w:val="Header"/>
    <w:uiPriority w:val="99"/>
    <w:rsid w:val="0095151C"/>
    <w:rPr>
      <w:rFonts w:ascii="Calibri" w:eastAsia="Calibri" w:hAnsi="Calibri"/>
      <w:sz w:val="22"/>
      <w:szCs w:val="22"/>
      <w:lang w:val="x-none" w:eastAsia="en-US"/>
    </w:rPr>
  </w:style>
  <w:style w:type="paragraph" w:styleId="Footer">
    <w:name w:val="footer"/>
    <w:basedOn w:val="Normal"/>
    <w:link w:val="FooterChar"/>
    <w:uiPriority w:val="99"/>
    <w:unhideWhenUsed/>
    <w:rsid w:val="0095151C"/>
    <w:pPr>
      <w:tabs>
        <w:tab w:val="center" w:pos="4513"/>
        <w:tab w:val="right" w:pos="9026"/>
      </w:tabs>
    </w:pPr>
    <w:rPr>
      <w:lang w:val="x-none"/>
    </w:rPr>
  </w:style>
  <w:style w:type="character" w:customStyle="1" w:styleId="FooterChar">
    <w:name w:val="Footer Char"/>
    <w:basedOn w:val="DefaultParagraphFont"/>
    <w:link w:val="Footer"/>
    <w:uiPriority w:val="99"/>
    <w:rsid w:val="0095151C"/>
    <w:rPr>
      <w:rFonts w:ascii="Calibri" w:eastAsia="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8352</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Hakeem Seriki (LAW - Staff)</dc:creator>
  <cp:lastModifiedBy>Hakeem Seriki (LAW - Staff)</cp:lastModifiedBy>
  <cp:revision>2</cp:revision>
  <cp:lastPrinted>2023-12-13T13:34:00Z</cp:lastPrinted>
  <dcterms:created xsi:type="dcterms:W3CDTF">2023-12-14T17:21:00Z</dcterms:created>
  <dcterms:modified xsi:type="dcterms:W3CDTF">2023-12-14T17:21:00Z</dcterms:modified>
</cp:coreProperties>
</file>