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8D578" w14:textId="41218DB5" w:rsidR="00C26B08" w:rsidRDefault="00C26B08">
      <w:pPr>
        <w:rPr>
          <w:rFonts w:ascii="Calibri" w:hAnsi="Calibri" w:cs="Calibri"/>
          <w:color w:val="353B57"/>
          <w:sz w:val="24"/>
          <w:szCs w:val="24"/>
          <w:shd w:val="clear" w:color="auto" w:fill="FFFFFF"/>
        </w:rPr>
      </w:pPr>
      <w:r w:rsidRPr="00C65533">
        <w:rPr>
          <w:rFonts w:ascii="Calibri" w:hAnsi="Calibri" w:cs="Calibri"/>
          <w:b/>
          <w:bCs/>
          <w:i/>
          <w:iCs/>
          <w:sz w:val="24"/>
          <w:szCs w:val="24"/>
        </w:rPr>
        <w:t>The 1930s: A Decade of Modern British Fiction</w:t>
      </w:r>
      <w:r w:rsidR="00AF465A" w:rsidRPr="00B662D2">
        <w:rPr>
          <w:rFonts w:ascii="Calibri" w:hAnsi="Calibri" w:cs="Calibri"/>
          <w:sz w:val="24"/>
          <w:szCs w:val="24"/>
        </w:rPr>
        <w:t>, e</w:t>
      </w:r>
      <w:r w:rsidRPr="00B662D2">
        <w:rPr>
          <w:rFonts w:ascii="Calibri" w:hAnsi="Calibri" w:cs="Calibri"/>
          <w:sz w:val="24"/>
          <w:szCs w:val="24"/>
        </w:rPr>
        <w:t>d</w:t>
      </w:r>
      <w:r w:rsidR="00AF465A" w:rsidRPr="00B662D2">
        <w:rPr>
          <w:rFonts w:ascii="Calibri" w:hAnsi="Calibri" w:cs="Calibri"/>
          <w:sz w:val="24"/>
          <w:szCs w:val="24"/>
        </w:rPr>
        <w:t>ited</w:t>
      </w:r>
      <w:r w:rsidRPr="00B662D2">
        <w:rPr>
          <w:rFonts w:ascii="Calibri" w:hAnsi="Calibri" w:cs="Calibri"/>
          <w:sz w:val="24"/>
          <w:szCs w:val="24"/>
        </w:rPr>
        <w:t xml:space="preserve"> by Nick Hubble, Luke Seaber and Elinor Taylor</w:t>
      </w:r>
      <w:r w:rsidR="00AF465A" w:rsidRPr="00B662D2">
        <w:rPr>
          <w:rFonts w:ascii="Calibri" w:hAnsi="Calibri" w:cs="Calibri"/>
          <w:sz w:val="24"/>
          <w:szCs w:val="24"/>
        </w:rPr>
        <w:t>, London, Bloomsbury Academic, 2021, 320 pp., £100 (hardback),</w:t>
      </w:r>
      <w:r w:rsidR="007E0BC7">
        <w:rPr>
          <w:rFonts w:ascii="Calibri" w:hAnsi="Calibri" w:cs="Calibri"/>
          <w:sz w:val="24"/>
          <w:szCs w:val="24"/>
        </w:rPr>
        <w:t xml:space="preserve"> £90 (e-book),</w:t>
      </w:r>
      <w:r w:rsidR="00AF465A" w:rsidRPr="00B662D2">
        <w:rPr>
          <w:rFonts w:ascii="Calibri" w:hAnsi="Calibri" w:cs="Calibri"/>
          <w:sz w:val="24"/>
          <w:szCs w:val="24"/>
        </w:rPr>
        <w:t xml:space="preserve"> ISBN: </w:t>
      </w:r>
      <w:r w:rsidR="00AF465A" w:rsidRPr="00B662D2">
        <w:rPr>
          <w:rFonts w:ascii="Calibri" w:hAnsi="Calibri" w:cs="Calibri"/>
          <w:color w:val="353B57"/>
          <w:sz w:val="24"/>
          <w:szCs w:val="24"/>
          <w:shd w:val="clear" w:color="auto" w:fill="FFFFFF"/>
        </w:rPr>
        <w:t>9781350079144</w:t>
      </w:r>
    </w:p>
    <w:p w14:paraId="3F4641E1" w14:textId="77777777" w:rsidR="00E54ACC" w:rsidRPr="00E54ACC" w:rsidRDefault="00E54ACC">
      <w:pPr>
        <w:rPr>
          <w:rFonts w:ascii="Calibri" w:hAnsi="Calibri" w:cs="Calibri"/>
          <w:i/>
          <w:iCs/>
          <w:sz w:val="24"/>
          <w:szCs w:val="24"/>
        </w:rPr>
      </w:pPr>
    </w:p>
    <w:p w14:paraId="66C49382" w14:textId="1D899C23" w:rsidR="00572B67" w:rsidRDefault="00C26B08">
      <w:r>
        <w:t xml:space="preserve">The 1930s is a literary decade like no other. More than just </w:t>
      </w:r>
      <w:r w:rsidR="00EB605D">
        <w:t>a temporal marker</w:t>
      </w:r>
      <w:r>
        <w:t xml:space="preserve">, the idea of the Thirties has become identified with a specific literary attitude, </w:t>
      </w:r>
      <w:r w:rsidR="007E7090">
        <w:t xml:space="preserve">a </w:t>
      </w:r>
      <w:r>
        <w:t xml:space="preserve">mood. </w:t>
      </w:r>
      <w:r w:rsidR="00325CD7">
        <w:t xml:space="preserve">The conventional story goes like this. </w:t>
      </w:r>
      <w:r>
        <w:t xml:space="preserve">Animated by a sense of crisis, as the social and economic fallout from the First World War overlapped with the rise of fascism and the geopolitical tensions that would precipitate the </w:t>
      </w:r>
      <w:r w:rsidR="00AB4E29">
        <w:t>S</w:t>
      </w:r>
      <w:r>
        <w:t xml:space="preserve">econd, </w:t>
      </w:r>
      <w:r w:rsidR="004A6DE6">
        <w:t xml:space="preserve">Thirties writing </w:t>
      </w:r>
      <w:r w:rsidR="000C0053">
        <w:t xml:space="preserve">responded by </w:t>
      </w:r>
      <w:r w:rsidR="006338EB">
        <w:t>leaving behind</w:t>
      </w:r>
      <w:r w:rsidR="000C0053">
        <w:t xml:space="preserve"> </w:t>
      </w:r>
      <w:r w:rsidR="008758F2">
        <w:t>the a</w:t>
      </w:r>
      <w:r w:rsidR="00EE566C">
        <w:t xml:space="preserve">utonomous aesthetic </w:t>
      </w:r>
      <w:r w:rsidR="00372381">
        <w:t xml:space="preserve">propounded by the </w:t>
      </w:r>
      <w:r w:rsidR="00090264">
        <w:t>modernist generation</w:t>
      </w:r>
      <w:r w:rsidR="006338EB">
        <w:t>,</w:t>
      </w:r>
      <w:r w:rsidR="00372381">
        <w:t xml:space="preserve"> </w:t>
      </w:r>
      <w:r w:rsidR="00FC6452">
        <w:t>to</w:t>
      </w:r>
      <w:r w:rsidR="00372381">
        <w:t xml:space="preserve"> embrace form</w:t>
      </w:r>
      <w:r w:rsidR="00FC6452">
        <w:t>s</w:t>
      </w:r>
      <w:r w:rsidR="00372381">
        <w:t xml:space="preserve"> of politically committed</w:t>
      </w:r>
      <w:r w:rsidR="00FC6452">
        <w:t xml:space="preserve">, </w:t>
      </w:r>
      <w:proofErr w:type="spellStart"/>
      <w:r w:rsidR="00136E6E">
        <w:rPr>
          <w:i/>
          <w:iCs/>
        </w:rPr>
        <w:t>e</w:t>
      </w:r>
      <w:r w:rsidR="00592174">
        <w:rPr>
          <w:i/>
          <w:iCs/>
        </w:rPr>
        <w:t>ngagé</w:t>
      </w:r>
      <w:proofErr w:type="spellEnd"/>
      <w:r w:rsidR="00372381">
        <w:t xml:space="preserve"> writing</w:t>
      </w:r>
      <w:r w:rsidR="00264398">
        <w:t xml:space="preserve">. </w:t>
      </w:r>
      <w:r w:rsidR="00FA55A5">
        <w:t>Those same writers later beat an embarrassed retreat from politic</w:t>
      </w:r>
      <w:r w:rsidR="005131C4">
        <w:t>ised literature</w:t>
      </w:r>
      <w:r w:rsidR="00FA55A5">
        <w:t>. This</w:t>
      </w:r>
      <w:r w:rsidR="00B91B20">
        <w:t xml:space="preserve"> was largely a story about poets rather than novelists</w:t>
      </w:r>
      <w:r w:rsidR="00264398">
        <w:t>, men rather than women</w:t>
      </w:r>
      <w:r w:rsidR="00653D32">
        <w:t>;</w:t>
      </w:r>
      <w:r w:rsidR="00264398">
        <w:t xml:space="preserve"> </w:t>
      </w:r>
      <w:r w:rsidR="00BA6D9C">
        <w:t xml:space="preserve">a story </w:t>
      </w:r>
      <w:r w:rsidR="00962057">
        <w:t xml:space="preserve">which the </w:t>
      </w:r>
      <w:r w:rsidR="004E51AF">
        <w:t>Thirties poets</w:t>
      </w:r>
      <w:r w:rsidR="00A25F1F">
        <w:t xml:space="preserve"> </w:t>
      </w:r>
      <w:r w:rsidR="004E51AF">
        <w:t xml:space="preserve">started to tell themselves at the time, and which became </w:t>
      </w:r>
      <w:r w:rsidR="00064DE1">
        <w:t xml:space="preserve">further consolidated in literary histories </w:t>
      </w:r>
      <w:r w:rsidR="00090264">
        <w:t xml:space="preserve">from Virginia Woolf’s </w:t>
      </w:r>
      <w:r w:rsidR="00B662D2">
        <w:t>“</w:t>
      </w:r>
      <w:r w:rsidR="00090264">
        <w:t>The Leaning Tower</w:t>
      </w:r>
      <w:r w:rsidR="00B662D2">
        <w:t>”</w:t>
      </w:r>
      <w:r w:rsidR="00090264">
        <w:t xml:space="preserve"> </w:t>
      </w:r>
      <w:r w:rsidR="00E95CE0">
        <w:t xml:space="preserve">(1940) </w:t>
      </w:r>
      <w:r w:rsidR="00090264">
        <w:t>to</w:t>
      </w:r>
      <w:r w:rsidR="00064DE1">
        <w:t xml:space="preserve"> Samuel Hynes’s </w:t>
      </w:r>
      <w:r w:rsidR="00064DE1">
        <w:rPr>
          <w:i/>
          <w:iCs/>
        </w:rPr>
        <w:t>The Auden Generation</w:t>
      </w:r>
      <w:r w:rsidR="00A43EE4">
        <w:t xml:space="preserve"> (1977)</w:t>
      </w:r>
      <w:r w:rsidR="00B32502">
        <w:t>.</w:t>
      </w:r>
      <w:r w:rsidR="00BA4919">
        <w:t xml:space="preserve"> </w:t>
      </w:r>
      <w:r w:rsidR="00BB6685">
        <w:t>More recent scholarship</w:t>
      </w:r>
      <w:r w:rsidR="009448AE">
        <w:t>, however,</w:t>
      </w:r>
      <w:r w:rsidR="00BB6685">
        <w:t xml:space="preserve"> has tended to </w:t>
      </w:r>
      <w:r w:rsidR="00853A2E">
        <w:t>destabilis</w:t>
      </w:r>
      <w:r w:rsidR="00BB6685">
        <w:t>e</w:t>
      </w:r>
      <w:r w:rsidR="00853A2E">
        <w:t xml:space="preserve"> that narrative</w:t>
      </w:r>
      <w:r w:rsidR="00BB6685">
        <w:t>.</w:t>
      </w:r>
      <w:r w:rsidR="00853A2E">
        <w:t xml:space="preserve"> </w:t>
      </w:r>
      <w:r w:rsidR="00BB6685">
        <w:t>M</w:t>
      </w:r>
      <w:r w:rsidR="0035559B">
        <w:t>ost obvious</w:t>
      </w:r>
      <w:r w:rsidR="00BB6685">
        <w:t xml:space="preserve">ly, </w:t>
      </w:r>
      <w:r w:rsidR="004B52A2">
        <w:t xml:space="preserve">from the 1990s, we have seen </w:t>
      </w:r>
      <w:r w:rsidR="00853A2E">
        <w:t xml:space="preserve">the rise of </w:t>
      </w:r>
      <w:r w:rsidR="0035559B">
        <w:t>an expansionist</w:t>
      </w:r>
      <w:r w:rsidR="00853A2E">
        <w:t xml:space="preserve"> </w:t>
      </w:r>
      <w:r w:rsidR="0035559B">
        <w:t>N</w:t>
      </w:r>
      <w:r w:rsidR="00853A2E">
        <w:t xml:space="preserve">ew </w:t>
      </w:r>
      <w:r w:rsidR="0035559B">
        <w:t>M</w:t>
      </w:r>
      <w:r w:rsidR="00853A2E">
        <w:t xml:space="preserve">odernist </w:t>
      </w:r>
      <w:r w:rsidR="0035559B">
        <w:t>S</w:t>
      </w:r>
      <w:r w:rsidR="00853A2E">
        <w:t xml:space="preserve">tudies </w:t>
      </w:r>
      <w:r w:rsidR="0035559B">
        <w:t xml:space="preserve">which </w:t>
      </w:r>
      <w:r w:rsidR="004B52A2">
        <w:t xml:space="preserve">has </w:t>
      </w:r>
      <w:r w:rsidR="000E0361">
        <w:t xml:space="preserve">tended to cannibalise </w:t>
      </w:r>
      <w:r w:rsidR="0007364D">
        <w:t>everything around i</w:t>
      </w:r>
      <w:r w:rsidR="004B52A2">
        <w:t>t.</w:t>
      </w:r>
      <w:r w:rsidR="0007364D">
        <w:t xml:space="preserve"> </w:t>
      </w:r>
      <w:r w:rsidR="00B662D2">
        <w:t>“</w:t>
      </w:r>
      <w:r w:rsidR="0007364D">
        <w:t>Late Modernism</w:t>
      </w:r>
      <w:r w:rsidR="00B662D2">
        <w:t>”</w:t>
      </w:r>
      <w:r w:rsidR="004B52A2">
        <w:t xml:space="preserve"> has become a</w:t>
      </w:r>
      <w:r w:rsidR="0007364D">
        <w:t xml:space="preserve"> </w:t>
      </w:r>
      <w:r w:rsidR="00846F84">
        <w:t>pervasive periodising label, emphasising strands of</w:t>
      </w:r>
      <w:r w:rsidR="00846B56">
        <w:t xml:space="preserve"> </w:t>
      </w:r>
      <w:r w:rsidR="00A61A1A">
        <w:t>Thirties writin</w:t>
      </w:r>
      <w:r w:rsidR="00846F84">
        <w:t>g that were</w:t>
      </w:r>
      <w:r w:rsidR="00A61A1A">
        <w:t xml:space="preserve"> </w:t>
      </w:r>
      <w:r w:rsidR="00846F84">
        <w:t>less</w:t>
      </w:r>
      <w:r w:rsidR="00A61A1A">
        <w:t xml:space="preserve"> a rejection of the modernism that went before, </w:t>
      </w:r>
      <w:r w:rsidR="00846F84">
        <w:t>than</w:t>
      </w:r>
      <w:r w:rsidR="00A61A1A">
        <w:t xml:space="preserve"> </w:t>
      </w:r>
      <w:r w:rsidR="00267F1D">
        <w:t xml:space="preserve">a new development </w:t>
      </w:r>
      <w:r w:rsidR="00267F1D" w:rsidRPr="00267F1D">
        <w:rPr>
          <w:i/>
          <w:iCs/>
        </w:rPr>
        <w:t>within</w:t>
      </w:r>
      <w:r w:rsidR="00267F1D">
        <w:t xml:space="preserve"> an expanding category of modernism. Meanwhile, </w:t>
      </w:r>
      <w:r w:rsidR="00C52AE2">
        <w:t>a growing sense of geopolitical crisis</w:t>
      </w:r>
      <w:r w:rsidR="00590FF9">
        <w:t xml:space="preserve"> in our own time</w:t>
      </w:r>
      <w:r w:rsidR="00C52AE2">
        <w:t xml:space="preserve"> has </w:t>
      </w:r>
      <w:r w:rsidR="00C4320D">
        <w:t>encou</w:t>
      </w:r>
      <w:r w:rsidR="00E5446E">
        <w:t xml:space="preserve">raged </w:t>
      </w:r>
      <w:r w:rsidR="00AE60EE">
        <w:t>critics to re</w:t>
      </w:r>
      <w:r w:rsidR="00E924FA">
        <w:t xml:space="preserve">consider </w:t>
      </w:r>
      <w:r w:rsidR="00CD394F">
        <w:t>the relationship between literature and politics</w:t>
      </w:r>
      <w:r w:rsidR="009277EE">
        <w:t>,</w:t>
      </w:r>
      <w:r w:rsidR="00B368EE">
        <w:t xml:space="preserve"> becoming more </w:t>
      </w:r>
      <w:r w:rsidR="009277EE">
        <w:t xml:space="preserve">receptive </w:t>
      </w:r>
      <w:r w:rsidR="00B368EE">
        <w:t>to</w:t>
      </w:r>
      <w:r w:rsidR="00E95CE0">
        <w:t xml:space="preserve"> the kind of</w:t>
      </w:r>
      <w:r w:rsidR="00B368EE">
        <w:t xml:space="preserve"> explicit political commitments</w:t>
      </w:r>
      <w:r w:rsidR="00E95CE0">
        <w:t xml:space="preserve"> that are still associated with Thirties writing</w:t>
      </w:r>
      <w:r w:rsidR="00B368EE">
        <w:t xml:space="preserve">. </w:t>
      </w:r>
    </w:p>
    <w:p w14:paraId="7B69E8EA" w14:textId="183D1E73" w:rsidR="00B368EE" w:rsidRDefault="008B2166">
      <w:r>
        <w:tab/>
      </w:r>
      <w:r w:rsidR="00E66D60">
        <w:rPr>
          <w:i/>
          <w:iCs/>
        </w:rPr>
        <w:t xml:space="preserve">The 1930s: A Decade </w:t>
      </w:r>
      <w:r w:rsidR="00572B7A">
        <w:rPr>
          <w:i/>
          <w:iCs/>
        </w:rPr>
        <w:t>of</w:t>
      </w:r>
      <w:r w:rsidR="00E66D60">
        <w:rPr>
          <w:i/>
          <w:iCs/>
        </w:rPr>
        <w:t xml:space="preserve"> Modern British Fiction</w:t>
      </w:r>
      <w:r w:rsidR="00E66D60">
        <w:t xml:space="preserve"> therefore </w:t>
      </w:r>
      <w:r w:rsidR="00F5334B">
        <w:t>enters a burgeoning field, and it</w:t>
      </w:r>
      <w:r w:rsidR="00F5352B">
        <w:t>s ei</w:t>
      </w:r>
      <w:r w:rsidR="009D609C">
        <w:t>ght chapters</w:t>
      </w:r>
      <w:r w:rsidR="00F5334B">
        <w:t xml:space="preserve"> showcase the </w:t>
      </w:r>
      <w:r w:rsidR="00F3300B">
        <w:t>variety and vitality of the recent scholarship in this area.</w:t>
      </w:r>
      <w:r w:rsidR="00F135F8">
        <w:rPr>
          <w:rStyle w:val="FootnoteReference"/>
        </w:rPr>
        <w:footnoteReference w:id="1"/>
      </w:r>
      <w:r w:rsidR="00F3300B">
        <w:t xml:space="preserve"> </w:t>
      </w:r>
      <w:r w:rsidR="009D609C">
        <w:t>The</w:t>
      </w:r>
      <w:r w:rsidR="00D57B2D">
        <w:t xml:space="preserve"> </w:t>
      </w:r>
      <w:r w:rsidR="00590FF9">
        <w:t>book</w:t>
      </w:r>
      <w:r w:rsidR="003B12BB">
        <w:t xml:space="preserve"> is less a compendious survey than a </w:t>
      </w:r>
      <w:r w:rsidR="008333D4">
        <w:t xml:space="preserve">series of </w:t>
      </w:r>
      <w:r w:rsidR="003125D1">
        <w:t>thought-provoking</w:t>
      </w:r>
      <w:r w:rsidR="008333D4">
        <w:t xml:space="preserve"> and focused </w:t>
      </w:r>
      <w:r w:rsidR="00BA4919">
        <w:t>essays on the decade</w:t>
      </w:r>
      <w:r w:rsidR="00B32502">
        <w:t>’s fiction</w:t>
      </w:r>
      <w:r w:rsidR="000F719B">
        <w:t>, and</w:t>
      </w:r>
      <w:r w:rsidR="00A53904">
        <w:t xml:space="preserve"> if</w:t>
      </w:r>
      <w:r w:rsidR="00624C7F">
        <w:t xml:space="preserve"> it means that the coverage </w:t>
      </w:r>
      <w:r w:rsidR="00A53904">
        <w:t xml:space="preserve">of the decade’s </w:t>
      </w:r>
      <w:r w:rsidR="00C84639">
        <w:t xml:space="preserve">most significant texts and writers </w:t>
      </w:r>
      <w:r w:rsidR="00624C7F">
        <w:t>is uneven</w:t>
      </w:r>
      <w:r w:rsidR="00C84639">
        <w:t>,</w:t>
      </w:r>
      <w:r w:rsidR="00624C7F">
        <w:t xml:space="preserve"> </w:t>
      </w:r>
      <w:r w:rsidR="000F719B">
        <w:t>the</w:t>
      </w:r>
      <w:r w:rsidR="00624C7F">
        <w:t xml:space="preserve"> collection is the better</w:t>
      </w:r>
      <w:r w:rsidR="000F719B">
        <w:t xml:space="preserve"> for </w:t>
      </w:r>
      <w:r w:rsidR="00383D39">
        <w:t xml:space="preserve">it. </w:t>
      </w:r>
      <w:r w:rsidR="00C66F2B">
        <w:t xml:space="preserve">The </w:t>
      </w:r>
      <w:r w:rsidR="006A5666">
        <w:t xml:space="preserve">recent </w:t>
      </w:r>
      <w:r w:rsidR="00C66F2B">
        <w:t>h</w:t>
      </w:r>
      <w:r w:rsidR="007257F6">
        <w:t>istoriography of</w:t>
      </w:r>
      <w:r w:rsidR="00016D51">
        <w:t xml:space="preserve"> </w:t>
      </w:r>
      <w:r w:rsidR="00CE3175">
        <w:t xml:space="preserve">the decade’s fiction is </w:t>
      </w:r>
      <w:r w:rsidR="006A5666">
        <w:t xml:space="preserve">brilliantly analysed both in the introduction and in Nick Hubble’s </w:t>
      </w:r>
      <w:r w:rsidR="00B662D2">
        <w:t>“</w:t>
      </w:r>
      <w:r w:rsidR="00AF2478">
        <w:t xml:space="preserve">Beyond the Myth of the </w:t>
      </w:r>
      <w:r w:rsidR="00B662D2">
        <w:t>‘</w:t>
      </w:r>
      <w:r w:rsidR="00AF2478">
        <w:t>Thirties</w:t>
      </w:r>
      <w:r w:rsidR="00B662D2">
        <w:t>’</w:t>
      </w:r>
      <w:r w:rsidR="00FB2477">
        <w:t>.</w:t>
      </w:r>
      <w:r w:rsidR="00AF2478">
        <w:t xml:space="preserve">” </w:t>
      </w:r>
      <w:r w:rsidR="00C8075D">
        <w:t xml:space="preserve">Hubble </w:t>
      </w:r>
      <w:r w:rsidR="00E806F2">
        <w:t xml:space="preserve">builds on recent descriptions of the </w:t>
      </w:r>
      <w:r w:rsidR="00B662D2">
        <w:t>“</w:t>
      </w:r>
      <w:r w:rsidR="00E806F2">
        <w:t>long 1930s</w:t>
      </w:r>
      <w:r w:rsidR="00B662D2">
        <w:t>”</w:t>
      </w:r>
      <w:r w:rsidR="00E806F2">
        <w:t xml:space="preserve"> to </w:t>
      </w:r>
      <w:r w:rsidR="008D4B40">
        <w:t xml:space="preserve">foreground </w:t>
      </w:r>
      <w:r w:rsidR="00051D1B">
        <w:t xml:space="preserve">a </w:t>
      </w:r>
      <w:r w:rsidR="006937AB">
        <w:t>proletarian literature</w:t>
      </w:r>
      <w:r w:rsidR="00D67ED6">
        <w:t xml:space="preserve"> that focuses not so much on </w:t>
      </w:r>
      <w:r w:rsidR="00B662D2">
        <w:t>“</w:t>
      </w:r>
      <w:r w:rsidR="00D67ED6">
        <w:t xml:space="preserve">the authentic experience of the </w:t>
      </w:r>
      <w:r w:rsidR="009A701F">
        <w:t>worker</w:t>
      </w:r>
      <w:r w:rsidR="00B662D2">
        <w:t>”</w:t>
      </w:r>
      <w:r w:rsidR="009A701F">
        <w:t xml:space="preserve"> as on </w:t>
      </w:r>
      <w:r w:rsidR="00B662D2">
        <w:t>“</w:t>
      </w:r>
      <w:r w:rsidR="009A701F">
        <w:t>intersubjective relations between classes</w:t>
      </w:r>
      <w:r w:rsidR="00B662D2">
        <w:t>”</w:t>
      </w:r>
      <w:r w:rsidR="009A701F">
        <w:t xml:space="preserve"> (</w:t>
      </w:r>
      <w:r w:rsidR="00B662D2">
        <w:t xml:space="preserve">p. </w:t>
      </w:r>
      <w:r w:rsidR="009A701F">
        <w:t>23)</w:t>
      </w:r>
      <w:r w:rsidR="00FA0C42">
        <w:t xml:space="preserve">, and which he argues </w:t>
      </w:r>
      <w:r w:rsidR="00C66529">
        <w:t>offer</w:t>
      </w:r>
      <w:r w:rsidR="00F03857">
        <w:t>s</w:t>
      </w:r>
      <w:r w:rsidR="00C66529">
        <w:t xml:space="preserve"> </w:t>
      </w:r>
      <w:r w:rsidR="00B662D2">
        <w:t>“</w:t>
      </w:r>
      <w:r w:rsidR="00C66529">
        <w:t>resources of hope</w:t>
      </w:r>
      <w:r w:rsidR="00B662D2">
        <w:t>”</w:t>
      </w:r>
      <w:r w:rsidR="00C66529">
        <w:t xml:space="preserve"> </w:t>
      </w:r>
      <w:r w:rsidR="00F03857">
        <w:t>for the present (</w:t>
      </w:r>
      <w:r w:rsidR="00B662D2">
        <w:t xml:space="preserve">p. </w:t>
      </w:r>
      <w:r w:rsidR="00BE5607">
        <w:t>54)</w:t>
      </w:r>
      <w:r w:rsidR="009A701F">
        <w:t>.</w:t>
      </w:r>
      <w:r w:rsidR="009A701F">
        <w:rPr>
          <w:rStyle w:val="FootnoteReference"/>
        </w:rPr>
        <w:footnoteReference w:id="2"/>
      </w:r>
      <w:r w:rsidR="00BF4A47">
        <w:t xml:space="preserve"> </w:t>
      </w:r>
      <w:r w:rsidR="00BE5607">
        <w:t>Hubble</w:t>
      </w:r>
      <w:r w:rsidR="00B36E67">
        <w:t xml:space="preserve">’s examples come from </w:t>
      </w:r>
      <w:r w:rsidR="00785EDB">
        <w:t xml:space="preserve">Ethel </w:t>
      </w:r>
      <w:proofErr w:type="spellStart"/>
      <w:r w:rsidR="00785EDB">
        <w:t>Mannin</w:t>
      </w:r>
      <w:proofErr w:type="spellEnd"/>
      <w:r w:rsidR="00103B0B">
        <w:t>,</w:t>
      </w:r>
      <w:r w:rsidR="00BE5607">
        <w:t xml:space="preserve"> </w:t>
      </w:r>
      <w:r w:rsidR="00D24B7F">
        <w:t>Harold Heslop</w:t>
      </w:r>
      <w:r w:rsidR="001A6133">
        <w:t>, Lewis Jones</w:t>
      </w:r>
      <w:r w:rsidR="00B662D2">
        <w:t>,</w:t>
      </w:r>
      <w:r w:rsidR="001A6133">
        <w:t xml:space="preserve"> and Naomi </w:t>
      </w:r>
      <w:proofErr w:type="spellStart"/>
      <w:r w:rsidR="001A6133">
        <w:t>Mitchison</w:t>
      </w:r>
      <w:proofErr w:type="spellEnd"/>
      <w:r w:rsidR="00D32280">
        <w:t xml:space="preserve">. </w:t>
      </w:r>
      <w:proofErr w:type="spellStart"/>
      <w:r w:rsidR="00D32280">
        <w:t>Mitchison</w:t>
      </w:r>
      <w:proofErr w:type="spellEnd"/>
      <w:r w:rsidR="00795862">
        <w:t xml:space="preserve"> </w:t>
      </w:r>
      <w:r w:rsidR="00E735CD">
        <w:t>cut</w:t>
      </w:r>
      <w:r w:rsidR="00C93A08">
        <w:t>s a</w:t>
      </w:r>
      <w:r w:rsidR="00E735CD">
        <w:t xml:space="preserve"> mainly</w:t>
      </w:r>
      <w:r w:rsidR="00C93A08">
        <w:t xml:space="preserve"> peripheral figure</w:t>
      </w:r>
      <w:r w:rsidR="00E735CD">
        <w:t xml:space="preserve"> </w:t>
      </w:r>
      <w:r w:rsidR="00251032">
        <w:t xml:space="preserve">in </w:t>
      </w:r>
      <w:r w:rsidR="00795862">
        <w:t xml:space="preserve">classic accounts of Thirties </w:t>
      </w:r>
      <w:r w:rsidR="0070624A">
        <w:t>writing but her</w:t>
      </w:r>
      <w:r w:rsidR="00795862">
        <w:t xml:space="preserve"> star has been </w:t>
      </w:r>
      <w:r w:rsidR="003970FE">
        <w:t xml:space="preserve">rising </w:t>
      </w:r>
      <w:r w:rsidR="0070624A">
        <w:t xml:space="preserve">since the </w:t>
      </w:r>
      <w:r w:rsidR="00534DB3">
        <w:t>19</w:t>
      </w:r>
      <w:r w:rsidR="0070624A">
        <w:t xml:space="preserve">90s and </w:t>
      </w:r>
      <w:r w:rsidR="003B6857">
        <w:t xml:space="preserve">she </w:t>
      </w:r>
      <w:r w:rsidR="00E63662">
        <w:t>is</w:t>
      </w:r>
      <w:r w:rsidR="005B0192">
        <w:t xml:space="preserve"> now</w:t>
      </w:r>
      <w:r w:rsidR="00E63662">
        <w:t xml:space="preserve"> the only writer to get a dedicated chapter in this book</w:t>
      </w:r>
      <w:r w:rsidR="0070624A">
        <w:t>: an informative account of her interactions with the eugenics movement by Natasha Periyan.</w:t>
      </w:r>
      <w:r w:rsidR="00E63662">
        <w:t xml:space="preserve"> </w:t>
      </w:r>
      <w:r w:rsidR="00251032">
        <w:t xml:space="preserve">If </w:t>
      </w:r>
      <w:proofErr w:type="spellStart"/>
      <w:r w:rsidR="00251032">
        <w:t>Mitchison’s</w:t>
      </w:r>
      <w:proofErr w:type="spellEnd"/>
      <w:r w:rsidR="00251032">
        <w:t xml:space="preserve"> prominence</w:t>
      </w:r>
      <w:r w:rsidR="00482388">
        <w:t xml:space="preserve"> in this volume</w:t>
      </w:r>
      <w:r w:rsidR="00251032">
        <w:t xml:space="preserve"> </w:t>
      </w:r>
      <w:r w:rsidR="00EB2C8C">
        <w:t>signifies</w:t>
      </w:r>
      <w:r w:rsidR="00C63F55">
        <w:t xml:space="preserve"> the </w:t>
      </w:r>
      <w:r w:rsidR="00482388">
        <w:t xml:space="preserve">editors’ </w:t>
      </w:r>
      <w:r w:rsidR="00C63F55">
        <w:t xml:space="preserve">embrace of feminist revisionist accounts </w:t>
      </w:r>
      <w:r w:rsidR="00174E33">
        <w:t xml:space="preserve">of the decade </w:t>
      </w:r>
      <w:r w:rsidR="00F308F5">
        <w:t>(</w:t>
      </w:r>
      <w:r w:rsidR="008C6DFD">
        <w:t xml:space="preserve">initiated by </w:t>
      </w:r>
      <w:proofErr w:type="spellStart"/>
      <w:r w:rsidR="00511F9C">
        <w:t>Maroula</w:t>
      </w:r>
      <w:proofErr w:type="spellEnd"/>
      <w:r w:rsidR="00511F9C">
        <w:t xml:space="preserve"> </w:t>
      </w:r>
      <w:proofErr w:type="spellStart"/>
      <w:r w:rsidR="00511F9C">
        <w:t>Joannou</w:t>
      </w:r>
      <w:proofErr w:type="spellEnd"/>
      <w:r w:rsidR="00511F9C">
        <w:t xml:space="preserve">, </w:t>
      </w:r>
      <w:r w:rsidR="008C6DFD">
        <w:t>Jan Montefiore</w:t>
      </w:r>
      <w:r w:rsidR="00482388">
        <w:t>,</w:t>
      </w:r>
      <w:r w:rsidR="008C6DFD">
        <w:t xml:space="preserve"> </w:t>
      </w:r>
      <w:r w:rsidR="00482388">
        <w:t>and others</w:t>
      </w:r>
      <w:r w:rsidR="00F308F5">
        <w:t>), then</w:t>
      </w:r>
      <w:r w:rsidR="00EB2C8C">
        <w:t xml:space="preserve"> </w:t>
      </w:r>
      <w:r w:rsidR="00C93A08">
        <w:t xml:space="preserve">Hubble’s use of </w:t>
      </w:r>
      <w:proofErr w:type="spellStart"/>
      <w:r w:rsidR="003770E0">
        <w:t>Mannin</w:t>
      </w:r>
      <w:proofErr w:type="spellEnd"/>
      <w:r w:rsidR="003770E0">
        <w:t>, Heslop</w:t>
      </w:r>
      <w:r w:rsidR="00534DB3">
        <w:t>,</w:t>
      </w:r>
      <w:r w:rsidR="003770E0">
        <w:t xml:space="preserve"> and Jones</w:t>
      </w:r>
      <w:r w:rsidR="00F83107">
        <w:t xml:space="preserve"> gives a sense of how this book </w:t>
      </w:r>
      <w:r w:rsidR="00F308F5">
        <w:t>goes further afield i</w:t>
      </w:r>
      <w:r w:rsidR="00FA414B">
        <w:t xml:space="preserve">n mining little-read novelists </w:t>
      </w:r>
      <w:r w:rsidR="00D32E19">
        <w:t xml:space="preserve">for fascinating new perspectives on the </w:t>
      </w:r>
      <w:r w:rsidR="00B3386F">
        <w:t>decade’s fiction.</w:t>
      </w:r>
    </w:p>
    <w:p w14:paraId="35EF1BEE" w14:textId="7369A4AE" w:rsidR="00B3386F" w:rsidRDefault="00B3386F">
      <w:r>
        <w:tab/>
        <w:t xml:space="preserve">Elinor Taylor’s chapter </w:t>
      </w:r>
      <w:r w:rsidR="00534DB3">
        <w:t>“</w:t>
      </w:r>
      <w:r w:rsidR="00013554">
        <w:t xml:space="preserve">Spectres of </w:t>
      </w:r>
      <w:r w:rsidR="00987203">
        <w:t>English Fascism: History, Aesthetics and Cultural Critique</w:t>
      </w:r>
      <w:r w:rsidR="00534DB3">
        <w:t>”</w:t>
      </w:r>
      <w:r w:rsidR="00CB7BC2">
        <w:t xml:space="preserve"> provides a knowledgeable account of </w:t>
      </w:r>
      <w:r w:rsidR="00E138D8">
        <w:t xml:space="preserve">how writers and intellectuals imagined the possible </w:t>
      </w:r>
      <w:r w:rsidR="00E138D8">
        <w:lastRenderedPageBreak/>
        <w:t xml:space="preserve">arrival of fascism </w:t>
      </w:r>
      <w:r w:rsidR="00E502F8">
        <w:t xml:space="preserve">in England. Revisionist work on the 1930s is starting to </w:t>
      </w:r>
      <w:r w:rsidR="002703BE">
        <w:t xml:space="preserve">develop </w:t>
      </w:r>
      <w:r w:rsidR="0098738B">
        <w:t>a small</w:t>
      </w:r>
      <w:r w:rsidR="002703BE">
        <w:t xml:space="preserve"> canon of Anglo-fascist dystopias</w:t>
      </w:r>
      <w:r w:rsidR="001C7DD9">
        <w:t xml:space="preserve">, including </w:t>
      </w:r>
      <w:r w:rsidR="00356901">
        <w:t xml:space="preserve">Storm Jameson’s </w:t>
      </w:r>
      <w:r w:rsidR="00356901">
        <w:rPr>
          <w:i/>
          <w:iCs/>
        </w:rPr>
        <w:t>In the Second Year</w:t>
      </w:r>
      <w:r w:rsidR="00356901">
        <w:t xml:space="preserve"> (</w:t>
      </w:r>
      <w:r w:rsidR="001C7DD9">
        <w:t xml:space="preserve">1936) and Rex Warner’s </w:t>
      </w:r>
      <w:r w:rsidR="001C7DD9">
        <w:rPr>
          <w:i/>
          <w:iCs/>
        </w:rPr>
        <w:t>The Aerodrome</w:t>
      </w:r>
      <w:r w:rsidR="001C7DD9">
        <w:t xml:space="preserve"> (1941), which are both discussed here. </w:t>
      </w:r>
      <w:r w:rsidR="00961C7D">
        <w:t xml:space="preserve">Taylor’s chapter also </w:t>
      </w:r>
      <w:r w:rsidR="00F0499E">
        <w:t xml:space="preserve">insightfully </w:t>
      </w:r>
      <w:r w:rsidR="0098738B">
        <w:t>analyses</w:t>
      </w:r>
      <w:r w:rsidR="00961C7D">
        <w:t xml:space="preserve"> Clemence Dane’s</w:t>
      </w:r>
      <w:r w:rsidR="00910DA9">
        <w:t xml:space="preserve"> </w:t>
      </w:r>
      <w:r w:rsidR="00AE58EA">
        <w:t>less</w:t>
      </w:r>
      <w:r w:rsidR="00100135">
        <w:t xml:space="preserve"> often</w:t>
      </w:r>
      <w:r w:rsidR="00AE58EA">
        <w:t xml:space="preserve"> studied </w:t>
      </w:r>
      <w:r w:rsidR="002D13CA">
        <w:rPr>
          <w:i/>
          <w:iCs/>
        </w:rPr>
        <w:t>The Arrogant History of White Ben</w:t>
      </w:r>
      <w:r w:rsidR="002D13CA">
        <w:t xml:space="preserve"> (19</w:t>
      </w:r>
      <w:r w:rsidR="0098738B">
        <w:t xml:space="preserve">39), </w:t>
      </w:r>
      <w:r w:rsidR="00534DB3">
        <w:t>“</w:t>
      </w:r>
      <w:r w:rsidR="00161796">
        <w:t xml:space="preserve">a supernatural </w:t>
      </w:r>
      <w:r w:rsidR="00401909">
        <w:t>fantasy in which an animate scarecrow becomes dictator of a near future England</w:t>
      </w:r>
      <w:r w:rsidR="00534DB3">
        <w:t>”</w:t>
      </w:r>
      <w:r w:rsidR="00401909">
        <w:t xml:space="preserve"> (</w:t>
      </w:r>
      <w:r w:rsidR="00534DB3">
        <w:t xml:space="preserve">p. </w:t>
      </w:r>
      <w:r w:rsidR="00387F13">
        <w:t xml:space="preserve">59). </w:t>
      </w:r>
      <w:r w:rsidR="00AD7ED5">
        <w:t xml:space="preserve">As </w:t>
      </w:r>
      <w:r w:rsidR="00430430">
        <w:t xml:space="preserve">exploratory </w:t>
      </w:r>
      <w:r w:rsidR="00AD7ED5">
        <w:t xml:space="preserve">research </w:t>
      </w:r>
      <w:r w:rsidR="006C3859">
        <w:t xml:space="preserve">draws </w:t>
      </w:r>
      <w:r w:rsidR="00F12D42">
        <w:t>scholars</w:t>
      </w:r>
      <w:r w:rsidR="006B2872">
        <w:t xml:space="preserve"> </w:t>
      </w:r>
      <w:r w:rsidR="006C3859">
        <w:t>in</w:t>
      </w:r>
      <w:r w:rsidR="006B2872">
        <w:t xml:space="preserve">to </w:t>
      </w:r>
      <w:r w:rsidR="00074D90">
        <w:t>obscure niches</w:t>
      </w:r>
      <w:r w:rsidR="006B2872">
        <w:t xml:space="preserve"> of modern fiction,</w:t>
      </w:r>
      <w:r w:rsidR="00430430">
        <w:t xml:space="preserve"> there is a real value in being able to</w:t>
      </w:r>
      <w:r w:rsidR="006C3859">
        <w:t xml:space="preserve"> </w:t>
      </w:r>
      <w:r w:rsidR="00910DA9">
        <w:t>convey to readers the</w:t>
      </w:r>
      <w:r w:rsidR="00100135">
        <w:t xml:space="preserve"> significance and</w:t>
      </w:r>
      <w:r w:rsidR="00910DA9">
        <w:t xml:space="preserve"> interest of </w:t>
      </w:r>
      <w:r w:rsidR="00AE58EA">
        <w:t>a novel they are unlikely to have read</w:t>
      </w:r>
      <w:r w:rsidR="00430430">
        <w:t>.</w:t>
      </w:r>
      <w:r w:rsidR="00050160">
        <w:t xml:space="preserve"> </w:t>
      </w:r>
      <w:r w:rsidR="000A524B">
        <w:t>Summary and description are indispensable tools</w:t>
      </w:r>
      <w:r w:rsidR="00BC6505">
        <w:t xml:space="preserve">, </w:t>
      </w:r>
      <w:r w:rsidR="0065782D">
        <w:t>but they</w:t>
      </w:r>
      <w:r w:rsidR="00AA2FE3">
        <w:t xml:space="preserve"> risk becoming dull—</w:t>
      </w:r>
      <w:r w:rsidR="00050160">
        <w:t xml:space="preserve">Taylor’s account of </w:t>
      </w:r>
      <w:r w:rsidR="00050160">
        <w:rPr>
          <w:i/>
          <w:iCs/>
        </w:rPr>
        <w:t>White Ben</w:t>
      </w:r>
      <w:r w:rsidR="00050160">
        <w:t xml:space="preserve"> is </w:t>
      </w:r>
      <w:r w:rsidR="00FD44AD">
        <w:t xml:space="preserve">a model </w:t>
      </w:r>
      <w:r w:rsidR="00AA2FE3">
        <w:t xml:space="preserve">of how these </w:t>
      </w:r>
      <w:r w:rsidR="00A507B4">
        <w:t xml:space="preserve">can be marshalled </w:t>
      </w:r>
      <w:r w:rsidR="00F920DE">
        <w:t xml:space="preserve">with </w:t>
      </w:r>
      <w:r w:rsidR="00F47759">
        <w:t>lively</w:t>
      </w:r>
      <w:r w:rsidR="00F920DE">
        <w:t xml:space="preserve"> interpretive inte</w:t>
      </w:r>
      <w:r w:rsidR="00EF22B7">
        <w:t>nt</w:t>
      </w:r>
      <w:r w:rsidR="00F47759">
        <w:t xml:space="preserve">. </w:t>
      </w:r>
      <w:r w:rsidR="00051A74">
        <w:t xml:space="preserve">The big stakes of </w:t>
      </w:r>
      <w:r w:rsidR="005C4DA6">
        <w:t>Taylor’s</w:t>
      </w:r>
      <w:r w:rsidR="00393252">
        <w:t xml:space="preserve"> argument </w:t>
      </w:r>
      <w:r w:rsidR="005E708B">
        <w:t xml:space="preserve">come across clearly </w:t>
      </w:r>
      <w:r w:rsidR="0096366D">
        <w:t xml:space="preserve">even to a reader completely unfamiliar with </w:t>
      </w:r>
      <w:r w:rsidR="005C4DA6">
        <w:t xml:space="preserve">the </w:t>
      </w:r>
      <w:r w:rsidR="0096366D">
        <w:t xml:space="preserve">novel, but </w:t>
      </w:r>
      <w:r w:rsidR="00211A95">
        <w:t>there’s also enough</w:t>
      </w:r>
      <w:r w:rsidR="005C4DA6">
        <w:t xml:space="preserve"> compelling</w:t>
      </w:r>
      <w:r w:rsidR="00211A95">
        <w:t xml:space="preserve"> detail to make </w:t>
      </w:r>
      <w:r w:rsidR="004C5505">
        <w:t>us</w:t>
      </w:r>
      <w:r w:rsidR="004C5505">
        <w:t xml:space="preserve"> </w:t>
      </w:r>
      <w:r w:rsidR="0095550D">
        <w:t>want t</w:t>
      </w:r>
      <w:r w:rsidR="005C4DA6">
        <w:t>o read Dane’s book.</w:t>
      </w:r>
    </w:p>
    <w:p w14:paraId="248BE160" w14:textId="388F912C" w:rsidR="00611D39" w:rsidRDefault="00611D39">
      <w:r>
        <w:tab/>
        <w:t xml:space="preserve">The question of what the reader knows is more explicitly mobilised in Luke </w:t>
      </w:r>
      <w:proofErr w:type="spellStart"/>
      <w:r>
        <w:t>Seaber’s</w:t>
      </w:r>
      <w:proofErr w:type="spellEnd"/>
      <w:r>
        <w:t xml:space="preserve"> </w:t>
      </w:r>
      <w:r w:rsidR="00931FBA">
        <w:t>“</w:t>
      </w:r>
      <w:r w:rsidR="001E2CF5">
        <w:t>Private Faces in Public Spaces: Auto-Intertextuality, Authority and 1930s Fiction.</w:t>
      </w:r>
      <w:r w:rsidR="00931FBA">
        <w:t>”</w:t>
      </w:r>
      <w:r w:rsidR="001E2CF5">
        <w:t xml:space="preserve"> </w:t>
      </w:r>
      <w:r w:rsidR="000A1028">
        <w:t>In an analysis of</w:t>
      </w:r>
      <w:r w:rsidR="008C3B1E">
        <w:t xml:space="preserve"> t</w:t>
      </w:r>
      <w:r w:rsidR="00F70FEB">
        <w:t>w</w:t>
      </w:r>
      <w:r w:rsidR="008C3B1E">
        <w:t>o of the decade’s most celebrated writers</w:t>
      </w:r>
      <w:r w:rsidR="003A48B8">
        <w:t>,</w:t>
      </w:r>
      <w:r w:rsidR="008C3B1E">
        <w:t xml:space="preserve"> George </w:t>
      </w:r>
      <w:proofErr w:type="gramStart"/>
      <w:r w:rsidR="008C3B1E">
        <w:t>Orwell</w:t>
      </w:r>
      <w:proofErr w:type="gramEnd"/>
      <w:r w:rsidR="008C3B1E">
        <w:t xml:space="preserve"> and </w:t>
      </w:r>
      <w:r w:rsidR="00567AA6">
        <w:t xml:space="preserve">Evelyn Waugh, Seaber </w:t>
      </w:r>
      <w:r w:rsidR="00003AC3">
        <w:t xml:space="preserve">points out that any two readers </w:t>
      </w:r>
      <w:r w:rsidR="00931FBA">
        <w:t>will have</w:t>
      </w:r>
      <w:r w:rsidR="00003AC3">
        <w:t xml:space="preserve"> overlapping, </w:t>
      </w:r>
      <w:r w:rsidR="0003161B">
        <w:t xml:space="preserve">but invariably </w:t>
      </w:r>
      <w:r w:rsidR="00DD2E8D">
        <w:t>non-identical</w:t>
      </w:r>
      <w:r w:rsidR="00994862">
        <w:t>,</w:t>
      </w:r>
      <w:r w:rsidR="00DD2E8D">
        <w:t xml:space="preserve"> </w:t>
      </w:r>
      <w:r w:rsidR="00853E4B">
        <w:t>pictures of their oeuvres</w:t>
      </w:r>
      <w:r w:rsidR="00994862">
        <w:t>, especially when the vast range of nonfictional work is taken into account</w:t>
      </w:r>
      <w:r w:rsidR="00853E4B">
        <w:t xml:space="preserve">. </w:t>
      </w:r>
      <w:r w:rsidR="00572B12">
        <w:t>Seaber outlines a new literary-critical concept</w:t>
      </w:r>
      <w:r w:rsidR="00196794">
        <w:t xml:space="preserve">: the </w:t>
      </w:r>
      <w:r w:rsidR="00931FBA">
        <w:t>“</w:t>
      </w:r>
      <w:proofErr w:type="spellStart"/>
      <w:r w:rsidR="00196794">
        <w:t>pantext</w:t>
      </w:r>
      <w:proofErr w:type="spellEnd"/>
      <w:r w:rsidR="00196794">
        <w:t>,</w:t>
      </w:r>
      <w:r w:rsidR="00931FBA">
        <w:t>”</w:t>
      </w:r>
      <w:r w:rsidR="00196794">
        <w:t xml:space="preserve"> which is </w:t>
      </w:r>
      <w:r w:rsidR="00931FBA">
        <w:t>“</w:t>
      </w:r>
      <w:r w:rsidR="00196794">
        <w:t xml:space="preserve">all the </w:t>
      </w:r>
      <w:r w:rsidR="00994862">
        <w:t>works by a single author that the re</w:t>
      </w:r>
      <w:r w:rsidR="00930F4C">
        <w:t>ader has read</w:t>
      </w:r>
      <w:r w:rsidR="00931FBA">
        <w:t>”</w:t>
      </w:r>
      <w:r w:rsidR="00930F4C">
        <w:t xml:space="preserve"> (</w:t>
      </w:r>
      <w:r w:rsidR="00931FBA">
        <w:t xml:space="preserve">p. </w:t>
      </w:r>
      <w:r w:rsidR="00930F4C">
        <w:t>184).</w:t>
      </w:r>
      <w:r w:rsidR="000C6392">
        <w:t xml:space="preserve"> </w:t>
      </w:r>
      <w:r w:rsidR="001174F2">
        <w:t>Because it takes for granted that even the most dedicated scholar cannot have read every ephemeral, unpublished</w:t>
      </w:r>
      <w:r w:rsidR="00C46320">
        <w:t xml:space="preserve">, or long-destroyed </w:t>
      </w:r>
      <w:r w:rsidR="001174F2">
        <w:t>piece of a writer’s total output</w:t>
      </w:r>
      <w:r w:rsidR="00C46320">
        <w:t>, i</w:t>
      </w:r>
      <w:r w:rsidR="00853667">
        <w:t xml:space="preserve">t’s </w:t>
      </w:r>
      <w:r w:rsidR="0084404F">
        <w:t>th</w:t>
      </w:r>
      <w:r w:rsidR="00CF73FA">
        <w:t>e</w:t>
      </w:r>
      <w:r w:rsidR="00853667">
        <w:t xml:space="preserve"> </w:t>
      </w:r>
      <w:r w:rsidR="00C46320">
        <w:t>kind</w:t>
      </w:r>
      <w:r w:rsidR="00853667">
        <w:t xml:space="preserve"> of contingency that </w:t>
      </w:r>
      <w:r w:rsidR="00C46320">
        <w:t>is often</w:t>
      </w:r>
      <w:r w:rsidR="00216152">
        <w:t xml:space="preserve"> glossed over by </w:t>
      </w:r>
      <w:r w:rsidR="00CF73FA">
        <w:t xml:space="preserve">the </w:t>
      </w:r>
      <w:r w:rsidR="00216152">
        <w:t>seamless professional</w:t>
      </w:r>
      <w:r w:rsidR="00CF73FA">
        <w:t>ism</w:t>
      </w:r>
      <w:r w:rsidR="005B7E2A">
        <w:t xml:space="preserve"> and performative omniscien</w:t>
      </w:r>
      <w:r w:rsidR="00CF73FA">
        <w:t xml:space="preserve">ce of </w:t>
      </w:r>
      <w:r w:rsidR="00216152">
        <w:t>academic prose</w:t>
      </w:r>
      <w:r w:rsidR="00C46320">
        <w:t xml:space="preserve">. </w:t>
      </w:r>
      <w:r w:rsidR="001174F2">
        <w:t>B</w:t>
      </w:r>
      <w:r w:rsidR="005B7E2A">
        <w:t>ut Seaber</w:t>
      </w:r>
      <w:r w:rsidR="00660F54">
        <w:t xml:space="preserve"> (</w:t>
      </w:r>
      <w:r w:rsidR="00FB59D2">
        <w:t>drawing on</w:t>
      </w:r>
      <w:r w:rsidR="00660F54">
        <w:t xml:space="preserve"> Gerard Genette and Umberto Eco)</w:t>
      </w:r>
      <w:r w:rsidR="004D4B8F">
        <w:t xml:space="preserve"> shows it can be highly consequential.</w:t>
      </w:r>
      <w:r w:rsidR="00930F4C">
        <w:t xml:space="preserve"> </w:t>
      </w:r>
      <w:r w:rsidR="00A87585">
        <w:t xml:space="preserve">Seaber is working </w:t>
      </w:r>
      <w:r w:rsidR="00356B63">
        <w:t>refreshingly</w:t>
      </w:r>
      <w:r w:rsidR="00A87585">
        <w:t xml:space="preserve"> from first principles, addressing </w:t>
      </w:r>
      <w:r w:rsidR="00CF11DA">
        <w:t>questions</w:t>
      </w:r>
      <w:r w:rsidR="00A87585">
        <w:t xml:space="preserve"> that are fundamental to the ways in which we discuss fiction and authorship</w:t>
      </w:r>
      <w:r w:rsidR="003A588D">
        <w:t>, but th</w:t>
      </w:r>
      <w:r w:rsidR="001556C0">
        <w:t xml:space="preserve">at oddly lack any recognised critical literature </w:t>
      </w:r>
      <w:r w:rsidR="00CB01A4">
        <w:t xml:space="preserve">or </w:t>
      </w:r>
      <w:r w:rsidR="00EB7BAD">
        <w:t>vocabulary</w:t>
      </w:r>
      <w:r w:rsidR="00CB01A4">
        <w:t xml:space="preserve">. </w:t>
      </w:r>
      <w:r w:rsidR="00B27B58">
        <w:t xml:space="preserve">A </w:t>
      </w:r>
      <w:r w:rsidR="00C87245">
        <w:t xml:space="preserve">chapter in an edited volume about the 1930s is not the place where we would </w:t>
      </w:r>
      <w:r w:rsidR="00B27B58">
        <w:t xml:space="preserve">necessarily </w:t>
      </w:r>
      <w:r w:rsidR="00C87245">
        <w:t xml:space="preserve">expect to </w:t>
      </w:r>
      <w:r w:rsidR="00E007D4">
        <w:t xml:space="preserve">find new critical terms being elaborated for the first time, but </w:t>
      </w:r>
      <w:proofErr w:type="spellStart"/>
      <w:r w:rsidR="00E007D4">
        <w:t>Seaber’s</w:t>
      </w:r>
      <w:proofErr w:type="spellEnd"/>
      <w:r w:rsidR="00E007D4">
        <w:t xml:space="preserve"> account of the </w:t>
      </w:r>
      <w:proofErr w:type="spellStart"/>
      <w:r w:rsidR="00E007D4">
        <w:t>pante</w:t>
      </w:r>
      <w:r w:rsidR="00580DF4">
        <w:t>xt</w:t>
      </w:r>
      <w:proofErr w:type="spellEnd"/>
      <w:r w:rsidR="00580DF4">
        <w:t xml:space="preserve"> will be useful to scholars working in all sorts of different areas</w:t>
      </w:r>
      <w:r w:rsidR="008B71DC">
        <w:t xml:space="preserve"> of literary </w:t>
      </w:r>
      <w:r w:rsidR="00594BC7">
        <w:t>studies</w:t>
      </w:r>
      <w:r w:rsidR="00EB2924">
        <w:t>. T</w:t>
      </w:r>
      <w:r w:rsidR="00944A82">
        <w:t>here is a</w:t>
      </w:r>
      <w:r w:rsidR="000C6392">
        <w:t xml:space="preserve"> </w:t>
      </w:r>
      <w:r w:rsidR="00356B63">
        <w:t xml:space="preserve">need to disseminate these </w:t>
      </w:r>
      <w:r w:rsidR="00444A7D">
        <w:t xml:space="preserve">illuminating </w:t>
      </w:r>
      <w:r w:rsidR="00356B63">
        <w:t xml:space="preserve">ideas </w:t>
      </w:r>
      <w:r w:rsidR="00660F54">
        <w:t xml:space="preserve">more widely and I hope </w:t>
      </w:r>
      <w:r w:rsidR="00EB2924">
        <w:t>Seaber</w:t>
      </w:r>
      <w:r w:rsidR="00660F54">
        <w:t xml:space="preserve"> will take the opportunity to do so.</w:t>
      </w:r>
    </w:p>
    <w:p w14:paraId="5904E969" w14:textId="76C1098A" w:rsidR="005A4104" w:rsidRDefault="003B767E">
      <w:r>
        <w:tab/>
        <w:t xml:space="preserve">The other chapters collected here </w:t>
      </w:r>
      <w:r w:rsidR="00607020">
        <w:t>include</w:t>
      </w:r>
      <w:r>
        <w:t xml:space="preserve"> El</w:t>
      </w:r>
      <w:r w:rsidR="00B351E1">
        <w:t>eanor</w:t>
      </w:r>
      <w:r>
        <w:t xml:space="preserve"> Read’</w:t>
      </w:r>
      <w:r w:rsidR="00E7527F">
        <w:t>s</w:t>
      </w:r>
      <w:r w:rsidR="00B351E1">
        <w:t xml:space="preserve"> exploration of </w:t>
      </w:r>
      <w:r w:rsidR="003F4C80">
        <w:rPr>
          <w:i/>
          <w:iCs/>
        </w:rPr>
        <w:t>Women’s Weekly</w:t>
      </w:r>
      <w:r w:rsidR="003F4C80">
        <w:t xml:space="preserve"> in 1938-9</w:t>
      </w:r>
      <w:r w:rsidR="00C11634">
        <w:t xml:space="preserve">—not really about 1930s </w:t>
      </w:r>
      <w:r w:rsidR="00C11634">
        <w:rPr>
          <w:i/>
          <w:iCs/>
        </w:rPr>
        <w:t>fiction</w:t>
      </w:r>
      <w:r w:rsidR="00C11634">
        <w:t xml:space="preserve"> </w:t>
      </w:r>
      <w:r w:rsidR="008B71DC">
        <w:t>(per the title</w:t>
      </w:r>
      <w:r w:rsidR="0084404F">
        <w:t xml:space="preserve"> of this collection</w:t>
      </w:r>
      <w:r w:rsidR="008B71DC">
        <w:t xml:space="preserve">) </w:t>
      </w:r>
      <w:r w:rsidR="00C11634">
        <w:t xml:space="preserve">but </w:t>
      </w:r>
      <w:r w:rsidR="00E7527F">
        <w:t>certainly providing fascinating in</w:t>
      </w:r>
      <w:r w:rsidR="008B71DC">
        <w:t xml:space="preserve">sight into the 1930s culture of brows. </w:t>
      </w:r>
      <w:r w:rsidR="00D37C95">
        <w:t xml:space="preserve">Glyn Salton-Cox’s </w:t>
      </w:r>
      <w:r w:rsidR="00863B1E">
        <w:t>wonderful</w:t>
      </w:r>
      <w:r w:rsidR="00A64B8C">
        <w:t xml:space="preserve">ly </w:t>
      </w:r>
      <w:r w:rsidR="005056B7">
        <w:t xml:space="preserve">engaging essay on </w:t>
      </w:r>
      <w:r w:rsidR="000601BF">
        <w:t xml:space="preserve">queer writing of the 1930s </w:t>
      </w:r>
      <w:r w:rsidR="000E050D">
        <w:t xml:space="preserve">shows </w:t>
      </w:r>
      <w:r w:rsidR="00432BFD">
        <w:t xml:space="preserve">with great concision both the centrality of queerness to the culture of the </w:t>
      </w:r>
      <w:r w:rsidR="00EA6BF4">
        <w:t>1930s, and the centrality of the culture of the 1930s to modern literature.</w:t>
      </w:r>
      <w:r w:rsidR="0022192A">
        <w:t xml:space="preserve"> </w:t>
      </w:r>
      <w:proofErr w:type="spellStart"/>
      <w:r w:rsidR="0022192A">
        <w:t>Sabujkoli</w:t>
      </w:r>
      <w:proofErr w:type="spellEnd"/>
      <w:r w:rsidR="0022192A">
        <w:t xml:space="preserve"> </w:t>
      </w:r>
      <w:proofErr w:type="spellStart"/>
      <w:r w:rsidR="0022192A">
        <w:t>Bandopad</w:t>
      </w:r>
      <w:r w:rsidR="007E5AF0">
        <w:t>hyay</w:t>
      </w:r>
      <w:proofErr w:type="spellEnd"/>
      <w:r w:rsidR="00366CC8">
        <w:t xml:space="preserve">, meanwhile, supplies a </w:t>
      </w:r>
      <w:r w:rsidR="000B2E2E">
        <w:t xml:space="preserve">rich and </w:t>
      </w:r>
      <w:r w:rsidR="003B101C">
        <w:t>wide-ranging</w:t>
      </w:r>
      <w:r w:rsidR="000B2E2E">
        <w:t xml:space="preserve"> account of the representation of Britishness </w:t>
      </w:r>
      <w:r w:rsidR="0019693C">
        <w:t xml:space="preserve">(and Englishness) </w:t>
      </w:r>
      <w:r w:rsidR="000B2E2E">
        <w:t xml:space="preserve">from the colonial peripheries </w:t>
      </w:r>
      <w:r w:rsidR="00D41A57">
        <w:t>of Australia, Canada</w:t>
      </w:r>
      <w:r w:rsidR="00931FBA">
        <w:t>,</w:t>
      </w:r>
      <w:r w:rsidR="00D41A57">
        <w:t xml:space="preserve"> and Indi</w:t>
      </w:r>
      <w:r w:rsidR="003B101C">
        <w:t xml:space="preserve">a. Glyn White’s </w:t>
      </w:r>
      <w:r w:rsidR="00494F63">
        <w:t xml:space="preserve">chapter on crime fiction and </w:t>
      </w:r>
      <w:r w:rsidR="004500EA">
        <w:t xml:space="preserve">conservatism </w:t>
      </w:r>
      <w:r w:rsidR="00D410BB">
        <w:t xml:space="preserve">maps a </w:t>
      </w:r>
      <w:r w:rsidR="007B384D">
        <w:t xml:space="preserve">significant area of 1930s cultural production in a </w:t>
      </w:r>
      <w:r w:rsidR="00931FBA">
        <w:t>politically informed</w:t>
      </w:r>
      <w:r w:rsidR="007B384D">
        <w:t xml:space="preserve"> manner. </w:t>
      </w:r>
    </w:p>
    <w:p w14:paraId="321DBB58" w14:textId="6697FB0D" w:rsidR="00AF465A" w:rsidRDefault="007B384D">
      <w:r>
        <w:tab/>
      </w:r>
      <w:r w:rsidR="00E75067">
        <w:t xml:space="preserve">Taken as a whole, </w:t>
      </w:r>
      <w:proofErr w:type="gramStart"/>
      <w:r w:rsidR="00E75067">
        <w:rPr>
          <w:i/>
          <w:iCs/>
        </w:rPr>
        <w:t>The</w:t>
      </w:r>
      <w:proofErr w:type="gramEnd"/>
      <w:r w:rsidR="00E75067">
        <w:rPr>
          <w:i/>
          <w:iCs/>
        </w:rPr>
        <w:t xml:space="preserve"> 1930s: A Decade of Modern British Fiction </w:t>
      </w:r>
      <w:r w:rsidR="00367AD4">
        <w:t xml:space="preserve">is </w:t>
      </w:r>
      <w:r w:rsidR="00ED4BD4">
        <w:t xml:space="preserve">an </w:t>
      </w:r>
      <w:r w:rsidR="00367AD4">
        <w:t xml:space="preserve">indispensable </w:t>
      </w:r>
      <w:r w:rsidR="00ED4BD4">
        <w:t>book for student</w:t>
      </w:r>
      <w:r w:rsidR="00A6529A">
        <w:t>s</w:t>
      </w:r>
      <w:r w:rsidR="00ED4BD4">
        <w:t xml:space="preserve"> and scholars of 1930s literary culture. </w:t>
      </w:r>
      <w:r w:rsidR="00013BD2">
        <w:t xml:space="preserve">The contributions are various in </w:t>
      </w:r>
      <w:r w:rsidR="00060DA3">
        <w:t xml:space="preserve">terms of their topics as well as </w:t>
      </w:r>
      <w:r w:rsidR="00DD1544">
        <w:t xml:space="preserve">in their approaches. </w:t>
      </w:r>
      <w:r w:rsidR="000D4545">
        <w:t>What t</w:t>
      </w:r>
      <w:r w:rsidR="00DD1544">
        <w:t xml:space="preserve">hey </w:t>
      </w:r>
      <w:r w:rsidR="00245D4D">
        <w:t xml:space="preserve">do </w:t>
      </w:r>
      <w:proofErr w:type="gramStart"/>
      <w:r w:rsidR="00245D4D">
        <w:t>share</w:t>
      </w:r>
      <w:r w:rsidR="00856FAB">
        <w:t xml:space="preserve"> </w:t>
      </w:r>
      <w:r w:rsidR="000D4545">
        <w:t>in common</w:t>
      </w:r>
      <w:proofErr w:type="gramEnd"/>
      <w:r w:rsidR="000D4545">
        <w:t xml:space="preserve">, however, is </w:t>
      </w:r>
      <w:r w:rsidR="00856FAB">
        <w:t>an urgent commitment</w:t>
      </w:r>
      <w:r w:rsidR="000D4545">
        <w:t xml:space="preserve">: </w:t>
      </w:r>
      <w:r w:rsidR="00150494">
        <w:t xml:space="preserve">whether it is Salton-Cox on queerness, or Nick Hubble on the intersubjectivity </w:t>
      </w:r>
      <w:r w:rsidR="00D218F2">
        <w:t xml:space="preserve">in proletarian fiction, these scholars </w:t>
      </w:r>
      <w:r w:rsidR="007C10D1">
        <w:t>see the writing of the long 1930s as a</w:t>
      </w:r>
      <w:r w:rsidR="00E30853">
        <w:t>n incomplete</w:t>
      </w:r>
      <w:r w:rsidR="007C10D1">
        <w:t xml:space="preserve"> project </w:t>
      </w:r>
      <w:r w:rsidR="0081547E">
        <w:t xml:space="preserve">of cultural and political transformation </w:t>
      </w:r>
      <w:r w:rsidR="007C10D1">
        <w:t xml:space="preserve">that </w:t>
      </w:r>
      <w:r w:rsidR="00E01DA8">
        <w:t>provides invaluable resources for the present.</w:t>
      </w:r>
    </w:p>
    <w:p w14:paraId="642B8CA3" w14:textId="47508D6C" w:rsidR="00C65533" w:rsidRDefault="00C65533"/>
    <w:p w14:paraId="784E3E53" w14:textId="6CF0EFAF" w:rsidR="00C65533" w:rsidRDefault="00C65533">
      <w:pPr>
        <w:rPr>
          <w:b/>
          <w:bCs/>
        </w:rPr>
      </w:pPr>
      <w:r w:rsidRPr="00862B4D">
        <w:rPr>
          <w:b/>
          <w:bCs/>
        </w:rPr>
        <w:t>References</w:t>
      </w:r>
    </w:p>
    <w:p w14:paraId="77219786" w14:textId="1A1BC79C" w:rsidR="00D00211" w:rsidRPr="00D00211" w:rsidRDefault="00D00211" w:rsidP="00862B4D">
      <w:pPr>
        <w:spacing w:after="0"/>
        <w:ind w:left="284" w:hanging="284"/>
      </w:pPr>
      <w:proofErr w:type="spellStart"/>
      <w:r w:rsidRPr="00D00211">
        <w:lastRenderedPageBreak/>
        <w:t>Joannou</w:t>
      </w:r>
      <w:proofErr w:type="spellEnd"/>
      <w:r w:rsidRPr="00D00211">
        <w:t xml:space="preserve">, </w:t>
      </w:r>
      <w:proofErr w:type="spellStart"/>
      <w:r w:rsidRPr="00D00211">
        <w:t>Maroula</w:t>
      </w:r>
      <w:proofErr w:type="spellEnd"/>
      <w:r w:rsidRPr="00D00211">
        <w:t xml:space="preserve">. </w:t>
      </w:r>
      <w:r w:rsidRPr="00D00211">
        <w:rPr>
          <w:i/>
          <w:iCs/>
        </w:rPr>
        <w:t>Ladies, Please Don't Smash These Windows: Women's Writing, Feminist Consciousness and Social Change 1918-38</w:t>
      </w:r>
      <w:r w:rsidRPr="00D00211">
        <w:t xml:space="preserve">. Oxford: Berg Publishers, 1995. </w:t>
      </w:r>
    </w:p>
    <w:p w14:paraId="72280941" w14:textId="19F56B49" w:rsidR="00C35D23" w:rsidRPr="00862B4D" w:rsidRDefault="00C35D23" w:rsidP="00862B4D">
      <w:pPr>
        <w:pStyle w:val="FootnoteText"/>
        <w:ind w:left="284" w:hanging="284"/>
      </w:pPr>
      <w:r w:rsidRPr="00D00211">
        <w:rPr>
          <w:sz w:val="22"/>
          <w:szCs w:val="22"/>
        </w:rPr>
        <w:t xml:space="preserve">Hubble, Nick. </w:t>
      </w:r>
      <w:r w:rsidRPr="00D00211">
        <w:rPr>
          <w:i/>
          <w:iCs/>
          <w:sz w:val="22"/>
          <w:szCs w:val="22"/>
        </w:rPr>
        <w:t>The Proletarian Answer to the Modernist Question</w:t>
      </w:r>
      <w:r w:rsidRPr="00D00211">
        <w:rPr>
          <w:sz w:val="22"/>
          <w:szCs w:val="22"/>
        </w:rPr>
        <w:t xml:space="preserve">. Edinburgh: Edinburgh University Press, 2017. </w:t>
      </w:r>
    </w:p>
    <w:p w14:paraId="5B5145DE" w14:textId="0505BD50" w:rsidR="00C35D23" w:rsidRPr="00862B4D" w:rsidRDefault="00C35D23" w:rsidP="00862B4D">
      <w:pPr>
        <w:pStyle w:val="FootnoteText"/>
        <w:ind w:left="284" w:hanging="284"/>
        <w:rPr>
          <w:sz w:val="22"/>
          <w:szCs w:val="22"/>
        </w:rPr>
      </w:pPr>
      <w:r w:rsidRPr="00862B4D">
        <w:rPr>
          <w:sz w:val="22"/>
          <w:szCs w:val="22"/>
        </w:rPr>
        <w:t>Kohlmann, Benjamin and Matthew Taunton. “Introduction: The Long 1930s</w:t>
      </w:r>
      <w:r w:rsidR="00D85D6C">
        <w:rPr>
          <w:sz w:val="22"/>
          <w:szCs w:val="22"/>
        </w:rPr>
        <w:t>.</w:t>
      </w:r>
      <w:r w:rsidRPr="00862B4D">
        <w:rPr>
          <w:sz w:val="22"/>
          <w:szCs w:val="22"/>
        </w:rPr>
        <w:t xml:space="preserve">” </w:t>
      </w:r>
      <w:r w:rsidR="00D85D6C">
        <w:rPr>
          <w:sz w:val="22"/>
          <w:szCs w:val="22"/>
        </w:rPr>
        <w:t>I</w:t>
      </w:r>
      <w:r w:rsidRPr="00862B4D">
        <w:rPr>
          <w:sz w:val="22"/>
          <w:szCs w:val="22"/>
        </w:rPr>
        <w:t xml:space="preserve">n </w:t>
      </w:r>
      <w:r w:rsidRPr="00862B4D">
        <w:rPr>
          <w:i/>
          <w:iCs/>
          <w:sz w:val="22"/>
          <w:szCs w:val="22"/>
        </w:rPr>
        <w:t>A History of 1930s British Literature</w:t>
      </w:r>
      <w:r w:rsidR="00D85D6C">
        <w:rPr>
          <w:sz w:val="22"/>
          <w:szCs w:val="22"/>
        </w:rPr>
        <w:t>, ed. Benjamin Kohlmann and Matthew Taunton,</w:t>
      </w:r>
      <w:r w:rsidRPr="00862B4D">
        <w:rPr>
          <w:i/>
          <w:iCs/>
          <w:sz w:val="22"/>
          <w:szCs w:val="22"/>
        </w:rPr>
        <w:t xml:space="preserve"> </w:t>
      </w:r>
      <w:r w:rsidRPr="00862B4D">
        <w:rPr>
          <w:sz w:val="22"/>
          <w:szCs w:val="22"/>
        </w:rPr>
        <w:t>1</w:t>
      </w:r>
      <w:r w:rsidR="00D85D6C">
        <w:rPr>
          <w:sz w:val="22"/>
          <w:szCs w:val="22"/>
        </w:rPr>
        <w:t>–</w:t>
      </w:r>
      <w:r w:rsidRPr="00862B4D">
        <w:rPr>
          <w:sz w:val="22"/>
          <w:szCs w:val="22"/>
        </w:rPr>
        <w:t xml:space="preserve">14. Cambridge: Cambridge University Press, 2019. </w:t>
      </w:r>
    </w:p>
    <w:p w14:paraId="4E9BA3B1" w14:textId="22AF1BD8" w:rsidR="00C35D23" w:rsidRPr="00862B4D" w:rsidRDefault="00C35D23" w:rsidP="00862B4D">
      <w:pPr>
        <w:pStyle w:val="FootnoteText"/>
        <w:ind w:left="284" w:hanging="284"/>
        <w:rPr>
          <w:sz w:val="22"/>
          <w:szCs w:val="22"/>
        </w:rPr>
      </w:pPr>
      <w:r w:rsidRPr="00D00211">
        <w:rPr>
          <w:sz w:val="22"/>
          <w:szCs w:val="22"/>
        </w:rPr>
        <w:t>Mellor, Leo and Glyn Salton</w:t>
      </w:r>
      <w:r w:rsidR="00CD3CEB">
        <w:rPr>
          <w:sz w:val="22"/>
          <w:szCs w:val="22"/>
        </w:rPr>
        <w:t>-</w:t>
      </w:r>
      <w:r w:rsidRPr="00D00211">
        <w:rPr>
          <w:sz w:val="22"/>
          <w:szCs w:val="22"/>
        </w:rPr>
        <w:t>Cox. “Introduction</w:t>
      </w:r>
      <w:r w:rsidR="00407424">
        <w:rPr>
          <w:sz w:val="22"/>
          <w:szCs w:val="22"/>
        </w:rPr>
        <w:t xml:space="preserve">,” in </w:t>
      </w:r>
      <w:r w:rsidR="00407424" w:rsidRPr="00D00211">
        <w:rPr>
          <w:sz w:val="22"/>
          <w:szCs w:val="22"/>
        </w:rPr>
        <w:t>Leo Mellor and Glyn Salton</w:t>
      </w:r>
      <w:r w:rsidR="00407424">
        <w:rPr>
          <w:sz w:val="22"/>
          <w:szCs w:val="22"/>
        </w:rPr>
        <w:t>-</w:t>
      </w:r>
      <w:r w:rsidR="00407424" w:rsidRPr="00D00211">
        <w:rPr>
          <w:sz w:val="22"/>
          <w:szCs w:val="22"/>
        </w:rPr>
        <w:t>Cox</w:t>
      </w:r>
      <w:r w:rsidR="00407424">
        <w:rPr>
          <w:sz w:val="22"/>
          <w:szCs w:val="22"/>
        </w:rPr>
        <w:t>, eds. “</w:t>
      </w:r>
      <w:r w:rsidRPr="00D00211">
        <w:rPr>
          <w:sz w:val="22"/>
          <w:szCs w:val="22"/>
        </w:rPr>
        <w:t>The Long 1930s</w:t>
      </w:r>
      <w:r w:rsidR="00407424">
        <w:rPr>
          <w:sz w:val="22"/>
          <w:szCs w:val="22"/>
        </w:rPr>
        <w:t>.</w:t>
      </w:r>
      <w:r w:rsidRPr="00D00211">
        <w:rPr>
          <w:sz w:val="22"/>
          <w:szCs w:val="22"/>
        </w:rPr>
        <w:t>”</w:t>
      </w:r>
      <w:r w:rsidR="00407424">
        <w:rPr>
          <w:sz w:val="22"/>
          <w:szCs w:val="22"/>
        </w:rPr>
        <w:t xml:space="preserve"> S</w:t>
      </w:r>
      <w:r w:rsidRPr="00D00211">
        <w:rPr>
          <w:sz w:val="22"/>
          <w:szCs w:val="22"/>
        </w:rPr>
        <w:t xml:space="preserve">pecial </w:t>
      </w:r>
      <w:r w:rsidR="00407424">
        <w:rPr>
          <w:sz w:val="22"/>
          <w:szCs w:val="22"/>
        </w:rPr>
        <w:t>i</w:t>
      </w:r>
      <w:r w:rsidRPr="00D00211">
        <w:rPr>
          <w:sz w:val="22"/>
          <w:szCs w:val="22"/>
        </w:rPr>
        <w:t>ssue</w:t>
      </w:r>
      <w:r w:rsidR="00407424">
        <w:rPr>
          <w:sz w:val="22"/>
          <w:szCs w:val="22"/>
        </w:rPr>
        <w:t>,</w:t>
      </w:r>
      <w:r w:rsidRPr="00D00211">
        <w:rPr>
          <w:sz w:val="22"/>
          <w:szCs w:val="22"/>
        </w:rPr>
        <w:t xml:space="preserve"> </w:t>
      </w:r>
      <w:r w:rsidRPr="00D00211">
        <w:rPr>
          <w:i/>
          <w:iCs/>
          <w:sz w:val="22"/>
          <w:szCs w:val="22"/>
        </w:rPr>
        <w:t>Critical Quarterly</w:t>
      </w:r>
      <w:r w:rsidRPr="00D00211">
        <w:rPr>
          <w:sz w:val="22"/>
          <w:szCs w:val="22"/>
        </w:rPr>
        <w:t xml:space="preserve"> 57, n. 3 (2015): 1-9. </w:t>
      </w:r>
    </w:p>
    <w:p w14:paraId="0F4A0860" w14:textId="4A25386B" w:rsidR="00D00211" w:rsidRPr="00862B4D" w:rsidRDefault="00D00211" w:rsidP="00862B4D">
      <w:pPr>
        <w:spacing w:after="0"/>
        <w:ind w:left="284" w:hanging="284"/>
      </w:pPr>
      <w:r w:rsidRPr="00D00211">
        <w:t>Montefiore, Janet</w:t>
      </w:r>
      <w:r>
        <w:t xml:space="preserve">. </w:t>
      </w:r>
      <w:r w:rsidRPr="00D00211">
        <w:rPr>
          <w:i/>
          <w:iCs/>
        </w:rPr>
        <w:t>Men and Women Writers of the 1930s: The Dangerous Flood of History</w:t>
      </w:r>
      <w:r>
        <w:t xml:space="preserve">. </w:t>
      </w:r>
      <w:r w:rsidRPr="00D00211">
        <w:t>London and New York: Routledge, 1995.</w:t>
      </w:r>
    </w:p>
    <w:p w14:paraId="7F331522" w14:textId="4AD2E5E7" w:rsidR="00C35D23" w:rsidRDefault="00E54ACC">
      <w:pPr>
        <w:ind w:left="284" w:hanging="284"/>
      </w:pPr>
      <w:r w:rsidRPr="00E54ACC">
        <w:t>Taunton, Matthew "Literature of the 'Thirties</w:t>
      </w:r>
      <w:r w:rsidR="00407424">
        <w:t>,</w:t>
      </w:r>
      <w:r w:rsidRPr="00E54ACC">
        <w:t xml:space="preserve">" </w:t>
      </w:r>
      <w:r w:rsidR="00407424">
        <w:t>i</w:t>
      </w:r>
      <w:r w:rsidRPr="00E54ACC">
        <w:t xml:space="preserve">n </w:t>
      </w:r>
      <w:r w:rsidRPr="00862B4D">
        <w:rPr>
          <w:i/>
          <w:iCs/>
        </w:rPr>
        <w:t>Oxford Bibliographies Online</w:t>
      </w:r>
      <w:r w:rsidRPr="00E54ACC">
        <w:t xml:space="preserve"> British and Irish Literature, https://www.oxfordbibliographies.com/view/document/obo-9780199846719/obo-9780199846719-0178.xml (accessed 7</w:t>
      </w:r>
      <w:r w:rsidR="00407424">
        <w:t xml:space="preserve"> </w:t>
      </w:r>
      <w:r w:rsidRPr="00E54ACC">
        <w:t>Dec</w:t>
      </w:r>
      <w:r w:rsidR="00407424">
        <w:t>ember</w:t>
      </w:r>
      <w:r w:rsidRPr="00E54ACC">
        <w:t xml:space="preserve"> 2022).</w:t>
      </w:r>
    </w:p>
    <w:p w14:paraId="17CAA95C" w14:textId="77777777" w:rsidR="00630D2E" w:rsidRPr="00862B4D" w:rsidRDefault="00630D2E" w:rsidP="00862B4D">
      <w:pPr>
        <w:ind w:left="284" w:hanging="284"/>
        <w:rPr>
          <w:b/>
          <w:bCs/>
        </w:rPr>
      </w:pPr>
    </w:p>
    <w:p w14:paraId="0BE0DA24" w14:textId="39A8E148" w:rsidR="00E01DA8" w:rsidRDefault="00AF465A" w:rsidP="00B662D2">
      <w:pPr>
        <w:jc w:val="right"/>
      </w:pPr>
      <w:r>
        <w:t>Matthew Taunton</w:t>
      </w:r>
    </w:p>
    <w:p w14:paraId="4971BA8E" w14:textId="0BE2CCB7" w:rsidR="00AF465A" w:rsidRDefault="00AF465A" w:rsidP="00B662D2">
      <w:pPr>
        <w:jc w:val="right"/>
      </w:pPr>
      <w:r>
        <w:t>University of East Anglia, Norwich</w:t>
      </w:r>
    </w:p>
    <w:p w14:paraId="16D441CE" w14:textId="5E3CB2ED" w:rsidR="00AF465A" w:rsidRPr="00E75067" w:rsidRDefault="00D7137A" w:rsidP="00B662D2">
      <w:pPr>
        <w:jc w:val="right"/>
      </w:pPr>
      <w:hyperlink r:id="rId7" w:history="1">
        <w:r w:rsidR="00B662D2" w:rsidRPr="00F5435F">
          <w:rPr>
            <w:rStyle w:val="Hyperlink"/>
          </w:rPr>
          <w:t>M.Taunton@uea.ac.uk</w:t>
        </w:r>
      </w:hyperlink>
      <w:r w:rsidR="00B662D2">
        <w:t xml:space="preserve"> </w:t>
      </w:r>
    </w:p>
    <w:sectPr w:rsidR="00AF465A" w:rsidRPr="00E75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5006" w14:textId="77777777" w:rsidR="00D7137A" w:rsidRDefault="00D7137A" w:rsidP="009A701F">
      <w:pPr>
        <w:spacing w:after="0" w:line="240" w:lineRule="auto"/>
      </w:pPr>
      <w:r>
        <w:separator/>
      </w:r>
    </w:p>
  </w:endnote>
  <w:endnote w:type="continuationSeparator" w:id="0">
    <w:p w14:paraId="339A746D" w14:textId="77777777" w:rsidR="00D7137A" w:rsidRDefault="00D7137A" w:rsidP="009A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6D4D" w14:textId="77777777" w:rsidR="00D7137A" w:rsidRDefault="00D7137A" w:rsidP="009A701F">
      <w:pPr>
        <w:spacing w:after="0" w:line="240" w:lineRule="auto"/>
      </w:pPr>
      <w:r>
        <w:separator/>
      </w:r>
    </w:p>
  </w:footnote>
  <w:footnote w:type="continuationSeparator" w:id="0">
    <w:p w14:paraId="0E0CBB33" w14:textId="77777777" w:rsidR="00D7137A" w:rsidRDefault="00D7137A" w:rsidP="009A701F">
      <w:pPr>
        <w:spacing w:after="0" w:line="240" w:lineRule="auto"/>
      </w:pPr>
      <w:r>
        <w:continuationSeparator/>
      </w:r>
    </w:p>
  </w:footnote>
  <w:footnote w:id="1">
    <w:p w14:paraId="22822BD7" w14:textId="45807D8A" w:rsidR="00F135F8" w:rsidRPr="00216E3F" w:rsidRDefault="00F135F8" w:rsidP="00216E3F">
      <w:pPr>
        <w:spacing w:after="0"/>
        <w:rPr>
          <w:sz w:val="20"/>
          <w:szCs w:val="20"/>
        </w:rPr>
      </w:pPr>
      <w:r w:rsidRPr="00216E3F">
        <w:rPr>
          <w:rStyle w:val="FootnoteReference"/>
          <w:sz w:val="20"/>
          <w:szCs w:val="20"/>
        </w:rPr>
        <w:footnoteRef/>
      </w:r>
      <w:r w:rsidRPr="00216E3F">
        <w:rPr>
          <w:sz w:val="20"/>
          <w:szCs w:val="20"/>
        </w:rPr>
        <w:t xml:space="preserve"> I have assembled an extensive, annotated bibliography of scholarship on the 1930s</w:t>
      </w:r>
      <w:r w:rsidR="002768B5" w:rsidRPr="00216E3F">
        <w:rPr>
          <w:sz w:val="20"/>
          <w:szCs w:val="20"/>
        </w:rPr>
        <w:t xml:space="preserve">, which may be useful </w:t>
      </w:r>
      <w:r w:rsidR="00162371" w:rsidRPr="00216E3F">
        <w:rPr>
          <w:sz w:val="20"/>
          <w:szCs w:val="20"/>
        </w:rPr>
        <w:t>for readers who are studying this period. See Taunton</w:t>
      </w:r>
      <w:r w:rsidR="00C35D23">
        <w:rPr>
          <w:sz w:val="20"/>
          <w:szCs w:val="20"/>
        </w:rPr>
        <w:t>.</w:t>
      </w:r>
    </w:p>
  </w:footnote>
  <w:footnote w:id="2">
    <w:p w14:paraId="5A93E8AC" w14:textId="74F0B440" w:rsidR="009A701F" w:rsidRPr="00216E3F" w:rsidRDefault="009A701F" w:rsidP="00216E3F">
      <w:pPr>
        <w:pStyle w:val="FootnoteText"/>
      </w:pPr>
      <w:r w:rsidRPr="00216E3F">
        <w:rPr>
          <w:rStyle w:val="FootnoteReference"/>
        </w:rPr>
        <w:footnoteRef/>
      </w:r>
      <w:r w:rsidRPr="00216E3F">
        <w:t xml:space="preserve"> </w:t>
      </w:r>
      <w:r w:rsidR="00F56495" w:rsidRPr="00216E3F">
        <w:t xml:space="preserve">See </w:t>
      </w:r>
      <w:r w:rsidR="004D0661" w:rsidRPr="00216E3F">
        <w:t xml:space="preserve">Kohlmann and Taunton, </w:t>
      </w:r>
      <w:r w:rsidRPr="00216E3F">
        <w:t>Mellor and Salton</w:t>
      </w:r>
      <w:r w:rsidR="00CD3CEB">
        <w:t>-</w:t>
      </w:r>
      <w:r w:rsidRPr="00216E3F">
        <w:t xml:space="preserve">Cox, </w:t>
      </w:r>
      <w:r w:rsidR="00D00211">
        <w:t xml:space="preserve">and </w:t>
      </w:r>
      <w:r w:rsidRPr="00216E3F">
        <w:t>Hubble</w:t>
      </w:r>
      <w:r w:rsidR="00D00211">
        <w:t>’s</w:t>
      </w:r>
      <w:r w:rsidR="00B3274B" w:rsidRPr="00216E3F">
        <w:t xml:space="preserve"> </w:t>
      </w:r>
      <w:r w:rsidR="00BF4A47" w:rsidRPr="00216E3F">
        <w:t xml:space="preserve">persuasive </w:t>
      </w:r>
      <w:r w:rsidR="004E621C" w:rsidRPr="00216E3F">
        <w:t>account of proletarian literature.</w:t>
      </w:r>
      <w:r w:rsidR="00486E0F" w:rsidRPr="00216E3F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08"/>
    <w:rsid w:val="0000365A"/>
    <w:rsid w:val="00003AC3"/>
    <w:rsid w:val="00013554"/>
    <w:rsid w:val="00013BD2"/>
    <w:rsid w:val="00016D51"/>
    <w:rsid w:val="0003161B"/>
    <w:rsid w:val="000348D4"/>
    <w:rsid w:val="00050160"/>
    <w:rsid w:val="00051A74"/>
    <w:rsid w:val="00051D1B"/>
    <w:rsid w:val="00054F8F"/>
    <w:rsid w:val="000601BF"/>
    <w:rsid w:val="00060DA3"/>
    <w:rsid w:val="00064DE1"/>
    <w:rsid w:val="0007364D"/>
    <w:rsid w:val="00074D90"/>
    <w:rsid w:val="00090264"/>
    <w:rsid w:val="000A1028"/>
    <w:rsid w:val="000A524B"/>
    <w:rsid w:val="000B2E2E"/>
    <w:rsid w:val="000C0053"/>
    <w:rsid w:val="000C6392"/>
    <w:rsid w:val="000D4545"/>
    <w:rsid w:val="000E0361"/>
    <w:rsid w:val="000E050D"/>
    <w:rsid w:val="000F719B"/>
    <w:rsid w:val="00100135"/>
    <w:rsid w:val="00103B0B"/>
    <w:rsid w:val="001174F2"/>
    <w:rsid w:val="00127BC7"/>
    <w:rsid w:val="00136E6E"/>
    <w:rsid w:val="00150494"/>
    <w:rsid w:val="001556C0"/>
    <w:rsid w:val="00161796"/>
    <w:rsid w:val="00162371"/>
    <w:rsid w:val="00166190"/>
    <w:rsid w:val="00174E33"/>
    <w:rsid w:val="00196794"/>
    <w:rsid w:val="0019693C"/>
    <w:rsid w:val="001970E3"/>
    <w:rsid w:val="001A6133"/>
    <w:rsid w:val="001C7DD9"/>
    <w:rsid w:val="001D79DB"/>
    <w:rsid w:val="001E2CF5"/>
    <w:rsid w:val="00211A95"/>
    <w:rsid w:val="00216152"/>
    <w:rsid w:val="00216E3F"/>
    <w:rsid w:val="0022192A"/>
    <w:rsid w:val="00225D21"/>
    <w:rsid w:val="00245D4D"/>
    <w:rsid w:val="00251032"/>
    <w:rsid w:val="002613A0"/>
    <w:rsid w:val="00264398"/>
    <w:rsid w:val="00267F1D"/>
    <w:rsid w:val="002703BE"/>
    <w:rsid w:val="002768B5"/>
    <w:rsid w:val="002B0AD9"/>
    <w:rsid w:val="002B3A82"/>
    <w:rsid w:val="002D13CA"/>
    <w:rsid w:val="002F7933"/>
    <w:rsid w:val="003125D1"/>
    <w:rsid w:val="00325CD7"/>
    <w:rsid w:val="0033498D"/>
    <w:rsid w:val="00335E50"/>
    <w:rsid w:val="0035559B"/>
    <w:rsid w:val="00356901"/>
    <w:rsid w:val="00356B63"/>
    <w:rsid w:val="00366CC8"/>
    <w:rsid w:val="00367AD4"/>
    <w:rsid w:val="00372381"/>
    <w:rsid w:val="003770E0"/>
    <w:rsid w:val="00383D39"/>
    <w:rsid w:val="00387F13"/>
    <w:rsid w:val="00393252"/>
    <w:rsid w:val="003970FE"/>
    <w:rsid w:val="003A1987"/>
    <w:rsid w:val="003A48B8"/>
    <w:rsid w:val="003A588D"/>
    <w:rsid w:val="003B101C"/>
    <w:rsid w:val="003B12BB"/>
    <w:rsid w:val="003B4EB9"/>
    <w:rsid w:val="003B6857"/>
    <w:rsid w:val="003B767E"/>
    <w:rsid w:val="003F4C80"/>
    <w:rsid w:val="004001EB"/>
    <w:rsid w:val="00401909"/>
    <w:rsid w:val="00407424"/>
    <w:rsid w:val="00421447"/>
    <w:rsid w:val="00430430"/>
    <w:rsid w:val="00432BFD"/>
    <w:rsid w:val="00444A7D"/>
    <w:rsid w:val="00446311"/>
    <w:rsid w:val="004500EA"/>
    <w:rsid w:val="004812F1"/>
    <w:rsid w:val="00482388"/>
    <w:rsid w:val="00486E0F"/>
    <w:rsid w:val="00494F63"/>
    <w:rsid w:val="004A6DE6"/>
    <w:rsid w:val="004B52A2"/>
    <w:rsid w:val="004C5505"/>
    <w:rsid w:val="004D0661"/>
    <w:rsid w:val="004D4B8F"/>
    <w:rsid w:val="004E51AF"/>
    <w:rsid w:val="004E621C"/>
    <w:rsid w:val="005056B7"/>
    <w:rsid w:val="00511F9C"/>
    <w:rsid w:val="005131C4"/>
    <w:rsid w:val="00513AF1"/>
    <w:rsid w:val="00534A8C"/>
    <w:rsid w:val="00534DB3"/>
    <w:rsid w:val="00567AA6"/>
    <w:rsid w:val="00572B12"/>
    <w:rsid w:val="00572B67"/>
    <w:rsid w:val="00572B7A"/>
    <w:rsid w:val="00580DF4"/>
    <w:rsid w:val="00590FF9"/>
    <w:rsid w:val="00592174"/>
    <w:rsid w:val="00594BC7"/>
    <w:rsid w:val="005A4104"/>
    <w:rsid w:val="005B0192"/>
    <w:rsid w:val="005B7E2A"/>
    <w:rsid w:val="005C4DA6"/>
    <w:rsid w:val="005E708B"/>
    <w:rsid w:val="005F3301"/>
    <w:rsid w:val="00607020"/>
    <w:rsid w:val="00611D39"/>
    <w:rsid w:val="00624C7F"/>
    <w:rsid w:val="00630D2E"/>
    <w:rsid w:val="006338EB"/>
    <w:rsid w:val="00636461"/>
    <w:rsid w:val="00653D32"/>
    <w:rsid w:val="0065782D"/>
    <w:rsid w:val="00660F54"/>
    <w:rsid w:val="006937AB"/>
    <w:rsid w:val="006A06A0"/>
    <w:rsid w:val="006A5666"/>
    <w:rsid w:val="006B2872"/>
    <w:rsid w:val="006C1F25"/>
    <w:rsid w:val="006C3859"/>
    <w:rsid w:val="006F3627"/>
    <w:rsid w:val="0070624A"/>
    <w:rsid w:val="007257F6"/>
    <w:rsid w:val="00735FF8"/>
    <w:rsid w:val="00737B42"/>
    <w:rsid w:val="0075403B"/>
    <w:rsid w:val="007755B8"/>
    <w:rsid w:val="00785EDB"/>
    <w:rsid w:val="00795862"/>
    <w:rsid w:val="007B384D"/>
    <w:rsid w:val="007C10D1"/>
    <w:rsid w:val="007C482A"/>
    <w:rsid w:val="007E0BC7"/>
    <w:rsid w:val="007E5AF0"/>
    <w:rsid w:val="007E7090"/>
    <w:rsid w:val="0081547E"/>
    <w:rsid w:val="00817D02"/>
    <w:rsid w:val="00826BCE"/>
    <w:rsid w:val="008333D4"/>
    <w:rsid w:val="008337E7"/>
    <w:rsid w:val="0084404F"/>
    <w:rsid w:val="00846B56"/>
    <w:rsid w:val="00846F84"/>
    <w:rsid w:val="00853667"/>
    <w:rsid w:val="00853A2E"/>
    <w:rsid w:val="00853E4B"/>
    <w:rsid w:val="00856FAB"/>
    <w:rsid w:val="00862B4D"/>
    <w:rsid w:val="00863B1E"/>
    <w:rsid w:val="00875035"/>
    <w:rsid w:val="008758F2"/>
    <w:rsid w:val="008A0200"/>
    <w:rsid w:val="008A4250"/>
    <w:rsid w:val="008B2166"/>
    <w:rsid w:val="008B71DC"/>
    <w:rsid w:val="008C3B1E"/>
    <w:rsid w:val="008C6DFD"/>
    <w:rsid w:val="008C7DB0"/>
    <w:rsid w:val="008D2862"/>
    <w:rsid w:val="008D45A2"/>
    <w:rsid w:val="008D4B40"/>
    <w:rsid w:val="008D5FFE"/>
    <w:rsid w:val="008E106A"/>
    <w:rsid w:val="008E2FE3"/>
    <w:rsid w:val="00910DA9"/>
    <w:rsid w:val="00912E0F"/>
    <w:rsid w:val="009277EE"/>
    <w:rsid w:val="00930F4C"/>
    <w:rsid w:val="00931FBA"/>
    <w:rsid w:val="009448AE"/>
    <w:rsid w:val="00944A82"/>
    <w:rsid w:val="009461E2"/>
    <w:rsid w:val="009500C3"/>
    <w:rsid w:val="0095550D"/>
    <w:rsid w:val="00961C7D"/>
    <w:rsid w:val="00962057"/>
    <w:rsid w:val="0096226A"/>
    <w:rsid w:val="0096366D"/>
    <w:rsid w:val="00987203"/>
    <w:rsid w:val="0098738B"/>
    <w:rsid w:val="00994862"/>
    <w:rsid w:val="009A701F"/>
    <w:rsid w:val="009D609C"/>
    <w:rsid w:val="00A12030"/>
    <w:rsid w:val="00A2030A"/>
    <w:rsid w:val="00A25F1F"/>
    <w:rsid w:val="00A43EE4"/>
    <w:rsid w:val="00A507B4"/>
    <w:rsid w:val="00A53904"/>
    <w:rsid w:val="00A564BF"/>
    <w:rsid w:val="00A61A1A"/>
    <w:rsid w:val="00A64B8C"/>
    <w:rsid w:val="00A6529A"/>
    <w:rsid w:val="00A87585"/>
    <w:rsid w:val="00AA2FE3"/>
    <w:rsid w:val="00AB4E29"/>
    <w:rsid w:val="00AC3FE3"/>
    <w:rsid w:val="00AD2817"/>
    <w:rsid w:val="00AD7ED5"/>
    <w:rsid w:val="00AE58EA"/>
    <w:rsid w:val="00AE60EE"/>
    <w:rsid w:val="00AF2478"/>
    <w:rsid w:val="00AF465A"/>
    <w:rsid w:val="00B27B58"/>
    <w:rsid w:val="00B32381"/>
    <w:rsid w:val="00B32502"/>
    <w:rsid w:val="00B3274B"/>
    <w:rsid w:val="00B3386F"/>
    <w:rsid w:val="00B351E1"/>
    <w:rsid w:val="00B368EE"/>
    <w:rsid w:val="00B36E67"/>
    <w:rsid w:val="00B662D2"/>
    <w:rsid w:val="00B72FF6"/>
    <w:rsid w:val="00B91B20"/>
    <w:rsid w:val="00BA2170"/>
    <w:rsid w:val="00BA4919"/>
    <w:rsid w:val="00BA6D9C"/>
    <w:rsid w:val="00BB6685"/>
    <w:rsid w:val="00BC6505"/>
    <w:rsid w:val="00BE5607"/>
    <w:rsid w:val="00BF4A47"/>
    <w:rsid w:val="00C11634"/>
    <w:rsid w:val="00C26B08"/>
    <w:rsid w:val="00C35D23"/>
    <w:rsid w:val="00C4320D"/>
    <w:rsid w:val="00C46320"/>
    <w:rsid w:val="00C52AE2"/>
    <w:rsid w:val="00C603D3"/>
    <w:rsid w:val="00C63F55"/>
    <w:rsid w:val="00C65533"/>
    <w:rsid w:val="00C66529"/>
    <w:rsid w:val="00C66F2B"/>
    <w:rsid w:val="00C8075D"/>
    <w:rsid w:val="00C84639"/>
    <w:rsid w:val="00C87245"/>
    <w:rsid w:val="00C93A08"/>
    <w:rsid w:val="00CB01A4"/>
    <w:rsid w:val="00CB2C1C"/>
    <w:rsid w:val="00CB7BC2"/>
    <w:rsid w:val="00CD394F"/>
    <w:rsid w:val="00CD3CEB"/>
    <w:rsid w:val="00CE3175"/>
    <w:rsid w:val="00CF11DA"/>
    <w:rsid w:val="00CF73FA"/>
    <w:rsid w:val="00D00211"/>
    <w:rsid w:val="00D218F2"/>
    <w:rsid w:val="00D24B7F"/>
    <w:rsid w:val="00D32280"/>
    <w:rsid w:val="00D32E19"/>
    <w:rsid w:val="00D37C95"/>
    <w:rsid w:val="00D410BB"/>
    <w:rsid w:val="00D41A57"/>
    <w:rsid w:val="00D553EE"/>
    <w:rsid w:val="00D57B2D"/>
    <w:rsid w:val="00D60A8F"/>
    <w:rsid w:val="00D67ED6"/>
    <w:rsid w:val="00D7137A"/>
    <w:rsid w:val="00D85D6C"/>
    <w:rsid w:val="00DD1544"/>
    <w:rsid w:val="00DD2E8D"/>
    <w:rsid w:val="00E007D4"/>
    <w:rsid w:val="00E01DA8"/>
    <w:rsid w:val="00E138D8"/>
    <w:rsid w:val="00E16A5C"/>
    <w:rsid w:val="00E30853"/>
    <w:rsid w:val="00E502F8"/>
    <w:rsid w:val="00E5446E"/>
    <w:rsid w:val="00E54ACC"/>
    <w:rsid w:val="00E63662"/>
    <w:rsid w:val="00E66D60"/>
    <w:rsid w:val="00E735CD"/>
    <w:rsid w:val="00E75067"/>
    <w:rsid w:val="00E7527F"/>
    <w:rsid w:val="00E806F2"/>
    <w:rsid w:val="00E924FA"/>
    <w:rsid w:val="00E92AC8"/>
    <w:rsid w:val="00E95CE0"/>
    <w:rsid w:val="00EA6BF4"/>
    <w:rsid w:val="00EB2924"/>
    <w:rsid w:val="00EB2C8C"/>
    <w:rsid w:val="00EB605D"/>
    <w:rsid w:val="00EB7BAD"/>
    <w:rsid w:val="00ED4BD4"/>
    <w:rsid w:val="00EE566C"/>
    <w:rsid w:val="00EF22B7"/>
    <w:rsid w:val="00F03857"/>
    <w:rsid w:val="00F0499E"/>
    <w:rsid w:val="00F12D42"/>
    <w:rsid w:val="00F135F8"/>
    <w:rsid w:val="00F308F5"/>
    <w:rsid w:val="00F3300B"/>
    <w:rsid w:val="00F47759"/>
    <w:rsid w:val="00F5334B"/>
    <w:rsid w:val="00F5352B"/>
    <w:rsid w:val="00F56495"/>
    <w:rsid w:val="00F57303"/>
    <w:rsid w:val="00F65211"/>
    <w:rsid w:val="00F70596"/>
    <w:rsid w:val="00F70FEB"/>
    <w:rsid w:val="00F715AA"/>
    <w:rsid w:val="00F83107"/>
    <w:rsid w:val="00F920DE"/>
    <w:rsid w:val="00FA0C42"/>
    <w:rsid w:val="00FA414B"/>
    <w:rsid w:val="00FA55A5"/>
    <w:rsid w:val="00FB2373"/>
    <w:rsid w:val="00FB2477"/>
    <w:rsid w:val="00FB59D2"/>
    <w:rsid w:val="00FC6452"/>
    <w:rsid w:val="00F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DC15C"/>
  <w15:chartTrackingRefBased/>
  <w15:docId w15:val="{E82BAD59-6CF7-47EF-B873-3A379777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A70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70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701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6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2D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66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2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Taunton@uea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111B623-3B02-4556-AA8F-FC7B17757919}">
  <we:reference id="f78a3046-9e99-4300-aa2b-5814002b01a2" version="1.46.0.0" store="EXCatalog" storeType="EXCatalog"/>
  <we:alternateReferences>
    <we:reference id="WA104382081" version="1.46.0.0" store="en-GB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C051-FA5A-477D-BEA2-AB75FE88D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Taunton (LDC - Staff)</dc:creator>
  <cp:keywords/>
  <dc:description/>
  <cp:lastModifiedBy>Matthew Taunton (LDC - Staff)</cp:lastModifiedBy>
  <cp:revision>8</cp:revision>
  <dcterms:created xsi:type="dcterms:W3CDTF">2022-12-14T09:30:00Z</dcterms:created>
  <dcterms:modified xsi:type="dcterms:W3CDTF">2022-12-14T09:35:00Z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-703019326</vt:i4>
  </property>
  <property fmtid="{D5CDD505-2E9C-101B-9397-08002B2CF9AE}" pid="3" name="_NewReviewCycle">
    <vt:lpwstr/>
  </property>
  <property fmtid="{D5CDD505-2E9C-101B-9397-08002B2CF9AE}" pid="4" name="_EmailSubject">
    <vt:lpwstr>Invitation to review Hubble, Seaber, and Taylor's The 1930s: A Decade of Modern British Fiction for English Studies</vt:lpwstr>
  </property>
  <property fmtid="{D5CDD505-2E9C-101B-9397-08002B2CF9AE}" pid="5" name="_AuthorEmail">
    <vt:lpwstr>M.Taunton@uea.ac.uk</vt:lpwstr>
  </property>
  <property fmtid="{D5CDD505-2E9C-101B-9397-08002B2CF9AE}" pid="6" name="_AuthorEmailDisplayName">
    <vt:lpwstr>Matthew Taunton (LDC - Staff)</vt:lpwstr>
  </property>
</Properties>
</file>