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67E82" w14:textId="77777777" w:rsidR="005B1B5B" w:rsidRPr="00260D1B" w:rsidRDefault="00440A4A" w:rsidP="005B1B5B">
      <w:pPr>
        <w:spacing w:line="276" w:lineRule="auto"/>
        <w:ind w:right="231"/>
        <w:jc w:val="center"/>
        <w:rPr>
          <w:b/>
          <w:bCs/>
          <w:sz w:val="32"/>
          <w:szCs w:val="32"/>
        </w:rPr>
      </w:pPr>
      <w:r w:rsidRPr="00260D1B">
        <w:rPr>
          <w:b/>
          <w:bCs/>
          <w:sz w:val="32"/>
          <w:szCs w:val="32"/>
        </w:rPr>
        <w:t>Stance</w:t>
      </w:r>
      <w:r w:rsidR="005B1B5B" w:rsidRPr="00260D1B">
        <w:rPr>
          <w:b/>
          <w:bCs/>
          <w:sz w:val="32"/>
          <w:szCs w:val="32"/>
        </w:rPr>
        <w:t xml:space="preserve"> </w:t>
      </w:r>
      <w:r w:rsidRPr="00260D1B">
        <w:rPr>
          <w:b/>
          <w:bCs/>
          <w:sz w:val="32"/>
          <w:szCs w:val="32"/>
        </w:rPr>
        <w:t xml:space="preserve">in article highlights: </w:t>
      </w:r>
      <w:r w:rsidR="005B1B5B" w:rsidRPr="00260D1B">
        <w:rPr>
          <w:b/>
          <w:bCs/>
          <w:sz w:val="32"/>
          <w:szCs w:val="32"/>
        </w:rPr>
        <w:t xml:space="preserve">The promotion </w:t>
      </w:r>
    </w:p>
    <w:p w14:paraId="7A696D30" w14:textId="60A03716" w:rsidR="001F2147" w:rsidRPr="00260D1B" w:rsidRDefault="005B1B5B" w:rsidP="005B1B5B">
      <w:pPr>
        <w:spacing w:line="276" w:lineRule="auto"/>
        <w:ind w:right="231"/>
        <w:jc w:val="center"/>
        <w:rPr>
          <w:b/>
          <w:bCs/>
          <w:sz w:val="32"/>
          <w:szCs w:val="32"/>
        </w:rPr>
      </w:pPr>
      <w:r w:rsidRPr="00260D1B">
        <w:rPr>
          <w:b/>
          <w:bCs/>
          <w:sz w:val="32"/>
          <w:szCs w:val="32"/>
        </w:rPr>
        <w:t xml:space="preserve">of </w:t>
      </w:r>
      <w:r w:rsidR="00440A4A" w:rsidRPr="00260D1B">
        <w:rPr>
          <w:b/>
          <w:bCs/>
          <w:sz w:val="32"/>
          <w:szCs w:val="32"/>
        </w:rPr>
        <w:t>C</w:t>
      </w:r>
      <w:r w:rsidR="000C0E9C" w:rsidRPr="00260D1B">
        <w:rPr>
          <w:b/>
          <w:bCs/>
          <w:sz w:val="32"/>
          <w:szCs w:val="32"/>
        </w:rPr>
        <w:t>ovid-19</w:t>
      </w:r>
      <w:r w:rsidR="00440A4A" w:rsidRPr="00260D1B">
        <w:rPr>
          <w:b/>
          <w:bCs/>
          <w:sz w:val="32"/>
          <w:szCs w:val="32"/>
        </w:rPr>
        <w:t xml:space="preserve"> research</w:t>
      </w:r>
    </w:p>
    <w:p w14:paraId="3B196E1A" w14:textId="23AD9785" w:rsidR="005B1B5B" w:rsidRDefault="005B1B5B" w:rsidP="005B1B5B">
      <w:pPr>
        <w:spacing w:line="360" w:lineRule="auto"/>
        <w:ind w:right="231"/>
        <w:jc w:val="center"/>
        <w:rPr>
          <w:b/>
          <w:bCs/>
        </w:rPr>
      </w:pPr>
    </w:p>
    <w:p w14:paraId="4B06CA4E" w14:textId="77777777" w:rsidR="007D1A4B" w:rsidRPr="00B03ABD" w:rsidRDefault="007D1A4B" w:rsidP="007D1A4B">
      <w:pPr>
        <w:spacing w:line="360" w:lineRule="auto"/>
        <w:rPr>
          <w:b/>
          <w:bCs/>
        </w:rPr>
      </w:pPr>
      <w:r w:rsidRPr="00B03ABD">
        <w:rPr>
          <w:b/>
          <w:bCs/>
        </w:rPr>
        <w:t>Abstract</w:t>
      </w:r>
    </w:p>
    <w:p w14:paraId="5E8BEB80" w14:textId="77777777" w:rsidR="007D1A4B" w:rsidRPr="00B03ABD" w:rsidRDefault="007D1A4B" w:rsidP="007D1A4B">
      <w:pPr>
        <w:spacing w:line="360" w:lineRule="auto"/>
        <w:ind w:right="95"/>
      </w:pPr>
      <w:r w:rsidRPr="003917F7">
        <w:t xml:space="preserve">Covid-19 is the greatest public health crisis for a century, accounting for millions of deaths and initiating an urgent surge of published biomedical research. </w:t>
      </w:r>
      <w:r w:rsidRPr="003917F7">
        <w:rPr>
          <w:bCs/>
        </w:rPr>
        <w:t xml:space="preserve">In this </w:t>
      </w:r>
      <w:r>
        <w:rPr>
          <w:bCs/>
        </w:rPr>
        <w:t>climate of social anxiety</w:t>
      </w:r>
      <w:r w:rsidRPr="003917F7">
        <w:rPr>
          <w:bCs/>
        </w:rPr>
        <w:t xml:space="preserve">, researchers </w:t>
      </w:r>
      <w:r>
        <w:rPr>
          <w:bCs/>
        </w:rPr>
        <w:t>scrambled to publicize</w:t>
      </w:r>
      <w:r w:rsidRPr="003917F7">
        <w:rPr>
          <w:bCs/>
        </w:rPr>
        <w:t xml:space="preserve"> their work</w:t>
      </w:r>
      <w:r>
        <w:rPr>
          <w:bCs/>
        </w:rPr>
        <w:t xml:space="preserve"> and achieve a medical breakthrough</w:t>
      </w:r>
      <w:r w:rsidRPr="003917F7">
        <w:t xml:space="preserve">. The use of journal highlights, a brief bullet pointed list summarising the novel results of a study, is an important tool in this promotional endeavour. In this study we focus on the stance taken by authors in this genre by examining 300 highlights dealing with the virus and compare them with 300 from articles in the same 16 journals on with other medical issues. </w:t>
      </w:r>
      <w:r w:rsidRPr="003917F7">
        <w:rPr>
          <w:bCs/>
        </w:rPr>
        <w:t xml:space="preserve">Our results show </w:t>
      </w:r>
      <w:r>
        <w:rPr>
          <w:bCs/>
        </w:rPr>
        <w:t xml:space="preserve">significantly greater use of stance markers in the </w:t>
      </w:r>
      <w:proofErr w:type="spellStart"/>
      <w:r>
        <w:rPr>
          <w:bCs/>
        </w:rPr>
        <w:t>Covid</w:t>
      </w:r>
      <w:proofErr w:type="spellEnd"/>
      <w:r>
        <w:rPr>
          <w:bCs/>
        </w:rPr>
        <w:t xml:space="preserve"> highlights with hedges, boosters and self-mention particularly marked. </w:t>
      </w:r>
      <w:r w:rsidRPr="003917F7">
        <w:rPr>
          <w:bCs/>
        </w:rPr>
        <w:t xml:space="preserve">Our study </w:t>
      </w:r>
      <w:r w:rsidRPr="00B03ABD">
        <w:t xml:space="preserve">offers both a robust description of stance in highlights and an understanding of the potential impact of the intense, high-stakes competition generated by the </w:t>
      </w:r>
      <w:proofErr w:type="spellStart"/>
      <w:r w:rsidRPr="00B03ABD">
        <w:t>Covid</w:t>
      </w:r>
      <w:proofErr w:type="spellEnd"/>
      <w:r w:rsidRPr="00B03ABD">
        <w:t xml:space="preserve"> pandemic in biomedical publishing. </w:t>
      </w:r>
      <w:r>
        <w:t xml:space="preserve">We believe this offers </w:t>
      </w:r>
      <w:r w:rsidRPr="00B03ABD">
        <w:t xml:space="preserve">a valuable contribution to the literature on stance, academic discourse and rhetorical persuasion. </w:t>
      </w:r>
    </w:p>
    <w:p w14:paraId="7A257EFA" w14:textId="77777777" w:rsidR="007D1A4B" w:rsidRDefault="007D1A4B" w:rsidP="007D1A4B">
      <w:pPr>
        <w:spacing w:line="360" w:lineRule="auto"/>
        <w:rPr>
          <w:b/>
          <w:bCs/>
        </w:rPr>
      </w:pPr>
    </w:p>
    <w:p w14:paraId="0C7671A3" w14:textId="0B8534EF" w:rsidR="007D1A4B" w:rsidRPr="007D1A4B" w:rsidRDefault="007D1A4B" w:rsidP="007D1A4B">
      <w:pPr>
        <w:spacing w:line="360" w:lineRule="auto"/>
      </w:pPr>
      <w:r w:rsidRPr="00B73CDB">
        <w:rPr>
          <w:b/>
          <w:bCs/>
        </w:rPr>
        <w:t xml:space="preserve">Keywords: </w:t>
      </w:r>
      <w:r w:rsidRPr="00B73CDB">
        <w:t>highlights</w:t>
      </w:r>
      <w:r>
        <w:t xml:space="preserve">, stance, </w:t>
      </w:r>
      <w:proofErr w:type="spellStart"/>
      <w:r>
        <w:t>Covid</w:t>
      </w:r>
      <w:proofErr w:type="spellEnd"/>
      <w:r>
        <w:t xml:space="preserve"> research, promotion, </w:t>
      </w:r>
      <w:r w:rsidRPr="00B03ABD">
        <w:t>biomedical publishing</w:t>
      </w:r>
    </w:p>
    <w:p w14:paraId="5A4E2E4F" w14:textId="77777777" w:rsidR="007D1A4B" w:rsidRPr="00260D1B" w:rsidRDefault="007D1A4B" w:rsidP="005B1B5B">
      <w:pPr>
        <w:spacing w:line="360" w:lineRule="auto"/>
        <w:ind w:right="231"/>
        <w:jc w:val="center"/>
        <w:rPr>
          <w:b/>
          <w:bCs/>
        </w:rPr>
      </w:pPr>
    </w:p>
    <w:p w14:paraId="3871D865" w14:textId="72173ED4" w:rsidR="00440A4A" w:rsidRPr="00260D1B" w:rsidRDefault="00E63C3B" w:rsidP="005B1B5B">
      <w:pPr>
        <w:spacing w:line="360" w:lineRule="auto"/>
        <w:ind w:right="231"/>
        <w:rPr>
          <w:b/>
          <w:bCs/>
          <w:sz w:val="28"/>
          <w:szCs w:val="28"/>
        </w:rPr>
      </w:pPr>
      <w:r w:rsidRPr="00260D1B">
        <w:rPr>
          <w:b/>
          <w:bCs/>
          <w:sz w:val="28"/>
          <w:szCs w:val="28"/>
        </w:rPr>
        <w:t xml:space="preserve">1. Introduction </w:t>
      </w:r>
    </w:p>
    <w:p w14:paraId="7886E9A9" w14:textId="4490D9C9" w:rsidR="001A3358" w:rsidRPr="00260D1B" w:rsidRDefault="005B1B5B" w:rsidP="00D229C1">
      <w:pPr>
        <w:autoSpaceDE w:val="0"/>
        <w:autoSpaceDN w:val="0"/>
        <w:adjustRightInd w:val="0"/>
        <w:spacing w:line="360" w:lineRule="auto"/>
        <w:ind w:right="232"/>
        <w:rPr>
          <w:shd w:val="clear" w:color="auto" w:fill="FFFFFF"/>
        </w:rPr>
      </w:pPr>
      <w:r w:rsidRPr="00260D1B">
        <w:t xml:space="preserve">While Covid-19 is now largely treated as a contextual given, part of the background of life, for nearly three years it had a catastrophic impact across the world. By </w:t>
      </w:r>
      <w:r w:rsidR="0095460F" w:rsidRPr="00260D1B">
        <w:t xml:space="preserve">the end of February </w:t>
      </w:r>
      <w:r w:rsidRPr="00260D1B">
        <w:t>202</w:t>
      </w:r>
      <w:r w:rsidR="0095460F" w:rsidRPr="00260D1B">
        <w:t>3</w:t>
      </w:r>
      <w:r w:rsidRPr="00260D1B">
        <w:t xml:space="preserve"> there </w:t>
      </w:r>
      <w:r w:rsidR="0095460F" w:rsidRPr="00260D1B">
        <w:t>have been</w:t>
      </w:r>
      <w:r w:rsidRPr="00260D1B">
        <w:t xml:space="preserve"> </w:t>
      </w:r>
      <w:r w:rsidR="002667D7" w:rsidRPr="00260D1B">
        <w:t xml:space="preserve">over </w:t>
      </w:r>
      <w:r w:rsidR="0095460F" w:rsidRPr="00260D1B">
        <w:t>76</w:t>
      </w:r>
      <w:r w:rsidR="002667D7" w:rsidRPr="00260D1B">
        <w:t xml:space="preserve">0 million confirmed cases and </w:t>
      </w:r>
      <w:r w:rsidRPr="00260D1B">
        <w:t>some</w:t>
      </w:r>
      <w:r w:rsidR="002667D7" w:rsidRPr="00260D1B">
        <w:t xml:space="preserve"> 6.</w:t>
      </w:r>
      <w:r w:rsidR="0095460F" w:rsidRPr="00260D1B">
        <w:t>9</w:t>
      </w:r>
      <w:r w:rsidR="002667D7" w:rsidRPr="00260D1B">
        <w:t xml:space="preserve"> million </w:t>
      </w:r>
      <w:r w:rsidRPr="00260D1B">
        <w:t xml:space="preserve">reported </w:t>
      </w:r>
      <w:r w:rsidR="002667D7" w:rsidRPr="00260D1B">
        <w:t>deaths</w:t>
      </w:r>
      <w:r w:rsidR="00CE467D" w:rsidRPr="00260D1B">
        <w:rPr>
          <w:rStyle w:val="FootnoteReference"/>
        </w:rPr>
        <w:footnoteReference w:id="1"/>
      </w:r>
      <w:r w:rsidRPr="00260D1B">
        <w:t xml:space="preserve">, leading to a surge in </w:t>
      </w:r>
      <w:r w:rsidR="00656245" w:rsidRPr="00260D1B">
        <w:t xml:space="preserve">bio-medical research </w:t>
      </w:r>
      <w:r w:rsidRPr="00260D1B">
        <w:t>to understand and contain the virus</w:t>
      </w:r>
      <w:r w:rsidR="002667D7" w:rsidRPr="00260D1B">
        <w:t xml:space="preserve"> (</w:t>
      </w:r>
      <w:r w:rsidR="00952C8E" w:rsidRPr="00260D1B">
        <w:t xml:space="preserve">e.g. </w:t>
      </w:r>
      <w:r w:rsidR="00454B5F">
        <w:t>Author 2</w:t>
      </w:r>
      <w:r w:rsidR="002667D7" w:rsidRPr="00260D1B">
        <w:t xml:space="preserve"> &amp; </w:t>
      </w:r>
      <w:r w:rsidR="00454B5F">
        <w:t>Other</w:t>
      </w:r>
      <w:r w:rsidR="002667D7" w:rsidRPr="00260D1B">
        <w:t xml:space="preserve">, 2021). </w:t>
      </w:r>
      <w:r w:rsidR="00027D52" w:rsidRPr="00260D1B">
        <w:t>Non-covid clinic</w:t>
      </w:r>
      <w:r w:rsidR="00260D1B" w:rsidRPr="00260D1B">
        <w:t>al</w:t>
      </w:r>
      <w:r w:rsidR="00027D52" w:rsidRPr="00260D1B">
        <w:t xml:space="preserve"> trials were suspended globally and Elsevier reported that </w:t>
      </w:r>
      <w:r w:rsidR="00027D52" w:rsidRPr="00260D1B">
        <w:rPr>
          <w:shd w:val="clear" w:color="auto" w:fill="FFFFFF"/>
        </w:rPr>
        <w:t xml:space="preserve">COVID research comprised 20% of </w:t>
      </w:r>
      <w:r w:rsidR="001A3358" w:rsidRPr="00260D1B">
        <w:rPr>
          <w:shd w:val="clear" w:color="auto" w:fill="FFFFFF"/>
        </w:rPr>
        <w:t xml:space="preserve">all </w:t>
      </w:r>
      <w:r w:rsidR="00027D52" w:rsidRPr="00260D1B">
        <w:rPr>
          <w:shd w:val="clear" w:color="auto" w:fill="FFFFFF"/>
        </w:rPr>
        <w:t>biomedical investigation</w:t>
      </w:r>
      <w:r w:rsidR="00952C8E" w:rsidRPr="00260D1B">
        <w:rPr>
          <w:shd w:val="clear" w:color="auto" w:fill="FFFFFF"/>
        </w:rPr>
        <w:t>s</w:t>
      </w:r>
      <w:r w:rsidR="00027D52" w:rsidRPr="00260D1B">
        <w:rPr>
          <w:shd w:val="clear" w:color="auto" w:fill="FFFFFF"/>
        </w:rPr>
        <w:t xml:space="preserve"> (Harper et al, 2020)</w:t>
      </w:r>
      <w:r w:rsidR="00952C8E" w:rsidRPr="00260D1B">
        <w:rPr>
          <w:shd w:val="clear" w:color="auto" w:fill="FFFFFF"/>
        </w:rPr>
        <w:t>.</w:t>
      </w:r>
      <w:r w:rsidR="00027D52" w:rsidRPr="00260D1B">
        <w:rPr>
          <w:shd w:val="clear" w:color="auto" w:fill="FFFFFF"/>
        </w:rPr>
        <w:t xml:space="preserve"> The </w:t>
      </w:r>
      <w:r w:rsidR="00027D52" w:rsidRPr="00260D1B">
        <w:t>World Health Organization (WHO) estimated that over 50,000 studies of Covid-19 had been published by July 2020 (Allen-Mills &amp; Gregory, 2020).</w:t>
      </w:r>
      <w:r w:rsidR="00027D52" w:rsidRPr="00260D1B">
        <w:rPr>
          <w:shd w:val="clear" w:color="auto" w:fill="FFFFFF"/>
        </w:rPr>
        <w:t> </w:t>
      </w:r>
    </w:p>
    <w:p w14:paraId="379F4202" w14:textId="77777777" w:rsidR="001A3358" w:rsidRPr="00260D1B" w:rsidRDefault="001A3358" w:rsidP="00D229C1">
      <w:pPr>
        <w:autoSpaceDE w:val="0"/>
        <w:autoSpaceDN w:val="0"/>
        <w:adjustRightInd w:val="0"/>
        <w:spacing w:line="360" w:lineRule="auto"/>
        <w:ind w:right="232"/>
        <w:rPr>
          <w:shd w:val="clear" w:color="auto" w:fill="FFFFFF"/>
        </w:rPr>
      </w:pPr>
    </w:p>
    <w:p w14:paraId="0E3770DD" w14:textId="709C7963" w:rsidR="00602525" w:rsidRPr="00260D1B" w:rsidRDefault="00027D52" w:rsidP="00027D52">
      <w:pPr>
        <w:autoSpaceDE w:val="0"/>
        <w:autoSpaceDN w:val="0"/>
        <w:adjustRightInd w:val="0"/>
        <w:spacing w:line="360" w:lineRule="auto"/>
        <w:ind w:right="231"/>
        <w:rPr>
          <w:shd w:val="clear" w:color="auto" w:fill="FFFFFF"/>
        </w:rPr>
      </w:pPr>
      <w:r w:rsidRPr="00260D1B">
        <w:rPr>
          <w:shd w:val="clear" w:color="auto" w:fill="FFFFFF"/>
        </w:rPr>
        <w:t>In this intense, competiti</w:t>
      </w:r>
      <w:r w:rsidR="002D4F9E">
        <w:rPr>
          <w:shd w:val="clear" w:color="auto" w:fill="FFFFFF"/>
        </w:rPr>
        <w:t>ve</w:t>
      </w:r>
      <w:r w:rsidR="002D4F9E" w:rsidRPr="002D4F9E">
        <w:rPr>
          <w:shd w:val="clear" w:color="auto" w:fill="FFFFFF"/>
        </w:rPr>
        <w:t xml:space="preserve"> </w:t>
      </w:r>
      <w:r w:rsidR="002D4F9E" w:rsidRPr="00260D1B">
        <w:rPr>
          <w:shd w:val="clear" w:color="auto" w:fill="FFFFFF"/>
        </w:rPr>
        <w:t>atmosphere</w:t>
      </w:r>
      <w:r w:rsidRPr="00260D1B">
        <w:rPr>
          <w:shd w:val="clear" w:color="auto" w:fill="FFFFFF"/>
        </w:rPr>
        <w:t xml:space="preserve">, </w:t>
      </w:r>
      <w:r w:rsidR="002D4F9E">
        <w:rPr>
          <w:shd w:val="clear" w:color="auto" w:fill="FFFFFF"/>
        </w:rPr>
        <w:t>there was a dramatic escalation of</w:t>
      </w:r>
      <w:r w:rsidRPr="00260D1B">
        <w:rPr>
          <w:shd w:val="clear" w:color="auto" w:fill="FFFFFF"/>
        </w:rPr>
        <w:t xml:space="preserve"> scientific publishing </w:t>
      </w:r>
      <w:r w:rsidR="003B3412" w:rsidRPr="00260D1B">
        <w:rPr>
          <w:shd w:val="clear" w:color="auto" w:fill="FFFFFF"/>
        </w:rPr>
        <w:t>with journals overwhelmed with Covid related manuscripts</w:t>
      </w:r>
      <w:r w:rsidR="001A3358" w:rsidRPr="00260D1B">
        <w:rPr>
          <w:shd w:val="clear" w:color="auto" w:fill="FFFFFF"/>
        </w:rPr>
        <w:t xml:space="preserve">, often </w:t>
      </w:r>
      <w:r w:rsidR="003B3412" w:rsidRPr="00260D1B">
        <w:rPr>
          <w:shd w:val="clear" w:color="auto" w:fill="FFFFFF"/>
        </w:rPr>
        <w:t xml:space="preserve">publishing </w:t>
      </w:r>
      <w:r w:rsidR="003B3412" w:rsidRPr="00260D1B">
        <w:rPr>
          <w:shd w:val="clear" w:color="auto" w:fill="FFFFFF"/>
        </w:rPr>
        <w:lastRenderedPageBreak/>
        <w:t>papers in under two weeks after submission</w:t>
      </w:r>
      <w:r w:rsidRPr="00260D1B">
        <w:rPr>
          <w:shd w:val="clear" w:color="auto" w:fill="FFFFFF"/>
        </w:rPr>
        <w:t xml:space="preserve"> </w:t>
      </w:r>
      <w:r w:rsidRPr="00260D1B">
        <w:t>(Tingley, 2020)</w:t>
      </w:r>
      <w:r w:rsidRPr="00260D1B">
        <w:rPr>
          <w:shd w:val="clear" w:color="auto" w:fill="FFFFFF"/>
        </w:rPr>
        <w:t xml:space="preserve">. </w:t>
      </w:r>
      <w:r w:rsidR="002D4F9E">
        <w:rPr>
          <w:shd w:val="clear" w:color="auto" w:fill="FFFFFF"/>
        </w:rPr>
        <w:t xml:space="preserve">Simultaneously, </w:t>
      </w:r>
      <w:r w:rsidR="001A3358" w:rsidRPr="00260D1B">
        <w:rPr>
          <w:shd w:val="clear" w:color="auto" w:fill="FFFFFF"/>
        </w:rPr>
        <w:t xml:space="preserve">thousands of papers </w:t>
      </w:r>
      <w:r w:rsidR="002D4F9E">
        <w:rPr>
          <w:shd w:val="clear" w:color="auto" w:fill="FFFFFF"/>
        </w:rPr>
        <w:t xml:space="preserve">were uploaded </w:t>
      </w:r>
      <w:r w:rsidR="001A3358" w:rsidRPr="00260D1B">
        <w:rPr>
          <w:shd w:val="clear" w:color="auto" w:fill="FFFFFF"/>
        </w:rPr>
        <w:t xml:space="preserve">to open-access preprint servers, such as </w:t>
      </w:r>
      <w:proofErr w:type="spellStart"/>
      <w:r w:rsidR="001A3358" w:rsidRPr="00260D1B">
        <w:rPr>
          <w:shd w:val="clear" w:color="auto" w:fill="FFFFFF"/>
        </w:rPr>
        <w:t>BioRxiv</w:t>
      </w:r>
      <w:proofErr w:type="spellEnd"/>
      <w:r w:rsidR="001A3358" w:rsidRPr="00260D1B">
        <w:rPr>
          <w:shd w:val="clear" w:color="auto" w:fill="FFFFFF"/>
        </w:rPr>
        <w:t xml:space="preserve">, for </w:t>
      </w:r>
      <w:r w:rsidR="002D4F9E">
        <w:rPr>
          <w:shd w:val="clear" w:color="auto" w:fill="FFFFFF"/>
        </w:rPr>
        <w:t>immediate</w:t>
      </w:r>
      <w:r w:rsidR="001A3358" w:rsidRPr="00260D1B">
        <w:rPr>
          <w:shd w:val="clear" w:color="auto" w:fill="FFFFFF"/>
        </w:rPr>
        <w:t xml:space="preserve"> dissemination </w:t>
      </w:r>
      <w:r w:rsidR="002D4F9E">
        <w:rPr>
          <w:shd w:val="clear" w:color="auto" w:fill="FFFFFF"/>
        </w:rPr>
        <w:t xml:space="preserve">without </w:t>
      </w:r>
      <w:r w:rsidR="001A3358" w:rsidRPr="00260D1B">
        <w:rPr>
          <w:shd w:val="clear" w:color="auto" w:fill="FFFFFF"/>
        </w:rPr>
        <w:t xml:space="preserve">peer review and elite medical journals such as </w:t>
      </w:r>
      <w:r w:rsidR="001A3358" w:rsidRPr="00260D1B">
        <w:rPr>
          <w:i/>
          <w:iCs/>
          <w:shd w:val="clear" w:color="auto" w:fill="FFFFFF"/>
        </w:rPr>
        <w:t>The Lancet</w:t>
      </w:r>
      <w:r w:rsidR="002D4F9E">
        <w:rPr>
          <w:shd w:val="clear" w:color="auto" w:fill="FFFFFF"/>
        </w:rPr>
        <w:t xml:space="preserve"> </w:t>
      </w:r>
      <w:r w:rsidR="001A3358" w:rsidRPr="00260D1B">
        <w:rPr>
          <w:shd w:val="clear" w:color="auto" w:fill="FFFFFF"/>
        </w:rPr>
        <w:t>and</w:t>
      </w:r>
      <w:r w:rsidR="001A3358" w:rsidRPr="00260D1B">
        <w:rPr>
          <w:i/>
          <w:iCs/>
          <w:shd w:val="clear" w:color="auto" w:fill="FFFFFF"/>
        </w:rPr>
        <w:t xml:space="preserve"> The New England Journal of Medicine</w:t>
      </w:r>
      <w:r w:rsidR="001A3358" w:rsidRPr="00260D1B">
        <w:rPr>
          <w:shd w:val="clear" w:color="auto" w:fill="FFFFFF"/>
        </w:rPr>
        <w:t xml:space="preserve">, made coronavirus papers </w:t>
      </w:r>
      <w:r w:rsidR="002D4F9E">
        <w:rPr>
          <w:shd w:val="clear" w:color="auto" w:fill="FFFFFF"/>
        </w:rPr>
        <w:t xml:space="preserve">freely </w:t>
      </w:r>
      <w:r w:rsidR="001A3358" w:rsidRPr="002D4F9E">
        <w:rPr>
          <w:shd w:val="clear" w:color="auto" w:fill="FFFFFF"/>
        </w:rPr>
        <w:t xml:space="preserve">available online. The time available for peer review was unable to keep pace with this tsunami of publication, especially as results were rapidly picked up </w:t>
      </w:r>
      <w:r w:rsidR="00952C8E" w:rsidRPr="002D4F9E">
        <w:rPr>
          <w:shd w:val="clear" w:color="auto" w:fill="FFFFFF"/>
        </w:rPr>
        <w:t xml:space="preserve">and often sensationalised </w:t>
      </w:r>
      <w:r w:rsidR="001A3358" w:rsidRPr="002D4F9E">
        <w:rPr>
          <w:shd w:val="clear" w:color="auto" w:fill="FFFFFF"/>
        </w:rPr>
        <w:t xml:space="preserve">by mainstream and social media outlets for an audience less familiar with medical </w:t>
      </w:r>
      <w:r w:rsidR="00D229C1" w:rsidRPr="002D4F9E">
        <w:rPr>
          <w:shd w:val="clear" w:color="auto" w:fill="FFFFFF"/>
        </w:rPr>
        <w:t>research.</w:t>
      </w:r>
      <w:r w:rsidR="001A3358" w:rsidRPr="002D4F9E">
        <w:rPr>
          <w:shd w:val="clear" w:color="auto" w:fill="FFFFFF"/>
        </w:rPr>
        <w:t xml:space="preserve"> </w:t>
      </w:r>
      <w:r w:rsidR="00602525" w:rsidRPr="002D4F9E">
        <w:rPr>
          <w:shd w:val="clear" w:color="auto" w:fill="FFFFFF"/>
        </w:rPr>
        <w:t>Thus</w:t>
      </w:r>
      <w:r w:rsidR="0080739D" w:rsidRPr="002D4F9E">
        <w:rPr>
          <w:shd w:val="clear" w:color="auto" w:fill="FFFFFF"/>
        </w:rPr>
        <w:t xml:space="preserve"> </w:t>
      </w:r>
      <w:r w:rsidR="00602525" w:rsidRPr="002D4F9E">
        <w:rPr>
          <w:shd w:val="clear" w:color="auto" w:fill="FFFFFF"/>
        </w:rPr>
        <w:t xml:space="preserve">the fevered atmosphere of the scramble to get work noticed </w:t>
      </w:r>
      <w:r w:rsidR="002D4F9E">
        <w:rPr>
          <w:shd w:val="clear" w:color="auto" w:fill="FFFFFF"/>
        </w:rPr>
        <w:t>precipitated a growth of</w:t>
      </w:r>
      <w:r w:rsidR="00602525" w:rsidRPr="002D4F9E">
        <w:rPr>
          <w:shd w:val="clear" w:color="auto" w:fill="FFFFFF"/>
        </w:rPr>
        <w:t xml:space="preserve"> fraud</w:t>
      </w:r>
      <w:r w:rsidR="00783F38">
        <w:rPr>
          <w:shd w:val="clear" w:color="auto" w:fill="FFFFFF"/>
        </w:rPr>
        <w:t xml:space="preserve"> with </w:t>
      </w:r>
      <w:r w:rsidR="00602525" w:rsidRPr="002D4F9E">
        <w:rPr>
          <w:shd w:val="clear" w:color="auto" w:fill="FFFFFF"/>
        </w:rPr>
        <w:t>over 300 Covid papers retracted since the pandemic began</w:t>
      </w:r>
      <w:r w:rsidR="00602525" w:rsidRPr="002D4F9E">
        <w:rPr>
          <w:rStyle w:val="FootnoteReference"/>
          <w:shd w:val="clear" w:color="auto" w:fill="FFFFFF"/>
        </w:rPr>
        <w:footnoteReference w:id="2"/>
      </w:r>
      <w:r w:rsidR="00602525" w:rsidRPr="002D4F9E">
        <w:rPr>
          <w:shd w:val="clear" w:color="auto" w:fill="FFFFFF"/>
        </w:rPr>
        <w:t xml:space="preserve">, some </w:t>
      </w:r>
      <w:r w:rsidR="006A464C" w:rsidRPr="002D4F9E">
        <w:rPr>
          <w:shd w:val="clear" w:color="auto" w:fill="FFFFFF"/>
        </w:rPr>
        <w:t>from</w:t>
      </w:r>
      <w:r w:rsidR="00602525" w:rsidRPr="002D4F9E">
        <w:rPr>
          <w:shd w:val="clear" w:color="auto" w:fill="FFFFFF"/>
        </w:rPr>
        <w:t xml:space="preserve"> the most </w:t>
      </w:r>
      <w:r w:rsidR="001A3358" w:rsidRPr="002D4F9E">
        <w:rPr>
          <w:shd w:val="clear" w:color="auto" w:fill="FFFFFF"/>
        </w:rPr>
        <w:t xml:space="preserve">prestigious </w:t>
      </w:r>
      <w:r w:rsidR="00602525" w:rsidRPr="002D4F9E">
        <w:rPr>
          <w:shd w:val="clear" w:color="auto" w:fill="FFFFFF"/>
        </w:rPr>
        <w:t xml:space="preserve">medical </w:t>
      </w:r>
      <w:r w:rsidR="001A3358" w:rsidRPr="002D4F9E">
        <w:rPr>
          <w:shd w:val="clear" w:color="auto" w:fill="FFFFFF"/>
        </w:rPr>
        <w:t>journals,</w:t>
      </w:r>
      <w:r w:rsidR="006A464C" w:rsidRPr="002D4F9E">
        <w:rPr>
          <w:shd w:val="clear" w:color="auto" w:fill="FFFFFF"/>
        </w:rPr>
        <w:t xml:space="preserve"> </w:t>
      </w:r>
      <w:r w:rsidR="00BE7B5D" w:rsidRPr="002D4F9E">
        <w:rPr>
          <w:shd w:val="clear" w:color="auto" w:fill="FFFFFF"/>
        </w:rPr>
        <w:t>le</w:t>
      </w:r>
      <w:r w:rsidR="00260D1B" w:rsidRPr="002D4F9E">
        <w:rPr>
          <w:shd w:val="clear" w:color="auto" w:fill="FFFFFF"/>
        </w:rPr>
        <w:t>ading</w:t>
      </w:r>
      <w:r w:rsidR="00BE7B5D" w:rsidRPr="002D4F9E">
        <w:rPr>
          <w:shd w:val="clear" w:color="auto" w:fill="FFFFFF"/>
        </w:rPr>
        <w:t xml:space="preserve"> the New York Times to claim that peer review is broken</w:t>
      </w:r>
      <w:r w:rsidR="00BE7B5D" w:rsidRPr="002D4F9E">
        <w:rPr>
          <w:rStyle w:val="FootnoteReference"/>
          <w:shd w:val="clear" w:color="auto" w:fill="FFFFFF"/>
        </w:rPr>
        <w:footnoteReference w:id="3"/>
      </w:r>
      <w:r w:rsidR="00BE7B5D" w:rsidRPr="00260D1B">
        <w:rPr>
          <w:shd w:val="clear" w:color="auto" w:fill="FFFFFF"/>
        </w:rPr>
        <w:t xml:space="preserve"> </w:t>
      </w:r>
    </w:p>
    <w:p w14:paraId="71508D63" w14:textId="77777777" w:rsidR="00602525" w:rsidRPr="00260D1B" w:rsidRDefault="00602525" w:rsidP="00027D52">
      <w:pPr>
        <w:autoSpaceDE w:val="0"/>
        <w:autoSpaceDN w:val="0"/>
        <w:adjustRightInd w:val="0"/>
        <w:spacing w:line="360" w:lineRule="auto"/>
        <w:ind w:right="231"/>
        <w:rPr>
          <w:shd w:val="clear" w:color="auto" w:fill="FFFFFF"/>
        </w:rPr>
      </w:pPr>
    </w:p>
    <w:p w14:paraId="2D879427" w14:textId="373B21DF" w:rsidR="00413A09" w:rsidRPr="00260D1B" w:rsidRDefault="00BE7B5D" w:rsidP="00413A09">
      <w:pPr>
        <w:spacing w:line="360" w:lineRule="auto"/>
        <w:ind w:right="231"/>
      </w:pPr>
      <w:r w:rsidRPr="00260D1B">
        <w:rPr>
          <w:shd w:val="clear" w:color="auto" w:fill="FFFFFF"/>
        </w:rPr>
        <w:t xml:space="preserve">In this context, ensuring the visibility and value of Covid research has become an intense, high pressure activity. The use of journal highlights, a brief bullet pointed list summarising the novel results of a study, is an important strategic tool in this </w:t>
      </w:r>
      <w:r w:rsidR="00E97A5D" w:rsidRPr="00260D1B">
        <w:rPr>
          <w:shd w:val="clear" w:color="auto" w:fill="FFFFFF"/>
        </w:rPr>
        <w:t>promotional endeavour</w:t>
      </w:r>
      <w:r w:rsidR="00444401" w:rsidRPr="00260D1B">
        <w:rPr>
          <w:shd w:val="clear" w:color="auto" w:fill="FFFFFF"/>
        </w:rPr>
        <w:t xml:space="preserve">. </w:t>
      </w:r>
      <w:r w:rsidR="00444401" w:rsidRPr="00260D1B">
        <w:t xml:space="preserve">This is a </w:t>
      </w:r>
      <w:r w:rsidR="00444401" w:rsidRPr="00260D1B">
        <w:rPr>
          <w:rFonts w:cs="Garamond"/>
        </w:rPr>
        <w:t xml:space="preserve">part-genre bound to the journal article and </w:t>
      </w:r>
      <w:r w:rsidR="009D4C1A">
        <w:rPr>
          <w:rFonts w:cs="Garamond"/>
        </w:rPr>
        <w:t xml:space="preserve">often </w:t>
      </w:r>
      <w:r w:rsidR="00444401" w:rsidRPr="00260D1B">
        <w:rPr>
          <w:rFonts w:cs="Garamond"/>
        </w:rPr>
        <w:t>readers’ first encounter with its content; in the context of the explosion of Covid-related papers, it o</w:t>
      </w:r>
      <w:r w:rsidR="00444401" w:rsidRPr="00260D1B">
        <w:rPr>
          <w:shd w:val="clear" w:color="auto" w:fill="FFFFFF"/>
        </w:rPr>
        <w:t xml:space="preserve">ffers authors the chance to give prominence to their work and </w:t>
      </w:r>
      <w:r w:rsidR="00444401" w:rsidRPr="00260D1B">
        <w:rPr>
          <w:rFonts w:cs="Garamond"/>
        </w:rPr>
        <w:t xml:space="preserve">help hook potential readers. In this </w:t>
      </w:r>
      <w:r w:rsidR="009D4C1A">
        <w:rPr>
          <w:rFonts w:cs="Garamond"/>
        </w:rPr>
        <w:t>study</w:t>
      </w:r>
      <w:r w:rsidR="00444401" w:rsidRPr="00260D1B">
        <w:rPr>
          <w:rFonts w:cs="Garamond"/>
        </w:rPr>
        <w:t xml:space="preserve"> we are interested in how writers make best use of this opportunity, investigating the stance they take in this compressed synopsis to provide an advertisement </w:t>
      </w:r>
      <w:r w:rsidR="0075589F" w:rsidRPr="00260D1B">
        <w:rPr>
          <w:rFonts w:cs="Garamond"/>
        </w:rPr>
        <w:t xml:space="preserve">for their work. </w:t>
      </w:r>
      <w:r w:rsidR="00413A09" w:rsidRPr="00260D1B">
        <w:t xml:space="preserve">Using </w:t>
      </w:r>
      <w:r w:rsidR="00454B5F">
        <w:t>Author 2</w:t>
      </w:r>
      <w:r w:rsidR="00413A09" w:rsidRPr="00260D1B">
        <w:t xml:space="preserve">’s (2005) stance model, we compare key stance indicators in 300 Covid-19 highlights and 300 non-Covid-19 highlights to address these questions: </w:t>
      </w:r>
    </w:p>
    <w:p w14:paraId="454B636D" w14:textId="77777777" w:rsidR="00413A09" w:rsidRPr="00260D1B" w:rsidRDefault="00413A09" w:rsidP="00413A09">
      <w:pPr>
        <w:spacing w:line="360" w:lineRule="auto"/>
        <w:ind w:left="993" w:right="231" w:hanging="567"/>
      </w:pPr>
      <w:r w:rsidRPr="00260D1B">
        <w:t xml:space="preserve">(1) How do academics manage their stance in Covid-19 journal article highlights? </w:t>
      </w:r>
    </w:p>
    <w:p w14:paraId="78321C78" w14:textId="732ACABA" w:rsidR="00413A09" w:rsidRPr="00260D1B" w:rsidRDefault="00413A09" w:rsidP="00413A09">
      <w:pPr>
        <w:spacing w:line="360" w:lineRule="auto"/>
        <w:ind w:left="993" w:right="231" w:hanging="567"/>
      </w:pPr>
      <w:r w:rsidRPr="00260D1B">
        <w:t xml:space="preserve">(2) How does stance differ in Covid article highlights and non-Covid highlights? </w:t>
      </w:r>
    </w:p>
    <w:p w14:paraId="357B1990" w14:textId="77777777" w:rsidR="00413A09" w:rsidRPr="00260D1B" w:rsidRDefault="00413A09" w:rsidP="00413A09">
      <w:pPr>
        <w:spacing w:line="360" w:lineRule="auto"/>
        <w:ind w:left="993" w:right="231" w:hanging="567"/>
      </w:pPr>
      <w:r w:rsidRPr="00260D1B">
        <w:t>(3) How can we account for these differences?</w:t>
      </w:r>
    </w:p>
    <w:p w14:paraId="4E90676D" w14:textId="77777777" w:rsidR="00413A09" w:rsidRPr="00260D1B" w:rsidRDefault="00413A09" w:rsidP="00413A09">
      <w:pPr>
        <w:spacing w:line="360" w:lineRule="auto"/>
        <w:ind w:right="231"/>
      </w:pPr>
    </w:p>
    <w:p w14:paraId="483B6100" w14:textId="11AAF060" w:rsidR="00413A09" w:rsidRPr="00260D1B" w:rsidRDefault="00413A09" w:rsidP="00413A09">
      <w:pPr>
        <w:spacing w:line="360" w:lineRule="auto"/>
        <w:ind w:right="232"/>
      </w:pPr>
      <w:r w:rsidRPr="00260D1B">
        <w:t xml:space="preserve">In answering these questions, we hope to </w:t>
      </w:r>
      <w:r w:rsidR="002D4F9E">
        <w:t>clarify the expression</w:t>
      </w:r>
      <w:r w:rsidRPr="00260D1B">
        <w:t xml:space="preserve"> of stance in a compressed space and how scientists take a position to frame Covid-19 issues. </w:t>
      </w:r>
      <w:r w:rsidR="00C31D23" w:rsidRPr="00260D1B">
        <w:t>We hope to</w:t>
      </w:r>
      <w:r w:rsidRPr="00260D1B">
        <w:t xml:space="preserve"> shed light on academic persuasion in a relatively new and under-explored genre. The results may be of interest to those concerned with </w:t>
      </w:r>
      <w:r w:rsidR="00C31D23" w:rsidRPr="00260D1B">
        <w:t xml:space="preserve">features of </w:t>
      </w:r>
      <w:r w:rsidRPr="00260D1B">
        <w:t xml:space="preserve">academic </w:t>
      </w:r>
      <w:r w:rsidR="00C31D23" w:rsidRPr="00260D1B">
        <w:t>writing,</w:t>
      </w:r>
      <w:r w:rsidRPr="00260D1B">
        <w:t xml:space="preserve"> rhetorical persuasion and </w:t>
      </w:r>
      <w:r w:rsidR="00C31D23" w:rsidRPr="00260D1B">
        <w:t>the</w:t>
      </w:r>
      <w:r w:rsidRPr="00260D1B">
        <w:t xml:space="preserve"> </w:t>
      </w:r>
      <w:r w:rsidR="00C31D23" w:rsidRPr="00260D1B">
        <w:t>presentation of</w:t>
      </w:r>
      <w:r w:rsidRPr="00260D1B">
        <w:t xml:space="preserve"> scientific findings on public health issues. </w:t>
      </w:r>
    </w:p>
    <w:p w14:paraId="3E0B074F" w14:textId="14DCB0B1" w:rsidR="00444401" w:rsidRPr="00260D1B" w:rsidRDefault="00444401" w:rsidP="00413A09">
      <w:pPr>
        <w:autoSpaceDE w:val="0"/>
        <w:autoSpaceDN w:val="0"/>
        <w:adjustRightInd w:val="0"/>
        <w:spacing w:line="360" w:lineRule="auto"/>
        <w:ind w:right="232"/>
        <w:rPr>
          <w:rFonts w:cs="Garamond"/>
          <w:sz w:val="23"/>
          <w:szCs w:val="23"/>
        </w:rPr>
      </w:pPr>
    </w:p>
    <w:p w14:paraId="2BBBF86D" w14:textId="11D23152" w:rsidR="00E63C3B" w:rsidRPr="00260D1B" w:rsidRDefault="00E63C3B" w:rsidP="00413A09">
      <w:pPr>
        <w:spacing w:line="360" w:lineRule="auto"/>
        <w:ind w:right="232"/>
        <w:rPr>
          <w:b/>
          <w:bCs/>
          <w:sz w:val="28"/>
          <w:szCs w:val="28"/>
        </w:rPr>
      </w:pPr>
      <w:r w:rsidRPr="00260D1B">
        <w:rPr>
          <w:b/>
          <w:bCs/>
          <w:sz w:val="28"/>
          <w:szCs w:val="28"/>
        </w:rPr>
        <w:lastRenderedPageBreak/>
        <w:t xml:space="preserve">2. Journal article highlights </w:t>
      </w:r>
    </w:p>
    <w:p w14:paraId="79F30064" w14:textId="18DAF294" w:rsidR="009A5508" w:rsidRDefault="008C5792" w:rsidP="00413A09">
      <w:pPr>
        <w:spacing w:line="360" w:lineRule="auto"/>
        <w:ind w:right="232"/>
      </w:pPr>
      <w:r w:rsidRPr="00260D1B">
        <w:t xml:space="preserve">Highlights are a </w:t>
      </w:r>
      <w:r w:rsidR="00413A09" w:rsidRPr="00260D1B">
        <w:t>group</w:t>
      </w:r>
      <w:r w:rsidRPr="00260D1B">
        <w:t xml:space="preserve"> of three to five bullet points with </w:t>
      </w:r>
      <w:r w:rsidR="00D96F93">
        <w:t>a</w:t>
      </w:r>
      <w:r w:rsidRPr="00260D1B">
        <w:t xml:space="preserve"> length </w:t>
      </w:r>
      <w:r w:rsidR="00413A09" w:rsidRPr="00260D1B">
        <w:t xml:space="preserve">of under 85 characters </w:t>
      </w:r>
      <w:r w:rsidR="00C31D23" w:rsidRPr="00260D1B">
        <w:t xml:space="preserve">written </w:t>
      </w:r>
      <w:r w:rsidRPr="00260D1B">
        <w:t xml:space="preserve">to convey core research findings and </w:t>
      </w:r>
      <w:r w:rsidR="002D4F9E">
        <w:t>offer</w:t>
      </w:r>
      <w:r w:rsidRPr="00260D1B">
        <w:t xml:space="preserve"> readers a quick overview of </w:t>
      </w:r>
      <w:r w:rsidR="00413A09" w:rsidRPr="00260D1B">
        <w:t>a</w:t>
      </w:r>
      <w:r w:rsidRPr="00260D1B">
        <w:t xml:space="preserve"> research article</w:t>
      </w:r>
      <w:r w:rsidR="009A5508" w:rsidRPr="00260D1B">
        <w:rPr>
          <w:rStyle w:val="FootnoteReference"/>
          <w:shd w:val="clear" w:color="auto" w:fill="FFFFFF"/>
        </w:rPr>
        <w:footnoteReference w:id="4"/>
      </w:r>
      <w:r w:rsidRPr="00260D1B">
        <w:t>.</w:t>
      </w:r>
      <w:r w:rsidR="00926180" w:rsidRPr="00260D1B">
        <w:t xml:space="preserve"> </w:t>
      </w:r>
      <w:r w:rsidR="00413A09" w:rsidRPr="00260D1B">
        <w:t>T</w:t>
      </w:r>
      <w:r w:rsidR="00926180" w:rsidRPr="00260D1B">
        <w:t xml:space="preserve">hey </w:t>
      </w:r>
      <w:r w:rsidR="00413A09" w:rsidRPr="00260D1B">
        <w:t>were</w:t>
      </w:r>
      <w:r w:rsidR="00926180" w:rsidRPr="00260D1B">
        <w:t xml:space="preserve"> introduced </w:t>
      </w:r>
      <w:r w:rsidR="00413A09" w:rsidRPr="00260D1B">
        <w:t>in</w:t>
      </w:r>
      <w:r w:rsidR="00926180" w:rsidRPr="00260D1B">
        <w:t xml:space="preserve"> 2010 and </w:t>
      </w:r>
      <w:r w:rsidR="00413A09" w:rsidRPr="00260D1B">
        <w:t>are</w:t>
      </w:r>
      <w:r w:rsidR="00926180" w:rsidRPr="00260D1B">
        <w:t xml:space="preserve"> mandatory </w:t>
      </w:r>
      <w:r w:rsidR="00413A09" w:rsidRPr="00260D1B">
        <w:t>in all</w:t>
      </w:r>
      <w:r w:rsidR="00926180" w:rsidRPr="00260D1B">
        <w:t xml:space="preserve"> Elsevier’s journals</w:t>
      </w:r>
      <w:r w:rsidR="00413A09" w:rsidRPr="00260D1B">
        <w:t xml:space="preserve"> as well as being taken up by </w:t>
      </w:r>
      <w:r w:rsidR="000C5364" w:rsidRPr="00260D1B">
        <w:t xml:space="preserve">some </w:t>
      </w:r>
      <w:r w:rsidR="00413A09" w:rsidRPr="00260D1B">
        <w:t>other publishers</w:t>
      </w:r>
      <w:r w:rsidR="00926180" w:rsidRPr="00260D1B">
        <w:t xml:space="preserve">. </w:t>
      </w:r>
      <w:r w:rsidR="00C31D23" w:rsidRPr="00260D1B">
        <w:t xml:space="preserve">They </w:t>
      </w:r>
      <w:r w:rsidR="00C31D23" w:rsidRPr="00260D1B">
        <w:rPr>
          <w:shd w:val="clear" w:color="auto" w:fill="FFFFFF"/>
        </w:rPr>
        <w:t xml:space="preserve">help increase the discoverability of an article via search engines </w:t>
      </w:r>
      <w:r w:rsidR="00FD7C54" w:rsidRPr="00260D1B">
        <w:rPr>
          <w:shd w:val="clear" w:color="auto" w:fill="FFFFFF"/>
        </w:rPr>
        <w:t>which are designed to locate key terms</w:t>
      </w:r>
      <w:r w:rsidR="008312A0" w:rsidRPr="00260D1B">
        <w:rPr>
          <w:shd w:val="clear" w:color="auto" w:fill="FFFFFF"/>
        </w:rPr>
        <w:t xml:space="preserve"> or characters specified by the user</w:t>
      </w:r>
      <w:r w:rsidR="00FD7C54" w:rsidRPr="00260D1B">
        <w:rPr>
          <w:shd w:val="clear" w:color="auto" w:fill="FFFFFF"/>
        </w:rPr>
        <w:t xml:space="preserve">. </w:t>
      </w:r>
      <w:r w:rsidR="00C31D23" w:rsidRPr="00260D1B">
        <w:rPr>
          <w:shd w:val="clear" w:color="auto" w:fill="FFFFFF"/>
        </w:rPr>
        <w:t xml:space="preserve">Elsevier claims that highlights widen the reach of research and </w:t>
      </w:r>
      <w:r w:rsidR="00FD7C54" w:rsidRPr="00260D1B">
        <w:rPr>
          <w:shd w:val="clear" w:color="auto" w:fill="FFFFFF"/>
        </w:rPr>
        <w:t>ensure that a paper reaches the intended audience</w:t>
      </w:r>
      <w:r w:rsidR="008312A0" w:rsidRPr="00260D1B">
        <w:rPr>
          <w:shd w:val="clear" w:color="auto" w:fill="FFFFFF"/>
        </w:rPr>
        <w:t xml:space="preserve"> ‘both inside and outside your usual research community’</w:t>
      </w:r>
      <w:r w:rsidR="00FD7C54" w:rsidRPr="00260D1B">
        <w:rPr>
          <w:shd w:val="clear" w:color="auto" w:fill="FFFFFF"/>
        </w:rPr>
        <w:t>. </w:t>
      </w:r>
      <w:r w:rsidR="008312A0" w:rsidRPr="00260D1B">
        <w:t xml:space="preserve">While </w:t>
      </w:r>
      <w:r w:rsidR="00926180" w:rsidRPr="00260D1B">
        <w:t xml:space="preserve">telegraphic, they are </w:t>
      </w:r>
      <w:r w:rsidR="00B14C26" w:rsidRPr="00260D1B">
        <w:t xml:space="preserve">often </w:t>
      </w:r>
      <w:r w:rsidR="00926180" w:rsidRPr="00260D1B">
        <w:t xml:space="preserve">the readers’ first encounter with </w:t>
      </w:r>
      <w:r w:rsidR="008312A0" w:rsidRPr="00260D1B">
        <w:t>an</w:t>
      </w:r>
      <w:r w:rsidR="00926180" w:rsidRPr="00260D1B">
        <w:t xml:space="preserve"> article </w:t>
      </w:r>
      <w:r w:rsidR="008312A0" w:rsidRPr="00260D1B">
        <w:t xml:space="preserve">and seek to grab attention by not being merely relevant, but offering the reader fascinating, if not </w:t>
      </w:r>
      <w:r w:rsidR="00D96F93" w:rsidRPr="00260D1B">
        <w:t>ground-breaking</w:t>
      </w:r>
      <w:r w:rsidR="008312A0" w:rsidRPr="00260D1B">
        <w:t>, research. This example gives some flavour of this:</w:t>
      </w:r>
    </w:p>
    <w:p w14:paraId="0DAB2909" w14:textId="27BA6D7E" w:rsidR="008312A0" w:rsidRPr="00260D1B" w:rsidRDefault="008312A0" w:rsidP="008312A0">
      <w:pPr>
        <w:pStyle w:val="ListParagraph"/>
        <w:numPr>
          <w:ilvl w:val="0"/>
          <w:numId w:val="13"/>
        </w:numPr>
        <w:spacing w:line="360" w:lineRule="auto"/>
        <w:ind w:right="232"/>
      </w:pPr>
      <w:r w:rsidRPr="00260D1B">
        <w:t>Highlights</w:t>
      </w:r>
    </w:p>
    <w:p w14:paraId="045FC575" w14:textId="77777777" w:rsidR="008312A0" w:rsidRPr="00260D1B" w:rsidRDefault="008312A0" w:rsidP="008312A0">
      <w:pPr>
        <w:pStyle w:val="Heading1"/>
        <w:numPr>
          <w:ilvl w:val="0"/>
          <w:numId w:val="5"/>
        </w:numPr>
        <w:spacing w:before="0" w:line="360" w:lineRule="auto"/>
        <w:ind w:left="567" w:right="231"/>
        <w:rPr>
          <w:rStyle w:val="title-text"/>
          <w:rFonts w:ascii="Times New Roman" w:hAnsi="Times New Roman" w:cs="Times New Roman"/>
          <w:color w:val="auto"/>
          <w:sz w:val="24"/>
          <w:szCs w:val="24"/>
        </w:rPr>
      </w:pPr>
      <w:r w:rsidRPr="00260D1B">
        <w:rPr>
          <w:rStyle w:val="title-text"/>
          <w:rFonts w:ascii="Times New Roman" w:hAnsi="Times New Roman" w:cs="Times New Roman"/>
          <w:color w:val="auto"/>
          <w:sz w:val="24"/>
          <w:szCs w:val="24"/>
        </w:rPr>
        <w:t>CCL17, IFN- l 3, IL-6, IP-10, and </w:t>
      </w:r>
      <w:hyperlink r:id="rId8" w:tooltip="Learn more about CXCL9 from ScienceDirect's AI-generated Topic Pages" w:history="1">
        <w:r w:rsidRPr="00260D1B">
          <w:rPr>
            <w:rStyle w:val="title-text"/>
            <w:rFonts w:ascii="Times New Roman" w:hAnsi="Times New Roman" w:cs="Times New Roman"/>
            <w:color w:val="auto"/>
            <w:sz w:val="24"/>
            <w:szCs w:val="24"/>
          </w:rPr>
          <w:t>CXCL9</w:t>
        </w:r>
      </w:hyperlink>
      <w:r w:rsidRPr="00260D1B">
        <w:rPr>
          <w:rStyle w:val="title-text"/>
          <w:rFonts w:ascii="Times New Roman" w:hAnsi="Times New Roman" w:cs="Times New Roman"/>
          <w:color w:val="auto"/>
          <w:sz w:val="24"/>
          <w:szCs w:val="24"/>
        </w:rPr>
        <w:t> were predictor for COVID-19 prognosis.</w:t>
      </w:r>
    </w:p>
    <w:p w14:paraId="6926BD05" w14:textId="77777777" w:rsidR="008312A0" w:rsidRPr="00260D1B" w:rsidRDefault="008312A0" w:rsidP="008312A0">
      <w:pPr>
        <w:pStyle w:val="Heading1"/>
        <w:numPr>
          <w:ilvl w:val="0"/>
          <w:numId w:val="5"/>
        </w:numPr>
        <w:spacing w:before="0" w:line="360" w:lineRule="auto"/>
        <w:ind w:left="567" w:right="231"/>
        <w:rPr>
          <w:rStyle w:val="title-text"/>
          <w:rFonts w:ascii="Times New Roman" w:hAnsi="Times New Roman" w:cs="Times New Roman"/>
          <w:color w:val="auto"/>
          <w:sz w:val="24"/>
          <w:szCs w:val="24"/>
        </w:rPr>
      </w:pPr>
      <w:r w:rsidRPr="00260D1B">
        <w:rPr>
          <w:rStyle w:val="title-text"/>
          <w:rFonts w:ascii="Times New Roman" w:hAnsi="Times New Roman" w:cs="Times New Roman"/>
          <w:color w:val="auto"/>
          <w:sz w:val="24"/>
          <w:szCs w:val="24"/>
        </w:rPr>
        <w:t>CCL17 were showed strong association with the development of severe pneumonia.</w:t>
      </w:r>
    </w:p>
    <w:p w14:paraId="0E2E4668" w14:textId="77777777" w:rsidR="008312A0" w:rsidRPr="00260D1B" w:rsidRDefault="008312A0" w:rsidP="008312A0">
      <w:pPr>
        <w:pStyle w:val="Heading1"/>
        <w:numPr>
          <w:ilvl w:val="0"/>
          <w:numId w:val="5"/>
        </w:numPr>
        <w:spacing w:before="0" w:line="360" w:lineRule="auto"/>
        <w:ind w:left="567" w:right="231"/>
        <w:rPr>
          <w:rStyle w:val="title-text"/>
          <w:rFonts w:ascii="Times New Roman" w:hAnsi="Times New Roman" w:cs="Times New Roman"/>
          <w:color w:val="auto"/>
          <w:sz w:val="24"/>
          <w:szCs w:val="24"/>
        </w:rPr>
      </w:pPr>
      <w:r w:rsidRPr="00260D1B">
        <w:rPr>
          <w:rStyle w:val="title-text"/>
          <w:rFonts w:ascii="Times New Roman" w:hAnsi="Times New Roman" w:cs="Times New Roman"/>
          <w:color w:val="auto"/>
          <w:sz w:val="24"/>
          <w:szCs w:val="24"/>
        </w:rPr>
        <w:t>A flare-up of IFN- l 3, IL-6, IP-10, and CXCL9 were a trigger for severe symptom.</w:t>
      </w:r>
    </w:p>
    <w:p w14:paraId="44D6C04F" w14:textId="01300155" w:rsidR="00020B4E" w:rsidRPr="00260D1B" w:rsidRDefault="008312A0" w:rsidP="008312A0">
      <w:pPr>
        <w:pStyle w:val="Heading1"/>
        <w:numPr>
          <w:ilvl w:val="0"/>
          <w:numId w:val="5"/>
        </w:numPr>
        <w:spacing w:before="0" w:line="360" w:lineRule="auto"/>
        <w:ind w:left="567" w:right="231"/>
        <w:rPr>
          <w:rFonts w:ascii="Times New Roman" w:hAnsi="Times New Roman" w:cs="Times New Roman"/>
          <w:color w:val="auto"/>
          <w:sz w:val="20"/>
          <w:szCs w:val="20"/>
        </w:rPr>
      </w:pPr>
      <w:r w:rsidRPr="00260D1B">
        <w:rPr>
          <w:rStyle w:val="title-text"/>
          <w:rFonts w:ascii="Times New Roman" w:hAnsi="Times New Roman" w:cs="Times New Roman"/>
          <w:color w:val="auto"/>
          <w:sz w:val="24"/>
          <w:szCs w:val="24"/>
        </w:rPr>
        <w:t xml:space="preserve">The downregulation of CCL17 could be unique in COVID-19. </w:t>
      </w:r>
      <w:r w:rsidR="002D4F9E">
        <w:rPr>
          <w:rStyle w:val="title-text"/>
          <w:rFonts w:ascii="Times New Roman" w:hAnsi="Times New Roman" w:cs="Times New Roman"/>
          <w:color w:val="auto"/>
          <w:sz w:val="24"/>
          <w:szCs w:val="24"/>
        </w:rPr>
        <w:t xml:space="preserve">   </w:t>
      </w:r>
      <w:r w:rsidR="00020B4E" w:rsidRPr="00260D1B">
        <w:rPr>
          <w:rFonts w:ascii="Times New Roman" w:hAnsi="Times New Roman" w:cs="Times New Roman"/>
          <w:color w:val="auto"/>
          <w:sz w:val="24"/>
          <w:szCs w:val="24"/>
        </w:rPr>
        <w:t>(Gene, 2021)</w:t>
      </w:r>
    </w:p>
    <w:p w14:paraId="2368937F" w14:textId="77777777" w:rsidR="008312A0" w:rsidRPr="00260D1B" w:rsidRDefault="008312A0" w:rsidP="005B1B5B">
      <w:pPr>
        <w:spacing w:line="360" w:lineRule="auto"/>
        <w:ind w:right="231"/>
        <w:rPr>
          <w:rFonts w:cs="Garamond"/>
        </w:rPr>
      </w:pPr>
    </w:p>
    <w:p w14:paraId="086CAA95" w14:textId="7F65C12E" w:rsidR="002245AA" w:rsidRPr="00260D1B" w:rsidRDefault="00531EF6" w:rsidP="005B1B5B">
      <w:pPr>
        <w:spacing w:line="360" w:lineRule="auto"/>
        <w:ind w:right="231"/>
      </w:pPr>
      <w:r w:rsidRPr="00260D1B">
        <w:t xml:space="preserve">As </w:t>
      </w:r>
      <w:r w:rsidR="008312A0" w:rsidRPr="00260D1B">
        <w:t xml:space="preserve">what Elsevier describes as </w:t>
      </w:r>
      <w:r w:rsidRPr="00260D1B">
        <w:t xml:space="preserve">the “elevator pitch” of </w:t>
      </w:r>
      <w:r w:rsidR="008312A0" w:rsidRPr="00260D1B">
        <w:t>an</w:t>
      </w:r>
      <w:r w:rsidRPr="00260D1B">
        <w:t xml:space="preserve"> article, highlights assist writers to establish their voice, increas</w:t>
      </w:r>
      <w:r w:rsidR="008312A0" w:rsidRPr="00260D1B">
        <w:t>e</w:t>
      </w:r>
      <w:r w:rsidRPr="00260D1B">
        <w:t xml:space="preserve"> the visibility of </w:t>
      </w:r>
      <w:r w:rsidR="008312A0" w:rsidRPr="00260D1B">
        <w:t xml:space="preserve">their work and foreground </w:t>
      </w:r>
      <w:r w:rsidRPr="00260D1B">
        <w:t xml:space="preserve">the main and distinctive claims </w:t>
      </w:r>
      <w:r w:rsidR="008312A0" w:rsidRPr="00260D1B">
        <w:t xml:space="preserve">to attract a wide </w:t>
      </w:r>
      <w:r w:rsidRPr="00260D1B">
        <w:t xml:space="preserve">audience. </w:t>
      </w:r>
      <w:r w:rsidR="00A74EAE" w:rsidRPr="00260D1B">
        <w:t>These bullet points can therefore widen the possibility that potential readers</w:t>
      </w:r>
      <w:r w:rsidR="00B80F16" w:rsidRPr="00260D1B">
        <w:t>, swamped by the torrent of published work,</w:t>
      </w:r>
      <w:r w:rsidR="00A74EAE" w:rsidRPr="00260D1B">
        <w:t xml:space="preserve"> will see the article amidst the noise of the scramble to publish and have work cited. </w:t>
      </w:r>
      <w:r w:rsidR="00DB1C2C">
        <w:t xml:space="preserve"> As Yang (2016) points out, w</w:t>
      </w:r>
      <w:r w:rsidR="002245AA" w:rsidRPr="00260D1B">
        <w:t xml:space="preserve">ell-constructed, closely-linked highlights can concisely tell a story about a paper and help readers to quickly gain a better sense of the entire </w:t>
      </w:r>
      <w:r w:rsidR="00B14C26" w:rsidRPr="00260D1B">
        <w:t>work</w:t>
      </w:r>
      <w:r w:rsidR="002245AA" w:rsidRPr="00260D1B">
        <w:t xml:space="preserve">. </w:t>
      </w:r>
      <w:r w:rsidR="00A74EAE" w:rsidRPr="00260D1B">
        <w:t>By</w:t>
      </w:r>
      <w:r w:rsidRPr="00260D1B">
        <w:t xml:space="preserve"> conveying the core findings and essence of the study, </w:t>
      </w:r>
      <w:r w:rsidR="00A74EAE" w:rsidRPr="00260D1B">
        <w:t>highlights</w:t>
      </w:r>
      <w:r w:rsidRPr="00260D1B">
        <w:t xml:space="preserve"> </w:t>
      </w:r>
      <w:r w:rsidR="00B14C26" w:rsidRPr="00260D1B">
        <w:t xml:space="preserve">thus </w:t>
      </w:r>
      <w:r w:rsidR="002245AA" w:rsidRPr="00260D1B">
        <w:t xml:space="preserve">act as a </w:t>
      </w:r>
      <w:r w:rsidR="00DB1C2C">
        <w:t xml:space="preserve">filter </w:t>
      </w:r>
      <w:r w:rsidR="002245AA" w:rsidRPr="00260D1B">
        <w:t xml:space="preserve">for </w:t>
      </w:r>
      <w:r w:rsidR="00A74EAE" w:rsidRPr="00260D1B">
        <w:t xml:space="preserve">potential readers, perhaps reassuring those without full access to the article that the paper will contain the </w:t>
      </w:r>
      <w:r w:rsidR="00DB1C2C" w:rsidRPr="00260D1B">
        <w:t>required</w:t>
      </w:r>
      <w:r w:rsidR="00A74EAE" w:rsidRPr="00260D1B">
        <w:t xml:space="preserve"> information. </w:t>
      </w:r>
      <w:r w:rsidR="002245AA" w:rsidRPr="00260D1B">
        <w:t xml:space="preserve">Yang (2016), additionally suggests that highlights also help editors form an initial impression of the article and decide whether it should be sent for review. </w:t>
      </w:r>
      <w:r w:rsidR="0040764F" w:rsidRPr="00260D1B">
        <w:t>E</w:t>
      </w:r>
      <w:r w:rsidR="00A74EAE" w:rsidRPr="00260D1B">
        <w:t>ffective highlights</w:t>
      </w:r>
      <w:r w:rsidR="0040764F" w:rsidRPr="00260D1B">
        <w:t>, then,</w:t>
      </w:r>
      <w:r w:rsidR="00A74EAE" w:rsidRPr="00260D1B">
        <w:t xml:space="preserve"> </w:t>
      </w:r>
      <w:r w:rsidR="002245AA" w:rsidRPr="00260D1B">
        <w:t xml:space="preserve">have advantages for </w:t>
      </w:r>
      <w:r w:rsidR="00A74EAE" w:rsidRPr="00260D1B">
        <w:t>editors, reviewers and readers</w:t>
      </w:r>
      <w:r w:rsidR="002245AA" w:rsidRPr="00260D1B">
        <w:t xml:space="preserve"> and </w:t>
      </w:r>
      <w:r w:rsidR="00B14C26" w:rsidRPr="00260D1B">
        <w:t xml:space="preserve">so crafting them effectively </w:t>
      </w:r>
      <w:r w:rsidR="002245AA" w:rsidRPr="00260D1B">
        <w:t>becomes a critical task for academic writers.</w:t>
      </w:r>
    </w:p>
    <w:p w14:paraId="3F5F8859" w14:textId="4EFE940D" w:rsidR="00A74EAE" w:rsidRPr="00260D1B" w:rsidRDefault="00A74EAE" w:rsidP="005B1B5B">
      <w:pPr>
        <w:spacing w:line="360" w:lineRule="auto"/>
        <w:ind w:right="231"/>
        <w:rPr>
          <w:rFonts w:cs="Garamond"/>
        </w:rPr>
      </w:pPr>
    </w:p>
    <w:p w14:paraId="6142ABFE" w14:textId="49587B23" w:rsidR="007D0260" w:rsidRPr="00260D1B" w:rsidRDefault="0040764F" w:rsidP="005B1B5B">
      <w:pPr>
        <w:spacing w:line="360" w:lineRule="auto"/>
        <w:ind w:right="231"/>
        <w:rPr>
          <w:rFonts w:cs="Garamond"/>
        </w:rPr>
      </w:pPr>
      <w:r w:rsidRPr="00260D1B">
        <w:rPr>
          <w:rFonts w:cs="Garamond"/>
        </w:rPr>
        <w:lastRenderedPageBreak/>
        <w:t xml:space="preserve">Overall, </w:t>
      </w:r>
      <w:r w:rsidR="00B14C26" w:rsidRPr="00260D1B">
        <w:rPr>
          <w:rFonts w:cs="Garamond"/>
        </w:rPr>
        <w:t xml:space="preserve">however, </w:t>
      </w:r>
      <w:r w:rsidR="00531EF6" w:rsidRPr="00260D1B">
        <w:rPr>
          <w:rFonts w:cs="Garamond"/>
        </w:rPr>
        <w:t xml:space="preserve">the article highlight can be </w:t>
      </w:r>
      <w:r w:rsidRPr="00260D1B">
        <w:rPr>
          <w:rFonts w:cs="Garamond"/>
        </w:rPr>
        <w:t>seen</w:t>
      </w:r>
      <w:r w:rsidR="00531EF6" w:rsidRPr="00260D1B">
        <w:rPr>
          <w:rFonts w:cs="Garamond"/>
        </w:rPr>
        <w:t xml:space="preserve"> as </w:t>
      </w:r>
      <w:r w:rsidRPr="00260D1B">
        <w:rPr>
          <w:rFonts w:cs="Garamond"/>
        </w:rPr>
        <w:t xml:space="preserve">a </w:t>
      </w:r>
      <w:r w:rsidR="00531EF6" w:rsidRPr="00260D1B">
        <w:rPr>
          <w:rFonts w:cs="Garamond"/>
        </w:rPr>
        <w:t>promotional genre which is closely linked with the “marketization” (Shaw et al., 2014</w:t>
      </w:r>
      <w:r w:rsidR="00B14C26" w:rsidRPr="00260D1B">
        <w:rPr>
          <w:rFonts w:cs="Garamond"/>
        </w:rPr>
        <w:t>;</w:t>
      </w:r>
      <w:r w:rsidR="00B14C26" w:rsidRPr="00260D1B">
        <w:rPr>
          <w:rFonts w:eastAsia="SimSun"/>
          <w:kern w:val="2"/>
        </w:rPr>
        <w:t xml:space="preserve"> </w:t>
      </w:r>
      <w:r w:rsidR="00B14C26" w:rsidRPr="00260D1B">
        <w:rPr>
          <w:rFonts w:cs="Garamond"/>
        </w:rPr>
        <w:t>Millar et al., 2019</w:t>
      </w:r>
      <w:r w:rsidR="00531EF6" w:rsidRPr="00260D1B">
        <w:rPr>
          <w:rFonts w:cs="Garamond"/>
        </w:rPr>
        <w:t>) of a particular work</w:t>
      </w:r>
      <w:r w:rsidR="008A4B03" w:rsidRPr="00260D1B">
        <w:rPr>
          <w:rFonts w:cs="Garamond"/>
        </w:rPr>
        <w:t xml:space="preserve">. It </w:t>
      </w:r>
      <w:r w:rsidR="00531EF6" w:rsidRPr="00260D1B">
        <w:rPr>
          <w:rFonts w:cs="Garamond"/>
        </w:rPr>
        <w:t>offer</w:t>
      </w:r>
      <w:r w:rsidR="008A4B03" w:rsidRPr="00260D1B">
        <w:rPr>
          <w:rFonts w:cs="Garamond"/>
        </w:rPr>
        <w:t xml:space="preserve">s </w:t>
      </w:r>
      <w:r w:rsidR="00531EF6" w:rsidRPr="00260D1B">
        <w:rPr>
          <w:rFonts w:cs="Garamond"/>
        </w:rPr>
        <w:t xml:space="preserve">researchers an opportunity to </w:t>
      </w:r>
      <w:r w:rsidR="008A4B03" w:rsidRPr="00260D1B">
        <w:rPr>
          <w:rFonts w:cs="Garamond"/>
        </w:rPr>
        <w:t xml:space="preserve">emphasise the impact and importance of scientific research and </w:t>
      </w:r>
      <w:r w:rsidR="00531EF6" w:rsidRPr="00260D1B">
        <w:rPr>
          <w:rFonts w:cs="Garamond"/>
        </w:rPr>
        <w:t xml:space="preserve">promote </w:t>
      </w:r>
      <w:r w:rsidR="008A4B03" w:rsidRPr="00260D1B">
        <w:rPr>
          <w:rFonts w:cs="Garamond"/>
        </w:rPr>
        <w:t xml:space="preserve">the visibility of </w:t>
      </w:r>
      <w:r w:rsidR="00B14C26" w:rsidRPr="00260D1B">
        <w:rPr>
          <w:rFonts w:cs="Garamond"/>
        </w:rPr>
        <w:t>a</w:t>
      </w:r>
      <w:r w:rsidR="008A4B03" w:rsidRPr="00260D1B">
        <w:rPr>
          <w:rFonts w:cs="Garamond"/>
        </w:rPr>
        <w:t xml:space="preserve"> stud</w:t>
      </w:r>
      <w:r w:rsidR="007D0260" w:rsidRPr="00260D1B">
        <w:rPr>
          <w:rFonts w:cs="Garamond" w:hint="eastAsia"/>
        </w:rPr>
        <w:t>y</w:t>
      </w:r>
      <w:r w:rsidR="007D0260" w:rsidRPr="00260D1B">
        <w:rPr>
          <w:rFonts w:cs="Garamond"/>
        </w:rPr>
        <w:t xml:space="preserve">. </w:t>
      </w:r>
      <w:r w:rsidR="00B80F16" w:rsidRPr="00260D1B">
        <w:rPr>
          <w:rFonts w:cs="Garamond"/>
        </w:rPr>
        <w:t xml:space="preserve">This may be particularly relevant given the frenetic pace of </w:t>
      </w:r>
      <w:r w:rsidR="00B80F16" w:rsidRPr="00260D1B">
        <w:t>Covid-19 research.</w:t>
      </w:r>
    </w:p>
    <w:p w14:paraId="01ABCE68" w14:textId="181A3B63" w:rsidR="00D91A61" w:rsidRPr="00260D1B" w:rsidRDefault="00D91A61" w:rsidP="005B1B5B">
      <w:pPr>
        <w:spacing w:line="360" w:lineRule="auto"/>
        <w:ind w:right="231"/>
        <w:rPr>
          <w:b/>
          <w:bCs/>
          <w:sz w:val="28"/>
          <w:szCs w:val="28"/>
        </w:rPr>
      </w:pPr>
    </w:p>
    <w:p w14:paraId="6E838F63" w14:textId="6998F3BD" w:rsidR="00E63C3B" w:rsidRPr="00260D1B" w:rsidRDefault="00E63C3B" w:rsidP="005B1B5B">
      <w:pPr>
        <w:spacing w:line="360" w:lineRule="auto"/>
        <w:ind w:right="231"/>
        <w:rPr>
          <w:b/>
          <w:bCs/>
          <w:sz w:val="28"/>
          <w:szCs w:val="28"/>
        </w:rPr>
      </w:pPr>
      <w:r w:rsidRPr="00260D1B">
        <w:rPr>
          <w:b/>
          <w:bCs/>
          <w:sz w:val="28"/>
          <w:szCs w:val="28"/>
        </w:rPr>
        <w:t xml:space="preserve">3. </w:t>
      </w:r>
      <w:r w:rsidR="006955DA" w:rsidRPr="00260D1B">
        <w:rPr>
          <w:b/>
          <w:bCs/>
          <w:sz w:val="28"/>
          <w:szCs w:val="28"/>
        </w:rPr>
        <w:t>Promotion</w:t>
      </w:r>
      <w:r w:rsidRPr="00260D1B">
        <w:rPr>
          <w:b/>
          <w:bCs/>
          <w:sz w:val="28"/>
          <w:szCs w:val="28"/>
        </w:rPr>
        <w:t xml:space="preserve">, stance </w:t>
      </w:r>
      <w:r w:rsidR="00E0608D" w:rsidRPr="00260D1B">
        <w:rPr>
          <w:b/>
          <w:bCs/>
          <w:sz w:val="28"/>
          <w:szCs w:val="28"/>
        </w:rPr>
        <w:t xml:space="preserve">and COVID </w:t>
      </w:r>
    </w:p>
    <w:p w14:paraId="536A9B10" w14:textId="227B2E6F" w:rsidR="008155F0" w:rsidRPr="00260D1B" w:rsidRDefault="003D36D3" w:rsidP="005B1B5B">
      <w:pPr>
        <w:spacing w:line="360" w:lineRule="auto"/>
        <w:ind w:right="231"/>
        <w:rPr>
          <w:rFonts w:cs="Garamond"/>
        </w:rPr>
      </w:pPr>
      <w:r w:rsidRPr="00260D1B">
        <w:rPr>
          <w:rFonts w:cs="Garamond"/>
        </w:rPr>
        <w:t xml:space="preserve">Promotional values are </w:t>
      </w:r>
      <w:r w:rsidR="00E0608D" w:rsidRPr="00260D1B">
        <w:rPr>
          <w:rFonts w:cs="Garamond"/>
        </w:rPr>
        <w:t>a</w:t>
      </w:r>
      <w:r w:rsidRPr="00260D1B">
        <w:rPr>
          <w:rFonts w:cs="Garamond"/>
        </w:rPr>
        <w:t xml:space="preserve"> dominant characteristic of professional and academic genres</w:t>
      </w:r>
      <w:r w:rsidR="002F5CA0" w:rsidRPr="00260D1B">
        <w:rPr>
          <w:rFonts w:cs="Garamond"/>
        </w:rPr>
        <w:t xml:space="preserve">. </w:t>
      </w:r>
      <w:r w:rsidR="00E0608D" w:rsidRPr="00260D1B">
        <w:rPr>
          <w:rFonts w:cs="Garamond"/>
        </w:rPr>
        <w:t>G</w:t>
      </w:r>
      <w:r w:rsidR="00746A27" w:rsidRPr="00260D1B">
        <w:rPr>
          <w:rFonts w:cs="Garamond"/>
        </w:rPr>
        <w:t>rant applications, confer</w:t>
      </w:r>
      <w:r w:rsidR="00746A27" w:rsidRPr="00260D1B">
        <w:rPr>
          <w:rFonts w:cs="Garamond"/>
        </w:rPr>
        <w:softHyphen/>
        <w:t>ence abstracts</w:t>
      </w:r>
      <w:r w:rsidR="00F92979" w:rsidRPr="00260D1B">
        <w:rPr>
          <w:rFonts w:cs="Garamond"/>
        </w:rPr>
        <w:t>, acknowledgements</w:t>
      </w:r>
      <w:r w:rsidR="00746A27" w:rsidRPr="00260D1B">
        <w:rPr>
          <w:rFonts w:cs="Garamond"/>
        </w:rPr>
        <w:t xml:space="preserve"> </w:t>
      </w:r>
      <w:r w:rsidR="00E0608D" w:rsidRPr="00260D1B">
        <w:rPr>
          <w:rFonts w:cs="Garamond"/>
        </w:rPr>
        <w:t>and Randomised Control Trials</w:t>
      </w:r>
      <w:r w:rsidR="001F0B67" w:rsidRPr="00260D1B">
        <w:rPr>
          <w:rFonts w:cs="Garamond"/>
        </w:rPr>
        <w:t>, for example,</w:t>
      </w:r>
      <w:r w:rsidR="00E0608D" w:rsidRPr="00260D1B">
        <w:rPr>
          <w:rFonts w:cs="Garamond"/>
        </w:rPr>
        <w:t xml:space="preserve"> all work, in one way or another, to</w:t>
      </w:r>
      <w:r w:rsidR="00746A27" w:rsidRPr="00260D1B">
        <w:rPr>
          <w:rFonts w:cs="Garamond"/>
        </w:rPr>
        <w:t xml:space="preserve"> sell an idea or </w:t>
      </w:r>
      <w:r w:rsidR="00E0608D" w:rsidRPr="00260D1B">
        <w:rPr>
          <w:rFonts w:cs="Garamond"/>
        </w:rPr>
        <w:t xml:space="preserve">the writer’s credibility </w:t>
      </w:r>
      <w:r w:rsidR="00746A27" w:rsidRPr="00260D1B">
        <w:rPr>
          <w:rFonts w:cs="Garamond"/>
        </w:rPr>
        <w:t>to reader</w:t>
      </w:r>
      <w:r w:rsidR="00E0608D" w:rsidRPr="00260D1B">
        <w:rPr>
          <w:rFonts w:cs="Garamond"/>
        </w:rPr>
        <w:t>s</w:t>
      </w:r>
      <w:r w:rsidR="00746A27" w:rsidRPr="00260D1B">
        <w:rPr>
          <w:rFonts w:cs="Garamond"/>
        </w:rPr>
        <w:t xml:space="preserve">. </w:t>
      </w:r>
      <w:r w:rsidR="001F0B67" w:rsidRPr="00260D1B">
        <w:rPr>
          <w:rFonts w:cs="Garamond"/>
        </w:rPr>
        <w:t xml:space="preserve">Rhetorical devices are deployed to </w:t>
      </w:r>
      <w:r w:rsidR="00935058" w:rsidRPr="00260D1B">
        <w:rPr>
          <w:rFonts w:cs="Garamond"/>
        </w:rPr>
        <w:t>‘</w:t>
      </w:r>
      <w:r w:rsidR="001F0B67" w:rsidRPr="00260D1B">
        <w:rPr>
          <w:rFonts w:cs="Garamond"/>
        </w:rPr>
        <w:t>market</w:t>
      </w:r>
      <w:r w:rsidR="00935058" w:rsidRPr="00260D1B">
        <w:rPr>
          <w:rFonts w:cs="Garamond"/>
        </w:rPr>
        <w:t>’</w:t>
      </w:r>
      <w:r w:rsidR="001F0B67" w:rsidRPr="00260D1B">
        <w:rPr>
          <w:rFonts w:cs="Garamond"/>
        </w:rPr>
        <w:t xml:space="preserve"> (Fairclough, 199</w:t>
      </w:r>
      <w:r w:rsidR="00F92979" w:rsidRPr="00260D1B">
        <w:rPr>
          <w:rFonts w:cs="Garamond"/>
        </w:rPr>
        <w:t>5</w:t>
      </w:r>
      <w:r w:rsidR="001F0B67" w:rsidRPr="00260D1B">
        <w:rPr>
          <w:rFonts w:cs="Garamond"/>
        </w:rPr>
        <w:t xml:space="preserve">), </w:t>
      </w:r>
      <w:r w:rsidR="00935058" w:rsidRPr="00260D1B">
        <w:rPr>
          <w:rFonts w:cs="Garamond"/>
        </w:rPr>
        <w:t>‘</w:t>
      </w:r>
      <w:r w:rsidR="001F0B67" w:rsidRPr="00260D1B">
        <w:rPr>
          <w:rFonts w:cs="Garamond"/>
        </w:rPr>
        <w:t>boost</w:t>
      </w:r>
      <w:r w:rsidR="00935058" w:rsidRPr="00260D1B">
        <w:rPr>
          <w:rFonts w:cs="Garamond"/>
        </w:rPr>
        <w:t>’</w:t>
      </w:r>
      <w:r w:rsidR="001F0B67" w:rsidRPr="00260D1B">
        <w:rPr>
          <w:rFonts w:cs="Garamond"/>
        </w:rPr>
        <w:t xml:space="preserve"> (</w:t>
      </w:r>
      <w:r w:rsidR="00454B5F">
        <w:rPr>
          <w:rFonts w:cs="Garamond"/>
        </w:rPr>
        <w:t>Author 2</w:t>
      </w:r>
      <w:r w:rsidR="001F0B67" w:rsidRPr="00260D1B">
        <w:rPr>
          <w:rFonts w:cs="Garamond"/>
        </w:rPr>
        <w:t xml:space="preserve">, 1999) or </w:t>
      </w:r>
      <w:r w:rsidR="00935058" w:rsidRPr="00260D1B">
        <w:rPr>
          <w:rFonts w:cs="Garamond"/>
        </w:rPr>
        <w:t>‘</w:t>
      </w:r>
      <w:r w:rsidR="001F0B67" w:rsidRPr="00260D1B">
        <w:rPr>
          <w:rFonts w:cs="Garamond"/>
        </w:rPr>
        <w:t>hype</w:t>
      </w:r>
      <w:r w:rsidR="00935058" w:rsidRPr="00260D1B">
        <w:rPr>
          <w:rFonts w:cs="Garamond"/>
        </w:rPr>
        <w:t>’</w:t>
      </w:r>
      <w:r w:rsidR="001F0B67" w:rsidRPr="00260D1B">
        <w:rPr>
          <w:rFonts w:cs="Garamond"/>
        </w:rPr>
        <w:t xml:space="preserve"> (Miller et al, 2019)</w:t>
      </w:r>
      <w:r w:rsidR="00F92979" w:rsidRPr="00260D1B">
        <w:rPr>
          <w:rFonts w:cs="Garamond"/>
        </w:rPr>
        <w:t xml:space="preserve"> the importance or viability of research</w:t>
      </w:r>
      <w:r w:rsidR="002F5CA0" w:rsidRPr="00260D1B">
        <w:rPr>
          <w:rFonts w:cs="Garamond"/>
        </w:rPr>
        <w:t>, expand its visi</w:t>
      </w:r>
      <w:r w:rsidR="002F5CA0" w:rsidRPr="00260D1B">
        <w:rPr>
          <w:rFonts w:cs="Garamond"/>
        </w:rPr>
        <w:softHyphen/>
        <w:t xml:space="preserve">bility, and associate the writer with </w:t>
      </w:r>
      <w:r w:rsidR="00F92979" w:rsidRPr="00260D1B">
        <w:rPr>
          <w:rFonts w:cs="Garamond"/>
        </w:rPr>
        <w:t>an</w:t>
      </w:r>
      <w:r w:rsidR="002F5CA0" w:rsidRPr="00260D1B">
        <w:rPr>
          <w:rFonts w:cs="Garamond"/>
        </w:rPr>
        <w:t xml:space="preserve"> intended audi</w:t>
      </w:r>
      <w:r w:rsidR="002F5CA0" w:rsidRPr="00260D1B">
        <w:rPr>
          <w:rFonts w:cs="Garamond"/>
        </w:rPr>
        <w:softHyphen/>
        <w:t xml:space="preserve">ence (Bhatia, 2005; </w:t>
      </w:r>
      <w:proofErr w:type="spellStart"/>
      <w:r w:rsidR="002F5CA0" w:rsidRPr="00260D1B">
        <w:rPr>
          <w:rFonts w:cs="Garamond"/>
        </w:rPr>
        <w:t>Zulkipli</w:t>
      </w:r>
      <w:proofErr w:type="spellEnd"/>
      <w:r w:rsidR="002F5CA0" w:rsidRPr="00260D1B">
        <w:rPr>
          <w:rFonts w:cs="Garamond"/>
        </w:rPr>
        <w:t xml:space="preserve"> &amp; </w:t>
      </w:r>
      <w:proofErr w:type="spellStart"/>
      <w:r w:rsidR="002F5CA0" w:rsidRPr="00260D1B">
        <w:rPr>
          <w:rFonts w:cs="Garamond"/>
        </w:rPr>
        <w:t>Ariffin</w:t>
      </w:r>
      <w:proofErr w:type="spellEnd"/>
      <w:r w:rsidR="002F5CA0" w:rsidRPr="00260D1B">
        <w:rPr>
          <w:rFonts w:cs="Garamond"/>
        </w:rPr>
        <w:t>, 2019).</w:t>
      </w:r>
      <w:r w:rsidR="008F5D5E" w:rsidRPr="00260D1B">
        <w:rPr>
          <w:rFonts w:cs="Garamond"/>
        </w:rPr>
        <w:t xml:space="preserve"> </w:t>
      </w:r>
      <w:r w:rsidR="00F92979" w:rsidRPr="00260D1B">
        <w:rPr>
          <w:rFonts w:cs="Garamond"/>
        </w:rPr>
        <w:t>The promotion of research findings, moreover, seems to be growing with concern expressed by scientists and editors about the widespread use of ‘positive descriptors’ (</w:t>
      </w:r>
      <w:proofErr w:type="spellStart"/>
      <w:r w:rsidR="00F92979" w:rsidRPr="00260D1B">
        <w:rPr>
          <w:rFonts w:cs="Garamond"/>
        </w:rPr>
        <w:t>Vinkers</w:t>
      </w:r>
      <w:proofErr w:type="spellEnd"/>
      <w:r w:rsidR="00F92979" w:rsidRPr="00260D1B">
        <w:rPr>
          <w:rFonts w:cs="Garamond"/>
        </w:rPr>
        <w:t xml:space="preserve"> et al 2015) and ‘drama words’ Wheatley, 2014).</w:t>
      </w:r>
      <w:r w:rsidR="008155F0" w:rsidRPr="00260D1B">
        <w:rPr>
          <w:rFonts w:cs="Garamond"/>
        </w:rPr>
        <w:t xml:space="preserve"> This growth of promotional language (</w:t>
      </w:r>
      <w:r w:rsidR="00454B5F">
        <w:rPr>
          <w:rFonts w:cs="Garamond"/>
        </w:rPr>
        <w:t>Author 2 &amp; Other</w:t>
      </w:r>
      <w:r w:rsidR="008155F0" w:rsidRPr="00260D1B">
        <w:rPr>
          <w:rFonts w:cs="Garamond"/>
        </w:rPr>
        <w:t xml:space="preserve">, 2019) is related to both the </w:t>
      </w:r>
      <w:r w:rsidR="00B032C6" w:rsidRPr="00260D1B">
        <w:rPr>
          <w:rFonts w:cs="Garamond"/>
        </w:rPr>
        <w:t>enormous</w:t>
      </w:r>
      <w:r w:rsidR="008155F0" w:rsidRPr="00260D1B">
        <w:rPr>
          <w:rFonts w:cs="Garamond"/>
        </w:rPr>
        <w:t xml:space="preserve"> </w:t>
      </w:r>
      <w:r w:rsidR="00B032C6" w:rsidRPr="00260D1B">
        <w:rPr>
          <w:rFonts w:cs="Garamond"/>
        </w:rPr>
        <w:t>increase</w:t>
      </w:r>
      <w:r w:rsidR="008155F0" w:rsidRPr="00260D1B">
        <w:rPr>
          <w:rFonts w:cs="Garamond"/>
        </w:rPr>
        <w:t xml:space="preserve"> of research and the </w:t>
      </w:r>
      <w:r w:rsidR="00B032C6" w:rsidRPr="00260D1B">
        <w:rPr>
          <w:rFonts w:cs="Garamond"/>
        </w:rPr>
        <w:t>fierce</w:t>
      </w:r>
      <w:r w:rsidR="008155F0" w:rsidRPr="00260D1B">
        <w:rPr>
          <w:rFonts w:cs="Garamond"/>
        </w:rPr>
        <w:t xml:space="preserve"> competition created by a growing assessment culture. With perhaps nine million scholars </w:t>
      </w:r>
      <w:r w:rsidR="00B032C6" w:rsidRPr="00260D1B">
        <w:rPr>
          <w:rFonts w:cs="Garamond"/>
        </w:rPr>
        <w:t>striv</w:t>
      </w:r>
      <w:r w:rsidR="00B032C6">
        <w:rPr>
          <w:rFonts w:cs="Garamond"/>
        </w:rPr>
        <w:t>ing</w:t>
      </w:r>
      <w:r w:rsidR="008155F0" w:rsidRPr="00260D1B">
        <w:rPr>
          <w:rFonts w:cs="Garamond"/>
        </w:rPr>
        <w:t xml:space="preserve"> to publish in English-language journals each year </w:t>
      </w:r>
      <w:r w:rsidR="008155F0" w:rsidRPr="00260D1B">
        <w:t>(</w:t>
      </w:r>
      <w:proofErr w:type="spellStart"/>
      <w:r w:rsidR="008155F0" w:rsidRPr="00260D1B">
        <w:t>Schneegans</w:t>
      </w:r>
      <w:proofErr w:type="spellEnd"/>
      <w:r w:rsidR="008155F0" w:rsidRPr="00260D1B">
        <w:t xml:space="preserve"> et al, 2021)</w:t>
      </w:r>
      <w:r w:rsidR="008155F0" w:rsidRPr="00260D1B">
        <w:rPr>
          <w:rFonts w:cs="Garamond"/>
        </w:rPr>
        <w:t xml:space="preserve"> and 3 million peer reviewed papers published (Johnson et al., 2018), there is </w:t>
      </w:r>
      <w:r w:rsidR="00B032C6">
        <w:rPr>
          <w:rFonts w:cs="Garamond"/>
        </w:rPr>
        <w:t>growing</w:t>
      </w:r>
      <w:r w:rsidR="008155F0" w:rsidRPr="00260D1B">
        <w:rPr>
          <w:rFonts w:cs="Garamond"/>
        </w:rPr>
        <w:t xml:space="preserve"> pressure on scholars. This pressure, moreover, has been ramped up by the urgent need to address the bio-medical challenges posed by the greatest public health crisis in a century. </w:t>
      </w:r>
    </w:p>
    <w:p w14:paraId="0EA78641" w14:textId="4BD6131A" w:rsidR="008155F0" w:rsidRPr="00C117B8" w:rsidRDefault="008155F0" w:rsidP="005B1B5B">
      <w:pPr>
        <w:spacing w:line="360" w:lineRule="auto"/>
        <w:ind w:right="231"/>
        <w:rPr>
          <w:rFonts w:cs="Garamond"/>
        </w:rPr>
      </w:pPr>
    </w:p>
    <w:p w14:paraId="3F5B64FE" w14:textId="60AA4E03" w:rsidR="00935058" w:rsidRPr="00C117B8" w:rsidRDefault="008155F0" w:rsidP="005B1B5B">
      <w:pPr>
        <w:spacing w:line="360" w:lineRule="auto"/>
        <w:ind w:right="231"/>
        <w:rPr>
          <w:rFonts w:cs="Garamond"/>
        </w:rPr>
      </w:pPr>
      <w:r w:rsidRPr="00C117B8">
        <w:rPr>
          <w:rFonts w:cs="Garamond"/>
        </w:rPr>
        <w:t>Given the promotion</w:t>
      </w:r>
      <w:r w:rsidR="00935058" w:rsidRPr="00C117B8">
        <w:rPr>
          <w:rFonts w:cs="Garamond"/>
        </w:rPr>
        <w:t xml:space="preserve">al character of a growing range of academic genres, it would be surprising if highlights were immune from this trend. </w:t>
      </w:r>
      <w:r w:rsidR="00B536CA" w:rsidRPr="00C117B8">
        <w:rPr>
          <w:rFonts w:cs="Garamond"/>
        </w:rPr>
        <w:t xml:space="preserve">Here is an opportunity for scholars to  </w:t>
      </w:r>
    </w:p>
    <w:p w14:paraId="0E214D7B" w14:textId="255F31C5" w:rsidR="005951B7" w:rsidRPr="00C117B8" w:rsidRDefault="002F5CA0" w:rsidP="005B1B5B">
      <w:pPr>
        <w:spacing w:line="360" w:lineRule="auto"/>
        <w:ind w:right="231"/>
        <w:rPr>
          <w:rFonts w:cs="Garamond"/>
        </w:rPr>
      </w:pPr>
      <w:r w:rsidRPr="00C117B8">
        <w:rPr>
          <w:rFonts w:cs="Garamond"/>
        </w:rPr>
        <w:t>‘marketiz</w:t>
      </w:r>
      <w:r w:rsidR="00B536CA" w:rsidRPr="00C117B8">
        <w:rPr>
          <w:rFonts w:cs="Garamond"/>
        </w:rPr>
        <w:t>e</w:t>
      </w:r>
      <w:r w:rsidRPr="00C117B8">
        <w:rPr>
          <w:rFonts w:cs="Garamond"/>
        </w:rPr>
        <w:t xml:space="preserve">’ (Shaw et al., 2014) </w:t>
      </w:r>
      <w:r w:rsidR="00B536CA" w:rsidRPr="00C117B8">
        <w:rPr>
          <w:rFonts w:cs="Garamond"/>
        </w:rPr>
        <w:t xml:space="preserve">their research by promoting the accompanying article. </w:t>
      </w:r>
      <w:r w:rsidR="005951B7" w:rsidRPr="00C117B8">
        <w:rPr>
          <w:rFonts w:cs="Garamond"/>
        </w:rPr>
        <w:t xml:space="preserve">Through this channel, academics are able to position themselves in relation to their arguments and audience, promote their research contribution and </w:t>
      </w:r>
      <w:r w:rsidR="00B536CA" w:rsidRPr="00C117B8">
        <w:rPr>
          <w:rFonts w:cs="Garamond"/>
        </w:rPr>
        <w:t>underline</w:t>
      </w:r>
      <w:r w:rsidR="005951B7" w:rsidRPr="00C117B8">
        <w:rPr>
          <w:rFonts w:cs="Garamond"/>
        </w:rPr>
        <w:t xml:space="preserve"> the value of the scientific study. </w:t>
      </w:r>
      <w:r w:rsidR="000F1EC6" w:rsidRPr="00C117B8">
        <w:rPr>
          <w:rFonts w:cs="Garamond"/>
        </w:rPr>
        <w:t xml:space="preserve">This is, then, </w:t>
      </w:r>
      <w:r w:rsidR="00B536CA" w:rsidRPr="00C117B8">
        <w:rPr>
          <w:rFonts w:cs="Garamond"/>
        </w:rPr>
        <w:t>is a genre which</w:t>
      </w:r>
      <w:r w:rsidR="000F1EC6" w:rsidRPr="00C117B8">
        <w:rPr>
          <w:rFonts w:cs="Garamond"/>
        </w:rPr>
        <w:t xml:space="preserve"> </w:t>
      </w:r>
      <w:r w:rsidR="000F1EC6" w:rsidRPr="00C117B8">
        <w:t xml:space="preserve">involves writers taking a clear stance. </w:t>
      </w:r>
    </w:p>
    <w:p w14:paraId="4C7E5239" w14:textId="25252661" w:rsidR="00746A27" w:rsidRPr="00C117B8" w:rsidRDefault="00746A27" w:rsidP="005B1B5B">
      <w:pPr>
        <w:spacing w:line="360" w:lineRule="auto"/>
        <w:ind w:right="231"/>
      </w:pPr>
    </w:p>
    <w:p w14:paraId="4C5C5100" w14:textId="59679E3F" w:rsidR="00B536CA" w:rsidRPr="00C117B8" w:rsidRDefault="008E78BF" w:rsidP="00B10E83">
      <w:pPr>
        <w:spacing w:line="360" w:lineRule="auto"/>
        <w:ind w:right="89"/>
      </w:pPr>
      <w:r w:rsidRPr="00C117B8">
        <w:t xml:space="preserve">Stance refers to the ways that writers </w:t>
      </w:r>
      <w:r w:rsidR="00B032C6">
        <w:t>insert</w:t>
      </w:r>
      <w:r w:rsidRPr="00C117B8">
        <w:t xml:space="preserve"> themselves into their texts to </w:t>
      </w:r>
      <w:r w:rsidR="00B032C6">
        <w:t xml:space="preserve">convey </w:t>
      </w:r>
      <w:r w:rsidRPr="00C117B8">
        <w:t xml:space="preserve">their integrity, credibility, involvement and a relationship to their </w:t>
      </w:r>
      <w:r w:rsidR="00B032C6">
        <w:t>topic</w:t>
      </w:r>
      <w:r w:rsidRPr="00C117B8">
        <w:t xml:space="preserve"> and audiences (</w:t>
      </w:r>
      <w:r w:rsidR="00454B5F">
        <w:t>Author 2</w:t>
      </w:r>
      <w:r w:rsidRPr="00C117B8">
        <w:t xml:space="preserve">, </w:t>
      </w:r>
      <w:r w:rsidR="00B536CA" w:rsidRPr="00C117B8">
        <w:lastRenderedPageBreak/>
        <w:t>2005</w:t>
      </w:r>
      <w:r w:rsidRPr="00C117B8">
        <w:t xml:space="preserve">). It is an attitudinal </w:t>
      </w:r>
      <w:r w:rsidR="00B032C6">
        <w:t>element</w:t>
      </w:r>
      <w:r w:rsidRPr="00C117B8">
        <w:t xml:space="preserve"> of interaction and concerns how writers </w:t>
      </w:r>
      <w:r w:rsidR="00B032C6">
        <w:t xml:space="preserve">rhetorically </w:t>
      </w:r>
      <w:r w:rsidR="00B032C6" w:rsidRPr="00C117B8">
        <w:t>mark</w:t>
      </w:r>
      <w:r w:rsidRPr="00C117B8">
        <w:t xml:space="preserve"> their personal authority </w:t>
      </w:r>
      <w:r w:rsidR="00B032C6">
        <w:t>and</w:t>
      </w:r>
      <w:r w:rsidRPr="00C117B8">
        <w:t xml:space="preserve"> </w:t>
      </w:r>
      <w:r w:rsidR="00B032C6" w:rsidRPr="00C117B8">
        <w:t>assessments</w:t>
      </w:r>
      <w:r w:rsidR="00D708CC" w:rsidRPr="00C117B8">
        <w:t xml:space="preserve">. It is seen to have three </w:t>
      </w:r>
      <w:r w:rsidR="00B032C6" w:rsidRPr="00C117B8">
        <w:t>parts</w:t>
      </w:r>
      <w:r w:rsidR="00D708CC" w:rsidRPr="00C117B8">
        <w:t xml:space="preserve">: evidentiality, affect and relation. </w:t>
      </w:r>
      <w:r w:rsidR="00D708CC" w:rsidRPr="00C117B8">
        <w:rPr>
          <w:i/>
          <w:iCs/>
        </w:rPr>
        <w:t>Evidentiality</w:t>
      </w:r>
      <w:r w:rsidR="00D708CC" w:rsidRPr="00C117B8">
        <w:t xml:space="preserve"> </w:t>
      </w:r>
      <w:r w:rsidR="00B032C6" w:rsidRPr="00C117B8">
        <w:t xml:space="preserve">indicates the degree of confidence </w:t>
      </w:r>
      <w:r w:rsidR="00B032C6">
        <w:t xml:space="preserve">the writer/speaker has </w:t>
      </w:r>
      <w:r w:rsidR="00B032C6" w:rsidRPr="00C117B8">
        <w:t xml:space="preserve">in what is said </w:t>
      </w:r>
      <w:r w:rsidR="00B032C6">
        <w:t xml:space="preserve">and </w:t>
      </w:r>
      <w:r w:rsidR="00D708CC" w:rsidRPr="00C117B8">
        <w:t>re</w:t>
      </w:r>
      <w:r w:rsidR="00B032C6">
        <w:t xml:space="preserve">fers </w:t>
      </w:r>
      <w:r w:rsidR="00D708CC" w:rsidRPr="00C117B8">
        <w:t xml:space="preserve">to </w:t>
      </w:r>
      <w:r w:rsidR="00B032C6">
        <w:t xml:space="preserve">evaluations of </w:t>
      </w:r>
      <w:r w:rsidR="00D708CC" w:rsidRPr="00C117B8">
        <w:t xml:space="preserve">truth of statements; </w:t>
      </w:r>
      <w:r w:rsidR="00D708CC" w:rsidRPr="00C117B8">
        <w:rPr>
          <w:i/>
          <w:iCs/>
        </w:rPr>
        <w:t>affect</w:t>
      </w:r>
      <w:r w:rsidR="00D708CC" w:rsidRPr="00C117B8">
        <w:t xml:space="preserve"> </w:t>
      </w:r>
      <w:r w:rsidR="00B032C6">
        <w:t>relates to</w:t>
      </w:r>
      <w:r w:rsidR="00D708CC" w:rsidRPr="00C117B8">
        <w:t xml:space="preserve"> the writers/speaker’s personal and professional assessment of matters; and </w:t>
      </w:r>
      <w:r w:rsidR="00D708CC" w:rsidRPr="00C117B8">
        <w:rPr>
          <w:i/>
          <w:iCs/>
        </w:rPr>
        <w:t>relation</w:t>
      </w:r>
      <w:r w:rsidR="00D708CC" w:rsidRPr="00C117B8">
        <w:t xml:space="preserve"> to </w:t>
      </w:r>
      <w:r w:rsidR="00B032C6">
        <w:t>how</w:t>
      </w:r>
      <w:r w:rsidR="00D708CC" w:rsidRPr="00C117B8">
        <w:t xml:space="preserve"> writers</w:t>
      </w:r>
      <w:r w:rsidR="00B032C6">
        <w:t>’</w:t>
      </w:r>
      <w:r w:rsidR="00D708CC" w:rsidRPr="00C117B8">
        <w:t xml:space="preserve"> discursive</w:t>
      </w:r>
      <w:r w:rsidR="00B032C6">
        <w:t>ly</w:t>
      </w:r>
      <w:r w:rsidR="00D708CC" w:rsidRPr="00C117B8">
        <w:t xml:space="preserve"> construct</w:t>
      </w:r>
      <w:r w:rsidR="00B032C6">
        <w:t xml:space="preserve"> a</w:t>
      </w:r>
      <w:r w:rsidR="00D708CC" w:rsidRPr="00C117B8">
        <w:t xml:space="preserve"> relations</w:t>
      </w:r>
      <w:r w:rsidR="00B032C6">
        <w:t>hip</w:t>
      </w:r>
      <w:r w:rsidR="00D708CC" w:rsidRPr="00C117B8">
        <w:t xml:space="preserve"> with </w:t>
      </w:r>
      <w:r w:rsidR="00B032C6">
        <w:t xml:space="preserve">an </w:t>
      </w:r>
      <w:r w:rsidR="00D708CC" w:rsidRPr="00C117B8">
        <w:t>audiences and the degree of intimacy or remoteness</w:t>
      </w:r>
      <w:r w:rsidR="00B032C6">
        <w:t xml:space="preserve"> this involves</w:t>
      </w:r>
      <w:r w:rsidR="00D708CC" w:rsidRPr="00C117B8">
        <w:t xml:space="preserve"> (</w:t>
      </w:r>
      <w:proofErr w:type="spellStart"/>
      <w:r w:rsidR="00D708CC" w:rsidRPr="00C117B8">
        <w:t>Biber</w:t>
      </w:r>
      <w:proofErr w:type="spellEnd"/>
      <w:r w:rsidR="00D708CC" w:rsidRPr="00C117B8">
        <w:t xml:space="preserve">, 2006; </w:t>
      </w:r>
      <w:r w:rsidR="00454B5F">
        <w:t>Author 2</w:t>
      </w:r>
      <w:r w:rsidR="00D708CC" w:rsidRPr="00C117B8">
        <w:t xml:space="preserve">, 2005). </w:t>
      </w:r>
      <w:r w:rsidR="00B032C6">
        <w:t xml:space="preserve">Stance, then, is founded </w:t>
      </w:r>
      <w:r w:rsidR="00D708CC" w:rsidRPr="00C117B8">
        <w:t xml:space="preserve">on </w:t>
      </w:r>
      <w:r w:rsidR="00B032C6">
        <w:t>a</w:t>
      </w:r>
      <w:r w:rsidR="00D708CC" w:rsidRPr="00C117B8">
        <w:t xml:space="preserve"> view of writing and speaking as social engagement</w:t>
      </w:r>
      <w:r w:rsidR="00B032C6">
        <w:t xml:space="preserve">. It therefore </w:t>
      </w:r>
      <w:r w:rsidR="00D708CC" w:rsidRPr="00C117B8">
        <w:t>reflects membership of a community</w:t>
      </w:r>
      <w:r w:rsidR="00FF5734" w:rsidRPr="00C117B8">
        <w:t>, or discipline,</w:t>
      </w:r>
      <w:r w:rsidR="00D708CC" w:rsidRPr="00C117B8">
        <w:t xml:space="preserve"> in expres</w:t>
      </w:r>
      <w:r w:rsidR="00F87DEA">
        <w:t>sing</w:t>
      </w:r>
      <w:r w:rsidR="00D708CC" w:rsidRPr="00C117B8">
        <w:t xml:space="preserve"> a writer’s socially defined persona,</w:t>
      </w:r>
      <w:r w:rsidR="00F87DEA">
        <w:t xml:space="preserve"> or what </w:t>
      </w:r>
      <w:r w:rsidR="00F87DEA" w:rsidRPr="00C117B8">
        <w:t>Campbell</w:t>
      </w:r>
      <w:r w:rsidR="00F87DEA">
        <w:t xml:space="preserve"> (</w:t>
      </w:r>
      <w:r w:rsidR="00F87DEA" w:rsidRPr="00C117B8">
        <w:t>1975, p. 394)</w:t>
      </w:r>
      <w:r w:rsidR="00F87DEA">
        <w:t xml:space="preserve"> refers to as</w:t>
      </w:r>
      <w:r w:rsidR="00F87DEA" w:rsidRPr="00C117B8">
        <w:t xml:space="preserve"> </w:t>
      </w:r>
      <w:r w:rsidR="00D708CC" w:rsidRPr="00C117B8">
        <w:t xml:space="preserve"> the ‘created personality put forth in the act of communicating’ </w:t>
      </w:r>
    </w:p>
    <w:p w14:paraId="60F7C78E" w14:textId="77777777" w:rsidR="00B536CA" w:rsidRPr="00C117B8" w:rsidRDefault="00B536CA" w:rsidP="00B10E83">
      <w:pPr>
        <w:pStyle w:val="NormalWeb"/>
        <w:pBdr>
          <w:top w:val="nil"/>
          <w:left w:val="nil"/>
          <w:bottom w:val="nil"/>
          <w:right w:val="nil"/>
          <w:between w:val="nil"/>
        </w:pBdr>
        <w:shd w:val="solid" w:color="FFFFFF" w:fill="auto"/>
        <w:spacing w:before="0" w:beforeAutospacing="0" w:after="0" w:afterAutospacing="0" w:line="360" w:lineRule="auto"/>
        <w:ind w:right="231"/>
      </w:pPr>
    </w:p>
    <w:p w14:paraId="14FD6C31" w14:textId="5F77F6EA" w:rsidR="000856EF" w:rsidRPr="00260D1B" w:rsidRDefault="0061110C" w:rsidP="00B10E83">
      <w:pPr>
        <w:pStyle w:val="NormalWeb"/>
        <w:pBdr>
          <w:top w:val="nil"/>
          <w:left w:val="nil"/>
          <w:bottom w:val="nil"/>
          <w:right w:val="nil"/>
          <w:between w:val="nil"/>
        </w:pBdr>
        <w:shd w:val="solid" w:color="FFFFFF" w:fill="auto"/>
        <w:spacing w:before="0" w:beforeAutospacing="0" w:after="0" w:afterAutospacing="0" w:line="360" w:lineRule="auto"/>
        <w:ind w:right="231"/>
        <w:rPr>
          <w:rFonts w:cs="Garamond"/>
        </w:rPr>
      </w:pPr>
      <w:r w:rsidRPr="00C117B8">
        <w:t xml:space="preserve">Studies have </w:t>
      </w:r>
      <w:r w:rsidR="0094061A" w:rsidRPr="00C117B8">
        <w:t>explored</w:t>
      </w:r>
      <w:r w:rsidRPr="00C117B8">
        <w:t xml:space="preserve"> the use of stance in </w:t>
      </w:r>
      <w:r w:rsidR="00C26341" w:rsidRPr="00C117B8">
        <w:t xml:space="preserve">a variety of academic </w:t>
      </w:r>
      <w:r w:rsidR="00A2283A" w:rsidRPr="00C117B8">
        <w:t xml:space="preserve">(Feng &amp; Shi, 2004; Gross </w:t>
      </w:r>
      <w:r w:rsidR="00A2283A" w:rsidRPr="00260D1B">
        <w:t>&amp; Chesley, 2012) and professional (</w:t>
      </w:r>
      <w:r w:rsidR="00454B5F">
        <w:t>Author 2</w:t>
      </w:r>
      <w:r w:rsidR="00A2283A" w:rsidRPr="00260D1B">
        <w:t>, 1998; Liu &amp; Zhang, 2021)</w:t>
      </w:r>
      <w:r w:rsidR="00A45717" w:rsidRPr="00260D1B">
        <w:t xml:space="preserve"> genres as well as</w:t>
      </w:r>
      <w:r w:rsidR="00FF5734" w:rsidRPr="00260D1B">
        <w:t xml:space="preserve"> spoken (</w:t>
      </w:r>
      <w:r w:rsidR="00454B5F">
        <w:t>Author 1</w:t>
      </w:r>
      <w:r w:rsidR="00B10E83" w:rsidRPr="00260D1B">
        <w:t xml:space="preserve"> &amp; </w:t>
      </w:r>
      <w:r w:rsidR="00454B5F">
        <w:t>Author 2</w:t>
      </w:r>
      <w:r w:rsidR="00B10E83" w:rsidRPr="00260D1B">
        <w:t>, 20</w:t>
      </w:r>
      <w:r w:rsidR="00732A2B" w:rsidRPr="00260D1B">
        <w:t>22b</w:t>
      </w:r>
      <w:r w:rsidR="00FF5734" w:rsidRPr="00260D1B">
        <w:t>) and written (</w:t>
      </w:r>
      <w:r w:rsidR="00454B5F">
        <w:t>Author 2</w:t>
      </w:r>
      <w:r w:rsidR="00FF5734" w:rsidRPr="00260D1B">
        <w:t xml:space="preserve">, 1999) </w:t>
      </w:r>
      <w:r w:rsidR="00A45717" w:rsidRPr="00260D1B">
        <w:t>modes</w:t>
      </w:r>
      <w:r w:rsidR="00A2283A" w:rsidRPr="00260D1B">
        <w:t xml:space="preserve">. </w:t>
      </w:r>
      <w:r w:rsidR="00FF5734" w:rsidRPr="00260D1B">
        <w:t xml:space="preserve">This </w:t>
      </w:r>
      <w:r w:rsidR="00A45717" w:rsidRPr="00260D1B">
        <w:t xml:space="preserve">work </w:t>
      </w:r>
      <w:r w:rsidR="00FF5734" w:rsidRPr="00260D1B">
        <w:t>has shown that stance varies across different disciplines (Yang, 2016) and genres (</w:t>
      </w:r>
      <w:r w:rsidR="00454B5F">
        <w:t>Author 1</w:t>
      </w:r>
      <w:r w:rsidR="00FF5734" w:rsidRPr="00260D1B">
        <w:t xml:space="preserve"> &amp; </w:t>
      </w:r>
      <w:r w:rsidR="00454B5F">
        <w:t>Author 2</w:t>
      </w:r>
      <w:r w:rsidR="00FF5734" w:rsidRPr="00260D1B">
        <w:t xml:space="preserve">, 2022b) and that stance features tend to cluster </w:t>
      </w:r>
      <w:r w:rsidR="00B10E83" w:rsidRPr="00260D1B">
        <w:t>in places where</w:t>
      </w:r>
      <w:r w:rsidR="00FF5734" w:rsidRPr="00260D1B">
        <w:t xml:space="preserve"> </w:t>
      </w:r>
      <w:r w:rsidR="00B10E83" w:rsidRPr="00260D1B">
        <w:t>writers seek to be most persuasive</w:t>
      </w:r>
      <w:r w:rsidR="00FF5734" w:rsidRPr="00260D1B">
        <w:t xml:space="preserve"> (</w:t>
      </w:r>
      <w:r w:rsidR="00454B5F">
        <w:t>Author 1</w:t>
      </w:r>
      <w:r w:rsidR="00FF5734" w:rsidRPr="00260D1B">
        <w:t xml:space="preserve"> &amp; </w:t>
      </w:r>
      <w:r w:rsidR="00454B5F">
        <w:t>Author 2</w:t>
      </w:r>
      <w:r w:rsidR="00FF5734" w:rsidRPr="00260D1B">
        <w:t>, 2022a)</w:t>
      </w:r>
      <w:r w:rsidR="00B10E83" w:rsidRPr="00260D1B">
        <w:t>. H</w:t>
      </w:r>
      <w:r w:rsidR="00C07968">
        <w:t>owever, h</w:t>
      </w:r>
      <w:r w:rsidR="00B10E83" w:rsidRPr="00260D1B">
        <w:t xml:space="preserve">ighlights, perhaps because of their peripheral status, have largely escaped research attention. </w:t>
      </w:r>
      <w:r w:rsidR="00F87DEA">
        <w:t xml:space="preserve">In one of the few studies, </w:t>
      </w:r>
      <w:r w:rsidR="00B10E83" w:rsidRPr="00260D1B">
        <w:t xml:space="preserve">Yang (2016) found that disciplines </w:t>
      </w:r>
      <w:r w:rsidR="00F87DEA">
        <w:t xml:space="preserve">differ slightly in their use of </w:t>
      </w:r>
      <w:r w:rsidR="00F87DEA" w:rsidRPr="00260D1B">
        <w:t>stance and engagement</w:t>
      </w:r>
      <w:r w:rsidR="00F87DEA">
        <w:t xml:space="preserve"> to</w:t>
      </w:r>
      <w:r w:rsidR="00F87DEA" w:rsidRPr="00260D1B">
        <w:t xml:space="preserve"> </w:t>
      </w:r>
      <w:r w:rsidR="00F87DEA">
        <w:t xml:space="preserve"> </w:t>
      </w:r>
      <w:r w:rsidR="00B10E83" w:rsidRPr="00260D1B">
        <w:t xml:space="preserve">highlight the sections of research articles. </w:t>
      </w:r>
      <w:r w:rsidR="00C07968">
        <w:t>But l</w:t>
      </w:r>
      <w:r w:rsidR="00B10E83" w:rsidRPr="00260D1B">
        <w:t xml:space="preserve">ittle is known about </w:t>
      </w:r>
      <w:r w:rsidR="00432906" w:rsidRPr="00260D1B">
        <w:t xml:space="preserve">how </w:t>
      </w:r>
      <w:r w:rsidR="008514B2" w:rsidRPr="00260D1B">
        <w:t xml:space="preserve">authors, writing in the same journals, </w:t>
      </w:r>
      <w:r w:rsidR="00432906" w:rsidRPr="00260D1B">
        <w:t xml:space="preserve">employ this resource </w:t>
      </w:r>
      <w:r w:rsidR="008514B2" w:rsidRPr="00260D1B">
        <w:t xml:space="preserve">to meet the urgent challenges posed by getting research noticed and read during a pandemic. </w:t>
      </w:r>
      <w:r w:rsidR="00454B5F">
        <w:rPr>
          <w:rFonts w:cs="Garamond"/>
        </w:rPr>
        <w:t>Author 2</w:t>
      </w:r>
      <w:r w:rsidR="00FC3840" w:rsidRPr="00260D1B">
        <w:rPr>
          <w:rFonts w:cs="Garamond"/>
        </w:rPr>
        <w:t xml:space="preserve"> &amp; </w:t>
      </w:r>
      <w:r w:rsidR="00454B5F">
        <w:rPr>
          <w:rFonts w:cs="Garamond"/>
        </w:rPr>
        <w:t>Other</w:t>
      </w:r>
      <w:r w:rsidR="00FC3840" w:rsidRPr="00260D1B">
        <w:rPr>
          <w:rFonts w:cs="Garamond"/>
        </w:rPr>
        <w:t xml:space="preserve"> (2021) found significant ‘hyping’ of novel results and methods in research articles dealing with Covid issues</w:t>
      </w:r>
      <w:r w:rsidR="000856EF" w:rsidRPr="00260D1B">
        <w:rPr>
          <w:rFonts w:cs="Garamond"/>
        </w:rPr>
        <w:t>,</w:t>
      </w:r>
      <w:r w:rsidR="00FC3840" w:rsidRPr="00260D1B">
        <w:rPr>
          <w:rFonts w:cs="Garamond"/>
        </w:rPr>
        <w:t xml:space="preserve"> and it would be surprising if we did not find similar</w:t>
      </w:r>
      <w:r w:rsidR="000856EF" w:rsidRPr="00260D1B">
        <w:rPr>
          <w:rFonts w:cs="Garamond"/>
        </w:rPr>
        <w:t xml:space="preserve"> promotion of work in highlights. We now turn to this question.</w:t>
      </w:r>
    </w:p>
    <w:p w14:paraId="77368EC7" w14:textId="77777777" w:rsidR="00C26341" w:rsidRPr="00260D1B" w:rsidRDefault="00C26341" w:rsidP="005B1B5B">
      <w:pPr>
        <w:spacing w:line="360" w:lineRule="auto"/>
        <w:ind w:right="231"/>
      </w:pPr>
    </w:p>
    <w:p w14:paraId="64486D19" w14:textId="20D71B14" w:rsidR="00E63C3B" w:rsidRPr="00260D1B" w:rsidRDefault="00E63C3B" w:rsidP="005B1B5B">
      <w:pPr>
        <w:spacing w:line="360" w:lineRule="auto"/>
        <w:ind w:right="231"/>
        <w:rPr>
          <w:b/>
          <w:bCs/>
          <w:sz w:val="28"/>
          <w:szCs w:val="28"/>
        </w:rPr>
      </w:pPr>
      <w:r w:rsidRPr="00260D1B">
        <w:rPr>
          <w:b/>
          <w:bCs/>
          <w:sz w:val="28"/>
          <w:szCs w:val="28"/>
        </w:rPr>
        <w:t xml:space="preserve">4. Methods and procedures </w:t>
      </w:r>
    </w:p>
    <w:p w14:paraId="27655B22" w14:textId="1CF9E2B8" w:rsidR="00E63C3B" w:rsidRPr="00260D1B" w:rsidRDefault="00E63C3B" w:rsidP="005B1B5B">
      <w:pPr>
        <w:spacing w:line="360" w:lineRule="auto"/>
        <w:ind w:right="231"/>
        <w:rPr>
          <w:b/>
          <w:bCs/>
        </w:rPr>
      </w:pPr>
      <w:r w:rsidRPr="00260D1B">
        <w:rPr>
          <w:b/>
          <w:bCs/>
        </w:rPr>
        <w:t xml:space="preserve">4.1 The corpora </w:t>
      </w:r>
    </w:p>
    <w:p w14:paraId="503235B3" w14:textId="0DF6A9B6" w:rsidR="001A7296" w:rsidRPr="00260D1B" w:rsidRDefault="001A7296" w:rsidP="005B1B5B">
      <w:pPr>
        <w:spacing w:line="360" w:lineRule="auto"/>
        <w:ind w:right="231"/>
      </w:pPr>
      <w:r w:rsidRPr="00260D1B">
        <w:t xml:space="preserve">We compiled </w:t>
      </w:r>
      <w:r w:rsidR="000856EF" w:rsidRPr="00260D1B">
        <w:t xml:space="preserve">two corpora of </w:t>
      </w:r>
      <w:r w:rsidRPr="00260D1B">
        <w:t xml:space="preserve">article highlights </w:t>
      </w:r>
      <w:r w:rsidR="000856EF" w:rsidRPr="00260D1B">
        <w:t>from the same 16 high impact SCI-indexed journals in the field of medicine</w:t>
      </w:r>
      <w:r w:rsidR="00834179" w:rsidRPr="00260D1B">
        <w:t>. All were</w:t>
      </w:r>
      <w:r w:rsidR="000856EF" w:rsidRPr="00260D1B">
        <w:t xml:space="preserve"> published </w:t>
      </w:r>
      <w:r w:rsidR="00834179" w:rsidRPr="00260D1B">
        <w:t xml:space="preserve">between 2020 and 2023 </w:t>
      </w:r>
      <w:r w:rsidR="000856EF" w:rsidRPr="00260D1B">
        <w:t xml:space="preserve">by </w:t>
      </w:r>
      <w:r w:rsidR="000856EF" w:rsidRPr="00260D1B">
        <w:rPr>
          <w:i/>
          <w:iCs/>
        </w:rPr>
        <w:t>Elsevier</w:t>
      </w:r>
      <w:r w:rsidRPr="00260D1B">
        <w:t xml:space="preserve"> </w:t>
      </w:r>
      <w:r w:rsidR="00834179" w:rsidRPr="00260D1B">
        <w:t xml:space="preserve">to ensure a standardised format of highlights </w:t>
      </w:r>
      <w:r w:rsidRPr="00260D1B">
        <w:t>(</w:t>
      </w:r>
      <w:r w:rsidR="001840CF">
        <w:t xml:space="preserve">refer to </w:t>
      </w:r>
      <w:r w:rsidRPr="00260D1B">
        <w:t xml:space="preserve">Appendix). </w:t>
      </w:r>
      <w:r w:rsidR="00834179" w:rsidRPr="00260D1B">
        <w:t>300 highlights focus</w:t>
      </w:r>
      <w:r w:rsidR="00C07968">
        <w:t>ing</w:t>
      </w:r>
      <w:r w:rsidR="00834179" w:rsidRPr="00260D1B">
        <w:t xml:space="preserve"> explicitly on the virus </w:t>
      </w:r>
      <w:r w:rsidR="00C07968" w:rsidRPr="00260D1B">
        <w:t>were</w:t>
      </w:r>
      <w:r w:rsidR="00834179" w:rsidRPr="00260D1B">
        <w:t xml:space="preserve"> collected by a search </w:t>
      </w:r>
      <w:r w:rsidRPr="00260D1B">
        <w:t>for the Keywords “C</w:t>
      </w:r>
      <w:r w:rsidR="000C0E9C" w:rsidRPr="00260D1B">
        <w:t>ovid</w:t>
      </w:r>
      <w:r w:rsidRPr="00260D1B">
        <w:t xml:space="preserve">-19, SARS-CoV-2, Coronavirus 2019, Corona Virus 2019, novel coronavirus or 2019-nCoV”, </w:t>
      </w:r>
      <w:r w:rsidRPr="00260D1B">
        <w:lastRenderedPageBreak/>
        <w:t xml:space="preserve">following </w:t>
      </w:r>
      <w:r w:rsidR="00454B5F">
        <w:t>Author 2</w:t>
      </w:r>
      <w:r w:rsidRPr="00260D1B">
        <w:t xml:space="preserve"> and </w:t>
      </w:r>
      <w:r w:rsidR="00454B5F">
        <w:t>Other</w:t>
      </w:r>
      <w:r w:rsidRPr="00260D1B">
        <w:t xml:space="preserve"> (2021). In addition to containing these keywords, our criteria were that the highlights:</w:t>
      </w:r>
    </w:p>
    <w:p w14:paraId="7C7B6E48" w14:textId="77777777" w:rsidR="00B33559" w:rsidRPr="00260D1B" w:rsidRDefault="00B33559" w:rsidP="00834179">
      <w:pPr>
        <w:spacing w:line="360" w:lineRule="auto"/>
        <w:ind w:left="709" w:right="231"/>
      </w:pPr>
      <w:r w:rsidRPr="00260D1B">
        <w:t>1) were written in English;</w:t>
      </w:r>
    </w:p>
    <w:p w14:paraId="2642B6B2" w14:textId="77777777" w:rsidR="00B33559" w:rsidRPr="00260D1B" w:rsidRDefault="00B33559" w:rsidP="00834179">
      <w:pPr>
        <w:spacing w:line="360" w:lineRule="auto"/>
        <w:ind w:left="709" w:right="231"/>
      </w:pPr>
      <w:r w:rsidRPr="00260D1B">
        <w:t xml:space="preserve">2) were written by different authors; </w:t>
      </w:r>
    </w:p>
    <w:p w14:paraId="5EB30779" w14:textId="03C20BCB" w:rsidR="001A7296" w:rsidRPr="00260D1B" w:rsidRDefault="00B33559" w:rsidP="00834179">
      <w:pPr>
        <w:spacing w:line="360" w:lineRule="auto"/>
        <w:ind w:left="709" w:right="231"/>
        <w:rPr>
          <w:sz w:val="48"/>
          <w:szCs w:val="48"/>
        </w:rPr>
      </w:pPr>
      <w:r w:rsidRPr="00260D1B">
        <w:t>3) reported research on medical Covid-19 issues.</w:t>
      </w:r>
    </w:p>
    <w:p w14:paraId="1B02C06B" w14:textId="77777777" w:rsidR="009329E9" w:rsidRPr="00260D1B" w:rsidRDefault="009329E9" w:rsidP="009329E9">
      <w:pPr>
        <w:spacing w:line="360" w:lineRule="auto"/>
        <w:ind w:right="231"/>
      </w:pPr>
    </w:p>
    <w:p w14:paraId="190C7295" w14:textId="4B3DA96F" w:rsidR="00B33559" w:rsidRDefault="001A7296" w:rsidP="009329E9">
      <w:pPr>
        <w:spacing w:line="360" w:lineRule="auto"/>
        <w:ind w:right="231"/>
      </w:pPr>
      <w:r w:rsidRPr="00260D1B">
        <w:t>Stratified random sampling was then used to col</w:t>
      </w:r>
      <w:r w:rsidRPr="00260D1B">
        <w:softHyphen/>
        <w:t>lect highlights from each journal</w:t>
      </w:r>
      <w:r w:rsidR="00B33559" w:rsidRPr="00260D1B">
        <w:t xml:space="preserve">. </w:t>
      </w:r>
      <w:r w:rsidR="00834179" w:rsidRPr="00260D1B">
        <w:t xml:space="preserve">We also built a reference corpus of 300 </w:t>
      </w:r>
      <w:r w:rsidR="009329E9" w:rsidRPr="00260D1B">
        <w:t xml:space="preserve">highlights from articles in the same 16 journals dealing with other medical issues for purposes of </w:t>
      </w:r>
      <w:r w:rsidR="00B33559" w:rsidRPr="00260D1B">
        <w:t xml:space="preserve">comparison. </w:t>
      </w:r>
      <w:r w:rsidR="009D30BB" w:rsidRPr="00260D1B">
        <w:t xml:space="preserve">Stratified random sampling was also adopted to </w:t>
      </w:r>
      <w:r w:rsidR="009329E9" w:rsidRPr="00260D1B">
        <w:t xml:space="preserve">select </w:t>
      </w:r>
      <w:r w:rsidR="009D30BB" w:rsidRPr="00260D1B">
        <w:t xml:space="preserve">them. </w:t>
      </w:r>
      <w:r w:rsidR="009329E9" w:rsidRPr="00260D1B">
        <w:t>T</w:t>
      </w:r>
      <w:r w:rsidR="00747578" w:rsidRPr="00260D1B">
        <w:t>he highlight corpus comprised 600 texts of 31,</w:t>
      </w:r>
      <w:r w:rsidR="009D30BB" w:rsidRPr="00260D1B">
        <w:t>8</w:t>
      </w:r>
      <w:r w:rsidR="00452FCB" w:rsidRPr="00260D1B">
        <w:t xml:space="preserve">67 </w:t>
      </w:r>
      <w:r w:rsidR="00747578" w:rsidRPr="00260D1B">
        <w:t>words. Details are given in Table 1.</w:t>
      </w:r>
    </w:p>
    <w:p w14:paraId="1799D374" w14:textId="77777777" w:rsidR="001840CF" w:rsidRPr="00260D1B" w:rsidRDefault="001840CF" w:rsidP="009329E9">
      <w:pPr>
        <w:spacing w:line="360" w:lineRule="auto"/>
        <w:ind w:right="231"/>
      </w:pPr>
    </w:p>
    <w:p w14:paraId="39144696" w14:textId="1B225AA4" w:rsidR="006955DA" w:rsidRPr="00260D1B" w:rsidRDefault="006955DA" w:rsidP="005B1B5B">
      <w:pPr>
        <w:spacing w:line="360" w:lineRule="auto"/>
        <w:ind w:right="231"/>
      </w:pPr>
      <w:r w:rsidRPr="00260D1B">
        <w:rPr>
          <w:b/>
          <w:bCs/>
        </w:rPr>
        <w:t>Table 1.</w:t>
      </w:r>
      <w:r w:rsidRPr="00260D1B">
        <w:rPr>
          <w:b/>
          <w:bCs/>
          <w:sz w:val="28"/>
          <w:szCs w:val="28"/>
        </w:rPr>
        <w:t xml:space="preserve"> </w:t>
      </w:r>
      <w:r w:rsidRPr="00260D1B">
        <w:t>Corp</w:t>
      </w:r>
      <w:r w:rsidR="00553AA7" w:rsidRPr="00260D1B">
        <w:t>ora</w:t>
      </w:r>
      <w:r w:rsidRPr="00260D1B">
        <w:t xml:space="preserve"> size</w:t>
      </w:r>
      <w:r w:rsidR="00553AA7" w:rsidRPr="00260D1B">
        <w:t>s</w:t>
      </w:r>
      <w:r w:rsidRPr="00260D1B">
        <w:t xml:space="preserve"> and composition</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3260"/>
      </w:tblGrid>
      <w:tr w:rsidR="00260D1B" w:rsidRPr="00260D1B" w14:paraId="504B737B" w14:textId="77777777" w:rsidTr="006955DA">
        <w:tc>
          <w:tcPr>
            <w:tcW w:w="2972" w:type="dxa"/>
          </w:tcPr>
          <w:p w14:paraId="4AE93AC5" w14:textId="38BC99A8" w:rsidR="006955DA" w:rsidRPr="00260D1B" w:rsidRDefault="006955DA" w:rsidP="005B1B5B">
            <w:pPr>
              <w:spacing w:line="360" w:lineRule="auto"/>
              <w:ind w:right="231"/>
              <w:rPr>
                <w:b/>
                <w:bCs/>
              </w:rPr>
            </w:pPr>
          </w:p>
        </w:tc>
        <w:tc>
          <w:tcPr>
            <w:tcW w:w="3119" w:type="dxa"/>
            <w:tcBorders>
              <w:top w:val="single" w:sz="4" w:space="0" w:color="auto"/>
              <w:bottom w:val="single" w:sz="4" w:space="0" w:color="auto"/>
            </w:tcBorders>
          </w:tcPr>
          <w:p w14:paraId="0C5D1F81" w14:textId="2DDC57A1" w:rsidR="006955DA" w:rsidRPr="00260D1B" w:rsidRDefault="006955DA" w:rsidP="005B1B5B">
            <w:pPr>
              <w:spacing w:line="360" w:lineRule="auto"/>
              <w:ind w:right="231"/>
              <w:jc w:val="center"/>
            </w:pPr>
            <w:r w:rsidRPr="00260D1B">
              <w:t>Number of highlights</w:t>
            </w:r>
          </w:p>
        </w:tc>
        <w:tc>
          <w:tcPr>
            <w:tcW w:w="3260" w:type="dxa"/>
            <w:tcBorders>
              <w:top w:val="single" w:sz="4" w:space="0" w:color="auto"/>
              <w:bottom w:val="single" w:sz="4" w:space="0" w:color="auto"/>
            </w:tcBorders>
          </w:tcPr>
          <w:p w14:paraId="6B8E61D1" w14:textId="791A940D" w:rsidR="006955DA" w:rsidRPr="00260D1B" w:rsidRDefault="006955DA" w:rsidP="005B1B5B">
            <w:pPr>
              <w:spacing w:line="360" w:lineRule="auto"/>
              <w:ind w:right="231"/>
              <w:jc w:val="center"/>
            </w:pPr>
            <w:r w:rsidRPr="00260D1B">
              <w:t>Total words</w:t>
            </w:r>
          </w:p>
        </w:tc>
      </w:tr>
      <w:tr w:rsidR="00260D1B" w:rsidRPr="00260D1B" w14:paraId="6841C499" w14:textId="77777777" w:rsidTr="006955DA">
        <w:tc>
          <w:tcPr>
            <w:tcW w:w="2972" w:type="dxa"/>
          </w:tcPr>
          <w:p w14:paraId="799A0687" w14:textId="0450C451" w:rsidR="006955DA" w:rsidRPr="00260D1B" w:rsidRDefault="006955DA" w:rsidP="005B1B5B">
            <w:pPr>
              <w:spacing w:line="360" w:lineRule="auto"/>
              <w:ind w:right="231"/>
            </w:pPr>
            <w:r w:rsidRPr="00260D1B">
              <w:t>C</w:t>
            </w:r>
            <w:r w:rsidR="000C0E9C" w:rsidRPr="00260D1B">
              <w:t>ovid</w:t>
            </w:r>
            <w:r w:rsidRPr="00260D1B">
              <w:t xml:space="preserve"> highlight corpus</w:t>
            </w:r>
          </w:p>
        </w:tc>
        <w:tc>
          <w:tcPr>
            <w:tcW w:w="3119" w:type="dxa"/>
            <w:tcBorders>
              <w:top w:val="single" w:sz="4" w:space="0" w:color="auto"/>
            </w:tcBorders>
          </w:tcPr>
          <w:p w14:paraId="0F39085C" w14:textId="2AFFD41E" w:rsidR="006955DA" w:rsidRPr="00260D1B" w:rsidRDefault="006955DA" w:rsidP="005B1B5B">
            <w:pPr>
              <w:spacing w:line="360" w:lineRule="auto"/>
              <w:ind w:right="231"/>
              <w:jc w:val="center"/>
            </w:pPr>
            <w:r w:rsidRPr="00260D1B">
              <w:t>300</w:t>
            </w:r>
          </w:p>
        </w:tc>
        <w:tc>
          <w:tcPr>
            <w:tcW w:w="3260" w:type="dxa"/>
            <w:tcBorders>
              <w:top w:val="single" w:sz="4" w:space="0" w:color="auto"/>
            </w:tcBorders>
          </w:tcPr>
          <w:p w14:paraId="1A0260A1" w14:textId="4AD4971B" w:rsidR="006955DA" w:rsidRPr="00260D1B" w:rsidRDefault="006955DA" w:rsidP="005B1B5B">
            <w:pPr>
              <w:spacing w:line="360" w:lineRule="auto"/>
              <w:ind w:right="231"/>
              <w:jc w:val="center"/>
              <w:rPr>
                <w:b/>
                <w:bCs/>
                <w:sz w:val="28"/>
                <w:szCs w:val="28"/>
              </w:rPr>
            </w:pPr>
            <w:r w:rsidRPr="00260D1B">
              <w:t>16,667</w:t>
            </w:r>
          </w:p>
        </w:tc>
      </w:tr>
      <w:tr w:rsidR="00260D1B" w:rsidRPr="00260D1B" w14:paraId="73EEB9B7" w14:textId="77777777" w:rsidTr="006955DA">
        <w:tc>
          <w:tcPr>
            <w:tcW w:w="2972" w:type="dxa"/>
          </w:tcPr>
          <w:p w14:paraId="3E1FFFB1" w14:textId="32D4D231" w:rsidR="006955DA" w:rsidRPr="00260D1B" w:rsidRDefault="006955DA" w:rsidP="005B1B5B">
            <w:pPr>
              <w:spacing w:line="360" w:lineRule="auto"/>
              <w:ind w:right="231"/>
            </w:pPr>
            <w:r w:rsidRPr="00260D1B">
              <w:t xml:space="preserve">Reference corpus </w:t>
            </w:r>
          </w:p>
        </w:tc>
        <w:tc>
          <w:tcPr>
            <w:tcW w:w="3119" w:type="dxa"/>
          </w:tcPr>
          <w:p w14:paraId="78D1446F" w14:textId="0D19B8FE" w:rsidR="006955DA" w:rsidRPr="00260D1B" w:rsidRDefault="006955DA" w:rsidP="005B1B5B">
            <w:pPr>
              <w:spacing w:line="360" w:lineRule="auto"/>
              <w:ind w:right="231"/>
              <w:jc w:val="center"/>
            </w:pPr>
            <w:r w:rsidRPr="00260D1B">
              <w:t>300</w:t>
            </w:r>
          </w:p>
        </w:tc>
        <w:tc>
          <w:tcPr>
            <w:tcW w:w="3260" w:type="dxa"/>
          </w:tcPr>
          <w:p w14:paraId="0F3B606C" w14:textId="3E2C18E0" w:rsidR="006955DA" w:rsidRPr="00260D1B" w:rsidRDefault="006955DA" w:rsidP="005B1B5B">
            <w:pPr>
              <w:spacing w:line="360" w:lineRule="auto"/>
              <w:ind w:right="231"/>
              <w:jc w:val="center"/>
            </w:pPr>
            <w:r w:rsidRPr="00260D1B">
              <w:t>15,2</w:t>
            </w:r>
            <w:r w:rsidR="00452FCB" w:rsidRPr="00260D1B">
              <w:t>00</w:t>
            </w:r>
          </w:p>
        </w:tc>
      </w:tr>
      <w:tr w:rsidR="006955DA" w:rsidRPr="00260D1B" w14:paraId="763E45A2" w14:textId="77777777" w:rsidTr="006955DA">
        <w:tc>
          <w:tcPr>
            <w:tcW w:w="2972" w:type="dxa"/>
          </w:tcPr>
          <w:p w14:paraId="3243FEC4" w14:textId="1D49F159" w:rsidR="006955DA" w:rsidRPr="00260D1B" w:rsidRDefault="006955DA" w:rsidP="005B1B5B">
            <w:pPr>
              <w:spacing w:line="360" w:lineRule="auto"/>
              <w:ind w:right="231"/>
              <w:rPr>
                <w:b/>
                <w:bCs/>
              </w:rPr>
            </w:pPr>
            <w:r w:rsidRPr="00260D1B">
              <w:rPr>
                <w:b/>
                <w:bCs/>
              </w:rPr>
              <w:t xml:space="preserve">Total </w:t>
            </w:r>
          </w:p>
        </w:tc>
        <w:tc>
          <w:tcPr>
            <w:tcW w:w="3119" w:type="dxa"/>
          </w:tcPr>
          <w:p w14:paraId="6945205B" w14:textId="7EE6B73D" w:rsidR="006955DA" w:rsidRPr="00260D1B" w:rsidRDefault="006955DA" w:rsidP="005B1B5B">
            <w:pPr>
              <w:spacing w:line="360" w:lineRule="auto"/>
              <w:ind w:right="231"/>
              <w:jc w:val="center"/>
            </w:pPr>
            <w:r w:rsidRPr="00260D1B">
              <w:t>600</w:t>
            </w:r>
          </w:p>
        </w:tc>
        <w:tc>
          <w:tcPr>
            <w:tcW w:w="3260" w:type="dxa"/>
          </w:tcPr>
          <w:p w14:paraId="1BF73879" w14:textId="2B164DC2" w:rsidR="006955DA" w:rsidRPr="00260D1B" w:rsidRDefault="006955DA" w:rsidP="005B1B5B">
            <w:pPr>
              <w:spacing w:line="360" w:lineRule="auto"/>
              <w:ind w:right="231"/>
              <w:jc w:val="center"/>
              <w:rPr>
                <w:b/>
                <w:bCs/>
                <w:sz w:val="28"/>
                <w:szCs w:val="28"/>
              </w:rPr>
            </w:pPr>
            <w:r w:rsidRPr="00260D1B">
              <w:rPr>
                <w:b/>
                <w:bCs/>
              </w:rPr>
              <w:t>31,8</w:t>
            </w:r>
            <w:r w:rsidR="00452FCB" w:rsidRPr="00260D1B">
              <w:rPr>
                <w:b/>
                <w:bCs/>
              </w:rPr>
              <w:t>67</w:t>
            </w:r>
          </w:p>
        </w:tc>
      </w:tr>
    </w:tbl>
    <w:p w14:paraId="05CDEFC1" w14:textId="77777777" w:rsidR="004B0268" w:rsidRPr="00260D1B" w:rsidRDefault="004B0268" w:rsidP="00C07968">
      <w:pPr>
        <w:ind w:right="231"/>
        <w:rPr>
          <w:b/>
          <w:bCs/>
          <w:sz w:val="28"/>
          <w:szCs w:val="28"/>
        </w:rPr>
      </w:pPr>
    </w:p>
    <w:p w14:paraId="0EB1840E" w14:textId="2E2CBFFC" w:rsidR="004B0268" w:rsidRPr="00260D1B" w:rsidRDefault="004B0268" w:rsidP="005B1B5B">
      <w:pPr>
        <w:spacing w:line="360" w:lineRule="auto"/>
        <w:ind w:right="231"/>
        <w:rPr>
          <w:b/>
          <w:bCs/>
        </w:rPr>
      </w:pPr>
      <w:r w:rsidRPr="00260D1B">
        <w:rPr>
          <w:b/>
          <w:bCs/>
        </w:rPr>
        <w:t>4.2 Annotation and analysis</w:t>
      </w:r>
    </w:p>
    <w:p w14:paraId="4B23C79B" w14:textId="041762C8" w:rsidR="004B0268" w:rsidRPr="00260D1B" w:rsidRDefault="004B0268" w:rsidP="005B1B5B">
      <w:pPr>
        <w:spacing w:line="360" w:lineRule="auto"/>
        <w:ind w:right="231"/>
      </w:pPr>
      <w:r w:rsidRPr="00260D1B">
        <w:t>We analyse</w:t>
      </w:r>
      <w:r w:rsidR="009329E9" w:rsidRPr="00260D1B">
        <w:t>d</w:t>
      </w:r>
      <w:r w:rsidRPr="00260D1B">
        <w:t xml:space="preserve"> the corpora using </w:t>
      </w:r>
      <w:r w:rsidR="00454B5F">
        <w:t>Author 2</w:t>
      </w:r>
      <w:r w:rsidRPr="00260D1B">
        <w:t>’s (2005) stance model as this has proved useful to researchers studying a range of genres as diverse as research articles (e.g., McGrath &amp; Kuteeva, 2012) and online book reviews (</w:t>
      </w:r>
      <w:r w:rsidR="00454B5F">
        <w:t>Author 1</w:t>
      </w:r>
      <w:r w:rsidRPr="00260D1B">
        <w:t xml:space="preserve"> &amp; </w:t>
      </w:r>
      <w:r w:rsidR="00454B5F">
        <w:t>Author 2</w:t>
      </w:r>
      <w:r w:rsidRPr="00260D1B">
        <w:t>, 2022</w:t>
      </w:r>
      <w:r w:rsidR="000523A5" w:rsidRPr="00260D1B">
        <w:t>a</w:t>
      </w:r>
      <w:r w:rsidRPr="00260D1B">
        <w:t>) to 3-minute theses (</w:t>
      </w:r>
      <w:r w:rsidR="00454B5F">
        <w:t>Author 2</w:t>
      </w:r>
      <w:r w:rsidRPr="00260D1B">
        <w:t xml:space="preserve"> &amp; </w:t>
      </w:r>
      <w:r w:rsidR="00454B5F">
        <w:t>Author 2</w:t>
      </w:r>
      <w:r w:rsidRPr="00260D1B">
        <w:t>, 2022</w:t>
      </w:r>
      <w:r w:rsidR="000523A5" w:rsidRPr="00260D1B">
        <w:t>b</w:t>
      </w:r>
      <w:r w:rsidRPr="00260D1B">
        <w:t xml:space="preserve">) and TED talks (Scotto di Carlo, 2014). The model comprises four broad functional categories: </w:t>
      </w:r>
    </w:p>
    <w:p w14:paraId="36AD59D4" w14:textId="414102AD" w:rsidR="004B0268" w:rsidRPr="00260D1B" w:rsidRDefault="004B0268" w:rsidP="005B1B5B">
      <w:pPr>
        <w:pStyle w:val="ListParagraph"/>
        <w:numPr>
          <w:ilvl w:val="0"/>
          <w:numId w:val="1"/>
        </w:numPr>
        <w:spacing w:line="360" w:lineRule="auto"/>
        <w:ind w:left="720" w:right="231" w:hanging="360"/>
      </w:pPr>
      <w:r w:rsidRPr="00260D1B">
        <w:rPr>
          <w:b/>
          <w:bCs/>
        </w:rPr>
        <w:t>Hedges</w:t>
      </w:r>
      <w:r w:rsidRPr="00260D1B">
        <w:t xml:space="preserve"> withhold complete commitment to a proposition and open a space </w:t>
      </w:r>
      <w:r w:rsidR="008911AF">
        <w:t>for</w:t>
      </w:r>
      <w:r w:rsidRPr="00260D1B">
        <w:t xml:space="preserve"> others to dispute interpretations.</w:t>
      </w:r>
    </w:p>
    <w:p w14:paraId="335BEFA9" w14:textId="77777777" w:rsidR="004B0268" w:rsidRPr="00260D1B" w:rsidRDefault="004B0268" w:rsidP="005B1B5B">
      <w:pPr>
        <w:pStyle w:val="ListParagraph"/>
        <w:numPr>
          <w:ilvl w:val="0"/>
          <w:numId w:val="1"/>
        </w:numPr>
        <w:spacing w:line="360" w:lineRule="auto"/>
        <w:ind w:left="720" w:right="231" w:hanging="360"/>
      </w:pPr>
      <w:r w:rsidRPr="00260D1B">
        <w:rPr>
          <w:b/>
          <w:bCs/>
        </w:rPr>
        <w:t xml:space="preserve">Boosters </w:t>
      </w:r>
      <w:r w:rsidRPr="00260D1B">
        <w:t>help writers/speakers present their work with assurance and shut down alternative voices.</w:t>
      </w:r>
    </w:p>
    <w:p w14:paraId="6905F178" w14:textId="71D8B503" w:rsidR="004B0268" w:rsidRPr="00260D1B" w:rsidRDefault="004B0268" w:rsidP="005B1B5B">
      <w:pPr>
        <w:pStyle w:val="ListParagraph"/>
        <w:numPr>
          <w:ilvl w:val="0"/>
          <w:numId w:val="1"/>
        </w:numPr>
        <w:spacing w:line="360" w:lineRule="auto"/>
        <w:ind w:left="720" w:right="231" w:hanging="360"/>
      </w:pPr>
      <w:r w:rsidRPr="00260D1B">
        <w:rPr>
          <w:b/>
          <w:bCs/>
        </w:rPr>
        <w:t>Attitude markers</w:t>
      </w:r>
      <w:r w:rsidRPr="00260D1B">
        <w:t xml:space="preserve"> indicate affective, rather than epistemic, attitudes, conveying surprise, agreement, frustration</w:t>
      </w:r>
      <w:r w:rsidR="008911AF">
        <w:t>, etc.</w:t>
      </w:r>
    </w:p>
    <w:p w14:paraId="240D88F3" w14:textId="4ECDC932" w:rsidR="004B0268" w:rsidRPr="00260D1B" w:rsidRDefault="004B0268" w:rsidP="005B1B5B">
      <w:pPr>
        <w:pStyle w:val="ListParagraph"/>
        <w:numPr>
          <w:ilvl w:val="0"/>
          <w:numId w:val="1"/>
        </w:numPr>
        <w:spacing w:line="360" w:lineRule="auto"/>
        <w:ind w:left="720" w:right="231" w:hanging="360"/>
      </w:pPr>
      <w:r w:rsidRPr="00260D1B">
        <w:rPr>
          <w:b/>
          <w:bCs/>
        </w:rPr>
        <w:t>Self-mention</w:t>
      </w:r>
      <w:r w:rsidRPr="00260D1B">
        <w:t xml:space="preserve"> is the writers/speaker’s intrusion in the text </w:t>
      </w:r>
      <w:r w:rsidR="008911AF" w:rsidRPr="00260D1B">
        <w:t xml:space="preserve">to emphasize their contribution </w:t>
      </w:r>
      <w:r w:rsidRPr="00260D1B">
        <w:t>through use of first-person.</w:t>
      </w:r>
    </w:p>
    <w:p w14:paraId="364B8B86" w14:textId="7918E505" w:rsidR="004B0268" w:rsidRDefault="004B0268" w:rsidP="005B1B5B">
      <w:pPr>
        <w:spacing w:line="360" w:lineRule="auto"/>
        <w:ind w:right="231"/>
      </w:pPr>
      <w:r w:rsidRPr="00260D1B">
        <w:rPr>
          <w:rFonts w:eastAsia="SimSun"/>
          <w:kern w:val="1"/>
        </w:rPr>
        <w:lastRenderedPageBreak/>
        <w:t>The formal resources within these categories</w:t>
      </w:r>
      <w:r w:rsidRPr="00260D1B">
        <w:t xml:space="preserve"> provide writers with what </w:t>
      </w:r>
      <w:r w:rsidR="00454B5F">
        <w:t>Author 2</w:t>
      </w:r>
      <w:r w:rsidRPr="00260D1B">
        <w:t xml:space="preserve"> (2005: 41) refers to as a writer’s “armoury of rhetorical appeals” - or strategies for arguing and persuading. </w:t>
      </w:r>
    </w:p>
    <w:p w14:paraId="74E2A6DB" w14:textId="77777777" w:rsidR="001840CF" w:rsidRPr="00260D1B" w:rsidRDefault="001840CF" w:rsidP="005B1B5B">
      <w:pPr>
        <w:spacing w:line="360" w:lineRule="auto"/>
        <w:ind w:right="231"/>
      </w:pPr>
    </w:p>
    <w:p w14:paraId="740CE7FD" w14:textId="1778AAEC" w:rsidR="004B0268" w:rsidRPr="00C07968" w:rsidRDefault="004B0268" w:rsidP="005B1B5B">
      <w:pPr>
        <w:spacing w:line="360" w:lineRule="auto"/>
        <w:ind w:right="231"/>
      </w:pPr>
      <w:r w:rsidRPr="00C07968">
        <w:t xml:space="preserve">The </w:t>
      </w:r>
      <w:r w:rsidR="00A46DA3" w:rsidRPr="00C07968">
        <w:t>C</w:t>
      </w:r>
      <w:r w:rsidR="00C65B1B" w:rsidRPr="00C07968">
        <w:t>OVID</w:t>
      </w:r>
      <w:r w:rsidR="00A46DA3" w:rsidRPr="00C07968">
        <w:t xml:space="preserve"> and non-C</w:t>
      </w:r>
      <w:r w:rsidR="00C65B1B" w:rsidRPr="00C07968">
        <w:t>OVID</w:t>
      </w:r>
      <w:r w:rsidR="00A46DA3" w:rsidRPr="00C07968">
        <w:t xml:space="preserve"> highlights </w:t>
      </w:r>
      <w:r w:rsidRPr="00C07968">
        <w:t xml:space="preserve">corpora were searched for features identified by </w:t>
      </w:r>
      <w:r w:rsidR="00454B5F">
        <w:t>Author 2</w:t>
      </w:r>
      <w:r w:rsidRPr="00C07968">
        <w:t xml:space="preserve"> (2005) using AntConc (Anthony, 20</w:t>
      </w:r>
      <w:r w:rsidR="001778F8" w:rsidRPr="00C07968">
        <w:t>22</w:t>
      </w:r>
      <w:r w:rsidRPr="00C07968">
        <w:t xml:space="preserve">). This inventory </w:t>
      </w:r>
      <w:r w:rsidR="00540EE0" w:rsidRPr="00C07968">
        <w:t>consist</w:t>
      </w:r>
      <w:r w:rsidR="00540EE0">
        <w:t>ed</w:t>
      </w:r>
      <w:r w:rsidR="00540EE0" w:rsidRPr="00C07968">
        <w:t xml:space="preserve"> of</w:t>
      </w:r>
      <w:r w:rsidRPr="00C07968">
        <w:t xml:space="preserve"> 350 </w:t>
      </w:r>
      <w:r w:rsidR="00EE67EB">
        <w:t>high frequency</w:t>
      </w:r>
      <w:r w:rsidRPr="00C07968">
        <w:t xml:space="preserve"> stance features together with additional items added by the authors after </w:t>
      </w:r>
      <w:r w:rsidR="00EE67EB">
        <w:t>studying the corpus</w:t>
      </w:r>
      <w:r w:rsidRPr="00C07968">
        <w:t xml:space="preserve">. Next, all retrieved items were concordanced and manually checked to ensure that they performed the stance function </w:t>
      </w:r>
      <w:r w:rsidR="00540EE0">
        <w:t xml:space="preserve">we had assigned them using the </w:t>
      </w:r>
      <w:r w:rsidRPr="00C07968">
        <w:t xml:space="preserve">list above. A </w:t>
      </w:r>
      <w:r w:rsidR="00EE67EB">
        <w:t>30</w:t>
      </w:r>
      <w:r w:rsidRPr="00C07968">
        <w:t xml:space="preserve">% sample was then independently coded by each author, with an inter-rater agreement of 96%. </w:t>
      </w:r>
      <w:r w:rsidR="00540EE0">
        <w:t>Each author conducted an i</w:t>
      </w:r>
      <w:r w:rsidRPr="00C07968">
        <w:t xml:space="preserve">ntra-reliability test </w:t>
      </w:r>
      <w:r w:rsidR="00540EE0">
        <w:t>by</w:t>
      </w:r>
      <w:r w:rsidRPr="00C07968">
        <w:t xml:space="preserve"> re-categorizing 25% of the cases two weeks after the initial coding with full agreement between </w:t>
      </w:r>
      <w:r w:rsidR="00540EE0">
        <w:t>the two</w:t>
      </w:r>
      <w:r w:rsidRPr="00C07968">
        <w:t xml:space="preserve"> categorizations. Finally, the frequencies of each feature were calculated after normalizing the results to 1000 words to allow for cross-corpora comparison. Statistical significance of the results was determined using the Student t-test in SPSS (version: IBM SPSS Statistics 24). The results are discussed in the following sections.</w:t>
      </w:r>
    </w:p>
    <w:p w14:paraId="17770F6A" w14:textId="4D9706A9" w:rsidR="00E63C3B" w:rsidRPr="00260D1B" w:rsidRDefault="00E63C3B" w:rsidP="005B1B5B">
      <w:pPr>
        <w:spacing w:line="360" w:lineRule="auto"/>
        <w:ind w:right="231"/>
        <w:rPr>
          <w:b/>
          <w:bCs/>
          <w:sz w:val="28"/>
          <w:szCs w:val="28"/>
        </w:rPr>
      </w:pPr>
    </w:p>
    <w:p w14:paraId="0889D420" w14:textId="2ABC06FF" w:rsidR="00E63C3B" w:rsidRPr="00260D1B" w:rsidRDefault="00E63C3B" w:rsidP="005B1B5B">
      <w:pPr>
        <w:spacing w:line="360" w:lineRule="auto"/>
        <w:ind w:right="231"/>
        <w:rPr>
          <w:b/>
          <w:bCs/>
          <w:sz w:val="28"/>
          <w:szCs w:val="28"/>
        </w:rPr>
      </w:pPr>
      <w:r w:rsidRPr="00260D1B">
        <w:rPr>
          <w:b/>
          <w:bCs/>
          <w:sz w:val="28"/>
          <w:szCs w:val="28"/>
        </w:rPr>
        <w:t xml:space="preserve">5. Stance: results and discussion </w:t>
      </w:r>
    </w:p>
    <w:p w14:paraId="33238C47" w14:textId="1E048CDE" w:rsidR="00E84C40" w:rsidRPr="007C49D3" w:rsidRDefault="00594687" w:rsidP="00E84C40">
      <w:pPr>
        <w:spacing w:line="360" w:lineRule="auto"/>
        <w:ind w:right="231"/>
      </w:pPr>
      <w:r w:rsidRPr="007C49D3">
        <w:t xml:space="preserve">Overall, we found </w:t>
      </w:r>
      <w:r w:rsidR="00452FCB" w:rsidRPr="007C49D3">
        <w:t>7</w:t>
      </w:r>
      <w:r w:rsidR="006C58AE" w:rsidRPr="007C49D3">
        <w:t>0</w:t>
      </w:r>
      <w:r w:rsidR="00166229" w:rsidRPr="007C49D3">
        <w:t>1</w:t>
      </w:r>
      <w:r w:rsidR="008D1DFC" w:rsidRPr="007C49D3">
        <w:t xml:space="preserve"> </w:t>
      </w:r>
      <w:r w:rsidRPr="007C49D3">
        <w:t>stance devices in the</w:t>
      </w:r>
      <w:r w:rsidRPr="007C49D3">
        <w:rPr>
          <w:i/>
          <w:iCs/>
        </w:rPr>
        <w:t xml:space="preserve"> </w:t>
      </w:r>
      <w:r w:rsidR="00452FCB" w:rsidRPr="007C49D3">
        <w:t>COVID</w:t>
      </w:r>
      <w:r w:rsidRPr="007C49D3">
        <w:t xml:space="preserve"> </w:t>
      </w:r>
      <w:r w:rsidR="00452FCB" w:rsidRPr="007C49D3">
        <w:t xml:space="preserve">highlight corpus </w:t>
      </w:r>
      <w:r w:rsidRPr="007C49D3">
        <w:t>and</w:t>
      </w:r>
      <w:r w:rsidR="00452FCB" w:rsidRPr="007C49D3">
        <w:t xml:space="preserve"> 4</w:t>
      </w:r>
      <w:r w:rsidR="006C58AE" w:rsidRPr="007C49D3">
        <w:t>4</w:t>
      </w:r>
      <w:r w:rsidR="001E0E6D" w:rsidRPr="007C49D3">
        <w:t>6</w:t>
      </w:r>
      <w:r w:rsidR="00452FCB" w:rsidRPr="007C49D3">
        <w:t xml:space="preserve"> </w:t>
      </w:r>
      <w:r w:rsidRPr="007C49D3">
        <w:t>in</w:t>
      </w:r>
      <w:r w:rsidR="00452FCB" w:rsidRPr="007C49D3">
        <w:t xml:space="preserve"> the reference corpus</w:t>
      </w:r>
      <w:r w:rsidRPr="007C49D3">
        <w:t xml:space="preserve">. This </w:t>
      </w:r>
      <w:r w:rsidR="00E84C40" w:rsidRPr="007C49D3">
        <w:t>was</w:t>
      </w:r>
      <w:r w:rsidRPr="007C49D3">
        <w:t xml:space="preserve"> </w:t>
      </w:r>
      <w:r w:rsidR="006C58AE" w:rsidRPr="007C49D3">
        <w:t>42.</w:t>
      </w:r>
      <w:r w:rsidR="007D1A4B">
        <w:t>06</w:t>
      </w:r>
      <w:r w:rsidR="006C58AE" w:rsidRPr="007C49D3">
        <w:t xml:space="preserve"> </w:t>
      </w:r>
      <w:r w:rsidRPr="007C49D3">
        <w:t xml:space="preserve">items per 1,000 words in </w:t>
      </w:r>
      <w:r w:rsidR="00E84C40" w:rsidRPr="007C49D3">
        <w:t xml:space="preserve">the </w:t>
      </w:r>
      <w:r w:rsidR="007C49D3" w:rsidRPr="007C49D3">
        <w:t>former</w:t>
      </w:r>
      <w:r w:rsidRPr="007C49D3">
        <w:t xml:space="preserve"> compared with </w:t>
      </w:r>
      <w:r w:rsidR="006C58AE" w:rsidRPr="007C49D3">
        <w:t>29.</w:t>
      </w:r>
      <w:r w:rsidR="001E0E6D" w:rsidRPr="007C49D3">
        <w:t>3</w:t>
      </w:r>
      <w:r w:rsidR="007D1A4B">
        <w:t xml:space="preserve">4 </w:t>
      </w:r>
      <w:r w:rsidRPr="007C49D3">
        <w:t xml:space="preserve">in </w:t>
      </w:r>
      <w:r w:rsidR="007C49D3" w:rsidRPr="007C49D3">
        <w:t>the latter</w:t>
      </w:r>
      <w:r w:rsidRPr="007C49D3">
        <w:t>. The details are presented in Table 2.</w:t>
      </w:r>
      <w:r w:rsidR="00E84C40" w:rsidRPr="007C49D3">
        <w:t xml:space="preserve"> These frequencies make it clear that a</w:t>
      </w:r>
      <w:r w:rsidR="00CD5FF3" w:rsidRPr="007C49D3">
        <w:t>cademics</w:t>
      </w:r>
      <w:r w:rsidR="00E84C40" w:rsidRPr="007C49D3">
        <w:t xml:space="preserve"> are </w:t>
      </w:r>
      <w:r w:rsidR="00CD5FF3" w:rsidRPr="007C49D3">
        <w:t xml:space="preserve">clearly aware </w:t>
      </w:r>
      <w:r w:rsidR="00E84C40" w:rsidRPr="007C49D3">
        <w:t xml:space="preserve">of the persuasive function of highlights and the </w:t>
      </w:r>
      <w:r w:rsidR="00CD5FF3" w:rsidRPr="007C49D3">
        <w:t xml:space="preserve">need to </w:t>
      </w:r>
      <w:r w:rsidRPr="007C49D3">
        <w:t>convey a stance towards their topic and audiences</w:t>
      </w:r>
      <w:r w:rsidR="00E84C40" w:rsidRPr="007C49D3">
        <w:t>. This is</w:t>
      </w:r>
      <w:r w:rsidR="00FD6472" w:rsidRPr="007C49D3">
        <w:t xml:space="preserve"> especially</w:t>
      </w:r>
      <w:r w:rsidRPr="007C49D3">
        <w:t xml:space="preserve"> </w:t>
      </w:r>
      <w:r w:rsidR="00E84C40" w:rsidRPr="007C49D3">
        <w:t xml:space="preserve">the case when </w:t>
      </w:r>
      <w:r w:rsidRPr="007C49D3">
        <w:t>position</w:t>
      </w:r>
      <w:r w:rsidR="00E84C40" w:rsidRPr="007C49D3">
        <w:t>ing</w:t>
      </w:r>
      <w:r w:rsidRPr="007C49D3">
        <w:t xml:space="preserve"> themselves in relation to </w:t>
      </w:r>
      <w:r w:rsidR="00FD6472" w:rsidRPr="007C49D3">
        <w:t>the COVID</w:t>
      </w:r>
      <w:r w:rsidRPr="007C49D3">
        <w:t xml:space="preserve"> issues</w:t>
      </w:r>
      <w:r w:rsidR="007E6F51" w:rsidRPr="007C49D3">
        <w:t xml:space="preserve">, </w:t>
      </w:r>
      <w:r w:rsidR="00E84C40" w:rsidRPr="007C49D3">
        <w:t>with a significant difference in frequencies (</w:t>
      </w:r>
      <w:r w:rsidR="007D1A4B" w:rsidRPr="007C49D3">
        <w:t>log Likelihood =</w:t>
      </w:r>
      <w:r w:rsidR="007D1A4B">
        <w:t>35.08</w:t>
      </w:r>
      <w:r w:rsidR="007D1A4B" w:rsidRPr="007C49D3">
        <w:t>, p &lt;0.001</w:t>
      </w:r>
      <w:r w:rsidR="00E84C40" w:rsidRPr="007C49D3">
        <w:t>).</w:t>
      </w:r>
    </w:p>
    <w:p w14:paraId="4949A478" w14:textId="615B2D2C" w:rsidR="00E84C40" w:rsidRDefault="00E84C40" w:rsidP="00E84C40">
      <w:pPr>
        <w:spacing w:line="360" w:lineRule="auto"/>
        <w:ind w:right="231"/>
      </w:pPr>
    </w:p>
    <w:p w14:paraId="01E0D11F" w14:textId="28C34776" w:rsidR="001840CF" w:rsidRDefault="001840CF" w:rsidP="00E84C40">
      <w:pPr>
        <w:spacing w:line="360" w:lineRule="auto"/>
        <w:ind w:right="231"/>
      </w:pPr>
    </w:p>
    <w:p w14:paraId="6699525C" w14:textId="22F971C2" w:rsidR="001840CF" w:rsidRDefault="001840CF" w:rsidP="00E84C40">
      <w:pPr>
        <w:spacing w:line="360" w:lineRule="auto"/>
        <w:ind w:right="231"/>
      </w:pPr>
    </w:p>
    <w:p w14:paraId="568DED40" w14:textId="1DD39EEC" w:rsidR="001840CF" w:rsidRDefault="001840CF" w:rsidP="00E84C40">
      <w:pPr>
        <w:spacing w:line="360" w:lineRule="auto"/>
        <w:ind w:right="231"/>
      </w:pPr>
    </w:p>
    <w:p w14:paraId="5A848213" w14:textId="287EF18A" w:rsidR="001840CF" w:rsidRDefault="001840CF" w:rsidP="00E84C40">
      <w:pPr>
        <w:spacing w:line="360" w:lineRule="auto"/>
        <w:ind w:right="231"/>
      </w:pPr>
    </w:p>
    <w:p w14:paraId="2904FE6C" w14:textId="3FA12D0E" w:rsidR="001840CF" w:rsidRDefault="001840CF" w:rsidP="00E84C40">
      <w:pPr>
        <w:spacing w:line="360" w:lineRule="auto"/>
        <w:ind w:right="231"/>
      </w:pPr>
    </w:p>
    <w:p w14:paraId="254A584A" w14:textId="3029DF6F" w:rsidR="001840CF" w:rsidRDefault="001840CF" w:rsidP="00E84C40">
      <w:pPr>
        <w:spacing w:line="360" w:lineRule="auto"/>
        <w:ind w:right="231"/>
      </w:pPr>
    </w:p>
    <w:p w14:paraId="516D62EA" w14:textId="77777777" w:rsidR="001840CF" w:rsidRPr="00260D1B" w:rsidRDefault="001840CF" w:rsidP="00E84C40">
      <w:pPr>
        <w:spacing w:line="360" w:lineRule="auto"/>
        <w:ind w:right="231"/>
      </w:pPr>
    </w:p>
    <w:p w14:paraId="46B16CBA" w14:textId="70AC2AAA" w:rsidR="005B78A8" w:rsidRPr="00260D1B" w:rsidRDefault="005B78A8" w:rsidP="005B1B5B">
      <w:pPr>
        <w:spacing w:line="360" w:lineRule="auto"/>
        <w:ind w:right="231"/>
      </w:pPr>
      <w:r w:rsidRPr="00260D1B">
        <w:rPr>
          <w:b/>
          <w:bCs/>
        </w:rPr>
        <w:lastRenderedPageBreak/>
        <w:t>Table 2.</w:t>
      </w:r>
      <w:r w:rsidRPr="00260D1B">
        <w:t xml:space="preserve"> Stance features in </w:t>
      </w:r>
      <w:r w:rsidR="00553AA7" w:rsidRPr="00260D1B">
        <w:t xml:space="preserve">the </w:t>
      </w:r>
      <w:r w:rsidRPr="00260D1B">
        <w:t xml:space="preserve">two </w:t>
      </w:r>
      <w:r w:rsidR="00553AA7" w:rsidRPr="00260D1B">
        <w:t xml:space="preserve">highlight corpora </w:t>
      </w:r>
      <w:r w:rsidRPr="00260D1B">
        <w:t>(per 1000 words and %)</w:t>
      </w:r>
    </w:p>
    <w:tbl>
      <w:tblPr>
        <w:tblStyle w:val="TableGrid"/>
        <w:tblW w:w="9010" w:type="dxa"/>
        <w:tblLook w:val="04A0" w:firstRow="1" w:lastRow="0" w:firstColumn="1" w:lastColumn="0" w:noHBand="0" w:noVBand="1"/>
      </w:tblPr>
      <w:tblGrid>
        <w:gridCol w:w="2169"/>
        <w:gridCol w:w="1922"/>
        <w:gridCol w:w="1579"/>
        <w:gridCol w:w="1918"/>
        <w:gridCol w:w="1422"/>
      </w:tblGrid>
      <w:tr w:rsidR="007D1A4B" w:rsidRPr="00260D1B" w14:paraId="40EC393D" w14:textId="77777777" w:rsidTr="001840CF">
        <w:trPr>
          <w:trHeight w:val="502"/>
        </w:trPr>
        <w:tc>
          <w:tcPr>
            <w:tcW w:w="2169" w:type="dxa"/>
            <w:tcBorders>
              <w:left w:val="nil"/>
              <w:bottom w:val="nil"/>
              <w:right w:val="nil"/>
            </w:tcBorders>
          </w:tcPr>
          <w:p w14:paraId="0AB0E8B9" w14:textId="77777777" w:rsidR="007D1A4B" w:rsidRPr="00260D1B" w:rsidRDefault="007D1A4B" w:rsidP="001840CF">
            <w:pPr>
              <w:spacing w:line="360" w:lineRule="auto"/>
              <w:ind w:right="231"/>
              <w:rPr>
                <w:b/>
                <w:bCs/>
                <w:sz w:val="28"/>
                <w:szCs w:val="28"/>
              </w:rPr>
            </w:pPr>
          </w:p>
        </w:tc>
        <w:tc>
          <w:tcPr>
            <w:tcW w:w="3501" w:type="dxa"/>
            <w:gridSpan w:val="2"/>
            <w:tcBorders>
              <w:left w:val="nil"/>
              <w:bottom w:val="nil"/>
              <w:right w:val="nil"/>
            </w:tcBorders>
          </w:tcPr>
          <w:p w14:paraId="3FDCA9BE" w14:textId="77777777" w:rsidR="007D1A4B" w:rsidRPr="00260D1B" w:rsidRDefault="007D1A4B" w:rsidP="001840CF">
            <w:pPr>
              <w:spacing w:line="360" w:lineRule="auto"/>
              <w:ind w:right="231"/>
              <w:jc w:val="center"/>
              <w:rPr>
                <w:b/>
                <w:bCs/>
              </w:rPr>
            </w:pPr>
            <w:r w:rsidRPr="00260D1B">
              <w:rPr>
                <w:b/>
                <w:bCs/>
              </w:rPr>
              <w:t>Covid-19 highlights</w:t>
            </w:r>
          </w:p>
        </w:tc>
        <w:tc>
          <w:tcPr>
            <w:tcW w:w="3340" w:type="dxa"/>
            <w:gridSpan w:val="2"/>
            <w:tcBorders>
              <w:left w:val="nil"/>
              <w:bottom w:val="nil"/>
              <w:right w:val="nil"/>
            </w:tcBorders>
          </w:tcPr>
          <w:p w14:paraId="0F68C222" w14:textId="77777777" w:rsidR="007D1A4B" w:rsidRPr="00260D1B" w:rsidRDefault="007D1A4B" w:rsidP="001840CF">
            <w:pPr>
              <w:spacing w:line="360" w:lineRule="auto"/>
              <w:ind w:right="231"/>
              <w:jc w:val="center"/>
              <w:rPr>
                <w:b/>
                <w:bCs/>
              </w:rPr>
            </w:pPr>
            <w:r w:rsidRPr="00260D1B">
              <w:rPr>
                <w:b/>
                <w:bCs/>
              </w:rPr>
              <w:t>Reference highlights</w:t>
            </w:r>
          </w:p>
        </w:tc>
      </w:tr>
      <w:tr w:rsidR="007D1A4B" w:rsidRPr="00260D1B" w14:paraId="6D27FFFF" w14:textId="77777777" w:rsidTr="001840CF">
        <w:tc>
          <w:tcPr>
            <w:tcW w:w="2169" w:type="dxa"/>
            <w:tcBorders>
              <w:top w:val="nil"/>
              <w:left w:val="nil"/>
              <w:bottom w:val="nil"/>
              <w:right w:val="nil"/>
            </w:tcBorders>
          </w:tcPr>
          <w:p w14:paraId="415CBD6A" w14:textId="77777777" w:rsidR="007D1A4B" w:rsidRPr="00260D1B" w:rsidRDefault="007D1A4B" w:rsidP="001840CF">
            <w:pPr>
              <w:spacing w:line="360" w:lineRule="auto"/>
              <w:ind w:right="231"/>
              <w:rPr>
                <w:b/>
                <w:bCs/>
                <w:sz w:val="28"/>
                <w:szCs w:val="28"/>
              </w:rPr>
            </w:pPr>
          </w:p>
        </w:tc>
        <w:tc>
          <w:tcPr>
            <w:tcW w:w="1922" w:type="dxa"/>
            <w:tcBorders>
              <w:top w:val="nil"/>
              <w:left w:val="nil"/>
              <w:bottom w:val="single" w:sz="4" w:space="0" w:color="000000"/>
              <w:right w:val="nil"/>
            </w:tcBorders>
            <w:tcMar>
              <w:right w:w="-4" w:type="dxa"/>
            </w:tcMar>
          </w:tcPr>
          <w:p w14:paraId="1DDB66B3" w14:textId="77777777" w:rsidR="007D1A4B" w:rsidRPr="00260D1B" w:rsidRDefault="007D1A4B" w:rsidP="001840CF">
            <w:pPr>
              <w:spacing w:line="360" w:lineRule="auto"/>
              <w:ind w:right="231"/>
              <w:jc w:val="center"/>
            </w:pPr>
            <w:r w:rsidRPr="00260D1B">
              <w:t>per 1,000 words</w:t>
            </w:r>
          </w:p>
        </w:tc>
        <w:tc>
          <w:tcPr>
            <w:tcW w:w="1579" w:type="dxa"/>
            <w:tcBorders>
              <w:top w:val="nil"/>
              <w:left w:val="nil"/>
              <w:bottom w:val="single" w:sz="4" w:space="0" w:color="000000"/>
              <w:right w:val="nil"/>
            </w:tcBorders>
            <w:tcMar>
              <w:right w:w="-4" w:type="dxa"/>
            </w:tcMar>
          </w:tcPr>
          <w:p w14:paraId="04FF96AE" w14:textId="77777777" w:rsidR="007D1A4B" w:rsidRPr="00260D1B" w:rsidRDefault="007D1A4B" w:rsidP="001840CF">
            <w:pPr>
              <w:spacing w:line="360" w:lineRule="auto"/>
              <w:ind w:right="231"/>
              <w:jc w:val="center"/>
            </w:pPr>
            <w:r w:rsidRPr="00260D1B">
              <w:t>%</w:t>
            </w:r>
          </w:p>
        </w:tc>
        <w:tc>
          <w:tcPr>
            <w:tcW w:w="1918" w:type="dxa"/>
            <w:tcBorders>
              <w:top w:val="nil"/>
              <w:left w:val="nil"/>
              <w:bottom w:val="single" w:sz="4" w:space="0" w:color="000000"/>
              <w:right w:val="nil"/>
            </w:tcBorders>
            <w:tcMar>
              <w:right w:w="-4" w:type="dxa"/>
            </w:tcMar>
          </w:tcPr>
          <w:p w14:paraId="5C4446C9" w14:textId="77777777" w:rsidR="007D1A4B" w:rsidRPr="00260D1B" w:rsidRDefault="007D1A4B" w:rsidP="001840CF">
            <w:pPr>
              <w:spacing w:line="360" w:lineRule="auto"/>
              <w:ind w:right="231"/>
              <w:jc w:val="center"/>
            </w:pPr>
            <w:r w:rsidRPr="00260D1B">
              <w:t>per 1,000 words</w:t>
            </w:r>
          </w:p>
        </w:tc>
        <w:tc>
          <w:tcPr>
            <w:tcW w:w="1422" w:type="dxa"/>
            <w:tcBorders>
              <w:top w:val="nil"/>
              <w:left w:val="nil"/>
              <w:bottom w:val="single" w:sz="4" w:space="0" w:color="000000"/>
              <w:right w:val="nil"/>
            </w:tcBorders>
            <w:tcMar>
              <w:right w:w="-4" w:type="dxa"/>
            </w:tcMar>
          </w:tcPr>
          <w:p w14:paraId="425C61FD" w14:textId="77777777" w:rsidR="007D1A4B" w:rsidRPr="00260D1B" w:rsidRDefault="007D1A4B" w:rsidP="001840CF">
            <w:pPr>
              <w:spacing w:line="360" w:lineRule="auto"/>
              <w:ind w:right="231"/>
              <w:jc w:val="center"/>
            </w:pPr>
            <w:r w:rsidRPr="00260D1B">
              <w:t>%</w:t>
            </w:r>
          </w:p>
        </w:tc>
      </w:tr>
      <w:tr w:rsidR="007D1A4B" w:rsidRPr="00260D1B" w14:paraId="6A479973" w14:textId="77777777" w:rsidTr="001840CF">
        <w:tc>
          <w:tcPr>
            <w:tcW w:w="2169" w:type="dxa"/>
            <w:tcBorders>
              <w:top w:val="nil"/>
              <w:left w:val="nil"/>
              <w:bottom w:val="nil"/>
              <w:right w:val="nil"/>
            </w:tcBorders>
          </w:tcPr>
          <w:p w14:paraId="3294D8B7" w14:textId="77777777" w:rsidR="007D1A4B" w:rsidRPr="00260D1B" w:rsidRDefault="007D1A4B" w:rsidP="001840CF">
            <w:pPr>
              <w:spacing w:line="360" w:lineRule="auto"/>
              <w:ind w:right="231"/>
            </w:pPr>
            <w:r w:rsidRPr="00260D1B">
              <w:t xml:space="preserve">Hedges </w:t>
            </w:r>
          </w:p>
        </w:tc>
        <w:tc>
          <w:tcPr>
            <w:tcW w:w="1922" w:type="dxa"/>
            <w:tcBorders>
              <w:top w:val="single" w:sz="4" w:space="0" w:color="000000"/>
              <w:left w:val="nil"/>
              <w:bottom w:val="nil"/>
              <w:right w:val="nil"/>
            </w:tcBorders>
            <w:tcMar>
              <w:right w:w="-4" w:type="dxa"/>
            </w:tcMar>
          </w:tcPr>
          <w:p w14:paraId="134AC0B8" w14:textId="77777777" w:rsidR="007D1A4B" w:rsidRPr="00260D1B" w:rsidRDefault="007D1A4B" w:rsidP="001840CF">
            <w:pPr>
              <w:spacing w:line="360" w:lineRule="auto"/>
              <w:ind w:right="231"/>
              <w:jc w:val="center"/>
            </w:pPr>
            <w:r w:rsidRPr="00260D1B">
              <w:t>10.7</w:t>
            </w:r>
            <w:r>
              <w:t>4</w:t>
            </w:r>
          </w:p>
        </w:tc>
        <w:tc>
          <w:tcPr>
            <w:tcW w:w="1579" w:type="dxa"/>
            <w:tcBorders>
              <w:top w:val="single" w:sz="4" w:space="0" w:color="000000"/>
              <w:left w:val="nil"/>
              <w:bottom w:val="nil"/>
              <w:right w:val="nil"/>
            </w:tcBorders>
            <w:tcMar>
              <w:right w:w="-4" w:type="dxa"/>
            </w:tcMar>
          </w:tcPr>
          <w:p w14:paraId="35D01D53" w14:textId="77777777" w:rsidR="007D1A4B" w:rsidRPr="00260D1B" w:rsidRDefault="007D1A4B" w:rsidP="001840CF">
            <w:pPr>
              <w:spacing w:line="360" w:lineRule="auto"/>
              <w:ind w:right="231"/>
              <w:jc w:val="center"/>
            </w:pPr>
            <w:r w:rsidRPr="00260D1B">
              <w:t>25.5</w:t>
            </w:r>
            <w:r>
              <w:t>3</w:t>
            </w:r>
          </w:p>
        </w:tc>
        <w:tc>
          <w:tcPr>
            <w:tcW w:w="1918" w:type="dxa"/>
            <w:tcBorders>
              <w:top w:val="single" w:sz="4" w:space="0" w:color="000000"/>
              <w:left w:val="nil"/>
              <w:bottom w:val="nil"/>
              <w:right w:val="nil"/>
            </w:tcBorders>
            <w:tcMar>
              <w:right w:w="-4" w:type="dxa"/>
            </w:tcMar>
          </w:tcPr>
          <w:p w14:paraId="0C01C1C3" w14:textId="77777777" w:rsidR="007D1A4B" w:rsidRPr="00260D1B" w:rsidRDefault="007D1A4B" w:rsidP="001840CF">
            <w:pPr>
              <w:spacing w:line="360" w:lineRule="auto"/>
              <w:ind w:right="231"/>
              <w:jc w:val="center"/>
            </w:pPr>
            <w:r w:rsidRPr="00260D1B">
              <w:t>7.4</w:t>
            </w:r>
            <w:r>
              <w:t>3</w:t>
            </w:r>
          </w:p>
        </w:tc>
        <w:tc>
          <w:tcPr>
            <w:tcW w:w="1422" w:type="dxa"/>
            <w:tcBorders>
              <w:top w:val="single" w:sz="4" w:space="0" w:color="000000"/>
              <w:left w:val="nil"/>
              <w:bottom w:val="nil"/>
              <w:right w:val="nil"/>
            </w:tcBorders>
            <w:tcMar>
              <w:right w:w="-4" w:type="dxa"/>
            </w:tcMar>
          </w:tcPr>
          <w:p w14:paraId="3A7309B1" w14:textId="77777777" w:rsidR="007D1A4B" w:rsidRPr="00260D1B" w:rsidRDefault="007D1A4B" w:rsidP="001840CF">
            <w:pPr>
              <w:spacing w:line="360" w:lineRule="auto"/>
              <w:ind w:right="231"/>
              <w:jc w:val="center"/>
            </w:pPr>
            <w:r w:rsidRPr="00260D1B">
              <w:t>25.3</w:t>
            </w:r>
            <w:r>
              <w:t>4</w:t>
            </w:r>
          </w:p>
        </w:tc>
      </w:tr>
      <w:tr w:rsidR="007D1A4B" w:rsidRPr="00260D1B" w14:paraId="3E0E50AB" w14:textId="77777777" w:rsidTr="001840CF">
        <w:tc>
          <w:tcPr>
            <w:tcW w:w="2169" w:type="dxa"/>
            <w:tcBorders>
              <w:top w:val="nil"/>
              <w:left w:val="nil"/>
              <w:bottom w:val="nil"/>
              <w:right w:val="nil"/>
            </w:tcBorders>
          </w:tcPr>
          <w:p w14:paraId="57D6BBEC" w14:textId="77777777" w:rsidR="007D1A4B" w:rsidRPr="00260D1B" w:rsidRDefault="007D1A4B" w:rsidP="001840CF">
            <w:pPr>
              <w:spacing w:line="360" w:lineRule="auto"/>
              <w:ind w:right="231"/>
            </w:pPr>
            <w:r w:rsidRPr="00260D1B">
              <w:t>Boosters</w:t>
            </w:r>
          </w:p>
        </w:tc>
        <w:tc>
          <w:tcPr>
            <w:tcW w:w="1922" w:type="dxa"/>
            <w:tcBorders>
              <w:top w:val="nil"/>
              <w:left w:val="nil"/>
              <w:bottom w:val="nil"/>
              <w:right w:val="nil"/>
            </w:tcBorders>
            <w:tcMar>
              <w:right w:w="-4" w:type="dxa"/>
            </w:tcMar>
          </w:tcPr>
          <w:p w14:paraId="63F44332" w14:textId="77777777" w:rsidR="007D1A4B" w:rsidRPr="00260D1B" w:rsidRDefault="007D1A4B" w:rsidP="001840CF">
            <w:pPr>
              <w:spacing w:line="360" w:lineRule="auto"/>
              <w:ind w:right="231"/>
              <w:jc w:val="center"/>
            </w:pPr>
            <w:r w:rsidRPr="00260D1B">
              <w:t>11.7</w:t>
            </w:r>
            <w:r>
              <w:t>0</w:t>
            </w:r>
          </w:p>
        </w:tc>
        <w:tc>
          <w:tcPr>
            <w:tcW w:w="1579" w:type="dxa"/>
            <w:tcBorders>
              <w:top w:val="nil"/>
              <w:left w:val="nil"/>
              <w:bottom w:val="nil"/>
              <w:right w:val="nil"/>
            </w:tcBorders>
            <w:tcMar>
              <w:right w:w="-4" w:type="dxa"/>
            </w:tcMar>
          </w:tcPr>
          <w:p w14:paraId="2CC2B5AC" w14:textId="77777777" w:rsidR="007D1A4B" w:rsidRPr="00260D1B" w:rsidRDefault="007D1A4B" w:rsidP="001840CF">
            <w:pPr>
              <w:spacing w:line="360" w:lineRule="auto"/>
              <w:ind w:right="231"/>
              <w:jc w:val="center"/>
            </w:pPr>
            <w:r w:rsidRPr="00260D1B">
              <w:t>27.8</w:t>
            </w:r>
            <w:r>
              <w:t>2</w:t>
            </w:r>
          </w:p>
        </w:tc>
        <w:tc>
          <w:tcPr>
            <w:tcW w:w="1918" w:type="dxa"/>
            <w:tcBorders>
              <w:top w:val="nil"/>
              <w:left w:val="nil"/>
              <w:bottom w:val="nil"/>
              <w:right w:val="nil"/>
            </w:tcBorders>
            <w:tcMar>
              <w:right w:w="-4" w:type="dxa"/>
            </w:tcMar>
          </w:tcPr>
          <w:p w14:paraId="44C05F86" w14:textId="77777777" w:rsidR="007D1A4B" w:rsidRPr="00260D1B" w:rsidRDefault="007D1A4B" w:rsidP="001840CF">
            <w:pPr>
              <w:spacing w:line="360" w:lineRule="auto"/>
              <w:ind w:right="231"/>
              <w:jc w:val="center"/>
            </w:pPr>
            <w:r w:rsidRPr="00260D1B">
              <w:t>7.</w:t>
            </w:r>
            <w:r>
              <w:t>57</w:t>
            </w:r>
          </w:p>
        </w:tc>
        <w:tc>
          <w:tcPr>
            <w:tcW w:w="1422" w:type="dxa"/>
            <w:tcBorders>
              <w:top w:val="nil"/>
              <w:left w:val="nil"/>
              <w:bottom w:val="nil"/>
              <w:right w:val="nil"/>
            </w:tcBorders>
            <w:tcMar>
              <w:right w:w="-4" w:type="dxa"/>
            </w:tcMar>
          </w:tcPr>
          <w:p w14:paraId="231D81EE" w14:textId="77777777" w:rsidR="007D1A4B" w:rsidRPr="00260D1B" w:rsidRDefault="007D1A4B" w:rsidP="001840CF">
            <w:pPr>
              <w:spacing w:line="360" w:lineRule="auto"/>
              <w:ind w:right="231"/>
              <w:jc w:val="center"/>
            </w:pPr>
            <w:r w:rsidRPr="00260D1B">
              <w:t>25.</w:t>
            </w:r>
            <w:r>
              <w:t>7</w:t>
            </w:r>
            <w:r w:rsidRPr="00260D1B">
              <w:t>8</w:t>
            </w:r>
          </w:p>
        </w:tc>
      </w:tr>
      <w:tr w:rsidR="007D1A4B" w:rsidRPr="00260D1B" w14:paraId="174B767A" w14:textId="77777777" w:rsidTr="001840CF">
        <w:tc>
          <w:tcPr>
            <w:tcW w:w="2169" w:type="dxa"/>
            <w:tcBorders>
              <w:top w:val="nil"/>
              <w:left w:val="nil"/>
              <w:bottom w:val="nil"/>
              <w:right w:val="nil"/>
            </w:tcBorders>
          </w:tcPr>
          <w:p w14:paraId="4639755B" w14:textId="77777777" w:rsidR="007D1A4B" w:rsidRPr="00260D1B" w:rsidRDefault="007D1A4B" w:rsidP="001840CF">
            <w:pPr>
              <w:spacing w:line="360" w:lineRule="auto"/>
              <w:ind w:right="231"/>
            </w:pPr>
            <w:r w:rsidRPr="00260D1B">
              <w:t xml:space="preserve">Attitude markers </w:t>
            </w:r>
          </w:p>
        </w:tc>
        <w:tc>
          <w:tcPr>
            <w:tcW w:w="1922" w:type="dxa"/>
            <w:tcBorders>
              <w:top w:val="nil"/>
              <w:left w:val="nil"/>
              <w:bottom w:val="nil"/>
              <w:right w:val="nil"/>
            </w:tcBorders>
            <w:tcMar>
              <w:right w:w="-4" w:type="dxa"/>
            </w:tcMar>
          </w:tcPr>
          <w:p w14:paraId="2557F79B" w14:textId="77777777" w:rsidR="007D1A4B" w:rsidRPr="00260D1B" w:rsidRDefault="007D1A4B" w:rsidP="001840CF">
            <w:pPr>
              <w:spacing w:line="360" w:lineRule="auto"/>
              <w:ind w:right="231"/>
              <w:jc w:val="center"/>
            </w:pPr>
            <w:r w:rsidRPr="00260D1B">
              <w:t>13.</w:t>
            </w:r>
            <w:r>
              <w:t>44</w:t>
            </w:r>
          </w:p>
        </w:tc>
        <w:tc>
          <w:tcPr>
            <w:tcW w:w="1579" w:type="dxa"/>
            <w:tcBorders>
              <w:top w:val="nil"/>
              <w:left w:val="nil"/>
              <w:bottom w:val="nil"/>
              <w:right w:val="nil"/>
            </w:tcBorders>
            <w:tcMar>
              <w:right w:w="-4" w:type="dxa"/>
            </w:tcMar>
          </w:tcPr>
          <w:p w14:paraId="3AC2BD17" w14:textId="77777777" w:rsidR="007D1A4B" w:rsidRPr="00260D1B" w:rsidRDefault="007D1A4B" w:rsidP="001840CF">
            <w:pPr>
              <w:spacing w:line="360" w:lineRule="auto"/>
              <w:ind w:right="231"/>
              <w:jc w:val="center"/>
            </w:pPr>
            <w:r w:rsidRPr="00260D1B">
              <w:t>3</w:t>
            </w:r>
            <w:r>
              <w:t>1.96</w:t>
            </w:r>
          </w:p>
        </w:tc>
        <w:tc>
          <w:tcPr>
            <w:tcW w:w="1918" w:type="dxa"/>
            <w:tcBorders>
              <w:top w:val="nil"/>
              <w:left w:val="nil"/>
              <w:bottom w:val="nil"/>
              <w:right w:val="nil"/>
            </w:tcBorders>
            <w:tcMar>
              <w:right w:w="-4" w:type="dxa"/>
            </w:tcMar>
          </w:tcPr>
          <w:p w14:paraId="5BDCF5A5" w14:textId="77777777" w:rsidR="007D1A4B" w:rsidRPr="00260D1B" w:rsidRDefault="007D1A4B" w:rsidP="001840CF">
            <w:pPr>
              <w:spacing w:line="360" w:lineRule="auto"/>
              <w:ind w:right="231"/>
              <w:jc w:val="center"/>
            </w:pPr>
            <w:r w:rsidRPr="00260D1B">
              <w:t>12.2</w:t>
            </w:r>
            <w:r>
              <w:t>4</w:t>
            </w:r>
          </w:p>
        </w:tc>
        <w:tc>
          <w:tcPr>
            <w:tcW w:w="1422" w:type="dxa"/>
            <w:tcBorders>
              <w:top w:val="nil"/>
              <w:left w:val="nil"/>
              <w:bottom w:val="nil"/>
              <w:right w:val="nil"/>
            </w:tcBorders>
            <w:tcMar>
              <w:right w:w="-4" w:type="dxa"/>
            </w:tcMar>
          </w:tcPr>
          <w:p w14:paraId="46C8900F" w14:textId="77777777" w:rsidR="007D1A4B" w:rsidRPr="00260D1B" w:rsidRDefault="007D1A4B" w:rsidP="001840CF">
            <w:pPr>
              <w:spacing w:line="360" w:lineRule="auto"/>
              <w:ind w:right="231"/>
              <w:jc w:val="center"/>
            </w:pPr>
            <w:r w:rsidRPr="00260D1B">
              <w:t>41.7</w:t>
            </w:r>
            <w:r>
              <w:t>0</w:t>
            </w:r>
          </w:p>
        </w:tc>
      </w:tr>
      <w:tr w:rsidR="007D1A4B" w:rsidRPr="00260D1B" w14:paraId="01728BA9" w14:textId="77777777" w:rsidTr="001840CF">
        <w:tc>
          <w:tcPr>
            <w:tcW w:w="2169" w:type="dxa"/>
            <w:tcBorders>
              <w:top w:val="nil"/>
              <w:left w:val="nil"/>
              <w:bottom w:val="nil"/>
              <w:right w:val="nil"/>
            </w:tcBorders>
          </w:tcPr>
          <w:p w14:paraId="450CF6CB" w14:textId="77777777" w:rsidR="007D1A4B" w:rsidRPr="00260D1B" w:rsidRDefault="007D1A4B" w:rsidP="001840CF">
            <w:pPr>
              <w:spacing w:line="360" w:lineRule="auto"/>
              <w:ind w:right="231"/>
            </w:pPr>
            <w:r w:rsidRPr="00260D1B">
              <w:t>Self-mention</w:t>
            </w:r>
          </w:p>
        </w:tc>
        <w:tc>
          <w:tcPr>
            <w:tcW w:w="1922" w:type="dxa"/>
            <w:tcBorders>
              <w:top w:val="nil"/>
              <w:left w:val="nil"/>
              <w:bottom w:val="nil"/>
              <w:right w:val="nil"/>
            </w:tcBorders>
            <w:tcMar>
              <w:right w:w="-4" w:type="dxa"/>
            </w:tcMar>
          </w:tcPr>
          <w:p w14:paraId="1D64A6BC" w14:textId="77777777" w:rsidR="007D1A4B" w:rsidRPr="00260D1B" w:rsidRDefault="007D1A4B" w:rsidP="001840CF">
            <w:pPr>
              <w:spacing w:line="360" w:lineRule="auto"/>
              <w:ind w:right="231"/>
              <w:jc w:val="center"/>
            </w:pPr>
            <w:r w:rsidRPr="00260D1B">
              <w:t>6.</w:t>
            </w:r>
            <w:r>
              <w:t>18</w:t>
            </w:r>
          </w:p>
        </w:tc>
        <w:tc>
          <w:tcPr>
            <w:tcW w:w="1579" w:type="dxa"/>
            <w:tcBorders>
              <w:top w:val="nil"/>
              <w:left w:val="nil"/>
              <w:bottom w:val="nil"/>
              <w:right w:val="nil"/>
            </w:tcBorders>
            <w:tcMar>
              <w:right w:w="-4" w:type="dxa"/>
            </w:tcMar>
          </w:tcPr>
          <w:p w14:paraId="395D3DBC" w14:textId="77777777" w:rsidR="007D1A4B" w:rsidRPr="00260D1B" w:rsidRDefault="007D1A4B" w:rsidP="001840CF">
            <w:pPr>
              <w:spacing w:line="360" w:lineRule="auto"/>
              <w:ind w:right="231"/>
              <w:jc w:val="center"/>
            </w:pPr>
            <w:r w:rsidRPr="00260D1B">
              <w:t>14.</w:t>
            </w:r>
            <w:r>
              <w:t>69</w:t>
            </w:r>
          </w:p>
        </w:tc>
        <w:tc>
          <w:tcPr>
            <w:tcW w:w="1918" w:type="dxa"/>
            <w:tcBorders>
              <w:top w:val="nil"/>
              <w:left w:val="nil"/>
              <w:bottom w:val="nil"/>
              <w:right w:val="nil"/>
            </w:tcBorders>
            <w:tcMar>
              <w:right w:w="-4" w:type="dxa"/>
            </w:tcMar>
          </w:tcPr>
          <w:p w14:paraId="49161B0E" w14:textId="77777777" w:rsidR="007D1A4B" w:rsidRPr="00260D1B" w:rsidRDefault="007D1A4B" w:rsidP="001840CF">
            <w:pPr>
              <w:spacing w:line="360" w:lineRule="auto"/>
              <w:ind w:right="231"/>
              <w:jc w:val="center"/>
            </w:pPr>
            <w:r w:rsidRPr="00260D1B">
              <w:t>2.1</w:t>
            </w:r>
            <w:r>
              <w:t>0</w:t>
            </w:r>
          </w:p>
        </w:tc>
        <w:tc>
          <w:tcPr>
            <w:tcW w:w="1422" w:type="dxa"/>
            <w:tcBorders>
              <w:top w:val="nil"/>
              <w:left w:val="nil"/>
              <w:bottom w:val="nil"/>
              <w:right w:val="nil"/>
            </w:tcBorders>
            <w:tcMar>
              <w:right w:w="-4" w:type="dxa"/>
            </w:tcMar>
          </w:tcPr>
          <w:p w14:paraId="7018C60B" w14:textId="77777777" w:rsidR="007D1A4B" w:rsidRPr="00260D1B" w:rsidRDefault="007D1A4B" w:rsidP="001840CF">
            <w:pPr>
              <w:spacing w:line="360" w:lineRule="auto"/>
              <w:ind w:right="231"/>
              <w:jc w:val="center"/>
            </w:pPr>
            <w:r w:rsidRPr="00260D1B">
              <w:t>7.</w:t>
            </w:r>
            <w:r>
              <w:t>18</w:t>
            </w:r>
          </w:p>
        </w:tc>
      </w:tr>
      <w:tr w:rsidR="007D1A4B" w:rsidRPr="00260D1B" w14:paraId="3E5549B7" w14:textId="77777777" w:rsidTr="001840CF">
        <w:tc>
          <w:tcPr>
            <w:tcW w:w="2169" w:type="dxa"/>
            <w:tcBorders>
              <w:top w:val="nil"/>
              <w:left w:val="nil"/>
              <w:bottom w:val="single" w:sz="4" w:space="0" w:color="000000"/>
              <w:right w:val="nil"/>
            </w:tcBorders>
          </w:tcPr>
          <w:p w14:paraId="22648905" w14:textId="77777777" w:rsidR="007D1A4B" w:rsidRPr="00260D1B" w:rsidRDefault="007D1A4B" w:rsidP="001840CF">
            <w:pPr>
              <w:spacing w:line="360" w:lineRule="auto"/>
              <w:ind w:right="231"/>
              <w:rPr>
                <w:b/>
                <w:bCs/>
              </w:rPr>
            </w:pPr>
            <w:r w:rsidRPr="00260D1B">
              <w:rPr>
                <w:b/>
                <w:bCs/>
              </w:rPr>
              <w:t xml:space="preserve">Total </w:t>
            </w:r>
          </w:p>
        </w:tc>
        <w:tc>
          <w:tcPr>
            <w:tcW w:w="1922" w:type="dxa"/>
            <w:tcBorders>
              <w:top w:val="nil"/>
              <w:left w:val="nil"/>
              <w:bottom w:val="single" w:sz="4" w:space="0" w:color="000000"/>
              <w:right w:val="nil"/>
            </w:tcBorders>
            <w:tcMar>
              <w:right w:w="-4" w:type="dxa"/>
            </w:tcMar>
          </w:tcPr>
          <w:p w14:paraId="05E94842" w14:textId="77777777" w:rsidR="007D1A4B" w:rsidRPr="00260D1B" w:rsidRDefault="007D1A4B" w:rsidP="001840CF">
            <w:pPr>
              <w:spacing w:line="360" w:lineRule="auto"/>
              <w:ind w:right="231"/>
              <w:jc w:val="center"/>
              <w:rPr>
                <w:b/>
                <w:bCs/>
              </w:rPr>
            </w:pPr>
            <w:r w:rsidRPr="00260D1B">
              <w:rPr>
                <w:b/>
                <w:bCs/>
              </w:rPr>
              <w:t>42.</w:t>
            </w:r>
            <w:r>
              <w:rPr>
                <w:b/>
                <w:bCs/>
              </w:rPr>
              <w:t>06</w:t>
            </w:r>
          </w:p>
        </w:tc>
        <w:tc>
          <w:tcPr>
            <w:tcW w:w="1579" w:type="dxa"/>
            <w:tcBorders>
              <w:top w:val="nil"/>
              <w:left w:val="nil"/>
              <w:bottom w:val="single" w:sz="4" w:space="0" w:color="000000"/>
              <w:right w:val="nil"/>
            </w:tcBorders>
            <w:tcMar>
              <w:right w:w="-4" w:type="dxa"/>
            </w:tcMar>
          </w:tcPr>
          <w:p w14:paraId="6185B6DF" w14:textId="77777777" w:rsidR="007D1A4B" w:rsidRPr="00260D1B" w:rsidRDefault="007D1A4B" w:rsidP="001840CF">
            <w:pPr>
              <w:spacing w:line="360" w:lineRule="auto"/>
              <w:ind w:right="231"/>
              <w:jc w:val="center"/>
              <w:rPr>
                <w:b/>
                <w:bCs/>
              </w:rPr>
            </w:pPr>
            <w:r w:rsidRPr="00260D1B">
              <w:rPr>
                <w:b/>
                <w:bCs/>
              </w:rPr>
              <w:t>100.0</w:t>
            </w:r>
            <w:r>
              <w:rPr>
                <w:b/>
                <w:bCs/>
              </w:rPr>
              <w:t>0</w:t>
            </w:r>
          </w:p>
        </w:tc>
        <w:tc>
          <w:tcPr>
            <w:tcW w:w="1918" w:type="dxa"/>
            <w:tcBorders>
              <w:top w:val="nil"/>
              <w:left w:val="nil"/>
              <w:bottom w:val="single" w:sz="4" w:space="0" w:color="000000"/>
              <w:right w:val="nil"/>
            </w:tcBorders>
            <w:tcMar>
              <w:right w:w="-4" w:type="dxa"/>
            </w:tcMar>
          </w:tcPr>
          <w:p w14:paraId="61C5759E" w14:textId="77777777" w:rsidR="007D1A4B" w:rsidRPr="00260D1B" w:rsidRDefault="007D1A4B" w:rsidP="001840CF">
            <w:pPr>
              <w:spacing w:line="360" w:lineRule="auto"/>
              <w:ind w:right="231"/>
              <w:jc w:val="center"/>
              <w:rPr>
                <w:b/>
                <w:bCs/>
              </w:rPr>
            </w:pPr>
            <w:r w:rsidRPr="00260D1B">
              <w:rPr>
                <w:b/>
                <w:bCs/>
              </w:rPr>
              <w:t>29.3</w:t>
            </w:r>
            <w:r>
              <w:rPr>
                <w:b/>
                <w:bCs/>
              </w:rPr>
              <w:t>4</w:t>
            </w:r>
          </w:p>
        </w:tc>
        <w:tc>
          <w:tcPr>
            <w:tcW w:w="1422" w:type="dxa"/>
            <w:tcBorders>
              <w:top w:val="nil"/>
              <w:left w:val="nil"/>
              <w:bottom w:val="single" w:sz="4" w:space="0" w:color="000000"/>
              <w:right w:val="nil"/>
            </w:tcBorders>
            <w:tcMar>
              <w:right w:w="-4" w:type="dxa"/>
            </w:tcMar>
          </w:tcPr>
          <w:p w14:paraId="6F3E266E" w14:textId="77777777" w:rsidR="007D1A4B" w:rsidRPr="00260D1B" w:rsidRDefault="007D1A4B" w:rsidP="001840CF">
            <w:pPr>
              <w:spacing w:line="360" w:lineRule="auto"/>
              <w:ind w:right="231"/>
              <w:jc w:val="center"/>
              <w:rPr>
                <w:b/>
                <w:bCs/>
              </w:rPr>
            </w:pPr>
            <w:r w:rsidRPr="00260D1B">
              <w:rPr>
                <w:b/>
                <w:bCs/>
              </w:rPr>
              <w:t>100.0</w:t>
            </w:r>
            <w:r>
              <w:rPr>
                <w:b/>
                <w:bCs/>
              </w:rPr>
              <w:t>0</w:t>
            </w:r>
          </w:p>
        </w:tc>
      </w:tr>
    </w:tbl>
    <w:p w14:paraId="22703B8A" w14:textId="77777777" w:rsidR="00DF46C1" w:rsidRPr="00260D1B" w:rsidRDefault="00DF46C1" w:rsidP="005B1B5B">
      <w:pPr>
        <w:spacing w:line="360" w:lineRule="auto"/>
        <w:ind w:right="231"/>
        <w:rPr>
          <w:b/>
          <w:bCs/>
          <w:sz w:val="28"/>
          <w:szCs w:val="28"/>
        </w:rPr>
      </w:pPr>
    </w:p>
    <w:p w14:paraId="169B2012" w14:textId="47D024FA" w:rsidR="00594687" w:rsidRPr="00260D1B" w:rsidRDefault="00E84C40" w:rsidP="005B1B5B">
      <w:pPr>
        <w:spacing w:line="360" w:lineRule="auto"/>
        <w:ind w:right="231"/>
      </w:pPr>
      <w:r w:rsidRPr="00260D1B">
        <w:t>These overall differences indicate</w:t>
      </w:r>
      <w:r w:rsidR="00594687" w:rsidRPr="00260D1B">
        <w:t xml:space="preserve"> </w:t>
      </w:r>
      <w:r w:rsidRPr="00260D1B">
        <w:t xml:space="preserve">that the construction of stance in highlights is highly influenced by the particular topic of the accompanying paper. The urgency of research and competitive pressures of publishing Covid studies provides a different context for the ways </w:t>
      </w:r>
      <w:r w:rsidR="00DF46C1" w:rsidRPr="00260D1B">
        <w:t>academics present their research and interact with the audience</w:t>
      </w:r>
      <w:r w:rsidRPr="00260D1B">
        <w:t xml:space="preserve">. Frequencies were higher in all four stance categories </w:t>
      </w:r>
      <w:r w:rsidR="00D210A3" w:rsidRPr="00260D1B">
        <w:t>in the COVID highlights</w:t>
      </w:r>
      <w:r w:rsidR="00195FD7" w:rsidRPr="00260D1B">
        <w:t xml:space="preserve"> </w:t>
      </w:r>
      <w:r w:rsidR="007D1A4B" w:rsidRPr="00260D1B">
        <w:t>(log Likelihood =1</w:t>
      </w:r>
      <w:r w:rsidR="007D1A4B">
        <w:t>3.81,</w:t>
      </w:r>
      <w:r w:rsidR="007D1A4B" w:rsidRPr="00260D1B">
        <w:t xml:space="preserve"> p &lt;0.00</w:t>
      </w:r>
      <w:r w:rsidR="007D1A4B">
        <w:t>1</w:t>
      </w:r>
      <w:r w:rsidR="007D1A4B" w:rsidRPr="00260D1B">
        <w:t xml:space="preserve"> for hedges, log Likelihood =</w:t>
      </w:r>
      <w:r w:rsidR="007D1A4B">
        <w:t>17.09</w:t>
      </w:r>
      <w:r w:rsidR="007D1A4B" w:rsidRPr="00260D1B">
        <w:t>, p &lt;0.001 for boosters and log Likelihood =23.</w:t>
      </w:r>
      <w:r w:rsidR="007D1A4B">
        <w:t>34</w:t>
      </w:r>
      <w:r w:rsidR="007D1A4B" w:rsidRPr="00260D1B">
        <w:t>, p &lt;0.001 for self-mention)</w:t>
      </w:r>
      <w:r w:rsidR="007D1A4B">
        <w:t xml:space="preserve">. </w:t>
      </w:r>
      <w:r w:rsidR="00195FD7" w:rsidRPr="00260D1B">
        <w:t>We interpret these findings as showing that</w:t>
      </w:r>
      <w:r w:rsidR="00594687" w:rsidRPr="00260D1B">
        <w:t xml:space="preserve">, in </w:t>
      </w:r>
      <w:r w:rsidR="00195FD7" w:rsidRPr="00260D1B">
        <w:t xml:space="preserve">the </w:t>
      </w:r>
      <w:r w:rsidR="002D18DA" w:rsidRPr="00260D1B">
        <w:t>C</w:t>
      </w:r>
      <w:r w:rsidR="000C0E9C" w:rsidRPr="00260D1B">
        <w:t>ovid</w:t>
      </w:r>
      <w:r w:rsidR="002D18DA" w:rsidRPr="00260D1B">
        <w:t xml:space="preserve">-19 highlights, </w:t>
      </w:r>
      <w:r w:rsidR="007F271D" w:rsidRPr="00260D1B">
        <w:t xml:space="preserve">researchers </w:t>
      </w:r>
      <w:r w:rsidR="00195FD7" w:rsidRPr="00260D1B">
        <w:t xml:space="preserve">were </w:t>
      </w:r>
      <w:r w:rsidR="007F271D" w:rsidRPr="00260D1B">
        <w:t>striv</w:t>
      </w:r>
      <w:r w:rsidR="00195FD7" w:rsidRPr="00260D1B">
        <w:t>ing</w:t>
      </w:r>
      <w:r w:rsidR="007F271D" w:rsidRPr="00260D1B">
        <w:t xml:space="preserve"> </w:t>
      </w:r>
      <w:r w:rsidR="00076AD9" w:rsidRPr="00260D1B">
        <w:t xml:space="preserve">harder </w:t>
      </w:r>
      <w:r w:rsidR="007F271D" w:rsidRPr="00260D1B">
        <w:t xml:space="preserve">to </w:t>
      </w:r>
      <w:r w:rsidR="00195FD7" w:rsidRPr="00260D1B">
        <w:t xml:space="preserve">gain the attention of </w:t>
      </w:r>
      <w:r w:rsidR="007F271D" w:rsidRPr="00260D1B">
        <w:t xml:space="preserve">specialists and </w:t>
      </w:r>
      <w:r w:rsidR="00195FD7" w:rsidRPr="00260D1B">
        <w:t>o</w:t>
      </w:r>
      <w:r w:rsidR="007F271D" w:rsidRPr="00260D1B">
        <w:t>the</w:t>
      </w:r>
      <w:r w:rsidR="00195FD7" w:rsidRPr="00260D1B">
        <w:t>rs</w:t>
      </w:r>
      <w:r w:rsidR="007F271D" w:rsidRPr="00260D1B">
        <w:t xml:space="preserve"> </w:t>
      </w:r>
      <w:r w:rsidR="00195FD7" w:rsidRPr="00260D1B">
        <w:t xml:space="preserve">and encourage them to read their research. The additional investment in </w:t>
      </w:r>
      <w:r w:rsidR="00076AD9" w:rsidRPr="00260D1B">
        <w:t>producing</w:t>
      </w:r>
      <w:r w:rsidR="00195FD7" w:rsidRPr="00260D1B">
        <w:t xml:space="preserve"> a more visible stance is an attempt to get </w:t>
      </w:r>
      <w:r w:rsidR="007F271D" w:rsidRPr="00260D1B">
        <w:t>their support through a stronger interpersonal relationship.</w:t>
      </w:r>
      <w:r w:rsidR="00764B80" w:rsidRPr="00260D1B">
        <w:t xml:space="preserve"> Some stance features, </w:t>
      </w:r>
      <w:r w:rsidR="00195FD7" w:rsidRPr="00260D1B">
        <w:t>especially</w:t>
      </w:r>
      <w:r w:rsidR="00C6037C" w:rsidRPr="00260D1B">
        <w:t xml:space="preserve"> boost</w:t>
      </w:r>
      <w:r w:rsidR="00195FD7" w:rsidRPr="00260D1B">
        <w:t>ers</w:t>
      </w:r>
      <w:r w:rsidR="00C6037C" w:rsidRPr="00260D1B">
        <w:t xml:space="preserve"> and affective markers</w:t>
      </w:r>
      <w:r w:rsidR="00195FD7" w:rsidRPr="00260D1B">
        <w:t>,</w:t>
      </w:r>
      <w:r w:rsidR="00076AD9" w:rsidRPr="00260D1B">
        <w:t xml:space="preserve"> in fact, are particularly effective in creating a robust </w:t>
      </w:r>
      <w:r w:rsidR="00764B80" w:rsidRPr="00260D1B">
        <w:t xml:space="preserve">promotional </w:t>
      </w:r>
      <w:r w:rsidR="00076AD9" w:rsidRPr="00260D1B">
        <w:t xml:space="preserve">context </w:t>
      </w:r>
      <w:r w:rsidR="00764B80" w:rsidRPr="00260D1B">
        <w:t xml:space="preserve">to ‘sell’ the study. </w:t>
      </w:r>
      <w:r w:rsidR="00594687" w:rsidRPr="00260D1B">
        <w:t>In the following sections, we present our results by stance category.</w:t>
      </w:r>
    </w:p>
    <w:p w14:paraId="2F2B4FFC" w14:textId="77777777" w:rsidR="00AD3B90" w:rsidRPr="00260D1B" w:rsidRDefault="00AD3B90" w:rsidP="005B1B5B">
      <w:pPr>
        <w:spacing w:line="360" w:lineRule="auto"/>
        <w:ind w:right="231"/>
        <w:rPr>
          <w:b/>
          <w:bCs/>
        </w:rPr>
      </w:pPr>
    </w:p>
    <w:p w14:paraId="2EB23746" w14:textId="77777777" w:rsidR="00EA3C4A" w:rsidRPr="00260D1B" w:rsidRDefault="00EA3C4A" w:rsidP="005B1B5B">
      <w:pPr>
        <w:spacing w:line="360" w:lineRule="auto"/>
        <w:ind w:right="231"/>
        <w:rPr>
          <w:b/>
          <w:bCs/>
        </w:rPr>
      </w:pPr>
      <w:r w:rsidRPr="00260D1B">
        <w:rPr>
          <w:b/>
          <w:bCs/>
        </w:rPr>
        <w:t xml:space="preserve">5.1 Hedges </w:t>
      </w:r>
    </w:p>
    <w:p w14:paraId="2836A1BF" w14:textId="33E95EE6" w:rsidR="001252B4" w:rsidRPr="00260D1B" w:rsidRDefault="009E6600" w:rsidP="005B1B5B">
      <w:pPr>
        <w:spacing w:line="360" w:lineRule="auto"/>
        <w:ind w:right="231"/>
      </w:pPr>
      <w:r w:rsidRPr="00260D1B">
        <w:t xml:space="preserve">Hedges downplay a writer’s commitment to a proposition, modifying its scope, relevance or certainty. They allow writers to </w:t>
      </w:r>
      <w:r w:rsidR="00540EE0">
        <w:t xml:space="preserve">convey academic arguments </w:t>
      </w:r>
      <w:r w:rsidRPr="00260D1B">
        <w:t>with greater precision</w:t>
      </w:r>
      <w:r w:rsidR="00540EE0">
        <w:t xml:space="preserve"> by </w:t>
      </w:r>
      <w:r w:rsidRPr="00260D1B">
        <w:t>downplay</w:t>
      </w:r>
      <w:r w:rsidR="00540EE0">
        <w:t>ing</w:t>
      </w:r>
      <w:r w:rsidRPr="00260D1B">
        <w:t xml:space="preserve"> their commitment to a proposition, modifying its scope, relevance or certainty (</w:t>
      </w:r>
      <w:r w:rsidR="00454B5F">
        <w:t>Author 2</w:t>
      </w:r>
      <w:r w:rsidRPr="00260D1B">
        <w:t xml:space="preserve">, 1996; 2005). </w:t>
      </w:r>
      <w:r w:rsidR="00A72A6E" w:rsidRPr="00260D1B">
        <w:t xml:space="preserve">For </w:t>
      </w:r>
      <w:r w:rsidR="00454B5F">
        <w:t>Author 2</w:t>
      </w:r>
      <w:r w:rsidR="00A72A6E" w:rsidRPr="00260D1B">
        <w:t>, t</w:t>
      </w:r>
      <w:r w:rsidR="0089700B" w:rsidRPr="00260D1B">
        <w:t xml:space="preserve">he decision to hedge a claim therefore signals the writer’s </w:t>
      </w:r>
      <w:r w:rsidR="00540EE0">
        <w:t xml:space="preserve">decision to step </w:t>
      </w:r>
      <w:r w:rsidR="0089700B" w:rsidRPr="00260D1B">
        <w:t>explicit</w:t>
      </w:r>
      <w:r w:rsidR="00540EE0">
        <w:t xml:space="preserve">ly </w:t>
      </w:r>
      <w:r w:rsidR="0089700B" w:rsidRPr="00260D1B">
        <w:t xml:space="preserve">into a text to make a judgement about </w:t>
      </w:r>
      <w:r w:rsidR="00540EE0">
        <w:t>the topic</w:t>
      </w:r>
      <w:r w:rsidR="001252B4" w:rsidRPr="00260D1B">
        <w:t xml:space="preserve">. </w:t>
      </w:r>
      <w:r w:rsidR="00A72A6E" w:rsidRPr="00260D1B">
        <w:t xml:space="preserve">Despite the brevity of these texts, often less than </w:t>
      </w:r>
      <w:r w:rsidR="00E547E7" w:rsidRPr="00260D1B">
        <w:t>2</w:t>
      </w:r>
      <w:r w:rsidR="00A72A6E" w:rsidRPr="00260D1B">
        <w:t xml:space="preserve">0 words per bullet point, we find hedges in </w:t>
      </w:r>
      <w:r w:rsidR="001252B4" w:rsidRPr="00260D1B">
        <w:t>both types of article highlights</w:t>
      </w:r>
      <w:r w:rsidR="00A72A6E" w:rsidRPr="00260D1B">
        <w:t xml:space="preserve">. In this way they foreground their </w:t>
      </w:r>
      <w:r w:rsidR="001252B4" w:rsidRPr="00260D1B">
        <w:t>interpretation</w:t>
      </w:r>
      <w:r w:rsidR="00A72A6E" w:rsidRPr="00260D1B">
        <w:t>s</w:t>
      </w:r>
      <w:r w:rsidR="001252B4" w:rsidRPr="00260D1B">
        <w:t xml:space="preserve">, </w:t>
      </w:r>
      <w:r w:rsidR="00A72A6E" w:rsidRPr="00260D1B">
        <w:t>acknowledge</w:t>
      </w:r>
      <w:r w:rsidR="001252B4" w:rsidRPr="00260D1B">
        <w:t xml:space="preserve"> uncertain</w:t>
      </w:r>
      <w:r w:rsidR="00A72A6E" w:rsidRPr="00260D1B">
        <w:t>ty</w:t>
      </w:r>
      <w:r w:rsidR="001252B4" w:rsidRPr="00260D1B">
        <w:t xml:space="preserve"> and </w:t>
      </w:r>
      <w:r w:rsidR="00A72A6E" w:rsidRPr="00260D1B">
        <w:t xml:space="preserve">seek to </w:t>
      </w:r>
      <w:r w:rsidR="001252B4" w:rsidRPr="00260D1B">
        <w:t>involv</w:t>
      </w:r>
      <w:r w:rsidR="00A72A6E" w:rsidRPr="00260D1B">
        <w:t>e</w:t>
      </w:r>
      <w:r w:rsidR="001252B4" w:rsidRPr="00260D1B">
        <w:t xml:space="preserve"> colleagues as participants in the discourse: </w:t>
      </w:r>
    </w:p>
    <w:p w14:paraId="0045BA03" w14:textId="73D224BC" w:rsidR="001252B4" w:rsidRPr="00260D1B" w:rsidRDefault="001252B4" w:rsidP="005B1B5B">
      <w:pPr>
        <w:spacing w:line="360" w:lineRule="auto"/>
        <w:ind w:left="680" w:right="231"/>
        <w:rPr>
          <w:rStyle w:val="title-text"/>
        </w:rPr>
      </w:pPr>
      <w:r w:rsidRPr="00260D1B">
        <w:rPr>
          <w:kern w:val="1"/>
          <w:lang w:val="en-US"/>
        </w:rPr>
        <w:lastRenderedPageBreak/>
        <w:t>(</w:t>
      </w:r>
      <w:r w:rsidR="00A72A6E" w:rsidRPr="00260D1B">
        <w:rPr>
          <w:kern w:val="1"/>
          <w:lang w:val="en-US"/>
        </w:rPr>
        <w:t>2</w:t>
      </w:r>
      <w:r w:rsidRPr="00260D1B">
        <w:rPr>
          <w:kern w:val="1"/>
          <w:lang w:val="en-US"/>
        </w:rPr>
        <w:t xml:space="preserve">) </w:t>
      </w:r>
      <w:r w:rsidR="006B31E5" w:rsidRPr="00260D1B">
        <w:rPr>
          <w:kern w:val="1"/>
          <w:lang w:val="en-US"/>
        </w:rPr>
        <w:t xml:space="preserve">Infection contamination during flights </w:t>
      </w:r>
      <w:r w:rsidR="006B31E5" w:rsidRPr="00260D1B">
        <w:rPr>
          <w:b/>
          <w:bCs/>
          <w:i/>
          <w:iCs/>
          <w:kern w:val="1"/>
          <w:lang w:val="en-US"/>
        </w:rPr>
        <w:t xml:space="preserve">may </w:t>
      </w:r>
      <w:r w:rsidR="006B31E5" w:rsidRPr="00260D1B">
        <w:rPr>
          <w:kern w:val="1"/>
          <w:lang w:val="en-US"/>
        </w:rPr>
        <w:t>be caused by direct contact with blood, skin or other body fluids. (CH7)</w:t>
      </w:r>
      <w:r w:rsidR="006B31E5" w:rsidRPr="00260D1B">
        <w:rPr>
          <w:rStyle w:val="title-text"/>
        </w:rPr>
        <w:t xml:space="preserve"> </w:t>
      </w:r>
      <w:r w:rsidR="006B31E5" w:rsidRPr="00260D1B">
        <w:rPr>
          <w:rStyle w:val="FootnoteReference"/>
        </w:rPr>
        <w:footnoteReference w:id="5"/>
      </w:r>
    </w:p>
    <w:p w14:paraId="37651240" w14:textId="77777777" w:rsidR="003D76B5" w:rsidRPr="00260D1B" w:rsidRDefault="003D76B5" w:rsidP="005B1B5B">
      <w:pPr>
        <w:spacing w:line="360" w:lineRule="auto"/>
        <w:ind w:left="680" w:right="231"/>
        <w:rPr>
          <w:rStyle w:val="title-text"/>
        </w:rPr>
      </w:pPr>
    </w:p>
    <w:p w14:paraId="182B1ED1" w14:textId="039A1DFF" w:rsidR="003D76B5" w:rsidRPr="00260D1B" w:rsidRDefault="00A5476B" w:rsidP="005B1B5B">
      <w:pPr>
        <w:spacing w:line="360" w:lineRule="auto"/>
        <w:ind w:left="680" w:right="231"/>
        <w:rPr>
          <w:kern w:val="1"/>
          <w:lang w:val="en-US"/>
        </w:rPr>
      </w:pPr>
      <w:r w:rsidRPr="00260D1B">
        <w:rPr>
          <w:kern w:val="1"/>
          <w:lang w:val="en-US"/>
        </w:rPr>
        <w:t>(</w:t>
      </w:r>
      <w:r w:rsidR="00A72A6E" w:rsidRPr="00260D1B">
        <w:rPr>
          <w:kern w:val="1"/>
          <w:lang w:val="en-US"/>
        </w:rPr>
        <w:t>3</w:t>
      </w:r>
      <w:r w:rsidRPr="00260D1B">
        <w:rPr>
          <w:kern w:val="1"/>
          <w:lang w:val="en-US"/>
        </w:rPr>
        <w:t xml:space="preserve">) </w:t>
      </w:r>
      <w:r w:rsidR="003D76B5" w:rsidRPr="00260D1B">
        <w:rPr>
          <w:kern w:val="1"/>
          <w:lang w:val="en-US"/>
        </w:rPr>
        <w:t xml:space="preserve">The potential genetic regulatory network will </w:t>
      </w:r>
      <w:r w:rsidR="003D76B5" w:rsidRPr="00260D1B">
        <w:rPr>
          <w:b/>
          <w:bCs/>
          <w:i/>
          <w:iCs/>
          <w:kern w:val="1"/>
          <w:lang w:val="en-US"/>
        </w:rPr>
        <w:t>likely</w:t>
      </w:r>
      <w:r w:rsidR="003D76B5" w:rsidRPr="00260D1B">
        <w:rPr>
          <w:kern w:val="1"/>
          <w:lang w:val="en-US"/>
        </w:rPr>
        <w:t xml:space="preserve"> lead to a better understanding of gene expression for stress response. (RH 168)</w:t>
      </w:r>
    </w:p>
    <w:p w14:paraId="3870E75A" w14:textId="77777777" w:rsidR="00620705" w:rsidRPr="00260D1B" w:rsidRDefault="00620705" w:rsidP="005B1B5B">
      <w:pPr>
        <w:spacing w:line="360" w:lineRule="auto"/>
        <w:ind w:right="231"/>
      </w:pPr>
    </w:p>
    <w:p w14:paraId="5F507109" w14:textId="50AEFFD3" w:rsidR="001252B4" w:rsidRPr="00260D1B" w:rsidRDefault="00620705" w:rsidP="005B1B5B">
      <w:pPr>
        <w:spacing w:line="360" w:lineRule="auto"/>
        <w:ind w:right="231"/>
      </w:pPr>
      <w:r w:rsidRPr="00260D1B">
        <w:t xml:space="preserve">Hedges, as </w:t>
      </w:r>
      <w:r w:rsidR="00A72A6E" w:rsidRPr="00260D1B">
        <w:t xml:space="preserve">shown </w:t>
      </w:r>
      <w:r w:rsidRPr="00260D1B">
        <w:t>in Table 2, were significantly more frequent in the C</w:t>
      </w:r>
      <w:r w:rsidR="000C0E9C" w:rsidRPr="00260D1B">
        <w:t>ovid</w:t>
      </w:r>
      <w:r w:rsidRPr="00260D1B">
        <w:t>-19 highlights (</w:t>
      </w:r>
      <w:r w:rsidR="007D1A4B" w:rsidRPr="00260D1B">
        <w:t>log Likelihood =1</w:t>
      </w:r>
      <w:r w:rsidR="007D1A4B">
        <w:t>3.81</w:t>
      </w:r>
      <w:r w:rsidR="007D1A4B" w:rsidRPr="00260D1B">
        <w:t>, p &lt;0.00</w:t>
      </w:r>
      <w:r w:rsidR="007D1A4B">
        <w:t>1</w:t>
      </w:r>
      <w:r w:rsidRPr="00260D1B">
        <w:t>)</w:t>
      </w:r>
      <w:r w:rsidR="00FC356A" w:rsidRPr="00260D1B">
        <w:t>, which</w:t>
      </w:r>
      <w:r w:rsidR="00A8025A" w:rsidRPr="00260D1B">
        <w:t>, to some extent,</w:t>
      </w:r>
      <w:r w:rsidR="00FC356A" w:rsidRPr="00260D1B">
        <w:t xml:space="preserve"> </w:t>
      </w:r>
      <w:r w:rsidR="00A8025A" w:rsidRPr="00260D1B">
        <w:t>indicates</w:t>
      </w:r>
      <w:r w:rsidR="00FC356A" w:rsidRPr="00260D1B">
        <w:t xml:space="preserve"> </w:t>
      </w:r>
      <w:r w:rsidR="00373497" w:rsidRPr="00260D1B">
        <w:t xml:space="preserve">academics’ awareness of the high degree of uncertainty </w:t>
      </w:r>
      <w:r w:rsidR="00A8025A" w:rsidRPr="00260D1B">
        <w:t>surrounding research into</w:t>
      </w:r>
      <w:r w:rsidR="00373497" w:rsidRPr="00260D1B">
        <w:t xml:space="preserve"> the pandemic. </w:t>
      </w:r>
      <w:r w:rsidR="00497966" w:rsidRPr="00260D1B">
        <w:t>Uncertainty is key</w:t>
      </w:r>
      <w:r w:rsidR="00A8025A" w:rsidRPr="00260D1B">
        <w:t xml:space="preserve"> to</w:t>
      </w:r>
      <w:r w:rsidR="00497966" w:rsidRPr="00260D1B">
        <w:t xml:space="preserve"> the social management of public health risk (</w:t>
      </w:r>
      <w:proofErr w:type="spellStart"/>
      <w:r w:rsidR="00497966" w:rsidRPr="00260D1B">
        <w:rPr>
          <w:rFonts w:eastAsiaTheme="minorEastAsia"/>
        </w:rPr>
        <w:t>Müller</w:t>
      </w:r>
      <w:proofErr w:type="spellEnd"/>
      <w:r w:rsidR="00497966" w:rsidRPr="00260D1B">
        <w:rPr>
          <w:rFonts w:eastAsiaTheme="minorEastAsia"/>
        </w:rPr>
        <w:t xml:space="preserve"> et al., 2021)</w:t>
      </w:r>
      <w:r w:rsidR="00497966" w:rsidRPr="00260D1B">
        <w:t xml:space="preserve"> </w:t>
      </w:r>
      <w:r w:rsidR="00E547E7" w:rsidRPr="00260D1B">
        <w:t xml:space="preserve">and hedges point to the degree of caution that should be associated with claims. In the Covid highlights, </w:t>
      </w:r>
      <w:r w:rsidR="00FC356A" w:rsidRPr="00260D1B">
        <w:t>hedges</w:t>
      </w:r>
      <w:r w:rsidR="00A24961" w:rsidRPr="00260D1B">
        <w:t xml:space="preserve"> were more frequently </w:t>
      </w:r>
      <w:r w:rsidR="00E547E7" w:rsidRPr="00260D1B">
        <w:t>used</w:t>
      </w:r>
      <w:r w:rsidR="00A24961" w:rsidRPr="00260D1B">
        <w:t xml:space="preserve"> to express </w:t>
      </w:r>
      <w:r w:rsidR="00985A01" w:rsidRPr="00260D1B">
        <w:t xml:space="preserve">scientific </w:t>
      </w:r>
      <w:r w:rsidR="00A24961" w:rsidRPr="00260D1B">
        <w:t>possibility</w:t>
      </w:r>
      <w:r w:rsidR="00D03302" w:rsidRPr="00260D1B">
        <w:t xml:space="preserve"> or predication </w:t>
      </w:r>
      <w:r w:rsidR="00985A01" w:rsidRPr="00260D1B">
        <w:t xml:space="preserve">and show </w:t>
      </w:r>
      <w:r w:rsidR="00540EE0">
        <w:t>considerable</w:t>
      </w:r>
      <w:r w:rsidR="00985A01" w:rsidRPr="00260D1B">
        <w:t xml:space="preserve"> uncertainty about the </w:t>
      </w:r>
      <w:r w:rsidR="00307796" w:rsidRPr="00260D1B">
        <w:t xml:space="preserve">potential </w:t>
      </w:r>
      <w:r w:rsidR="00985A01" w:rsidRPr="00260D1B">
        <w:t>measures that can be taken with the coronavirus pandemic:</w:t>
      </w:r>
    </w:p>
    <w:p w14:paraId="006C26C4" w14:textId="52B07EF4" w:rsidR="00F1501D" w:rsidRDefault="00F1501D" w:rsidP="005B1B5B">
      <w:pPr>
        <w:spacing w:line="360" w:lineRule="auto"/>
        <w:ind w:left="680" w:right="231"/>
        <w:rPr>
          <w:kern w:val="1"/>
          <w:lang w:val="en-US"/>
        </w:rPr>
      </w:pPr>
      <w:r w:rsidRPr="00260D1B">
        <w:rPr>
          <w:kern w:val="1"/>
          <w:lang w:val="en-US"/>
        </w:rPr>
        <w:t>(</w:t>
      </w:r>
      <w:r w:rsidR="00E547E7" w:rsidRPr="00260D1B">
        <w:rPr>
          <w:kern w:val="1"/>
          <w:lang w:val="en-US"/>
        </w:rPr>
        <w:t>4</w:t>
      </w:r>
      <w:r w:rsidRPr="00260D1B">
        <w:rPr>
          <w:kern w:val="1"/>
          <w:lang w:val="en-US"/>
        </w:rPr>
        <w:t xml:space="preserve">) Secondarily infected cases are </w:t>
      </w:r>
      <w:r w:rsidRPr="00260D1B">
        <w:rPr>
          <w:b/>
          <w:bCs/>
          <w:i/>
          <w:iCs/>
          <w:kern w:val="1"/>
          <w:lang w:val="en-US"/>
        </w:rPr>
        <w:t xml:space="preserve">generally </w:t>
      </w:r>
      <w:r w:rsidRPr="00260D1B">
        <w:rPr>
          <w:kern w:val="1"/>
          <w:lang w:val="en-US"/>
        </w:rPr>
        <w:t>milder than the initially infected cases in family cluster cases. (CH 10)</w:t>
      </w:r>
    </w:p>
    <w:p w14:paraId="58033367" w14:textId="77777777" w:rsidR="007D1A4B" w:rsidRPr="00260D1B" w:rsidRDefault="007D1A4B" w:rsidP="005B1B5B">
      <w:pPr>
        <w:spacing w:line="360" w:lineRule="auto"/>
        <w:ind w:left="680" w:right="231"/>
        <w:rPr>
          <w:kern w:val="1"/>
          <w:lang w:val="en-US"/>
        </w:rPr>
      </w:pPr>
    </w:p>
    <w:p w14:paraId="25BAE356" w14:textId="7DF2693B" w:rsidR="00083677" w:rsidRPr="00260D1B" w:rsidRDefault="00083677" w:rsidP="005B1B5B">
      <w:pPr>
        <w:spacing w:line="360" w:lineRule="auto"/>
        <w:ind w:left="680" w:right="231"/>
        <w:rPr>
          <w:kern w:val="1"/>
          <w:lang w:val="en-US"/>
        </w:rPr>
      </w:pPr>
      <w:r w:rsidRPr="00260D1B">
        <w:rPr>
          <w:kern w:val="1"/>
          <w:lang w:val="en-US"/>
        </w:rPr>
        <w:t>(</w:t>
      </w:r>
      <w:r w:rsidR="00E547E7" w:rsidRPr="00260D1B">
        <w:rPr>
          <w:kern w:val="1"/>
          <w:lang w:val="en-US"/>
        </w:rPr>
        <w:t>5</w:t>
      </w:r>
      <w:r w:rsidRPr="00260D1B">
        <w:rPr>
          <w:kern w:val="1"/>
          <w:lang w:val="en-US"/>
        </w:rPr>
        <w:t xml:space="preserve">) SARS-CoV-2 contamination </w:t>
      </w:r>
      <w:r w:rsidRPr="00260D1B">
        <w:rPr>
          <w:b/>
          <w:bCs/>
          <w:i/>
          <w:iCs/>
          <w:kern w:val="1"/>
          <w:lang w:val="en-US"/>
        </w:rPr>
        <w:t>appeared</w:t>
      </w:r>
      <w:r w:rsidRPr="00260D1B">
        <w:rPr>
          <w:kern w:val="1"/>
          <w:lang w:val="en-US"/>
        </w:rPr>
        <w:t xml:space="preserve"> to be reduced after treatment. (CH 18)</w:t>
      </w:r>
    </w:p>
    <w:p w14:paraId="3702DD47" w14:textId="77777777" w:rsidR="007C49D3" w:rsidRDefault="007C49D3" w:rsidP="005B1B5B">
      <w:pPr>
        <w:spacing w:line="360" w:lineRule="auto"/>
        <w:ind w:right="231"/>
      </w:pPr>
    </w:p>
    <w:p w14:paraId="3BA69FBD" w14:textId="1639807C" w:rsidR="00A72A6E" w:rsidRPr="00260D1B" w:rsidRDefault="00E547E7" w:rsidP="005B1B5B">
      <w:pPr>
        <w:spacing w:line="360" w:lineRule="auto"/>
        <w:ind w:right="231"/>
      </w:pPr>
      <w:r w:rsidRPr="00260D1B">
        <w:t xml:space="preserve">Here hedging devices mark scholarly caution, and more importantly, to avoid the embarrassment of committing to arguments which later may be proved to be wrong, a particular hazard when dealing with the novelty of the SARS Covid virus (Rutter et al., 2020). </w:t>
      </w:r>
      <w:r w:rsidR="00A72A6E" w:rsidRPr="00260D1B">
        <w:t xml:space="preserve">At the same time, </w:t>
      </w:r>
      <w:r w:rsidRPr="00260D1B">
        <w:t xml:space="preserve">however, </w:t>
      </w:r>
      <w:r w:rsidR="00A72A6E" w:rsidRPr="00260D1B">
        <w:t>hedges allow authors to foreground their judgements and their role in the scientific creation of facts</w:t>
      </w:r>
      <w:r w:rsidRPr="00260D1B">
        <w:t xml:space="preserve">, spotlighting their </w:t>
      </w:r>
      <w:r w:rsidR="00A72A6E" w:rsidRPr="00260D1B">
        <w:t>role in the scientific process of fact creation</w:t>
      </w:r>
      <w:r w:rsidRPr="00260D1B">
        <w:t>.</w:t>
      </w:r>
      <w:r w:rsidR="00C62298" w:rsidRPr="00260D1B">
        <w:t xml:space="preserve"> This kind of intervention can be seen here:</w:t>
      </w:r>
    </w:p>
    <w:p w14:paraId="361E7C37" w14:textId="0DD7CB51" w:rsidR="00A72A6E" w:rsidRDefault="0064668F" w:rsidP="0064668F">
      <w:pPr>
        <w:spacing w:line="360" w:lineRule="auto"/>
        <w:ind w:left="993" w:right="231" w:hanging="426"/>
        <w:rPr>
          <w:shd w:val="clear" w:color="auto" w:fill="FFFFFF"/>
        </w:rPr>
      </w:pPr>
      <w:r w:rsidRPr="00260D1B">
        <w:rPr>
          <w:shd w:val="clear" w:color="auto" w:fill="FFFFFF"/>
        </w:rPr>
        <w:t xml:space="preserve">(5) </w:t>
      </w:r>
      <w:r w:rsidR="00E547E7" w:rsidRPr="00260D1B">
        <w:rPr>
          <w:shd w:val="clear" w:color="auto" w:fill="FFFFFF"/>
        </w:rPr>
        <w:t xml:space="preserve">Results </w:t>
      </w:r>
      <w:r w:rsidR="00E547E7" w:rsidRPr="00260D1B">
        <w:rPr>
          <w:b/>
          <w:bCs/>
          <w:i/>
          <w:iCs/>
          <w:shd w:val="clear" w:color="auto" w:fill="FFFFFF"/>
        </w:rPr>
        <w:t xml:space="preserve">may </w:t>
      </w:r>
      <w:r w:rsidR="00E547E7" w:rsidRPr="00260D1B">
        <w:rPr>
          <w:shd w:val="clear" w:color="auto" w:fill="FFFFFF"/>
        </w:rPr>
        <w:t>help shed light on the pathophysiology of a prolonged post-viral syndrome following COVID-19 infection.</w:t>
      </w:r>
    </w:p>
    <w:p w14:paraId="2A9F8E2F" w14:textId="77777777" w:rsidR="007D1A4B" w:rsidRPr="00260D1B" w:rsidRDefault="007D1A4B" w:rsidP="0064668F">
      <w:pPr>
        <w:spacing w:line="360" w:lineRule="auto"/>
        <w:ind w:left="993" w:right="231" w:hanging="426"/>
        <w:rPr>
          <w:shd w:val="clear" w:color="auto" w:fill="FFFFFF"/>
        </w:rPr>
      </w:pPr>
    </w:p>
    <w:p w14:paraId="3E7B374D" w14:textId="1B9D30AB" w:rsidR="00C62298" w:rsidRPr="00260D1B" w:rsidRDefault="0064668F" w:rsidP="0064668F">
      <w:pPr>
        <w:spacing w:line="360" w:lineRule="auto"/>
        <w:ind w:left="993" w:right="231" w:hanging="426"/>
      </w:pPr>
      <w:r w:rsidRPr="00260D1B">
        <w:t xml:space="preserve">(6) </w:t>
      </w:r>
      <w:r w:rsidR="00DC1E60" w:rsidRPr="00260D1B">
        <w:t xml:space="preserve">An association between complicated bacterial rhinosinusitis and COVID-19 infection </w:t>
      </w:r>
      <w:r w:rsidR="00DC1E60" w:rsidRPr="00260D1B">
        <w:rPr>
          <w:b/>
          <w:bCs/>
          <w:i/>
          <w:iCs/>
        </w:rPr>
        <w:t>seems likely</w:t>
      </w:r>
    </w:p>
    <w:p w14:paraId="20EAE50C" w14:textId="77777777" w:rsidR="00C62298" w:rsidRPr="00260D1B" w:rsidRDefault="00C62298" w:rsidP="005B1B5B">
      <w:pPr>
        <w:spacing w:line="360" w:lineRule="auto"/>
        <w:ind w:right="231"/>
      </w:pPr>
    </w:p>
    <w:p w14:paraId="00934D82" w14:textId="3D4C9F14" w:rsidR="00837533" w:rsidRPr="00260D1B" w:rsidRDefault="0064668F" w:rsidP="005B1B5B">
      <w:pPr>
        <w:spacing w:line="360" w:lineRule="auto"/>
        <w:ind w:right="231"/>
      </w:pPr>
      <w:r w:rsidRPr="00260D1B">
        <w:lastRenderedPageBreak/>
        <w:t>We</w:t>
      </w:r>
      <w:r w:rsidR="00625989" w:rsidRPr="00260D1B">
        <w:t xml:space="preserve"> also found the </w:t>
      </w:r>
      <w:r w:rsidR="006219B0" w:rsidRPr="00260D1B">
        <w:t xml:space="preserve">considerable overlap among the </w:t>
      </w:r>
      <w:r w:rsidR="00625989" w:rsidRPr="00260D1B">
        <w:t xml:space="preserve">most frequently used hedging item in </w:t>
      </w:r>
      <w:r w:rsidR="006219B0" w:rsidRPr="00260D1B">
        <w:t>the two corpora</w:t>
      </w:r>
      <w:r w:rsidR="00625989" w:rsidRPr="00260D1B">
        <w:t xml:space="preserve"> (</w:t>
      </w:r>
      <w:r w:rsidR="00E45045">
        <w:t xml:space="preserve">see </w:t>
      </w:r>
      <w:r w:rsidR="00625989" w:rsidRPr="00260D1B">
        <w:t xml:space="preserve">Table 3). </w:t>
      </w:r>
      <w:r w:rsidR="000848D0" w:rsidRPr="00260D1B">
        <w:t>‘</w:t>
      </w:r>
      <w:r w:rsidR="006219B0" w:rsidRPr="00260D1B">
        <w:t>M</w:t>
      </w:r>
      <w:r w:rsidR="000848D0" w:rsidRPr="00260D1B">
        <w:t xml:space="preserve">ay’ was the most common item in both </w:t>
      </w:r>
      <w:r w:rsidR="006219B0" w:rsidRPr="00260D1B">
        <w:t>lists by some distance</w:t>
      </w:r>
      <w:r w:rsidR="002F3C60" w:rsidRPr="00260D1B">
        <w:t xml:space="preserve">, </w:t>
      </w:r>
      <w:r w:rsidR="00C77B57" w:rsidRPr="00260D1B">
        <w:t xml:space="preserve">comprising over a quarter of cases in both corpora, </w:t>
      </w:r>
      <w:r w:rsidR="007C49D3">
        <w:t>reflecting</w:t>
      </w:r>
      <w:r w:rsidR="00C77B57" w:rsidRPr="00260D1B">
        <w:t xml:space="preserve"> </w:t>
      </w:r>
      <w:r w:rsidR="006219B0" w:rsidRPr="00260D1B">
        <w:t xml:space="preserve">its prominence in science research articles </w:t>
      </w:r>
      <w:r w:rsidR="002F3C60" w:rsidRPr="00260D1B">
        <w:t>(</w:t>
      </w:r>
      <w:r w:rsidR="00454B5F">
        <w:t>Author 2</w:t>
      </w:r>
      <w:r w:rsidR="002F3C60" w:rsidRPr="00260D1B">
        <w:t xml:space="preserve">, 1996). </w:t>
      </w:r>
      <w:r w:rsidR="00540EE0">
        <w:rPr>
          <w:lang w:val="en-US"/>
        </w:rPr>
        <w:t>B</w:t>
      </w:r>
      <w:r w:rsidR="00540EE0" w:rsidRPr="00260D1B">
        <w:rPr>
          <w:lang w:val="en-US"/>
        </w:rPr>
        <w:t>ecause of its perceived formality</w:t>
      </w:r>
      <w:r w:rsidR="00540EE0">
        <w:rPr>
          <w:lang w:val="en-US"/>
        </w:rPr>
        <w:t>,</w:t>
      </w:r>
      <w:r w:rsidR="00540EE0" w:rsidRPr="00260D1B">
        <w:t xml:space="preserve"> </w:t>
      </w:r>
      <w:r w:rsidR="00540EE0">
        <w:t>t</w:t>
      </w:r>
      <w:r w:rsidR="006219B0" w:rsidRPr="00260D1B">
        <w:t xml:space="preserve">his </w:t>
      </w:r>
      <w:r w:rsidR="00120090" w:rsidRPr="00260D1B">
        <w:rPr>
          <w:lang w:val="en-US"/>
        </w:rPr>
        <w:t xml:space="preserve">is the only modal </w:t>
      </w:r>
      <w:r w:rsidR="007C49D3">
        <w:rPr>
          <w:lang w:val="en-US"/>
        </w:rPr>
        <w:t>which</w:t>
      </w:r>
      <w:r w:rsidR="00120090" w:rsidRPr="00260D1B">
        <w:rPr>
          <w:lang w:val="en-US"/>
        </w:rPr>
        <w:t xml:space="preserve"> </w:t>
      </w:r>
      <w:r w:rsidR="00540EE0">
        <w:rPr>
          <w:lang w:val="en-US"/>
        </w:rPr>
        <w:t xml:space="preserve">occurs more frequently </w:t>
      </w:r>
      <w:r w:rsidR="00120090" w:rsidRPr="00260D1B">
        <w:rPr>
          <w:lang w:val="en-US"/>
        </w:rPr>
        <w:t>in academic genres, indicating a 50-50 assessment of possibilities.</w:t>
      </w:r>
      <w:r w:rsidR="00120090" w:rsidRPr="00260D1B">
        <w:t xml:space="preserve"> A more speculative position is taken by the use of the epistemic verb</w:t>
      </w:r>
      <w:r w:rsidR="00120090" w:rsidRPr="00260D1B">
        <w:rPr>
          <w:rFonts w:eastAsiaTheme="minorEastAsia"/>
        </w:rPr>
        <w:t xml:space="preserve"> </w:t>
      </w:r>
      <w:r w:rsidR="00120090" w:rsidRPr="00260D1B">
        <w:t xml:space="preserve">“suggest”, which is also used </w:t>
      </w:r>
      <w:r w:rsidR="00DA4354" w:rsidRPr="00260D1B">
        <w:t>frequently in both types of highlights</w:t>
      </w:r>
      <w:r w:rsidR="00120090" w:rsidRPr="00260D1B">
        <w:t xml:space="preserve">. </w:t>
      </w:r>
      <w:r w:rsidR="00C77B57" w:rsidRPr="00260D1B">
        <w:t xml:space="preserve">Again, this </w:t>
      </w:r>
      <w:r w:rsidR="00C77B57" w:rsidRPr="00260D1B">
        <w:rPr>
          <w:lang w:val="en-US"/>
        </w:rPr>
        <w:t>displays the subjectivity of the epistemic source to weaken commitment or assertiveness. The modal</w:t>
      </w:r>
      <w:r w:rsidR="00C77B57" w:rsidRPr="00260D1B">
        <w:t xml:space="preserve"> </w:t>
      </w:r>
      <w:r w:rsidR="00C77B57" w:rsidRPr="00260D1B">
        <w:rPr>
          <w:lang w:val="en-US"/>
        </w:rPr>
        <w:t xml:space="preserve">‘might’ also </w:t>
      </w:r>
      <w:proofErr w:type="gramStart"/>
      <w:r w:rsidR="00C77B57" w:rsidRPr="00260D1B">
        <w:rPr>
          <w:lang w:val="en-US"/>
        </w:rPr>
        <w:t>figures</w:t>
      </w:r>
      <w:proofErr w:type="gramEnd"/>
      <w:r w:rsidR="00C77B57" w:rsidRPr="00260D1B">
        <w:rPr>
          <w:lang w:val="en-US"/>
        </w:rPr>
        <w:t xml:space="preserve"> prominently in both sets of highlights, offering writers a more </w:t>
      </w:r>
      <w:r w:rsidR="00AB56DC" w:rsidRPr="00260D1B">
        <w:rPr>
          <w:lang w:val="en-US"/>
        </w:rPr>
        <w:t>cautious</w:t>
      </w:r>
      <w:r w:rsidR="00C77B57" w:rsidRPr="00260D1B">
        <w:rPr>
          <w:lang w:val="en-US"/>
        </w:rPr>
        <w:t xml:space="preserve"> form than ‘may’, often when the condition of </w:t>
      </w:r>
      <w:r w:rsidR="007C49D3" w:rsidRPr="00260D1B">
        <w:rPr>
          <w:lang w:val="en-US"/>
        </w:rPr>
        <w:t>realization</w:t>
      </w:r>
      <w:r w:rsidR="00C77B57" w:rsidRPr="00260D1B">
        <w:rPr>
          <w:lang w:val="en-US"/>
        </w:rPr>
        <w:t xml:space="preserve"> is more remote </w:t>
      </w:r>
      <w:r w:rsidR="00C77B57" w:rsidRPr="00260D1B">
        <w:t>(</w:t>
      </w:r>
      <w:r w:rsidR="00454B5F">
        <w:t>Author 2</w:t>
      </w:r>
      <w:r w:rsidR="00C77B57" w:rsidRPr="00260D1B">
        <w:t>, 1996)</w:t>
      </w:r>
      <w:r w:rsidR="00C77B57" w:rsidRPr="00260D1B">
        <w:rPr>
          <w:lang w:val="en-US"/>
        </w:rPr>
        <w:t xml:space="preserve">. The </w:t>
      </w:r>
      <w:r w:rsidR="00443470" w:rsidRPr="00260D1B">
        <w:rPr>
          <w:lang w:val="en-US"/>
        </w:rPr>
        <w:t>approximating</w:t>
      </w:r>
      <w:r w:rsidR="00C77B57" w:rsidRPr="00260D1B">
        <w:rPr>
          <w:lang w:val="en-US"/>
        </w:rPr>
        <w:t xml:space="preserve"> </w:t>
      </w:r>
      <w:r w:rsidR="00923550" w:rsidRPr="00260D1B">
        <w:t>hedge “estimate” was the second most common item in the reference corpus</w:t>
      </w:r>
      <w:r w:rsidR="00443470" w:rsidRPr="00260D1B">
        <w:t>, offering a</w:t>
      </w:r>
      <w:r w:rsidR="00443470" w:rsidRPr="00260D1B">
        <w:rPr>
          <w:shd w:val="clear" w:color="auto" w:fill="FFFFFF"/>
        </w:rPr>
        <w:t> </w:t>
      </w:r>
      <w:r w:rsidR="00443470" w:rsidRPr="00260D1B">
        <w:rPr>
          <w:rStyle w:val="sdzsvb"/>
          <w:shd w:val="clear" w:color="auto" w:fill="FFFFFF"/>
        </w:rPr>
        <w:t>judgement</w:t>
      </w:r>
      <w:r w:rsidR="00443470" w:rsidRPr="00260D1B">
        <w:rPr>
          <w:shd w:val="clear" w:color="auto" w:fill="FFFFFF"/>
        </w:rPr>
        <w:t> of the value or extent of something. Its absence from the Covid highlights</w:t>
      </w:r>
      <w:r w:rsidR="00443470" w:rsidRPr="00260D1B">
        <w:t xml:space="preserve"> suggests, perhaps, the reluctance of writers to be less</w:t>
      </w:r>
      <w:r w:rsidR="00344844" w:rsidRPr="00260D1B">
        <w:t xml:space="preserve"> speculative when reporting new findings on the virus </w:t>
      </w:r>
      <w:r w:rsidR="00443470" w:rsidRPr="00260D1B">
        <w:t xml:space="preserve">in order </w:t>
      </w:r>
      <w:r w:rsidR="00344844" w:rsidRPr="00260D1B">
        <w:t xml:space="preserve">to take a </w:t>
      </w:r>
      <w:r w:rsidR="00443470" w:rsidRPr="00260D1B">
        <w:t xml:space="preserve">firmer </w:t>
      </w:r>
      <w:r w:rsidR="00344844" w:rsidRPr="00260D1B">
        <w:t>stance in selling their arguments</w:t>
      </w:r>
      <w:r w:rsidR="003765D9" w:rsidRPr="00260D1B">
        <w:t xml:space="preserve">. </w:t>
      </w:r>
    </w:p>
    <w:p w14:paraId="00D8ABBC" w14:textId="77777777" w:rsidR="00540EE0" w:rsidRPr="00260D1B" w:rsidRDefault="00540EE0" w:rsidP="005B1B5B">
      <w:pPr>
        <w:spacing w:line="360" w:lineRule="auto"/>
        <w:ind w:right="231"/>
      </w:pPr>
    </w:p>
    <w:p w14:paraId="564B3EA8" w14:textId="30B25451" w:rsidR="00A37BE0" w:rsidRPr="00260D1B" w:rsidRDefault="00A61BAA" w:rsidP="005B1B5B">
      <w:pPr>
        <w:spacing w:line="360" w:lineRule="auto"/>
        <w:ind w:right="231"/>
      </w:pPr>
      <w:r w:rsidRPr="00260D1B">
        <w:rPr>
          <w:b/>
          <w:bCs/>
        </w:rPr>
        <w:t>Table 3</w:t>
      </w:r>
      <w:r w:rsidRPr="00260D1B">
        <w:t xml:space="preserve">. </w:t>
      </w:r>
      <w:r w:rsidR="006C67A6" w:rsidRPr="00260D1B">
        <w:t>T</w:t>
      </w:r>
      <w:r w:rsidR="00335EA6" w:rsidRPr="00260D1B">
        <w:t xml:space="preserve">he most common </w:t>
      </w:r>
      <w:r w:rsidRPr="00260D1B">
        <w:t>hedges</w:t>
      </w:r>
      <w:r w:rsidR="006C67A6" w:rsidRPr="00260D1B">
        <w:t xml:space="preserve"> in </w:t>
      </w:r>
      <w:r w:rsidR="00117FC4" w:rsidRPr="00260D1B">
        <w:t>two types of highlights</w:t>
      </w:r>
      <w:r w:rsidR="00335EA6" w:rsidRPr="00260D1B">
        <w:t xml:space="preserve"> (per 1000 words and %)</w:t>
      </w:r>
    </w:p>
    <w:tbl>
      <w:tblPr>
        <w:tblStyle w:val="TableGrid"/>
        <w:tblW w:w="91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721"/>
        <w:gridCol w:w="817"/>
        <w:gridCol w:w="176"/>
        <w:gridCol w:w="1850"/>
        <w:gridCol w:w="1820"/>
        <w:gridCol w:w="813"/>
        <w:gridCol w:w="176"/>
      </w:tblGrid>
      <w:tr w:rsidR="00260D1B" w:rsidRPr="00260D1B" w14:paraId="67BA94A4" w14:textId="77777777" w:rsidTr="0064668F">
        <w:trPr>
          <w:gridAfter w:val="1"/>
          <w:wAfter w:w="176" w:type="dxa"/>
        </w:trPr>
        <w:tc>
          <w:tcPr>
            <w:tcW w:w="4361" w:type="dxa"/>
            <w:gridSpan w:val="3"/>
            <w:tcBorders>
              <w:top w:val="single" w:sz="4" w:space="0" w:color="auto"/>
              <w:bottom w:val="single" w:sz="4" w:space="0" w:color="auto"/>
            </w:tcBorders>
          </w:tcPr>
          <w:p w14:paraId="3E748201" w14:textId="40141D7C" w:rsidR="00A61BAA" w:rsidRPr="00260D1B" w:rsidRDefault="00A61BAA" w:rsidP="005B1B5B">
            <w:pPr>
              <w:spacing w:line="360" w:lineRule="auto"/>
              <w:ind w:right="231"/>
              <w:jc w:val="center"/>
              <w:rPr>
                <w:b/>
                <w:bCs/>
              </w:rPr>
            </w:pPr>
            <w:bookmarkStart w:id="0" w:name="_Hlk126688384"/>
            <w:r w:rsidRPr="00260D1B">
              <w:rPr>
                <w:b/>
                <w:bCs/>
              </w:rPr>
              <w:t>COVID-19 highlight</w:t>
            </w:r>
            <w:r w:rsidR="00117FC4" w:rsidRPr="00260D1B">
              <w:rPr>
                <w:b/>
                <w:bCs/>
              </w:rPr>
              <w:t>s</w:t>
            </w:r>
          </w:p>
        </w:tc>
        <w:tc>
          <w:tcPr>
            <w:tcW w:w="4659" w:type="dxa"/>
            <w:gridSpan w:val="4"/>
            <w:tcBorders>
              <w:top w:val="single" w:sz="4" w:space="0" w:color="auto"/>
              <w:bottom w:val="single" w:sz="4" w:space="0" w:color="auto"/>
            </w:tcBorders>
          </w:tcPr>
          <w:p w14:paraId="16AC36AF" w14:textId="7E056E49" w:rsidR="00A61BAA" w:rsidRPr="00260D1B" w:rsidRDefault="00A61BAA" w:rsidP="005B1B5B">
            <w:pPr>
              <w:spacing w:line="360" w:lineRule="auto"/>
              <w:ind w:right="231"/>
              <w:jc w:val="center"/>
              <w:rPr>
                <w:b/>
                <w:bCs/>
              </w:rPr>
            </w:pPr>
            <w:r w:rsidRPr="00260D1B">
              <w:rPr>
                <w:b/>
                <w:bCs/>
              </w:rPr>
              <w:t xml:space="preserve">Reference </w:t>
            </w:r>
            <w:r w:rsidR="00117FC4" w:rsidRPr="00260D1B">
              <w:rPr>
                <w:b/>
                <w:bCs/>
              </w:rPr>
              <w:t>highlights</w:t>
            </w:r>
          </w:p>
        </w:tc>
      </w:tr>
      <w:tr w:rsidR="00260D1B" w:rsidRPr="00260D1B" w14:paraId="775334E1" w14:textId="4CF3B3E4" w:rsidTr="0064668F">
        <w:tc>
          <w:tcPr>
            <w:tcW w:w="1823" w:type="dxa"/>
            <w:tcBorders>
              <w:top w:val="single" w:sz="4" w:space="0" w:color="auto"/>
              <w:bottom w:val="single" w:sz="4" w:space="0" w:color="auto"/>
            </w:tcBorders>
          </w:tcPr>
          <w:p w14:paraId="7BE532D6" w14:textId="6270FD37" w:rsidR="00A61BAA" w:rsidRPr="00260D1B" w:rsidRDefault="0064668F" w:rsidP="0064668F">
            <w:pPr>
              <w:spacing w:line="360" w:lineRule="auto"/>
              <w:ind w:right="231"/>
            </w:pPr>
            <w:r w:rsidRPr="00260D1B">
              <w:t>I</w:t>
            </w:r>
            <w:r w:rsidR="00A61BAA" w:rsidRPr="00260D1B">
              <w:t>tem</w:t>
            </w:r>
          </w:p>
        </w:tc>
        <w:tc>
          <w:tcPr>
            <w:tcW w:w="1721" w:type="dxa"/>
            <w:tcBorders>
              <w:top w:val="single" w:sz="4" w:space="0" w:color="auto"/>
              <w:bottom w:val="single" w:sz="4" w:space="0" w:color="auto"/>
            </w:tcBorders>
          </w:tcPr>
          <w:p w14:paraId="53222BE0" w14:textId="10CF7C74" w:rsidR="00A61BAA" w:rsidRPr="00260D1B" w:rsidRDefault="00335EA6" w:rsidP="0064668F">
            <w:pPr>
              <w:spacing w:line="360" w:lineRule="auto"/>
              <w:ind w:right="-147"/>
            </w:pPr>
            <w:r w:rsidRPr="00260D1B">
              <w:t>per 1,000 words</w:t>
            </w:r>
          </w:p>
        </w:tc>
        <w:tc>
          <w:tcPr>
            <w:tcW w:w="993" w:type="dxa"/>
            <w:gridSpan w:val="2"/>
            <w:tcBorders>
              <w:top w:val="single" w:sz="4" w:space="0" w:color="auto"/>
              <w:bottom w:val="single" w:sz="4" w:space="0" w:color="auto"/>
            </w:tcBorders>
          </w:tcPr>
          <w:p w14:paraId="654DD4CE" w14:textId="02E62884" w:rsidR="00A61BAA" w:rsidRPr="00260D1B" w:rsidRDefault="00335EA6" w:rsidP="0064668F">
            <w:pPr>
              <w:spacing w:line="360" w:lineRule="auto"/>
              <w:ind w:right="231"/>
            </w:pPr>
            <w:r w:rsidRPr="00260D1B">
              <w:t>%</w:t>
            </w:r>
          </w:p>
        </w:tc>
        <w:tc>
          <w:tcPr>
            <w:tcW w:w="1850" w:type="dxa"/>
            <w:tcBorders>
              <w:top w:val="single" w:sz="4" w:space="0" w:color="auto"/>
              <w:bottom w:val="single" w:sz="4" w:space="0" w:color="auto"/>
            </w:tcBorders>
          </w:tcPr>
          <w:p w14:paraId="22DC4516" w14:textId="30C5A47A" w:rsidR="00A61BAA" w:rsidRPr="00260D1B" w:rsidRDefault="0064668F" w:rsidP="0064668F">
            <w:pPr>
              <w:spacing w:line="360" w:lineRule="auto"/>
              <w:ind w:right="231"/>
            </w:pPr>
            <w:r w:rsidRPr="00260D1B">
              <w:t>I</w:t>
            </w:r>
            <w:r w:rsidR="00A61BAA" w:rsidRPr="00260D1B">
              <w:t>tem</w:t>
            </w:r>
          </w:p>
        </w:tc>
        <w:tc>
          <w:tcPr>
            <w:tcW w:w="1820" w:type="dxa"/>
            <w:tcBorders>
              <w:top w:val="single" w:sz="4" w:space="0" w:color="auto"/>
              <w:bottom w:val="single" w:sz="4" w:space="0" w:color="auto"/>
            </w:tcBorders>
          </w:tcPr>
          <w:p w14:paraId="3AEA71BD" w14:textId="4DBC30EF" w:rsidR="00A61BAA" w:rsidRPr="00260D1B" w:rsidRDefault="00335EA6" w:rsidP="0064668F">
            <w:pPr>
              <w:spacing w:line="360" w:lineRule="auto"/>
              <w:rPr>
                <w:b/>
                <w:bCs/>
              </w:rPr>
            </w:pPr>
            <w:r w:rsidRPr="00260D1B">
              <w:t>per 1,000 words</w:t>
            </w:r>
          </w:p>
        </w:tc>
        <w:tc>
          <w:tcPr>
            <w:tcW w:w="989" w:type="dxa"/>
            <w:gridSpan w:val="2"/>
            <w:tcBorders>
              <w:top w:val="single" w:sz="4" w:space="0" w:color="auto"/>
              <w:bottom w:val="single" w:sz="4" w:space="0" w:color="auto"/>
            </w:tcBorders>
          </w:tcPr>
          <w:p w14:paraId="3C49103D" w14:textId="2DC3E6EA" w:rsidR="00A61BAA" w:rsidRPr="00260D1B" w:rsidRDefault="00335EA6" w:rsidP="0064668F">
            <w:pPr>
              <w:spacing w:line="360" w:lineRule="auto"/>
              <w:ind w:right="231"/>
              <w:rPr>
                <w:b/>
                <w:bCs/>
              </w:rPr>
            </w:pPr>
            <w:r w:rsidRPr="00260D1B">
              <w:t>%</w:t>
            </w:r>
          </w:p>
        </w:tc>
      </w:tr>
      <w:tr w:rsidR="00260D1B" w:rsidRPr="00260D1B" w14:paraId="0572907E" w14:textId="6B28278D" w:rsidTr="0064668F">
        <w:tc>
          <w:tcPr>
            <w:tcW w:w="1823" w:type="dxa"/>
            <w:tcBorders>
              <w:top w:val="single" w:sz="4" w:space="0" w:color="auto"/>
            </w:tcBorders>
          </w:tcPr>
          <w:p w14:paraId="4E209E6A" w14:textId="6F4E5D35" w:rsidR="00A61BAA" w:rsidRPr="00260D1B" w:rsidRDefault="00A61BAA" w:rsidP="0064668F">
            <w:pPr>
              <w:spacing w:line="360" w:lineRule="auto"/>
              <w:ind w:right="231"/>
            </w:pPr>
            <w:r w:rsidRPr="00260D1B">
              <w:t>may</w:t>
            </w:r>
          </w:p>
        </w:tc>
        <w:tc>
          <w:tcPr>
            <w:tcW w:w="1721" w:type="dxa"/>
            <w:tcBorders>
              <w:top w:val="single" w:sz="4" w:space="0" w:color="auto"/>
            </w:tcBorders>
          </w:tcPr>
          <w:p w14:paraId="4EE06E4B" w14:textId="70CD7C2A" w:rsidR="00A61BAA" w:rsidRPr="00260D1B" w:rsidRDefault="00335EA6" w:rsidP="006219B0">
            <w:pPr>
              <w:spacing w:line="360" w:lineRule="auto"/>
              <w:ind w:right="-147"/>
              <w:jc w:val="center"/>
            </w:pPr>
            <w:r w:rsidRPr="00260D1B">
              <w:t>3.0</w:t>
            </w:r>
          </w:p>
        </w:tc>
        <w:tc>
          <w:tcPr>
            <w:tcW w:w="993" w:type="dxa"/>
            <w:gridSpan w:val="2"/>
            <w:tcBorders>
              <w:top w:val="single" w:sz="4" w:space="0" w:color="auto"/>
            </w:tcBorders>
          </w:tcPr>
          <w:p w14:paraId="643CF3E4" w14:textId="6D704741" w:rsidR="00A61BAA" w:rsidRPr="00260D1B" w:rsidRDefault="00335EA6" w:rsidP="0064668F">
            <w:pPr>
              <w:spacing w:line="360" w:lineRule="auto"/>
              <w:ind w:right="231"/>
            </w:pPr>
            <w:r w:rsidRPr="00260D1B">
              <w:t>27.9</w:t>
            </w:r>
          </w:p>
        </w:tc>
        <w:tc>
          <w:tcPr>
            <w:tcW w:w="1850" w:type="dxa"/>
            <w:tcBorders>
              <w:top w:val="single" w:sz="4" w:space="0" w:color="auto"/>
            </w:tcBorders>
          </w:tcPr>
          <w:p w14:paraId="546A19F4" w14:textId="2AD7B2EA" w:rsidR="00A61BAA" w:rsidRPr="00260D1B" w:rsidRDefault="00A61BAA" w:rsidP="0064668F">
            <w:pPr>
              <w:spacing w:line="360" w:lineRule="auto"/>
              <w:ind w:right="231"/>
            </w:pPr>
            <w:r w:rsidRPr="00260D1B">
              <w:t>may</w:t>
            </w:r>
          </w:p>
        </w:tc>
        <w:tc>
          <w:tcPr>
            <w:tcW w:w="1820" w:type="dxa"/>
            <w:tcBorders>
              <w:top w:val="single" w:sz="4" w:space="0" w:color="auto"/>
            </w:tcBorders>
          </w:tcPr>
          <w:p w14:paraId="7D19ADC5" w14:textId="1E06F4B2" w:rsidR="00A61BAA" w:rsidRPr="00260D1B" w:rsidRDefault="00C77B57" w:rsidP="006219B0">
            <w:pPr>
              <w:spacing w:line="360" w:lineRule="auto"/>
              <w:jc w:val="center"/>
            </w:pPr>
            <w:r w:rsidRPr="00260D1B">
              <w:t>2.0</w:t>
            </w:r>
          </w:p>
        </w:tc>
        <w:tc>
          <w:tcPr>
            <w:tcW w:w="989" w:type="dxa"/>
            <w:gridSpan w:val="2"/>
            <w:tcBorders>
              <w:top w:val="single" w:sz="4" w:space="0" w:color="auto"/>
            </w:tcBorders>
          </w:tcPr>
          <w:p w14:paraId="7E822F20" w14:textId="1B88F4DB" w:rsidR="00A61BAA" w:rsidRPr="00260D1B" w:rsidRDefault="00AD17A3" w:rsidP="0064668F">
            <w:pPr>
              <w:spacing w:line="360" w:lineRule="auto"/>
              <w:ind w:right="231"/>
            </w:pPr>
            <w:r w:rsidRPr="00260D1B">
              <w:t>26.</w:t>
            </w:r>
            <w:r w:rsidR="00C77B57" w:rsidRPr="00260D1B">
              <w:t>6</w:t>
            </w:r>
          </w:p>
        </w:tc>
      </w:tr>
      <w:tr w:rsidR="00260D1B" w:rsidRPr="00260D1B" w14:paraId="280DEF08" w14:textId="3A4EE1B3" w:rsidTr="0064668F">
        <w:tc>
          <w:tcPr>
            <w:tcW w:w="1823" w:type="dxa"/>
          </w:tcPr>
          <w:p w14:paraId="171DE600" w14:textId="083D9FE1" w:rsidR="00A61BAA" w:rsidRPr="00260D1B" w:rsidRDefault="00335EA6" w:rsidP="0064668F">
            <w:pPr>
              <w:spacing w:line="360" w:lineRule="auto"/>
              <w:ind w:right="231"/>
            </w:pPr>
            <w:r w:rsidRPr="00260D1B">
              <w:t>might</w:t>
            </w:r>
          </w:p>
        </w:tc>
        <w:tc>
          <w:tcPr>
            <w:tcW w:w="1721" w:type="dxa"/>
          </w:tcPr>
          <w:p w14:paraId="09C76E57" w14:textId="16213DD6" w:rsidR="00A61BAA" w:rsidRPr="00260D1B" w:rsidRDefault="00335EA6" w:rsidP="006219B0">
            <w:pPr>
              <w:spacing w:line="360" w:lineRule="auto"/>
              <w:ind w:right="-147"/>
              <w:jc w:val="center"/>
            </w:pPr>
            <w:r w:rsidRPr="00260D1B">
              <w:t>0.9</w:t>
            </w:r>
          </w:p>
        </w:tc>
        <w:tc>
          <w:tcPr>
            <w:tcW w:w="993" w:type="dxa"/>
            <w:gridSpan w:val="2"/>
          </w:tcPr>
          <w:p w14:paraId="61BDAC2D" w14:textId="7CDA5F5F" w:rsidR="00A61BAA" w:rsidRPr="00260D1B" w:rsidRDefault="00335EA6" w:rsidP="0064668F">
            <w:pPr>
              <w:spacing w:line="360" w:lineRule="auto"/>
              <w:ind w:right="231"/>
            </w:pPr>
            <w:r w:rsidRPr="00260D1B">
              <w:t>8.</w:t>
            </w:r>
            <w:r w:rsidR="00C77B57" w:rsidRPr="00260D1B">
              <w:t>4</w:t>
            </w:r>
          </w:p>
        </w:tc>
        <w:tc>
          <w:tcPr>
            <w:tcW w:w="1850" w:type="dxa"/>
          </w:tcPr>
          <w:p w14:paraId="710D58A0" w14:textId="207B131E" w:rsidR="00A61BAA" w:rsidRPr="00260D1B" w:rsidRDefault="00AD17A3" w:rsidP="0064668F">
            <w:pPr>
              <w:spacing w:line="360" w:lineRule="auto"/>
              <w:ind w:right="231"/>
            </w:pPr>
            <w:r w:rsidRPr="00260D1B">
              <w:t>estimate</w:t>
            </w:r>
          </w:p>
        </w:tc>
        <w:tc>
          <w:tcPr>
            <w:tcW w:w="1820" w:type="dxa"/>
          </w:tcPr>
          <w:p w14:paraId="38FBB4DF" w14:textId="17769F6B" w:rsidR="00A61BAA" w:rsidRPr="00260D1B" w:rsidRDefault="00335EA6" w:rsidP="006219B0">
            <w:pPr>
              <w:spacing w:line="360" w:lineRule="auto"/>
              <w:jc w:val="center"/>
            </w:pPr>
            <w:r w:rsidRPr="00260D1B">
              <w:t>0.</w:t>
            </w:r>
            <w:r w:rsidR="00C77B57" w:rsidRPr="00260D1B">
              <w:t>6</w:t>
            </w:r>
          </w:p>
        </w:tc>
        <w:tc>
          <w:tcPr>
            <w:tcW w:w="989" w:type="dxa"/>
            <w:gridSpan w:val="2"/>
          </w:tcPr>
          <w:p w14:paraId="7F3569DD" w14:textId="3A66B683" w:rsidR="00A61BAA" w:rsidRPr="00260D1B" w:rsidRDefault="00C77B57" w:rsidP="0064668F">
            <w:pPr>
              <w:spacing w:line="360" w:lineRule="auto"/>
              <w:ind w:right="231"/>
            </w:pPr>
            <w:r w:rsidRPr="00260D1B">
              <w:t>8</w:t>
            </w:r>
            <w:r w:rsidR="00AD17A3" w:rsidRPr="00260D1B">
              <w:t>.</w:t>
            </w:r>
            <w:r w:rsidRPr="00260D1B">
              <w:t>0</w:t>
            </w:r>
          </w:p>
        </w:tc>
      </w:tr>
      <w:tr w:rsidR="00260D1B" w:rsidRPr="00260D1B" w14:paraId="0C293837" w14:textId="35105FAD" w:rsidTr="0064668F">
        <w:tc>
          <w:tcPr>
            <w:tcW w:w="1823" w:type="dxa"/>
          </w:tcPr>
          <w:p w14:paraId="3997D7F4" w14:textId="14A96FC8" w:rsidR="00A61BAA" w:rsidRPr="00260D1B" w:rsidRDefault="00335EA6" w:rsidP="0064668F">
            <w:pPr>
              <w:spacing w:line="360" w:lineRule="auto"/>
              <w:ind w:right="231"/>
            </w:pPr>
            <w:r w:rsidRPr="00260D1B">
              <w:t>likely</w:t>
            </w:r>
          </w:p>
        </w:tc>
        <w:tc>
          <w:tcPr>
            <w:tcW w:w="1721" w:type="dxa"/>
          </w:tcPr>
          <w:p w14:paraId="60071F1E" w14:textId="144E07D9" w:rsidR="00A61BAA" w:rsidRPr="00260D1B" w:rsidRDefault="00335EA6" w:rsidP="006219B0">
            <w:pPr>
              <w:spacing w:line="360" w:lineRule="auto"/>
              <w:ind w:right="-147"/>
              <w:jc w:val="center"/>
            </w:pPr>
            <w:r w:rsidRPr="00260D1B">
              <w:t>0.8</w:t>
            </w:r>
          </w:p>
        </w:tc>
        <w:tc>
          <w:tcPr>
            <w:tcW w:w="993" w:type="dxa"/>
            <w:gridSpan w:val="2"/>
          </w:tcPr>
          <w:p w14:paraId="0870CD42" w14:textId="43108FFA" w:rsidR="00A61BAA" w:rsidRPr="00260D1B" w:rsidRDefault="00335EA6" w:rsidP="0064668F">
            <w:pPr>
              <w:spacing w:line="360" w:lineRule="auto"/>
              <w:ind w:right="231"/>
            </w:pPr>
            <w:r w:rsidRPr="00260D1B">
              <w:t>7.8</w:t>
            </w:r>
          </w:p>
        </w:tc>
        <w:tc>
          <w:tcPr>
            <w:tcW w:w="1850" w:type="dxa"/>
          </w:tcPr>
          <w:p w14:paraId="11448183" w14:textId="5E957E24" w:rsidR="00A61BAA" w:rsidRPr="00260D1B" w:rsidRDefault="00AD17A3" w:rsidP="0064668F">
            <w:pPr>
              <w:spacing w:line="360" w:lineRule="auto"/>
              <w:ind w:right="231"/>
            </w:pPr>
            <w:r w:rsidRPr="00260D1B">
              <w:t>might</w:t>
            </w:r>
          </w:p>
        </w:tc>
        <w:tc>
          <w:tcPr>
            <w:tcW w:w="1820" w:type="dxa"/>
          </w:tcPr>
          <w:p w14:paraId="10193406" w14:textId="3CCE9A8C" w:rsidR="00A61BAA" w:rsidRPr="00260D1B" w:rsidRDefault="00335EA6" w:rsidP="006219B0">
            <w:pPr>
              <w:spacing w:line="360" w:lineRule="auto"/>
              <w:jc w:val="center"/>
            </w:pPr>
            <w:r w:rsidRPr="00260D1B">
              <w:t>0.</w:t>
            </w:r>
            <w:r w:rsidR="00AD17A3" w:rsidRPr="00260D1B">
              <w:t>5</w:t>
            </w:r>
          </w:p>
        </w:tc>
        <w:tc>
          <w:tcPr>
            <w:tcW w:w="989" w:type="dxa"/>
            <w:gridSpan w:val="2"/>
          </w:tcPr>
          <w:p w14:paraId="50334172" w14:textId="3F1896DD" w:rsidR="00A61BAA" w:rsidRPr="00260D1B" w:rsidRDefault="00AD17A3" w:rsidP="0064668F">
            <w:pPr>
              <w:spacing w:line="360" w:lineRule="auto"/>
              <w:ind w:right="231"/>
            </w:pPr>
            <w:r w:rsidRPr="00260D1B">
              <w:t>7.</w:t>
            </w:r>
            <w:r w:rsidR="00C77B57" w:rsidRPr="00260D1B">
              <w:t>1</w:t>
            </w:r>
          </w:p>
        </w:tc>
      </w:tr>
      <w:tr w:rsidR="00260D1B" w:rsidRPr="00260D1B" w14:paraId="608D2E8F" w14:textId="70A3AD3B" w:rsidTr="0064668F">
        <w:tc>
          <w:tcPr>
            <w:tcW w:w="1823" w:type="dxa"/>
          </w:tcPr>
          <w:p w14:paraId="245E3D3F" w14:textId="6D59EB6E" w:rsidR="00A61BAA" w:rsidRPr="00260D1B" w:rsidRDefault="00A61BAA" w:rsidP="0064668F">
            <w:pPr>
              <w:spacing w:line="360" w:lineRule="auto"/>
              <w:ind w:right="231"/>
            </w:pPr>
            <w:r w:rsidRPr="00260D1B">
              <w:t>could</w:t>
            </w:r>
          </w:p>
        </w:tc>
        <w:tc>
          <w:tcPr>
            <w:tcW w:w="1721" w:type="dxa"/>
          </w:tcPr>
          <w:p w14:paraId="7FAF8ADF" w14:textId="108FBFCA" w:rsidR="00A61BAA" w:rsidRPr="00260D1B" w:rsidRDefault="00335EA6" w:rsidP="006219B0">
            <w:pPr>
              <w:spacing w:line="360" w:lineRule="auto"/>
              <w:ind w:right="-147"/>
              <w:jc w:val="center"/>
            </w:pPr>
            <w:r w:rsidRPr="00260D1B">
              <w:t>0.8</w:t>
            </w:r>
          </w:p>
        </w:tc>
        <w:tc>
          <w:tcPr>
            <w:tcW w:w="993" w:type="dxa"/>
            <w:gridSpan w:val="2"/>
          </w:tcPr>
          <w:p w14:paraId="48B25A77" w14:textId="7E45490E" w:rsidR="00A61BAA" w:rsidRPr="00260D1B" w:rsidRDefault="00335EA6" w:rsidP="0064668F">
            <w:pPr>
              <w:spacing w:line="360" w:lineRule="auto"/>
              <w:ind w:right="231"/>
            </w:pPr>
            <w:r w:rsidRPr="00260D1B">
              <w:t>7.</w:t>
            </w:r>
            <w:r w:rsidR="00C77B57" w:rsidRPr="00260D1B">
              <w:t>3</w:t>
            </w:r>
          </w:p>
        </w:tc>
        <w:tc>
          <w:tcPr>
            <w:tcW w:w="1850" w:type="dxa"/>
          </w:tcPr>
          <w:p w14:paraId="4E605441" w14:textId="158110F7" w:rsidR="00A61BAA" w:rsidRPr="00260D1B" w:rsidRDefault="00335EA6" w:rsidP="0064668F">
            <w:pPr>
              <w:spacing w:line="360" w:lineRule="auto"/>
              <w:ind w:right="231"/>
            </w:pPr>
            <w:r w:rsidRPr="00260D1B">
              <w:t>suggest</w:t>
            </w:r>
          </w:p>
        </w:tc>
        <w:tc>
          <w:tcPr>
            <w:tcW w:w="1820" w:type="dxa"/>
          </w:tcPr>
          <w:p w14:paraId="464D4680" w14:textId="2943F9F2" w:rsidR="00A61BAA" w:rsidRPr="00260D1B" w:rsidRDefault="00335EA6" w:rsidP="006219B0">
            <w:pPr>
              <w:spacing w:line="360" w:lineRule="auto"/>
              <w:jc w:val="center"/>
            </w:pPr>
            <w:r w:rsidRPr="00260D1B">
              <w:t>0.</w:t>
            </w:r>
            <w:r w:rsidR="00C77B57" w:rsidRPr="00260D1B">
              <w:t>5</w:t>
            </w:r>
          </w:p>
        </w:tc>
        <w:tc>
          <w:tcPr>
            <w:tcW w:w="989" w:type="dxa"/>
            <w:gridSpan w:val="2"/>
          </w:tcPr>
          <w:p w14:paraId="5239A971" w14:textId="00ED678C" w:rsidR="00A61BAA" w:rsidRPr="00260D1B" w:rsidRDefault="00335EA6" w:rsidP="0064668F">
            <w:pPr>
              <w:spacing w:line="360" w:lineRule="auto"/>
              <w:ind w:right="231"/>
            </w:pPr>
            <w:r w:rsidRPr="00260D1B">
              <w:t>6.</w:t>
            </w:r>
            <w:r w:rsidR="00C77B57" w:rsidRPr="00260D1B">
              <w:t>2</w:t>
            </w:r>
          </w:p>
        </w:tc>
      </w:tr>
      <w:tr w:rsidR="00260D1B" w:rsidRPr="00260D1B" w14:paraId="66773129" w14:textId="77777777" w:rsidTr="0064668F">
        <w:tc>
          <w:tcPr>
            <w:tcW w:w="1823" w:type="dxa"/>
          </w:tcPr>
          <w:p w14:paraId="48B68DAD" w14:textId="18D569D9" w:rsidR="00A61BAA" w:rsidRPr="00260D1B" w:rsidRDefault="00A61BAA" w:rsidP="0064668F">
            <w:pPr>
              <w:spacing w:line="360" w:lineRule="auto"/>
              <w:ind w:right="231"/>
            </w:pPr>
            <w:r w:rsidRPr="00260D1B">
              <w:t>suggest</w:t>
            </w:r>
          </w:p>
        </w:tc>
        <w:tc>
          <w:tcPr>
            <w:tcW w:w="1721" w:type="dxa"/>
          </w:tcPr>
          <w:p w14:paraId="1E65F44D" w14:textId="0CAC0AC4" w:rsidR="00A61BAA" w:rsidRPr="00260D1B" w:rsidRDefault="00335EA6" w:rsidP="006219B0">
            <w:pPr>
              <w:spacing w:line="360" w:lineRule="auto"/>
              <w:ind w:right="-147"/>
              <w:jc w:val="center"/>
            </w:pPr>
            <w:r w:rsidRPr="00260D1B">
              <w:t>0.</w:t>
            </w:r>
            <w:r w:rsidR="00C77B57" w:rsidRPr="00260D1B">
              <w:t>7</w:t>
            </w:r>
          </w:p>
        </w:tc>
        <w:tc>
          <w:tcPr>
            <w:tcW w:w="993" w:type="dxa"/>
            <w:gridSpan w:val="2"/>
          </w:tcPr>
          <w:p w14:paraId="4859E844" w14:textId="7DE98888" w:rsidR="00A61BAA" w:rsidRPr="00260D1B" w:rsidRDefault="00335EA6" w:rsidP="0064668F">
            <w:pPr>
              <w:spacing w:line="360" w:lineRule="auto"/>
              <w:ind w:right="231"/>
            </w:pPr>
            <w:r w:rsidRPr="00260D1B">
              <w:t>6.</w:t>
            </w:r>
            <w:r w:rsidR="00C77B57" w:rsidRPr="00260D1B">
              <w:t>2</w:t>
            </w:r>
          </w:p>
        </w:tc>
        <w:tc>
          <w:tcPr>
            <w:tcW w:w="1850" w:type="dxa"/>
          </w:tcPr>
          <w:p w14:paraId="3C305EAE" w14:textId="7C0F0E11" w:rsidR="00A61BAA" w:rsidRPr="00260D1B" w:rsidRDefault="00335EA6" w:rsidP="0064668F">
            <w:pPr>
              <w:spacing w:line="360" w:lineRule="auto"/>
              <w:ind w:right="231"/>
            </w:pPr>
            <w:r w:rsidRPr="00260D1B">
              <w:t>could</w:t>
            </w:r>
          </w:p>
        </w:tc>
        <w:tc>
          <w:tcPr>
            <w:tcW w:w="1820" w:type="dxa"/>
          </w:tcPr>
          <w:p w14:paraId="26AD1B38" w14:textId="7F1F4000" w:rsidR="00A61BAA" w:rsidRPr="00260D1B" w:rsidRDefault="00335EA6" w:rsidP="006219B0">
            <w:pPr>
              <w:spacing w:line="360" w:lineRule="auto"/>
              <w:jc w:val="center"/>
            </w:pPr>
            <w:r w:rsidRPr="00260D1B">
              <w:t>0.</w:t>
            </w:r>
            <w:r w:rsidR="00C77B57" w:rsidRPr="00260D1B">
              <w:t>4</w:t>
            </w:r>
          </w:p>
        </w:tc>
        <w:tc>
          <w:tcPr>
            <w:tcW w:w="989" w:type="dxa"/>
            <w:gridSpan w:val="2"/>
          </w:tcPr>
          <w:p w14:paraId="59F9FD4C" w14:textId="4ACA1922" w:rsidR="00A61BAA" w:rsidRPr="00260D1B" w:rsidRDefault="00335EA6" w:rsidP="0064668F">
            <w:pPr>
              <w:spacing w:line="360" w:lineRule="auto"/>
              <w:ind w:right="231"/>
            </w:pPr>
            <w:r w:rsidRPr="00260D1B">
              <w:t>5.</w:t>
            </w:r>
            <w:r w:rsidR="00AD17A3" w:rsidRPr="00260D1B">
              <w:t>3</w:t>
            </w:r>
          </w:p>
        </w:tc>
      </w:tr>
      <w:tr w:rsidR="00260D1B" w:rsidRPr="00260D1B" w14:paraId="311B2031" w14:textId="77777777" w:rsidTr="0064668F">
        <w:tc>
          <w:tcPr>
            <w:tcW w:w="1823" w:type="dxa"/>
          </w:tcPr>
          <w:p w14:paraId="06945346" w14:textId="1FE0B6C8" w:rsidR="00A61BAA" w:rsidRPr="00260D1B" w:rsidRDefault="00335EA6" w:rsidP="0064668F">
            <w:pPr>
              <w:spacing w:line="360" w:lineRule="auto"/>
              <w:ind w:right="231"/>
            </w:pPr>
            <w:r w:rsidRPr="00260D1B">
              <w:t>appear</w:t>
            </w:r>
          </w:p>
        </w:tc>
        <w:tc>
          <w:tcPr>
            <w:tcW w:w="1721" w:type="dxa"/>
          </w:tcPr>
          <w:p w14:paraId="034B530A" w14:textId="3F25C0AB" w:rsidR="00A61BAA" w:rsidRPr="00260D1B" w:rsidRDefault="00335EA6" w:rsidP="006219B0">
            <w:pPr>
              <w:spacing w:line="360" w:lineRule="auto"/>
              <w:ind w:right="-147"/>
              <w:jc w:val="center"/>
            </w:pPr>
            <w:r w:rsidRPr="00260D1B">
              <w:t>0.4</w:t>
            </w:r>
          </w:p>
        </w:tc>
        <w:tc>
          <w:tcPr>
            <w:tcW w:w="993" w:type="dxa"/>
            <w:gridSpan w:val="2"/>
          </w:tcPr>
          <w:p w14:paraId="7BBD595B" w14:textId="462FC66C" w:rsidR="00A61BAA" w:rsidRPr="00260D1B" w:rsidRDefault="00335EA6" w:rsidP="0064668F">
            <w:pPr>
              <w:spacing w:line="360" w:lineRule="auto"/>
              <w:ind w:right="231"/>
            </w:pPr>
            <w:r w:rsidRPr="00260D1B">
              <w:t>3.9</w:t>
            </w:r>
          </w:p>
        </w:tc>
        <w:tc>
          <w:tcPr>
            <w:tcW w:w="1850" w:type="dxa"/>
          </w:tcPr>
          <w:p w14:paraId="2A19F724" w14:textId="2BB3FF74" w:rsidR="00A61BAA" w:rsidRPr="00260D1B" w:rsidRDefault="00AD17A3" w:rsidP="0064668F">
            <w:pPr>
              <w:spacing w:line="360" w:lineRule="auto"/>
              <w:ind w:right="231"/>
            </w:pPr>
            <w:r w:rsidRPr="00260D1B">
              <w:t>mainly</w:t>
            </w:r>
          </w:p>
        </w:tc>
        <w:tc>
          <w:tcPr>
            <w:tcW w:w="1820" w:type="dxa"/>
          </w:tcPr>
          <w:p w14:paraId="412AED08" w14:textId="1FD02BA8" w:rsidR="00A61BAA" w:rsidRPr="00260D1B" w:rsidRDefault="00335EA6" w:rsidP="006219B0">
            <w:pPr>
              <w:spacing w:line="360" w:lineRule="auto"/>
              <w:jc w:val="center"/>
            </w:pPr>
            <w:r w:rsidRPr="00260D1B">
              <w:t>0.</w:t>
            </w:r>
            <w:r w:rsidR="00C77B57" w:rsidRPr="00260D1B">
              <w:t>4</w:t>
            </w:r>
          </w:p>
        </w:tc>
        <w:tc>
          <w:tcPr>
            <w:tcW w:w="989" w:type="dxa"/>
            <w:gridSpan w:val="2"/>
          </w:tcPr>
          <w:p w14:paraId="26D4144A" w14:textId="1845DA08" w:rsidR="00A61BAA" w:rsidRPr="00260D1B" w:rsidRDefault="00AD17A3" w:rsidP="0064668F">
            <w:pPr>
              <w:spacing w:line="360" w:lineRule="auto"/>
              <w:ind w:right="231"/>
            </w:pPr>
            <w:r w:rsidRPr="00260D1B">
              <w:t>5.3</w:t>
            </w:r>
          </w:p>
        </w:tc>
      </w:tr>
      <w:tr w:rsidR="00260D1B" w:rsidRPr="00260D1B" w14:paraId="5838FEDE" w14:textId="77777777" w:rsidTr="0064668F">
        <w:tc>
          <w:tcPr>
            <w:tcW w:w="1823" w:type="dxa"/>
          </w:tcPr>
          <w:p w14:paraId="251CA827" w14:textId="7CECE717" w:rsidR="00335EA6" w:rsidRPr="00260D1B" w:rsidRDefault="00335EA6" w:rsidP="0064668F">
            <w:pPr>
              <w:spacing w:line="360" w:lineRule="auto"/>
              <w:ind w:right="231"/>
            </w:pPr>
            <w:r w:rsidRPr="00260D1B">
              <w:t>some</w:t>
            </w:r>
          </w:p>
        </w:tc>
        <w:tc>
          <w:tcPr>
            <w:tcW w:w="1721" w:type="dxa"/>
          </w:tcPr>
          <w:p w14:paraId="576BA207" w14:textId="265D3431" w:rsidR="00335EA6" w:rsidRPr="00260D1B" w:rsidRDefault="00335EA6" w:rsidP="006219B0">
            <w:pPr>
              <w:spacing w:line="360" w:lineRule="auto"/>
              <w:ind w:right="-147"/>
              <w:jc w:val="center"/>
            </w:pPr>
            <w:r w:rsidRPr="00260D1B">
              <w:t>0.4</w:t>
            </w:r>
          </w:p>
        </w:tc>
        <w:tc>
          <w:tcPr>
            <w:tcW w:w="993" w:type="dxa"/>
            <w:gridSpan w:val="2"/>
          </w:tcPr>
          <w:p w14:paraId="5733D9C8" w14:textId="1365DF2F" w:rsidR="00335EA6" w:rsidRPr="00260D1B" w:rsidRDefault="00335EA6" w:rsidP="0064668F">
            <w:pPr>
              <w:spacing w:line="360" w:lineRule="auto"/>
              <w:ind w:right="231"/>
            </w:pPr>
            <w:r w:rsidRPr="00260D1B">
              <w:t>3.9</w:t>
            </w:r>
          </w:p>
        </w:tc>
        <w:tc>
          <w:tcPr>
            <w:tcW w:w="1850" w:type="dxa"/>
          </w:tcPr>
          <w:p w14:paraId="7B36B56E" w14:textId="16B0B735" w:rsidR="00335EA6" w:rsidRPr="00260D1B" w:rsidRDefault="00335EA6" w:rsidP="0064668F">
            <w:pPr>
              <w:spacing w:line="360" w:lineRule="auto"/>
              <w:ind w:right="231"/>
            </w:pPr>
            <w:r w:rsidRPr="00260D1B">
              <w:t>seem</w:t>
            </w:r>
          </w:p>
        </w:tc>
        <w:tc>
          <w:tcPr>
            <w:tcW w:w="1820" w:type="dxa"/>
          </w:tcPr>
          <w:p w14:paraId="7CDB2CC0" w14:textId="190A5935" w:rsidR="00335EA6" w:rsidRPr="00260D1B" w:rsidRDefault="00335EA6" w:rsidP="006219B0">
            <w:pPr>
              <w:spacing w:line="360" w:lineRule="auto"/>
              <w:jc w:val="center"/>
            </w:pPr>
            <w:r w:rsidRPr="00260D1B">
              <w:t>0.</w:t>
            </w:r>
            <w:r w:rsidR="00C77B57" w:rsidRPr="00260D1B">
              <w:t>3</w:t>
            </w:r>
          </w:p>
        </w:tc>
        <w:tc>
          <w:tcPr>
            <w:tcW w:w="989" w:type="dxa"/>
            <w:gridSpan w:val="2"/>
          </w:tcPr>
          <w:p w14:paraId="7F50C240" w14:textId="1F659D07" w:rsidR="00335EA6" w:rsidRPr="00260D1B" w:rsidRDefault="00AD17A3" w:rsidP="0064668F">
            <w:pPr>
              <w:spacing w:line="360" w:lineRule="auto"/>
              <w:ind w:right="231"/>
            </w:pPr>
            <w:r w:rsidRPr="00260D1B">
              <w:t>3.5</w:t>
            </w:r>
          </w:p>
        </w:tc>
      </w:tr>
      <w:tr w:rsidR="00260D1B" w:rsidRPr="00260D1B" w14:paraId="289ECC64" w14:textId="77777777" w:rsidTr="0064668F">
        <w:tc>
          <w:tcPr>
            <w:tcW w:w="1823" w:type="dxa"/>
          </w:tcPr>
          <w:p w14:paraId="05C30EC6" w14:textId="60EBB590" w:rsidR="00335EA6" w:rsidRPr="00260D1B" w:rsidRDefault="00335EA6" w:rsidP="0064668F">
            <w:pPr>
              <w:spacing w:line="360" w:lineRule="auto"/>
              <w:ind w:right="231"/>
            </w:pPr>
            <w:r w:rsidRPr="00260D1B">
              <w:t>possible</w:t>
            </w:r>
          </w:p>
        </w:tc>
        <w:tc>
          <w:tcPr>
            <w:tcW w:w="1721" w:type="dxa"/>
          </w:tcPr>
          <w:p w14:paraId="271A6D51" w14:textId="3B156DCB" w:rsidR="00335EA6" w:rsidRPr="00260D1B" w:rsidRDefault="00335EA6" w:rsidP="006219B0">
            <w:pPr>
              <w:spacing w:line="360" w:lineRule="auto"/>
              <w:ind w:right="-147"/>
              <w:jc w:val="center"/>
            </w:pPr>
            <w:r w:rsidRPr="00260D1B">
              <w:t>0.</w:t>
            </w:r>
            <w:r w:rsidR="00C77B57" w:rsidRPr="00260D1B">
              <w:t>4</w:t>
            </w:r>
          </w:p>
        </w:tc>
        <w:tc>
          <w:tcPr>
            <w:tcW w:w="993" w:type="dxa"/>
            <w:gridSpan w:val="2"/>
          </w:tcPr>
          <w:p w14:paraId="3BE0766C" w14:textId="53C6F9B1" w:rsidR="00335EA6" w:rsidRPr="00260D1B" w:rsidRDefault="00335EA6" w:rsidP="0064668F">
            <w:pPr>
              <w:spacing w:line="360" w:lineRule="auto"/>
              <w:ind w:right="231"/>
            </w:pPr>
            <w:r w:rsidRPr="00260D1B">
              <w:t>3.</w:t>
            </w:r>
            <w:r w:rsidR="00C77B57" w:rsidRPr="00260D1B">
              <w:t>4</w:t>
            </w:r>
          </w:p>
        </w:tc>
        <w:tc>
          <w:tcPr>
            <w:tcW w:w="1850" w:type="dxa"/>
          </w:tcPr>
          <w:p w14:paraId="2D2BD757" w14:textId="03AFECDB" w:rsidR="00335EA6" w:rsidRPr="00260D1B" w:rsidRDefault="004C740C" w:rsidP="0064668F">
            <w:pPr>
              <w:spacing w:line="360" w:lineRule="auto"/>
              <w:ind w:right="231"/>
            </w:pPr>
            <w:r w:rsidRPr="00260D1B">
              <w:t>at least</w:t>
            </w:r>
          </w:p>
        </w:tc>
        <w:tc>
          <w:tcPr>
            <w:tcW w:w="1820" w:type="dxa"/>
          </w:tcPr>
          <w:p w14:paraId="05F0F0BD" w14:textId="52AA757C" w:rsidR="00335EA6" w:rsidRPr="00260D1B" w:rsidRDefault="00335EA6" w:rsidP="006219B0">
            <w:pPr>
              <w:spacing w:line="360" w:lineRule="auto"/>
              <w:jc w:val="center"/>
            </w:pPr>
            <w:r w:rsidRPr="00260D1B">
              <w:t>0.</w:t>
            </w:r>
            <w:r w:rsidR="00C77B57" w:rsidRPr="00260D1B">
              <w:t>3</w:t>
            </w:r>
          </w:p>
        </w:tc>
        <w:tc>
          <w:tcPr>
            <w:tcW w:w="989" w:type="dxa"/>
            <w:gridSpan w:val="2"/>
          </w:tcPr>
          <w:p w14:paraId="075024C2" w14:textId="39CD98A4" w:rsidR="00335EA6" w:rsidRPr="00260D1B" w:rsidRDefault="00AD17A3" w:rsidP="0064668F">
            <w:pPr>
              <w:spacing w:line="360" w:lineRule="auto"/>
              <w:ind w:right="231"/>
            </w:pPr>
            <w:r w:rsidRPr="00260D1B">
              <w:t xml:space="preserve"> 3.5</w:t>
            </w:r>
          </w:p>
        </w:tc>
      </w:tr>
      <w:tr w:rsidR="00335EA6" w:rsidRPr="00260D1B" w14:paraId="59CF513F" w14:textId="77777777" w:rsidTr="0064668F">
        <w:tc>
          <w:tcPr>
            <w:tcW w:w="1823" w:type="dxa"/>
          </w:tcPr>
          <w:p w14:paraId="6CE55BA0" w14:textId="4EB24B1C" w:rsidR="00335EA6" w:rsidRPr="00260D1B" w:rsidRDefault="00335EA6" w:rsidP="0064668F">
            <w:pPr>
              <w:spacing w:line="360" w:lineRule="auto"/>
              <w:ind w:right="231"/>
            </w:pPr>
            <w:r w:rsidRPr="00260D1B">
              <w:t>probable</w:t>
            </w:r>
          </w:p>
        </w:tc>
        <w:tc>
          <w:tcPr>
            <w:tcW w:w="1721" w:type="dxa"/>
          </w:tcPr>
          <w:p w14:paraId="35F8F420" w14:textId="4995C560" w:rsidR="00335EA6" w:rsidRPr="00260D1B" w:rsidRDefault="00335EA6" w:rsidP="006219B0">
            <w:pPr>
              <w:spacing w:line="360" w:lineRule="auto"/>
              <w:ind w:right="-147"/>
              <w:jc w:val="center"/>
            </w:pPr>
            <w:r w:rsidRPr="00260D1B">
              <w:t>0.</w:t>
            </w:r>
            <w:r w:rsidR="00C77B57" w:rsidRPr="00260D1B">
              <w:t>4</w:t>
            </w:r>
          </w:p>
        </w:tc>
        <w:tc>
          <w:tcPr>
            <w:tcW w:w="993" w:type="dxa"/>
            <w:gridSpan w:val="2"/>
          </w:tcPr>
          <w:p w14:paraId="2ABA31CA" w14:textId="37033130" w:rsidR="00335EA6" w:rsidRPr="00260D1B" w:rsidRDefault="00335EA6" w:rsidP="0064668F">
            <w:pPr>
              <w:spacing w:line="360" w:lineRule="auto"/>
              <w:ind w:right="231"/>
            </w:pPr>
            <w:r w:rsidRPr="00260D1B">
              <w:t>3.</w:t>
            </w:r>
            <w:r w:rsidR="00C77B57" w:rsidRPr="00260D1B">
              <w:t>4</w:t>
            </w:r>
          </w:p>
        </w:tc>
        <w:tc>
          <w:tcPr>
            <w:tcW w:w="1850" w:type="dxa"/>
          </w:tcPr>
          <w:p w14:paraId="4414D4C5" w14:textId="5CAC8BC0" w:rsidR="00335EA6" w:rsidRPr="00260D1B" w:rsidRDefault="004C740C" w:rsidP="0064668F">
            <w:pPr>
              <w:spacing w:line="360" w:lineRule="auto"/>
              <w:ind w:right="231"/>
            </w:pPr>
            <w:r w:rsidRPr="00260D1B">
              <w:t>likely</w:t>
            </w:r>
          </w:p>
        </w:tc>
        <w:tc>
          <w:tcPr>
            <w:tcW w:w="1820" w:type="dxa"/>
          </w:tcPr>
          <w:p w14:paraId="6E3360DB" w14:textId="65CC7509" w:rsidR="00335EA6" w:rsidRPr="00260D1B" w:rsidRDefault="00335EA6" w:rsidP="006219B0">
            <w:pPr>
              <w:spacing w:line="360" w:lineRule="auto"/>
              <w:jc w:val="center"/>
            </w:pPr>
            <w:r w:rsidRPr="00260D1B">
              <w:t>0.</w:t>
            </w:r>
            <w:r w:rsidR="00C77B57" w:rsidRPr="00260D1B">
              <w:t>3</w:t>
            </w:r>
          </w:p>
        </w:tc>
        <w:tc>
          <w:tcPr>
            <w:tcW w:w="989" w:type="dxa"/>
            <w:gridSpan w:val="2"/>
          </w:tcPr>
          <w:p w14:paraId="4417A2DA" w14:textId="6FB2CF74" w:rsidR="00335EA6" w:rsidRPr="00260D1B" w:rsidRDefault="00335EA6" w:rsidP="0064668F">
            <w:pPr>
              <w:spacing w:line="360" w:lineRule="auto"/>
              <w:ind w:right="231"/>
            </w:pPr>
            <w:r w:rsidRPr="00260D1B">
              <w:t>3.</w:t>
            </w:r>
            <w:r w:rsidR="00AD17A3" w:rsidRPr="00260D1B">
              <w:t>5</w:t>
            </w:r>
          </w:p>
        </w:tc>
      </w:tr>
      <w:bookmarkEnd w:id="0"/>
    </w:tbl>
    <w:p w14:paraId="211C812F" w14:textId="77777777" w:rsidR="005471BF" w:rsidRPr="00260D1B" w:rsidRDefault="005471BF" w:rsidP="005B1B5B">
      <w:pPr>
        <w:spacing w:line="360" w:lineRule="auto"/>
        <w:ind w:right="231"/>
      </w:pPr>
    </w:p>
    <w:p w14:paraId="1C17A8FB" w14:textId="0ADEC295" w:rsidR="00014E46" w:rsidRPr="00260D1B" w:rsidRDefault="00443470" w:rsidP="005B1B5B">
      <w:pPr>
        <w:spacing w:line="360" w:lineRule="auto"/>
        <w:ind w:right="231"/>
      </w:pPr>
      <w:r w:rsidRPr="00260D1B">
        <w:t xml:space="preserve">There was also a </w:t>
      </w:r>
      <w:r w:rsidR="0019393E" w:rsidRPr="00260D1B">
        <w:t xml:space="preserve">clear </w:t>
      </w:r>
      <w:r w:rsidR="00014E46" w:rsidRPr="00260D1B">
        <w:t xml:space="preserve">variation </w:t>
      </w:r>
      <w:r w:rsidR="003049E1" w:rsidRPr="00260D1B">
        <w:t xml:space="preserve">between the corpora </w:t>
      </w:r>
      <w:r w:rsidR="00014E46" w:rsidRPr="00260D1B">
        <w:t xml:space="preserve">in terms of </w:t>
      </w:r>
      <w:r w:rsidR="0019393E" w:rsidRPr="00260D1B">
        <w:t>th</w:t>
      </w:r>
      <w:r w:rsidRPr="00260D1B">
        <w:t xml:space="preserve">e main </w:t>
      </w:r>
      <w:r w:rsidR="00014E46" w:rsidRPr="00260D1B">
        <w:t xml:space="preserve">types of hedges </w:t>
      </w:r>
      <w:r w:rsidR="00AB56DC">
        <w:t xml:space="preserve">identified by </w:t>
      </w:r>
      <w:proofErr w:type="spellStart"/>
      <w:r w:rsidR="0019393E" w:rsidRPr="00260D1B">
        <w:t>Hinkel</w:t>
      </w:r>
      <w:proofErr w:type="spellEnd"/>
      <w:r w:rsidR="00AB56DC">
        <w:t xml:space="preserve"> (</w:t>
      </w:r>
      <w:r w:rsidR="0019393E" w:rsidRPr="00260D1B">
        <w:t>2005</w:t>
      </w:r>
      <w:r w:rsidR="00AB56DC">
        <w:t xml:space="preserve">) and </w:t>
      </w:r>
      <w:r w:rsidR="0019393E" w:rsidRPr="00260D1B">
        <w:t>Salager-Meyer</w:t>
      </w:r>
      <w:r w:rsidR="00AB56DC">
        <w:t xml:space="preserve"> (</w:t>
      </w:r>
      <w:r w:rsidR="0019393E" w:rsidRPr="00260D1B">
        <w:t xml:space="preserve">1994):  </w:t>
      </w:r>
      <w:r w:rsidR="00014E46" w:rsidRPr="00260D1B">
        <w:t>downtoners, rounders and plausibility hedges</w:t>
      </w:r>
      <w:r w:rsidR="0019393E" w:rsidRPr="00260D1B">
        <w:t xml:space="preserve">: </w:t>
      </w:r>
    </w:p>
    <w:p w14:paraId="52BA6B8A" w14:textId="51A0116C" w:rsidR="00014E46" w:rsidRPr="00260D1B" w:rsidRDefault="00014E46" w:rsidP="005B1B5B">
      <w:pPr>
        <w:pStyle w:val="ListParagraph"/>
        <w:numPr>
          <w:ilvl w:val="0"/>
          <w:numId w:val="8"/>
        </w:numPr>
        <w:spacing w:line="360" w:lineRule="auto"/>
        <w:ind w:right="231"/>
      </w:pPr>
      <w:r w:rsidRPr="00260D1B">
        <w:lastRenderedPageBreak/>
        <w:t xml:space="preserve">Downtoners are </w:t>
      </w:r>
      <w:r w:rsidR="00AB56DC">
        <w:t>mainly</w:t>
      </w:r>
      <w:r w:rsidRPr="00260D1B">
        <w:t xml:space="preserve"> adverbs and mitigate the intensity of a statement</w:t>
      </w:r>
      <w:r w:rsidR="0019393E" w:rsidRPr="00260D1B">
        <w:t xml:space="preserve"> </w:t>
      </w:r>
      <w:r w:rsidRPr="00260D1B">
        <w:t>(</w:t>
      </w:r>
      <w:r w:rsidR="0019393E" w:rsidRPr="00260D1B">
        <w:t>e.g.,</w:t>
      </w:r>
      <w:r w:rsidRPr="00260D1B">
        <w:t xml:space="preserve"> </w:t>
      </w:r>
      <w:r w:rsidR="00601044" w:rsidRPr="00260D1B">
        <w:rPr>
          <w:i/>
          <w:iCs/>
        </w:rPr>
        <w:t>almost,</w:t>
      </w:r>
      <w:r w:rsidR="00601044" w:rsidRPr="00260D1B">
        <w:t xml:space="preserve"> </w:t>
      </w:r>
      <w:r w:rsidR="00AB56DC" w:rsidRPr="00260D1B">
        <w:rPr>
          <w:i/>
          <w:iCs/>
        </w:rPr>
        <w:t>somewhat</w:t>
      </w:r>
      <w:r w:rsidRPr="00260D1B">
        <w:t>).</w:t>
      </w:r>
    </w:p>
    <w:p w14:paraId="54BC7C7A" w14:textId="2FAC612F" w:rsidR="00014E46" w:rsidRPr="00260D1B" w:rsidRDefault="00014E46" w:rsidP="005B1B5B">
      <w:pPr>
        <w:pStyle w:val="ListParagraph"/>
        <w:numPr>
          <w:ilvl w:val="0"/>
          <w:numId w:val="8"/>
        </w:numPr>
        <w:spacing w:line="360" w:lineRule="auto"/>
        <w:ind w:right="231"/>
      </w:pPr>
      <w:r w:rsidRPr="00260D1B">
        <w:t xml:space="preserve">Rounders (e.g., </w:t>
      </w:r>
      <w:r w:rsidRPr="00260D1B">
        <w:rPr>
          <w:i/>
          <w:iCs/>
        </w:rPr>
        <w:t>about</w:t>
      </w:r>
      <w:r w:rsidR="00B6413E" w:rsidRPr="00260D1B">
        <w:rPr>
          <w:i/>
          <w:iCs/>
        </w:rPr>
        <w:t xml:space="preserve">, </w:t>
      </w:r>
      <w:r w:rsidR="00B6413E" w:rsidRPr="00260D1B">
        <w:rPr>
          <w:rFonts w:eastAsiaTheme="minorEastAsia"/>
          <w:i/>
          <w:iCs/>
        </w:rPr>
        <w:t>approximately</w:t>
      </w:r>
      <w:r w:rsidRPr="00260D1B">
        <w:t xml:space="preserve">) </w:t>
      </w:r>
      <w:r w:rsidR="00AB56DC">
        <w:t xml:space="preserve">indicate a </w:t>
      </w:r>
      <w:r w:rsidRPr="00260D1B">
        <w:t>lack of precision and indicate</w:t>
      </w:r>
      <w:r w:rsidR="00B6413E" w:rsidRPr="00260D1B">
        <w:t xml:space="preserve"> </w:t>
      </w:r>
      <w:r w:rsidRPr="00260D1B">
        <w:t>numerical</w:t>
      </w:r>
      <w:r w:rsidR="00B6413E" w:rsidRPr="00260D1B">
        <w:t xml:space="preserve"> </w:t>
      </w:r>
      <w:r w:rsidRPr="00260D1B">
        <w:t>approximation.</w:t>
      </w:r>
    </w:p>
    <w:p w14:paraId="5E68201A" w14:textId="2F4174E5" w:rsidR="00014E46" w:rsidRPr="00260D1B" w:rsidRDefault="00014E46" w:rsidP="005B1B5B">
      <w:pPr>
        <w:pStyle w:val="ListParagraph"/>
        <w:numPr>
          <w:ilvl w:val="0"/>
          <w:numId w:val="8"/>
        </w:numPr>
        <w:spacing w:line="360" w:lineRule="auto"/>
        <w:ind w:right="231"/>
      </w:pPr>
      <w:r w:rsidRPr="00260D1B">
        <w:t xml:space="preserve">Plausibility hedges </w:t>
      </w:r>
      <w:r w:rsidR="00AB56DC">
        <w:t xml:space="preserve">are </w:t>
      </w:r>
      <w:r w:rsidRPr="00260D1B">
        <w:t>mainly lexical and modal</w:t>
      </w:r>
      <w:r w:rsidR="00AB56DC">
        <w:t xml:space="preserve"> verb</w:t>
      </w:r>
      <w:r w:rsidRPr="00260D1B">
        <w:t xml:space="preserve">s </w:t>
      </w:r>
      <w:r w:rsidR="00AB56DC">
        <w:t>which</w:t>
      </w:r>
      <w:r w:rsidRPr="00260D1B">
        <w:t xml:space="preserve"> signal that a claim is based on assumptions rather</w:t>
      </w:r>
      <w:r w:rsidR="0019393E" w:rsidRPr="00260D1B">
        <w:t xml:space="preserve"> </w:t>
      </w:r>
      <w:r w:rsidRPr="00260D1B">
        <w:t xml:space="preserve">than evidence (e.g., </w:t>
      </w:r>
      <w:r w:rsidRPr="00260D1B">
        <w:rPr>
          <w:i/>
          <w:iCs/>
        </w:rPr>
        <w:t>suggest</w:t>
      </w:r>
      <w:r w:rsidR="00B6413E" w:rsidRPr="00260D1B">
        <w:rPr>
          <w:i/>
          <w:iCs/>
        </w:rPr>
        <w:t>, probably</w:t>
      </w:r>
      <w:r w:rsidRPr="00260D1B">
        <w:t>).</w:t>
      </w:r>
    </w:p>
    <w:p w14:paraId="76EC637F" w14:textId="649B15E3" w:rsidR="00D24C5E" w:rsidRPr="00260D1B" w:rsidRDefault="00D24C5E" w:rsidP="005B1B5B">
      <w:pPr>
        <w:spacing w:line="360" w:lineRule="auto"/>
        <w:ind w:right="231"/>
      </w:pPr>
    </w:p>
    <w:p w14:paraId="51AC8887" w14:textId="77777777" w:rsidR="00F56EF4" w:rsidRPr="00260D1B" w:rsidRDefault="00F56EF4" w:rsidP="00F56EF4">
      <w:pPr>
        <w:spacing w:line="360" w:lineRule="auto"/>
        <w:ind w:right="231"/>
      </w:pPr>
      <w:r w:rsidRPr="00260D1B">
        <w:rPr>
          <w:b/>
          <w:bCs/>
        </w:rPr>
        <w:t xml:space="preserve">Table 4. </w:t>
      </w:r>
      <w:r w:rsidRPr="00260D1B">
        <w:t>Types of hedges in two types of highlights (per 1000 words and %)</w:t>
      </w:r>
    </w:p>
    <w:tbl>
      <w:tblPr>
        <w:tblStyle w:val="TableGrid"/>
        <w:tblW w:w="95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
        <w:gridCol w:w="141"/>
        <w:gridCol w:w="1842"/>
        <w:gridCol w:w="136"/>
        <w:gridCol w:w="1003"/>
        <w:gridCol w:w="414"/>
        <w:gridCol w:w="2272"/>
        <w:gridCol w:w="12"/>
        <w:gridCol w:w="409"/>
        <w:gridCol w:w="797"/>
        <w:gridCol w:w="12"/>
        <w:gridCol w:w="409"/>
      </w:tblGrid>
      <w:tr w:rsidR="00260D1B" w:rsidRPr="00260D1B" w14:paraId="42BD2FE6" w14:textId="77777777" w:rsidTr="00F56EF4">
        <w:tc>
          <w:tcPr>
            <w:tcW w:w="1276" w:type="dxa"/>
          </w:tcPr>
          <w:p w14:paraId="62FE8653" w14:textId="77777777" w:rsidR="00F56EF4" w:rsidRPr="00260D1B" w:rsidRDefault="00F56EF4" w:rsidP="00F56EF4">
            <w:pPr>
              <w:spacing w:line="360" w:lineRule="auto"/>
              <w:ind w:right="231"/>
              <w:rPr>
                <w:b/>
                <w:bCs/>
              </w:rPr>
            </w:pPr>
          </w:p>
        </w:tc>
        <w:tc>
          <w:tcPr>
            <w:tcW w:w="2969" w:type="dxa"/>
            <w:gridSpan w:val="4"/>
            <w:tcBorders>
              <w:top w:val="single" w:sz="4" w:space="0" w:color="auto"/>
              <w:bottom w:val="single" w:sz="4" w:space="0" w:color="auto"/>
            </w:tcBorders>
          </w:tcPr>
          <w:p w14:paraId="5973F6F1" w14:textId="77777777" w:rsidR="00F56EF4" w:rsidRPr="00260D1B" w:rsidRDefault="00F56EF4" w:rsidP="00F56EF4">
            <w:pPr>
              <w:spacing w:line="360" w:lineRule="auto"/>
              <w:ind w:right="231"/>
              <w:rPr>
                <w:b/>
                <w:bCs/>
              </w:rPr>
            </w:pPr>
            <w:r w:rsidRPr="00260D1B">
              <w:rPr>
                <w:b/>
                <w:bCs/>
              </w:rPr>
              <w:t>COVID-19 highlights</w:t>
            </w:r>
          </w:p>
        </w:tc>
        <w:tc>
          <w:tcPr>
            <w:tcW w:w="1417" w:type="dxa"/>
            <w:gridSpan w:val="2"/>
            <w:tcBorders>
              <w:top w:val="single" w:sz="4" w:space="0" w:color="auto"/>
              <w:bottom w:val="single" w:sz="4" w:space="0" w:color="auto"/>
            </w:tcBorders>
          </w:tcPr>
          <w:p w14:paraId="50D55EC1" w14:textId="77777777" w:rsidR="00F56EF4" w:rsidRPr="00260D1B" w:rsidRDefault="00F56EF4" w:rsidP="00F56EF4">
            <w:pPr>
              <w:spacing w:line="360" w:lineRule="auto"/>
              <w:ind w:right="231"/>
              <w:rPr>
                <w:b/>
                <w:bCs/>
              </w:rPr>
            </w:pPr>
          </w:p>
        </w:tc>
        <w:tc>
          <w:tcPr>
            <w:tcW w:w="2693" w:type="dxa"/>
            <w:gridSpan w:val="3"/>
            <w:tcBorders>
              <w:top w:val="single" w:sz="4" w:space="0" w:color="auto"/>
              <w:bottom w:val="single" w:sz="4" w:space="0" w:color="auto"/>
            </w:tcBorders>
          </w:tcPr>
          <w:p w14:paraId="24A0FED6" w14:textId="77777777" w:rsidR="00F56EF4" w:rsidRPr="00260D1B" w:rsidRDefault="00F56EF4" w:rsidP="00F56EF4">
            <w:pPr>
              <w:spacing w:line="360" w:lineRule="auto"/>
              <w:ind w:right="231"/>
              <w:rPr>
                <w:b/>
                <w:bCs/>
              </w:rPr>
            </w:pPr>
            <w:r w:rsidRPr="00260D1B">
              <w:rPr>
                <w:b/>
                <w:bCs/>
              </w:rPr>
              <w:t>Reference highlights</w:t>
            </w:r>
          </w:p>
        </w:tc>
        <w:tc>
          <w:tcPr>
            <w:tcW w:w="1218" w:type="dxa"/>
            <w:gridSpan w:val="3"/>
            <w:tcBorders>
              <w:top w:val="single" w:sz="4" w:space="0" w:color="auto"/>
              <w:bottom w:val="single" w:sz="4" w:space="0" w:color="auto"/>
            </w:tcBorders>
          </w:tcPr>
          <w:p w14:paraId="4F5D20B9" w14:textId="77777777" w:rsidR="00F56EF4" w:rsidRPr="00260D1B" w:rsidRDefault="00F56EF4" w:rsidP="00F56EF4">
            <w:pPr>
              <w:spacing w:line="360" w:lineRule="auto"/>
              <w:ind w:right="231"/>
              <w:rPr>
                <w:b/>
                <w:bCs/>
              </w:rPr>
            </w:pPr>
          </w:p>
        </w:tc>
      </w:tr>
      <w:tr w:rsidR="00260D1B" w:rsidRPr="00260D1B" w14:paraId="50E78E22" w14:textId="77777777" w:rsidTr="00F56EF4">
        <w:trPr>
          <w:gridAfter w:val="1"/>
          <w:wAfter w:w="409" w:type="dxa"/>
        </w:trPr>
        <w:tc>
          <w:tcPr>
            <w:tcW w:w="2126" w:type="dxa"/>
            <w:gridSpan w:val="2"/>
            <w:tcBorders>
              <w:bottom w:val="single" w:sz="4" w:space="0" w:color="auto"/>
            </w:tcBorders>
          </w:tcPr>
          <w:p w14:paraId="6EE36A76" w14:textId="77777777" w:rsidR="00F56EF4" w:rsidRPr="00260D1B" w:rsidRDefault="00F56EF4" w:rsidP="00F56EF4">
            <w:pPr>
              <w:spacing w:line="360" w:lineRule="auto"/>
              <w:ind w:right="231"/>
              <w:rPr>
                <w:b/>
                <w:bCs/>
              </w:rPr>
            </w:pPr>
          </w:p>
        </w:tc>
        <w:tc>
          <w:tcPr>
            <w:tcW w:w="1983" w:type="dxa"/>
            <w:gridSpan w:val="2"/>
            <w:tcBorders>
              <w:top w:val="single" w:sz="4" w:space="0" w:color="auto"/>
              <w:bottom w:val="single" w:sz="4" w:space="0" w:color="auto"/>
            </w:tcBorders>
          </w:tcPr>
          <w:p w14:paraId="25781DE4" w14:textId="77777777" w:rsidR="00F56EF4" w:rsidRPr="00260D1B" w:rsidRDefault="00F56EF4" w:rsidP="00F56EF4">
            <w:pPr>
              <w:spacing w:line="360" w:lineRule="auto"/>
              <w:ind w:right="36"/>
              <w:rPr>
                <w:b/>
                <w:bCs/>
              </w:rPr>
            </w:pPr>
            <w:r w:rsidRPr="00260D1B">
              <w:t>per 1,000 words</w:t>
            </w:r>
          </w:p>
        </w:tc>
        <w:tc>
          <w:tcPr>
            <w:tcW w:w="1139" w:type="dxa"/>
            <w:gridSpan w:val="2"/>
            <w:tcBorders>
              <w:top w:val="single" w:sz="4" w:space="0" w:color="auto"/>
              <w:bottom w:val="single" w:sz="4" w:space="0" w:color="auto"/>
            </w:tcBorders>
          </w:tcPr>
          <w:p w14:paraId="0C1F7266" w14:textId="77777777" w:rsidR="00F56EF4" w:rsidRPr="00260D1B" w:rsidRDefault="00F56EF4" w:rsidP="00F56EF4">
            <w:pPr>
              <w:spacing w:line="360" w:lineRule="auto"/>
              <w:ind w:right="231"/>
              <w:rPr>
                <w:b/>
                <w:bCs/>
              </w:rPr>
            </w:pPr>
            <w:r w:rsidRPr="00260D1B">
              <w:t>%</w:t>
            </w:r>
          </w:p>
        </w:tc>
        <w:tc>
          <w:tcPr>
            <w:tcW w:w="2698" w:type="dxa"/>
            <w:gridSpan w:val="3"/>
            <w:tcBorders>
              <w:top w:val="single" w:sz="4" w:space="0" w:color="auto"/>
              <w:bottom w:val="single" w:sz="4" w:space="0" w:color="auto"/>
            </w:tcBorders>
          </w:tcPr>
          <w:p w14:paraId="2D7459DE" w14:textId="77777777" w:rsidR="00F56EF4" w:rsidRPr="00260D1B" w:rsidRDefault="00F56EF4" w:rsidP="00F56EF4">
            <w:pPr>
              <w:spacing w:line="360" w:lineRule="auto"/>
              <w:ind w:right="231"/>
              <w:rPr>
                <w:b/>
                <w:bCs/>
              </w:rPr>
            </w:pPr>
            <w:r w:rsidRPr="00260D1B">
              <w:t>per 1,000 words</w:t>
            </w:r>
          </w:p>
        </w:tc>
        <w:tc>
          <w:tcPr>
            <w:tcW w:w="1218" w:type="dxa"/>
            <w:gridSpan w:val="3"/>
            <w:tcBorders>
              <w:top w:val="single" w:sz="4" w:space="0" w:color="auto"/>
              <w:bottom w:val="single" w:sz="4" w:space="0" w:color="auto"/>
            </w:tcBorders>
          </w:tcPr>
          <w:p w14:paraId="63A876EF" w14:textId="77777777" w:rsidR="00F56EF4" w:rsidRPr="00260D1B" w:rsidRDefault="00F56EF4" w:rsidP="00F56EF4">
            <w:pPr>
              <w:spacing w:line="360" w:lineRule="auto"/>
              <w:ind w:right="231"/>
              <w:rPr>
                <w:b/>
                <w:bCs/>
              </w:rPr>
            </w:pPr>
            <w:r w:rsidRPr="00260D1B">
              <w:t>%</w:t>
            </w:r>
          </w:p>
        </w:tc>
      </w:tr>
      <w:tr w:rsidR="00260D1B" w:rsidRPr="00260D1B" w14:paraId="42B64C1F" w14:textId="77777777" w:rsidTr="00F56EF4">
        <w:trPr>
          <w:gridAfter w:val="2"/>
          <w:wAfter w:w="421" w:type="dxa"/>
        </w:trPr>
        <w:tc>
          <w:tcPr>
            <w:tcW w:w="2267" w:type="dxa"/>
            <w:gridSpan w:val="3"/>
            <w:tcBorders>
              <w:top w:val="single" w:sz="4" w:space="0" w:color="auto"/>
            </w:tcBorders>
          </w:tcPr>
          <w:p w14:paraId="5E4489FD" w14:textId="77777777" w:rsidR="00F56EF4" w:rsidRPr="00260D1B" w:rsidRDefault="00F56EF4" w:rsidP="00F56EF4">
            <w:pPr>
              <w:spacing w:line="360" w:lineRule="auto"/>
              <w:ind w:right="231"/>
              <w:rPr>
                <w:b/>
                <w:bCs/>
              </w:rPr>
            </w:pPr>
            <w:r w:rsidRPr="00260D1B">
              <w:t>Downtoners</w:t>
            </w:r>
          </w:p>
        </w:tc>
        <w:tc>
          <w:tcPr>
            <w:tcW w:w="1978" w:type="dxa"/>
            <w:gridSpan w:val="2"/>
            <w:tcBorders>
              <w:top w:val="single" w:sz="4" w:space="0" w:color="auto"/>
            </w:tcBorders>
          </w:tcPr>
          <w:p w14:paraId="066E8E5F" w14:textId="77777777" w:rsidR="00F56EF4" w:rsidRPr="00260D1B" w:rsidRDefault="00F56EF4" w:rsidP="00F56EF4">
            <w:pPr>
              <w:spacing w:line="360" w:lineRule="auto"/>
              <w:ind w:right="231"/>
            </w:pPr>
            <w:r w:rsidRPr="00260D1B">
              <w:t>1.56</w:t>
            </w:r>
          </w:p>
        </w:tc>
        <w:tc>
          <w:tcPr>
            <w:tcW w:w="1417" w:type="dxa"/>
            <w:gridSpan w:val="2"/>
            <w:tcBorders>
              <w:top w:val="single" w:sz="4" w:space="0" w:color="auto"/>
            </w:tcBorders>
          </w:tcPr>
          <w:p w14:paraId="5A5895B9" w14:textId="77777777" w:rsidR="00F56EF4" w:rsidRPr="00260D1B" w:rsidRDefault="00F56EF4" w:rsidP="00F56EF4">
            <w:pPr>
              <w:spacing w:line="360" w:lineRule="auto"/>
              <w:ind w:right="231"/>
            </w:pPr>
            <w:r w:rsidRPr="00260D1B">
              <w:t>14.53</w:t>
            </w:r>
          </w:p>
        </w:tc>
        <w:tc>
          <w:tcPr>
            <w:tcW w:w="2272" w:type="dxa"/>
            <w:tcBorders>
              <w:top w:val="single" w:sz="4" w:space="0" w:color="auto"/>
            </w:tcBorders>
          </w:tcPr>
          <w:p w14:paraId="1374B16D" w14:textId="77777777" w:rsidR="00F56EF4" w:rsidRPr="00260D1B" w:rsidRDefault="00F56EF4" w:rsidP="00F56EF4">
            <w:pPr>
              <w:spacing w:line="360" w:lineRule="auto"/>
              <w:ind w:right="231"/>
            </w:pPr>
            <w:r w:rsidRPr="00260D1B">
              <w:t>1.71</w:t>
            </w:r>
          </w:p>
        </w:tc>
        <w:tc>
          <w:tcPr>
            <w:tcW w:w="1218" w:type="dxa"/>
            <w:gridSpan w:val="3"/>
            <w:tcBorders>
              <w:top w:val="single" w:sz="4" w:space="0" w:color="auto"/>
            </w:tcBorders>
          </w:tcPr>
          <w:p w14:paraId="7EC7668E" w14:textId="77777777" w:rsidR="00F56EF4" w:rsidRPr="00260D1B" w:rsidRDefault="00F56EF4" w:rsidP="00F56EF4">
            <w:pPr>
              <w:spacing w:line="360" w:lineRule="auto"/>
              <w:ind w:right="231"/>
            </w:pPr>
            <w:r w:rsidRPr="00260D1B">
              <w:t>23.01</w:t>
            </w:r>
          </w:p>
        </w:tc>
      </w:tr>
      <w:tr w:rsidR="00260D1B" w:rsidRPr="00260D1B" w14:paraId="6A9F3ADC" w14:textId="77777777" w:rsidTr="00F56EF4">
        <w:trPr>
          <w:gridAfter w:val="2"/>
          <w:wAfter w:w="421" w:type="dxa"/>
        </w:trPr>
        <w:tc>
          <w:tcPr>
            <w:tcW w:w="2267" w:type="dxa"/>
            <w:gridSpan w:val="3"/>
          </w:tcPr>
          <w:p w14:paraId="669328E3" w14:textId="77777777" w:rsidR="00F56EF4" w:rsidRPr="00260D1B" w:rsidRDefault="00F56EF4" w:rsidP="00F56EF4">
            <w:pPr>
              <w:spacing w:line="360" w:lineRule="auto"/>
              <w:ind w:right="231"/>
              <w:rPr>
                <w:b/>
                <w:bCs/>
              </w:rPr>
            </w:pPr>
            <w:r w:rsidRPr="00260D1B">
              <w:t>Rounders</w:t>
            </w:r>
          </w:p>
        </w:tc>
        <w:tc>
          <w:tcPr>
            <w:tcW w:w="1978" w:type="dxa"/>
            <w:gridSpan w:val="2"/>
          </w:tcPr>
          <w:p w14:paraId="36946E52" w14:textId="77777777" w:rsidR="00F56EF4" w:rsidRPr="00260D1B" w:rsidRDefault="00F56EF4" w:rsidP="00F56EF4">
            <w:pPr>
              <w:spacing w:line="360" w:lineRule="auto"/>
              <w:ind w:right="231"/>
            </w:pPr>
            <w:r w:rsidRPr="00260D1B">
              <w:t>0.30</w:t>
            </w:r>
          </w:p>
        </w:tc>
        <w:tc>
          <w:tcPr>
            <w:tcW w:w="1417" w:type="dxa"/>
            <w:gridSpan w:val="2"/>
          </w:tcPr>
          <w:p w14:paraId="7759222B" w14:textId="77777777" w:rsidR="00F56EF4" w:rsidRPr="00260D1B" w:rsidRDefault="00F56EF4" w:rsidP="00F56EF4">
            <w:pPr>
              <w:spacing w:line="360" w:lineRule="auto"/>
              <w:ind w:right="231"/>
            </w:pPr>
            <w:r w:rsidRPr="00260D1B">
              <w:t>2.79</w:t>
            </w:r>
          </w:p>
        </w:tc>
        <w:tc>
          <w:tcPr>
            <w:tcW w:w="2272" w:type="dxa"/>
          </w:tcPr>
          <w:p w14:paraId="3180B86B" w14:textId="77777777" w:rsidR="00F56EF4" w:rsidRPr="00260D1B" w:rsidRDefault="00F56EF4" w:rsidP="00F56EF4">
            <w:pPr>
              <w:spacing w:line="360" w:lineRule="auto"/>
              <w:ind w:right="231"/>
            </w:pPr>
            <w:r w:rsidRPr="00260D1B">
              <w:t>0.20</w:t>
            </w:r>
          </w:p>
        </w:tc>
        <w:tc>
          <w:tcPr>
            <w:tcW w:w="1218" w:type="dxa"/>
            <w:gridSpan w:val="3"/>
          </w:tcPr>
          <w:p w14:paraId="322FB0D2" w14:textId="77777777" w:rsidR="00F56EF4" w:rsidRPr="00260D1B" w:rsidRDefault="00F56EF4" w:rsidP="00F56EF4">
            <w:pPr>
              <w:spacing w:line="360" w:lineRule="auto"/>
              <w:ind w:right="231"/>
            </w:pPr>
            <w:r w:rsidRPr="00260D1B">
              <w:t>2.65</w:t>
            </w:r>
          </w:p>
        </w:tc>
      </w:tr>
      <w:tr w:rsidR="00260D1B" w:rsidRPr="00260D1B" w14:paraId="7F637E7B" w14:textId="77777777" w:rsidTr="00F56EF4">
        <w:trPr>
          <w:gridAfter w:val="2"/>
          <w:wAfter w:w="421" w:type="dxa"/>
        </w:trPr>
        <w:tc>
          <w:tcPr>
            <w:tcW w:w="2267" w:type="dxa"/>
            <w:gridSpan w:val="3"/>
          </w:tcPr>
          <w:p w14:paraId="79A1EA34" w14:textId="77777777" w:rsidR="00F56EF4" w:rsidRPr="00260D1B" w:rsidRDefault="00F56EF4" w:rsidP="00F56EF4">
            <w:pPr>
              <w:spacing w:line="360" w:lineRule="auto"/>
              <w:ind w:right="231"/>
              <w:rPr>
                <w:b/>
                <w:bCs/>
              </w:rPr>
            </w:pPr>
            <w:r w:rsidRPr="00260D1B">
              <w:t xml:space="preserve">Plausibility </w:t>
            </w:r>
          </w:p>
        </w:tc>
        <w:tc>
          <w:tcPr>
            <w:tcW w:w="1978" w:type="dxa"/>
            <w:gridSpan w:val="2"/>
          </w:tcPr>
          <w:p w14:paraId="53A2B664" w14:textId="77777777" w:rsidR="00F56EF4" w:rsidRPr="00260D1B" w:rsidRDefault="00F56EF4" w:rsidP="00F56EF4">
            <w:pPr>
              <w:spacing w:line="360" w:lineRule="auto"/>
              <w:ind w:right="231"/>
            </w:pPr>
            <w:r w:rsidRPr="00260D1B">
              <w:t>8.88</w:t>
            </w:r>
          </w:p>
        </w:tc>
        <w:tc>
          <w:tcPr>
            <w:tcW w:w="1417" w:type="dxa"/>
            <w:gridSpan w:val="2"/>
          </w:tcPr>
          <w:p w14:paraId="243BEA94" w14:textId="77777777" w:rsidR="00F56EF4" w:rsidRPr="00260D1B" w:rsidRDefault="00F56EF4" w:rsidP="00F56EF4">
            <w:pPr>
              <w:spacing w:line="360" w:lineRule="auto"/>
              <w:ind w:right="231"/>
            </w:pPr>
            <w:r w:rsidRPr="00260D1B">
              <w:t>82.68</w:t>
            </w:r>
          </w:p>
        </w:tc>
        <w:tc>
          <w:tcPr>
            <w:tcW w:w="2272" w:type="dxa"/>
          </w:tcPr>
          <w:p w14:paraId="29A2F7D9" w14:textId="77777777" w:rsidR="00F56EF4" w:rsidRPr="00260D1B" w:rsidRDefault="00F56EF4" w:rsidP="00F56EF4">
            <w:pPr>
              <w:spacing w:line="360" w:lineRule="auto"/>
              <w:ind w:right="231"/>
            </w:pPr>
            <w:r w:rsidRPr="00260D1B">
              <w:t>5.53</w:t>
            </w:r>
          </w:p>
        </w:tc>
        <w:tc>
          <w:tcPr>
            <w:tcW w:w="1218" w:type="dxa"/>
            <w:gridSpan w:val="3"/>
          </w:tcPr>
          <w:p w14:paraId="6C0B0FA1" w14:textId="77777777" w:rsidR="00F56EF4" w:rsidRPr="00260D1B" w:rsidRDefault="00F56EF4" w:rsidP="00F56EF4">
            <w:pPr>
              <w:spacing w:line="360" w:lineRule="auto"/>
              <w:ind w:right="231"/>
            </w:pPr>
            <w:r w:rsidRPr="00260D1B">
              <w:t>74.34</w:t>
            </w:r>
          </w:p>
        </w:tc>
      </w:tr>
      <w:tr w:rsidR="00F56EF4" w:rsidRPr="00260D1B" w14:paraId="4231BDD3" w14:textId="77777777" w:rsidTr="00F56EF4">
        <w:trPr>
          <w:gridAfter w:val="2"/>
          <w:wAfter w:w="421" w:type="dxa"/>
        </w:trPr>
        <w:tc>
          <w:tcPr>
            <w:tcW w:w="2267" w:type="dxa"/>
            <w:gridSpan w:val="3"/>
          </w:tcPr>
          <w:p w14:paraId="26F84393" w14:textId="77777777" w:rsidR="00F56EF4" w:rsidRPr="00260D1B" w:rsidRDefault="00F56EF4" w:rsidP="00F56EF4">
            <w:pPr>
              <w:spacing w:line="360" w:lineRule="auto"/>
              <w:ind w:right="231"/>
              <w:rPr>
                <w:b/>
                <w:bCs/>
              </w:rPr>
            </w:pPr>
            <w:r w:rsidRPr="00260D1B">
              <w:rPr>
                <w:b/>
                <w:bCs/>
              </w:rPr>
              <w:t>Total</w:t>
            </w:r>
          </w:p>
        </w:tc>
        <w:tc>
          <w:tcPr>
            <w:tcW w:w="1978" w:type="dxa"/>
            <w:gridSpan w:val="2"/>
          </w:tcPr>
          <w:p w14:paraId="1D4520DE" w14:textId="77777777" w:rsidR="00F56EF4" w:rsidRPr="00260D1B" w:rsidRDefault="00F56EF4" w:rsidP="00F56EF4">
            <w:pPr>
              <w:spacing w:line="360" w:lineRule="auto"/>
              <w:ind w:right="231"/>
              <w:rPr>
                <w:b/>
                <w:bCs/>
              </w:rPr>
            </w:pPr>
            <w:r w:rsidRPr="00260D1B">
              <w:rPr>
                <w:b/>
                <w:bCs/>
              </w:rPr>
              <w:t>10.74</w:t>
            </w:r>
          </w:p>
        </w:tc>
        <w:tc>
          <w:tcPr>
            <w:tcW w:w="1417" w:type="dxa"/>
            <w:gridSpan w:val="2"/>
          </w:tcPr>
          <w:p w14:paraId="000A9C8D" w14:textId="77777777" w:rsidR="00F56EF4" w:rsidRPr="00260D1B" w:rsidRDefault="00F56EF4" w:rsidP="00F56EF4">
            <w:pPr>
              <w:spacing w:line="360" w:lineRule="auto"/>
              <w:ind w:right="231"/>
              <w:rPr>
                <w:b/>
                <w:bCs/>
              </w:rPr>
            </w:pPr>
            <w:r w:rsidRPr="00260D1B">
              <w:rPr>
                <w:b/>
                <w:bCs/>
              </w:rPr>
              <w:t>100.00</w:t>
            </w:r>
          </w:p>
        </w:tc>
        <w:tc>
          <w:tcPr>
            <w:tcW w:w="2272" w:type="dxa"/>
          </w:tcPr>
          <w:p w14:paraId="32246DAB" w14:textId="77777777" w:rsidR="00F56EF4" w:rsidRPr="00260D1B" w:rsidRDefault="00F56EF4" w:rsidP="00F56EF4">
            <w:pPr>
              <w:spacing w:line="360" w:lineRule="auto"/>
              <w:ind w:right="231"/>
              <w:rPr>
                <w:b/>
                <w:bCs/>
              </w:rPr>
            </w:pPr>
            <w:r w:rsidRPr="00260D1B">
              <w:rPr>
                <w:b/>
                <w:bCs/>
              </w:rPr>
              <w:t>7.43</w:t>
            </w:r>
          </w:p>
        </w:tc>
        <w:tc>
          <w:tcPr>
            <w:tcW w:w="1218" w:type="dxa"/>
            <w:gridSpan w:val="3"/>
          </w:tcPr>
          <w:p w14:paraId="3A90058D" w14:textId="77777777" w:rsidR="00F56EF4" w:rsidRPr="00260D1B" w:rsidRDefault="00F56EF4" w:rsidP="00F56EF4">
            <w:pPr>
              <w:spacing w:line="360" w:lineRule="auto"/>
              <w:ind w:right="231"/>
              <w:rPr>
                <w:b/>
                <w:bCs/>
              </w:rPr>
            </w:pPr>
            <w:r w:rsidRPr="00260D1B">
              <w:rPr>
                <w:b/>
                <w:bCs/>
              </w:rPr>
              <w:t>100.00</w:t>
            </w:r>
          </w:p>
        </w:tc>
      </w:tr>
    </w:tbl>
    <w:p w14:paraId="71B791AE" w14:textId="77777777" w:rsidR="00E45045" w:rsidRDefault="00E45045" w:rsidP="005B1B5B">
      <w:pPr>
        <w:spacing w:line="360" w:lineRule="auto"/>
        <w:ind w:right="231"/>
      </w:pPr>
    </w:p>
    <w:p w14:paraId="770BE235" w14:textId="7E933DD2" w:rsidR="009323A0" w:rsidRPr="00260D1B" w:rsidRDefault="006B7E93" w:rsidP="005B1B5B">
      <w:pPr>
        <w:spacing w:line="360" w:lineRule="auto"/>
        <w:ind w:right="231"/>
      </w:pPr>
      <w:r w:rsidRPr="00260D1B">
        <w:t xml:space="preserve">Table 4 shows that </w:t>
      </w:r>
      <w:r w:rsidR="00E64868" w:rsidRPr="00260D1B">
        <w:t>d</w:t>
      </w:r>
      <w:r w:rsidR="009323A0" w:rsidRPr="00260D1B">
        <w:t>owntoners</w:t>
      </w:r>
      <w:r w:rsidR="00E64868" w:rsidRPr="00260D1B">
        <w:t xml:space="preserve"> </w:t>
      </w:r>
      <w:r w:rsidR="00140E8C" w:rsidRPr="00260D1B">
        <w:t>were more frequent in the reference corpus (log</w:t>
      </w:r>
      <w:r w:rsidR="007D1A4B" w:rsidRPr="007D1A4B">
        <w:t xml:space="preserve"> </w:t>
      </w:r>
      <w:r w:rsidR="007D1A4B" w:rsidRPr="00260D1B">
        <w:t>Likelihood=-2.</w:t>
      </w:r>
      <w:r w:rsidR="007D1A4B">
        <w:t>1</w:t>
      </w:r>
      <w:r w:rsidR="007D1A4B" w:rsidRPr="00260D1B">
        <w:t>, p &lt;0.</w:t>
      </w:r>
      <w:r w:rsidR="007D1A4B">
        <w:t>74</w:t>
      </w:r>
      <w:r w:rsidR="00140E8C" w:rsidRPr="00260D1B">
        <w:t>),</w:t>
      </w:r>
      <w:r w:rsidR="00443470" w:rsidRPr="00260D1B">
        <w:t xml:space="preserve"> </w:t>
      </w:r>
      <w:r w:rsidR="00047D59" w:rsidRPr="00260D1B">
        <w:t xml:space="preserve">indicating a </w:t>
      </w:r>
      <w:r w:rsidR="008542F8" w:rsidRPr="00260D1B">
        <w:t xml:space="preserve">judicious use of tentative language to add </w:t>
      </w:r>
      <w:r w:rsidR="00047D59" w:rsidRPr="00260D1B">
        <w:t xml:space="preserve">care and a sense of </w:t>
      </w:r>
      <w:r w:rsidR="00D24C5E" w:rsidRPr="00260D1B">
        <w:t>pseudo-</w:t>
      </w:r>
      <w:r w:rsidR="00047D59" w:rsidRPr="00260D1B">
        <w:t xml:space="preserve">exactitude to results. </w:t>
      </w:r>
      <w:r w:rsidR="00E64868" w:rsidRPr="00260D1B">
        <w:t xml:space="preserve">They </w:t>
      </w:r>
      <w:r w:rsidR="00047D59" w:rsidRPr="00260D1B">
        <w:t>indicate</w:t>
      </w:r>
      <w:r w:rsidR="00E64868" w:rsidRPr="00260D1B">
        <w:t xml:space="preserve"> a </w:t>
      </w:r>
      <w:r w:rsidR="00047D59" w:rsidRPr="00260D1B">
        <w:t xml:space="preserve">certain </w:t>
      </w:r>
      <w:r w:rsidR="00F56EF4" w:rsidRPr="00260D1B">
        <w:t>caution</w:t>
      </w:r>
      <w:r w:rsidR="00E64868" w:rsidRPr="00260D1B">
        <w:t xml:space="preserve"> </w:t>
      </w:r>
      <w:r w:rsidR="00047D59" w:rsidRPr="00260D1B">
        <w:t xml:space="preserve">and convey an unwillingness to be </w:t>
      </w:r>
      <w:r w:rsidR="00E64868" w:rsidRPr="00260D1B">
        <w:t xml:space="preserve">absolute about </w:t>
      </w:r>
      <w:r w:rsidR="00047D59" w:rsidRPr="00260D1B">
        <w:t xml:space="preserve">results </w:t>
      </w:r>
      <w:r w:rsidR="00E64868" w:rsidRPr="00260D1B">
        <w:t>(</w:t>
      </w:r>
      <w:r w:rsidR="00047D59" w:rsidRPr="00260D1B">
        <w:t>6</w:t>
      </w:r>
      <w:r w:rsidR="00E64868" w:rsidRPr="00260D1B">
        <w:t>)</w:t>
      </w:r>
      <w:r w:rsidR="00E5427D" w:rsidRPr="00260D1B">
        <w:t xml:space="preserve">. </w:t>
      </w:r>
      <w:r w:rsidR="00047D59" w:rsidRPr="00260D1B">
        <w:t xml:space="preserve">When used with a </w:t>
      </w:r>
      <w:r w:rsidR="00E64868" w:rsidRPr="00260D1B">
        <w:t xml:space="preserve">booster, </w:t>
      </w:r>
      <w:r w:rsidR="00E5427D" w:rsidRPr="00260D1B">
        <w:t xml:space="preserve">for example, </w:t>
      </w:r>
      <w:r w:rsidR="00047D59" w:rsidRPr="00260D1B">
        <w:t>downtoners</w:t>
      </w:r>
      <w:r w:rsidR="00E64868" w:rsidRPr="00260D1B">
        <w:t xml:space="preserve"> </w:t>
      </w:r>
      <w:r w:rsidR="00047D59" w:rsidRPr="00260D1B">
        <w:t>can</w:t>
      </w:r>
      <w:r w:rsidR="00E64868" w:rsidRPr="00260D1B">
        <w:t xml:space="preserve"> </w:t>
      </w:r>
      <w:r w:rsidR="00047D59" w:rsidRPr="00260D1B">
        <w:t xml:space="preserve">display a scholarly </w:t>
      </w:r>
      <w:r w:rsidR="00E64868" w:rsidRPr="00260D1B">
        <w:t>detachment to the results (</w:t>
      </w:r>
      <w:r w:rsidR="00047D59" w:rsidRPr="00260D1B">
        <w:t>7</w:t>
      </w:r>
      <w:r w:rsidR="00E64868" w:rsidRPr="00260D1B">
        <w:t>):</w:t>
      </w:r>
    </w:p>
    <w:p w14:paraId="2EA54BCF" w14:textId="7D98C41D" w:rsidR="00601044" w:rsidRPr="00260D1B" w:rsidRDefault="00601044" w:rsidP="005B1B5B">
      <w:pPr>
        <w:spacing w:line="360" w:lineRule="auto"/>
        <w:ind w:left="680" w:right="231"/>
        <w:rPr>
          <w:kern w:val="1"/>
          <w:lang w:val="en-US"/>
        </w:rPr>
      </w:pPr>
      <w:r w:rsidRPr="00260D1B">
        <w:rPr>
          <w:kern w:val="1"/>
          <w:lang w:val="en-US"/>
        </w:rPr>
        <w:t>(</w:t>
      </w:r>
      <w:r w:rsidR="00047D59" w:rsidRPr="00260D1B">
        <w:rPr>
          <w:kern w:val="1"/>
          <w:lang w:val="en-US"/>
        </w:rPr>
        <w:t>6</w:t>
      </w:r>
      <w:r w:rsidRPr="00260D1B">
        <w:rPr>
          <w:kern w:val="1"/>
          <w:lang w:val="en-US"/>
        </w:rPr>
        <w:t xml:space="preserve">) Models with unique IIP and unique EIP for all cycles were </w:t>
      </w:r>
      <w:r w:rsidRPr="00260D1B">
        <w:rPr>
          <w:b/>
          <w:bCs/>
          <w:i/>
          <w:iCs/>
          <w:kern w:val="1"/>
          <w:lang w:val="en-US"/>
        </w:rPr>
        <w:t>generally</w:t>
      </w:r>
      <w:r w:rsidRPr="00260D1B">
        <w:rPr>
          <w:kern w:val="1"/>
          <w:lang w:val="en-US"/>
        </w:rPr>
        <w:t xml:space="preserve"> associated with the best model fit.</w:t>
      </w:r>
      <w:r w:rsidR="00E14F5B" w:rsidRPr="00260D1B">
        <w:rPr>
          <w:kern w:val="1"/>
          <w:lang w:val="en-US"/>
        </w:rPr>
        <w:t xml:space="preserve"> (RH 249) </w:t>
      </w:r>
    </w:p>
    <w:p w14:paraId="5A6C15F3" w14:textId="77777777" w:rsidR="00E64868" w:rsidRPr="00260D1B" w:rsidRDefault="00E64868" w:rsidP="00047D59">
      <w:pPr>
        <w:spacing w:line="276" w:lineRule="auto"/>
        <w:ind w:right="231"/>
        <w:rPr>
          <w:kern w:val="1"/>
          <w:lang w:val="en-US"/>
        </w:rPr>
      </w:pPr>
    </w:p>
    <w:p w14:paraId="049D6CDD" w14:textId="232697B0" w:rsidR="00E64868" w:rsidRPr="00260D1B" w:rsidRDefault="00E64868" w:rsidP="005B1B5B">
      <w:pPr>
        <w:spacing w:line="360" w:lineRule="auto"/>
        <w:ind w:left="680" w:right="231"/>
        <w:rPr>
          <w:kern w:val="1"/>
          <w:lang w:val="en-US"/>
        </w:rPr>
      </w:pPr>
      <w:r w:rsidRPr="00260D1B">
        <w:rPr>
          <w:kern w:val="1"/>
          <w:lang w:val="en-US"/>
        </w:rPr>
        <w:t>(</w:t>
      </w:r>
      <w:r w:rsidR="00047D59" w:rsidRPr="00260D1B">
        <w:rPr>
          <w:kern w:val="1"/>
          <w:lang w:val="en-US"/>
        </w:rPr>
        <w:t>7</w:t>
      </w:r>
      <w:r w:rsidRPr="00260D1B">
        <w:rPr>
          <w:kern w:val="1"/>
          <w:lang w:val="en-US"/>
        </w:rPr>
        <w:t xml:space="preserve">) </w:t>
      </w:r>
      <w:r w:rsidRPr="00260D1B">
        <w:rPr>
          <w:b/>
          <w:bCs/>
          <w:i/>
          <w:iCs/>
          <w:kern w:val="1"/>
          <w:lang w:val="en-US"/>
        </w:rPr>
        <w:t>Almost</w:t>
      </w:r>
      <w:r w:rsidRPr="00260D1B">
        <w:rPr>
          <w:kern w:val="1"/>
          <w:lang w:val="en-US"/>
        </w:rPr>
        <w:t xml:space="preserve"> </w:t>
      </w:r>
      <w:r w:rsidRPr="007C49D3">
        <w:rPr>
          <w:kern w:val="1"/>
          <w:u w:val="single"/>
          <w:lang w:val="en-US"/>
        </w:rPr>
        <w:t>all</w:t>
      </w:r>
      <w:r w:rsidRPr="00260D1B">
        <w:rPr>
          <w:kern w:val="1"/>
          <w:lang w:val="en-US"/>
        </w:rPr>
        <w:t xml:space="preserve"> isolates showed reduced susceptibility to </w:t>
      </w:r>
      <w:hyperlink r:id="rId9" w:tooltip="Learn more about moxifloxacin from ScienceDirect's AI-generated Topic Pages" w:history="1">
        <w:r w:rsidRPr="00260D1B">
          <w:rPr>
            <w:kern w:val="1"/>
            <w:lang w:val="en-US"/>
          </w:rPr>
          <w:t>moxifloxacin</w:t>
        </w:r>
      </w:hyperlink>
      <w:r w:rsidRPr="00260D1B">
        <w:rPr>
          <w:kern w:val="1"/>
          <w:lang w:val="en-US"/>
        </w:rPr>
        <w:t>(n = 73, 93.6%). (RH 28)</w:t>
      </w:r>
    </w:p>
    <w:p w14:paraId="79B731AD" w14:textId="77777777" w:rsidR="00D24C5E" w:rsidRPr="00260D1B" w:rsidRDefault="00D24C5E" w:rsidP="005B1B5B">
      <w:pPr>
        <w:spacing w:line="360" w:lineRule="auto"/>
        <w:ind w:right="231"/>
      </w:pPr>
    </w:p>
    <w:p w14:paraId="4E61DBF7" w14:textId="01440F5F" w:rsidR="00A07BFA" w:rsidRPr="00260D1B" w:rsidRDefault="00F0344B" w:rsidP="005B1B5B">
      <w:pPr>
        <w:spacing w:line="360" w:lineRule="auto"/>
        <w:ind w:right="231"/>
      </w:pPr>
      <w:r w:rsidRPr="00260D1B">
        <w:t>R</w:t>
      </w:r>
      <w:r w:rsidR="00E64868" w:rsidRPr="00260D1B">
        <w:t>ounders and plausibility hedges were more frequent in COVID-19 highlights (</w:t>
      </w:r>
      <w:r w:rsidR="007D1A4B" w:rsidRPr="00260D1B">
        <w:t xml:space="preserve">log Likelihood = </w:t>
      </w:r>
      <w:r w:rsidR="007D1A4B">
        <w:t>1.08</w:t>
      </w:r>
      <w:r w:rsidR="007D1A4B" w:rsidRPr="00260D1B">
        <w:t>, p &lt;0.3</w:t>
      </w:r>
      <w:r w:rsidR="007D1A4B">
        <w:t xml:space="preserve">7 </w:t>
      </w:r>
      <w:r w:rsidR="00E64868" w:rsidRPr="00260D1B">
        <w:t>for rounder</w:t>
      </w:r>
      <w:r w:rsidR="00A07CA7" w:rsidRPr="00260D1B">
        <w:t>s</w:t>
      </w:r>
      <w:r w:rsidR="00E64868" w:rsidRPr="00260D1B">
        <w:t xml:space="preserve"> and </w:t>
      </w:r>
      <w:r w:rsidR="007D1A4B" w:rsidRPr="00260D1B">
        <w:t xml:space="preserve">log Likelihood = </w:t>
      </w:r>
      <w:r w:rsidR="007D1A4B">
        <w:t>14.05</w:t>
      </w:r>
      <w:r w:rsidR="007D1A4B" w:rsidRPr="00260D1B">
        <w:t>, p &lt;0.00</w:t>
      </w:r>
      <w:r w:rsidR="007D1A4B">
        <w:t>1</w:t>
      </w:r>
      <w:r w:rsidR="007D1A4B" w:rsidRPr="00260D1B">
        <w:t xml:space="preserve"> </w:t>
      </w:r>
      <w:r w:rsidR="00E64868" w:rsidRPr="00260D1B">
        <w:t>for plausibility hedges), with plausibility hedges dominating the frequencies in both corpora.</w:t>
      </w:r>
      <w:r w:rsidR="00E5427D" w:rsidRPr="00260D1B">
        <w:t xml:space="preserve"> </w:t>
      </w:r>
      <w:r w:rsidR="00F62667" w:rsidRPr="00260D1B">
        <w:t xml:space="preserve">Rounders </w:t>
      </w:r>
      <w:r w:rsidR="00A07BFA" w:rsidRPr="00260D1B">
        <w:t xml:space="preserve">express approximation, which </w:t>
      </w:r>
      <w:r w:rsidR="00F62667" w:rsidRPr="00260D1B">
        <w:t>can affect the propositional content (Prince et al., 1982)</w:t>
      </w:r>
      <w:r w:rsidR="00A07BFA" w:rsidRPr="00260D1B">
        <w:t xml:space="preserve">. In COVID highlights, they were used as a strategy to </w:t>
      </w:r>
      <w:r w:rsidR="00733FEB" w:rsidRPr="00260D1B">
        <w:t xml:space="preserve">avoid taking responsibility </w:t>
      </w:r>
      <w:r w:rsidR="00D24C5E" w:rsidRPr="00260D1B">
        <w:t xml:space="preserve">for </w:t>
      </w:r>
      <w:r w:rsidR="00733FEB" w:rsidRPr="00260D1B">
        <w:t>statement</w:t>
      </w:r>
      <w:r w:rsidR="00D24C5E" w:rsidRPr="00260D1B">
        <w:t>s</w:t>
      </w:r>
      <w:r w:rsidR="00733FEB" w:rsidRPr="00260D1B">
        <w:t xml:space="preserve"> due to the lack of knowledge over the virus issue</w:t>
      </w:r>
      <w:r w:rsidR="00010395" w:rsidRPr="00260D1B">
        <w:t xml:space="preserve">. They help reduce any possible criticism </w:t>
      </w:r>
      <w:r w:rsidR="00D24C5E" w:rsidRPr="00260D1B">
        <w:t>for claiming a spurious precision</w:t>
      </w:r>
      <w:r w:rsidR="00010395" w:rsidRPr="00260D1B">
        <w:t>.</w:t>
      </w:r>
      <w:r w:rsidR="00CA1EF0" w:rsidRPr="00260D1B">
        <w:t xml:space="preserve"> Thus, instead of revealing uncertainty </w:t>
      </w:r>
      <w:r w:rsidR="00CA1EF0" w:rsidRPr="00260D1B">
        <w:lastRenderedPageBreak/>
        <w:t xml:space="preserve">or fuzziness, they serve as a shorthand device when </w:t>
      </w:r>
      <w:r w:rsidR="00D24C5E" w:rsidRPr="00260D1B">
        <w:t>more exact details</w:t>
      </w:r>
      <w:r w:rsidR="00CA1EF0" w:rsidRPr="00260D1B">
        <w:t xml:space="preserve"> on COVID</w:t>
      </w:r>
      <w:r w:rsidR="00AB56DC">
        <w:t xml:space="preserve"> are lacking</w:t>
      </w:r>
      <w:r w:rsidR="00D24C5E" w:rsidRPr="00260D1B">
        <w:t>:</w:t>
      </w:r>
      <w:r w:rsidR="00CA1EF0" w:rsidRPr="00260D1B">
        <w:t xml:space="preserve"> </w:t>
      </w:r>
    </w:p>
    <w:p w14:paraId="222D55FF" w14:textId="527AE6E8" w:rsidR="00733FEB" w:rsidRPr="00260D1B" w:rsidRDefault="00733FEB" w:rsidP="005B1B5B">
      <w:pPr>
        <w:spacing w:line="360" w:lineRule="auto"/>
        <w:ind w:left="680" w:right="231"/>
        <w:rPr>
          <w:kern w:val="1"/>
          <w:lang w:val="en-US"/>
        </w:rPr>
      </w:pPr>
      <w:r w:rsidRPr="00260D1B">
        <w:rPr>
          <w:kern w:val="1"/>
          <w:lang w:val="en-US"/>
        </w:rPr>
        <w:t>(</w:t>
      </w:r>
      <w:r w:rsidR="00D24C5E" w:rsidRPr="00260D1B">
        <w:rPr>
          <w:kern w:val="1"/>
          <w:lang w:val="en-US"/>
        </w:rPr>
        <w:t>8</w:t>
      </w:r>
      <w:r w:rsidRPr="00260D1B">
        <w:rPr>
          <w:kern w:val="1"/>
          <w:lang w:val="en-US"/>
        </w:rPr>
        <w:t xml:space="preserve">) The time to pneumothorax diagnosis is </w:t>
      </w:r>
      <w:r w:rsidRPr="00260D1B">
        <w:rPr>
          <w:b/>
          <w:bCs/>
          <w:i/>
          <w:iCs/>
          <w:kern w:val="1"/>
          <w:lang w:val="en-US"/>
        </w:rPr>
        <w:t xml:space="preserve">around </w:t>
      </w:r>
      <w:r w:rsidRPr="00260D1B">
        <w:rPr>
          <w:kern w:val="1"/>
          <w:lang w:val="en-US"/>
        </w:rPr>
        <w:t>9.0-19.6 days from admission and 5.4 days after </w:t>
      </w:r>
      <w:hyperlink r:id="rId10" w:tooltip="Learn more about IMV from ScienceDirect's AI-generated Topic Pages" w:history="1">
        <w:r w:rsidRPr="00260D1B">
          <w:rPr>
            <w:kern w:val="1"/>
            <w:lang w:val="en-US"/>
          </w:rPr>
          <w:t>IMV</w:t>
        </w:r>
      </w:hyperlink>
      <w:r w:rsidRPr="00260D1B">
        <w:rPr>
          <w:kern w:val="1"/>
          <w:lang w:val="en-US"/>
        </w:rPr>
        <w:t>.</w:t>
      </w:r>
    </w:p>
    <w:p w14:paraId="080431D4" w14:textId="23F848CA" w:rsidR="00733FEB" w:rsidRPr="00260D1B" w:rsidRDefault="00733FEB" w:rsidP="00A82F9A">
      <w:pPr>
        <w:spacing w:line="276" w:lineRule="auto"/>
        <w:ind w:right="231"/>
      </w:pPr>
    </w:p>
    <w:p w14:paraId="6EAE6C2E" w14:textId="24CDF68F" w:rsidR="00010395" w:rsidRPr="00260D1B" w:rsidRDefault="00010395" w:rsidP="005B1B5B">
      <w:pPr>
        <w:spacing w:line="360" w:lineRule="auto"/>
        <w:ind w:left="680" w:right="231"/>
        <w:rPr>
          <w:kern w:val="1"/>
          <w:lang w:val="en-US"/>
        </w:rPr>
      </w:pPr>
      <w:r w:rsidRPr="00260D1B">
        <w:rPr>
          <w:kern w:val="1"/>
          <w:lang w:val="en-US"/>
        </w:rPr>
        <w:t>(</w:t>
      </w:r>
      <w:r w:rsidR="00D24C5E" w:rsidRPr="00260D1B">
        <w:rPr>
          <w:kern w:val="1"/>
          <w:lang w:val="en-US"/>
        </w:rPr>
        <w:t>9</w:t>
      </w:r>
      <w:r w:rsidRPr="00260D1B">
        <w:rPr>
          <w:kern w:val="1"/>
          <w:lang w:val="en-US"/>
        </w:rPr>
        <w:t>)</w:t>
      </w:r>
      <w:r w:rsidRPr="00260D1B">
        <w:rPr>
          <w:b/>
          <w:bCs/>
          <w:i/>
          <w:iCs/>
          <w:kern w:val="1"/>
          <w:lang w:val="en-US"/>
        </w:rPr>
        <w:t xml:space="preserve"> Approximately</w:t>
      </w:r>
      <w:r w:rsidRPr="00260D1B">
        <w:rPr>
          <w:kern w:val="1"/>
          <w:lang w:val="en-US"/>
        </w:rPr>
        <w:t xml:space="preserve"> 34% of healthcare workers display symptoms of post-traumatic stress disorder, and 14% display severe symptoms, during the COVID-19 </w:t>
      </w:r>
      <w:hyperlink r:id="rId11" w:tooltip="Learn more about pandemic from ScienceDirect's AI-generated Topic Pages" w:history="1">
        <w:r w:rsidRPr="00260D1B">
          <w:rPr>
            <w:kern w:val="1"/>
            <w:lang w:val="en-US"/>
          </w:rPr>
          <w:t>pandemic</w:t>
        </w:r>
      </w:hyperlink>
      <w:r w:rsidRPr="00260D1B">
        <w:rPr>
          <w:kern w:val="1"/>
          <w:lang w:val="en-US"/>
        </w:rPr>
        <w:t>. (CH 166)</w:t>
      </w:r>
    </w:p>
    <w:p w14:paraId="1BA4A8AE" w14:textId="77777777" w:rsidR="00A07CA7" w:rsidRPr="00260D1B" w:rsidRDefault="00A07CA7" w:rsidP="00A07CA7">
      <w:pPr>
        <w:spacing w:line="360" w:lineRule="auto"/>
        <w:ind w:right="231"/>
        <w:rPr>
          <w:kern w:val="1"/>
          <w:highlight w:val="yellow"/>
        </w:rPr>
      </w:pPr>
    </w:p>
    <w:p w14:paraId="5E95B31F" w14:textId="5AEF0FE4" w:rsidR="00FA14C0" w:rsidRPr="00260D1B" w:rsidRDefault="00441CD1" w:rsidP="005B1B5B">
      <w:pPr>
        <w:spacing w:line="360" w:lineRule="auto"/>
        <w:ind w:right="231"/>
      </w:pPr>
      <w:r w:rsidRPr="00260D1B">
        <w:t>Plausibility hedges dominate the frequencies in both corpora</w:t>
      </w:r>
      <w:r w:rsidR="00FA14C0" w:rsidRPr="00260D1B">
        <w:t xml:space="preserve">, and in the COVID highlights they </w:t>
      </w:r>
      <w:r w:rsidR="00F56EF4" w:rsidRPr="00260D1B">
        <w:t>helped</w:t>
      </w:r>
      <w:r w:rsidR="00A07CA7" w:rsidRPr="00260D1B">
        <w:t xml:space="preserve"> </w:t>
      </w:r>
      <w:r w:rsidR="00FA14C0" w:rsidRPr="00260D1B">
        <w:t xml:space="preserve">to open a dialogic alternative </w:t>
      </w:r>
      <w:r w:rsidR="00C671E5" w:rsidRPr="00260D1B">
        <w:t>and generate solidarity</w:t>
      </w:r>
      <w:r w:rsidR="00E90CE2" w:rsidRPr="00260D1B">
        <w:t xml:space="preserve"> in terms of shared agreement of certain findings. They</w:t>
      </w:r>
      <w:r w:rsidR="002E69D1" w:rsidRPr="00260D1B">
        <w:t xml:space="preserve"> </w:t>
      </w:r>
      <w:r w:rsidR="00E90CE2" w:rsidRPr="00260D1B">
        <w:t xml:space="preserve">are </w:t>
      </w:r>
      <w:r w:rsidR="002E69D1" w:rsidRPr="00260D1B">
        <w:t xml:space="preserve">thus </w:t>
      </w:r>
      <w:r w:rsidR="00F56EF4" w:rsidRPr="00260D1B">
        <w:t>a</w:t>
      </w:r>
      <w:r w:rsidR="00E90CE2" w:rsidRPr="00260D1B">
        <w:t xml:space="preserve"> useful strategy of </w:t>
      </w:r>
      <w:r w:rsidR="002E69D1" w:rsidRPr="00260D1B">
        <w:t>engag</w:t>
      </w:r>
      <w:r w:rsidR="00E90CE2" w:rsidRPr="00260D1B">
        <w:t>ing</w:t>
      </w:r>
      <w:r w:rsidR="002E69D1" w:rsidRPr="00260D1B">
        <w:t xml:space="preserve"> colleagues to collaborate </w:t>
      </w:r>
      <w:r w:rsidR="00F56EF4" w:rsidRPr="00260D1B">
        <w:t xml:space="preserve">in </w:t>
      </w:r>
      <w:r w:rsidR="002E69D1" w:rsidRPr="00260D1B">
        <w:t>overcom</w:t>
      </w:r>
      <w:r w:rsidR="00F56EF4" w:rsidRPr="00260D1B">
        <w:t>ing</w:t>
      </w:r>
      <w:r w:rsidR="002E69D1" w:rsidRPr="00260D1B">
        <w:t xml:space="preserve"> the health crisis: </w:t>
      </w:r>
    </w:p>
    <w:p w14:paraId="535DC684" w14:textId="643B85DF" w:rsidR="002E69D1" w:rsidRPr="00260D1B" w:rsidRDefault="002E69D1" w:rsidP="005B1B5B">
      <w:pPr>
        <w:spacing w:line="360" w:lineRule="auto"/>
        <w:ind w:left="680" w:right="231"/>
        <w:rPr>
          <w:kern w:val="1"/>
          <w:lang w:val="en-US"/>
        </w:rPr>
      </w:pPr>
      <w:r w:rsidRPr="00260D1B">
        <w:rPr>
          <w:kern w:val="1"/>
          <w:lang w:val="en-US"/>
        </w:rPr>
        <w:t>(</w:t>
      </w:r>
      <w:r w:rsidR="00D24C5E" w:rsidRPr="00260D1B">
        <w:rPr>
          <w:kern w:val="1"/>
          <w:lang w:val="en-US"/>
        </w:rPr>
        <w:t>10</w:t>
      </w:r>
      <w:r w:rsidRPr="00260D1B">
        <w:rPr>
          <w:kern w:val="1"/>
          <w:lang w:val="en-US"/>
        </w:rPr>
        <w:t xml:space="preserve">) Immune checkpoint inhibitors </w:t>
      </w:r>
      <w:r w:rsidRPr="00260D1B">
        <w:rPr>
          <w:b/>
          <w:bCs/>
          <w:i/>
          <w:iCs/>
          <w:kern w:val="1"/>
          <w:lang w:val="en-US"/>
        </w:rPr>
        <w:t>may</w:t>
      </w:r>
      <w:r w:rsidRPr="00260D1B">
        <w:rPr>
          <w:kern w:val="1"/>
          <w:lang w:val="en-US"/>
        </w:rPr>
        <w:t xml:space="preserve"> be the better choice for the </w:t>
      </w:r>
      <w:hyperlink r:id="rId12" w:tooltip="Learn more about metastatic cancer from ScienceDirect's AI-generated Topic Pages" w:history="1">
        <w:r w:rsidRPr="00260D1B">
          <w:rPr>
            <w:kern w:val="1"/>
            <w:lang w:val="en-US"/>
          </w:rPr>
          <w:t>metastatic cancer</w:t>
        </w:r>
      </w:hyperlink>
      <w:r w:rsidRPr="00260D1B">
        <w:rPr>
          <w:kern w:val="1"/>
          <w:lang w:val="en-US"/>
        </w:rPr>
        <w:t> patients. (CH 122)</w:t>
      </w:r>
    </w:p>
    <w:p w14:paraId="5A8BA7D5" w14:textId="77777777" w:rsidR="00D24C5E" w:rsidRPr="00260D1B" w:rsidRDefault="00D24C5E" w:rsidP="00D24C5E">
      <w:pPr>
        <w:spacing w:line="276" w:lineRule="auto"/>
        <w:ind w:left="680" w:right="231"/>
        <w:rPr>
          <w:kern w:val="1"/>
          <w:lang w:val="en-US"/>
        </w:rPr>
      </w:pPr>
    </w:p>
    <w:p w14:paraId="6C8272A2" w14:textId="5256BBE9" w:rsidR="002E69D1" w:rsidRDefault="002E69D1" w:rsidP="005B1B5B">
      <w:pPr>
        <w:spacing w:line="360" w:lineRule="auto"/>
        <w:ind w:left="680" w:right="231"/>
        <w:rPr>
          <w:kern w:val="1"/>
          <w:lang w:val="en-US"/>
        </w:rPr>
      </w:pPr>
      <w:r w:rsidRPr="00260D1B">
        <w:rPr>
          <w:kern w:val="1"/>
          <w:lang w:val="en-US"/>
        </w:rPr>
        <w:t>(1</w:t>
      </w:r>
      <w:r w:rsidR="00D24C5E" w:rsidRPr="00260D1B">
        <w:rPr>
          <w:kern w:val="1"/>
          <w:lang w:val="en-US"/>
        </w:rPr>
        <w:t>1</w:t>
      </w:r>
      <w:r w:rsidRPr="00260D1B">
        <w:rPr>
          <w:kern w:val="1"/>
          <w:lang w:val="en-US"/>
        </w:rPr>
        <w:t xml:space="preserve">) Our results </w:t>
      </w:r>
      <w:r w:rsidRPr="00260D1B">
        <w:rPr>
          <w:b/>
          <w:bCs/>
          <w:i/>
          <w:iCs/>
          <w:kern w:val="1"/>
          <w:lang w:val="en-US"/>
        </w:rPr>
        <w:t>suggest</w:t>
      </w:r>
      <w:r w:rsidRPr="00260D1B">
        <w:rPr>
          <w:kern w:val="1"/>
          <w:lang w:val="en-US"/>
        </w:rPr>
        <w:t xml:space="preserve"> that K-12 schools are capable of contributing significantly to community transmission. (CH 237)</w:t>
      </w:r>
    </w:p>
    <w:p w14:paraId="6473C949" w14:textId="77777777" w:rsidR="007D1A4B" w:rsidRPr="00260D1B" w:rsidRDefault="007D1A4B" w:rsidP="005B1B5B">
      <w:pPr>
        <w:spacing w:line="360" w:lineRule="auto"/>
        <w:ind w:left="680" w:right="231"/>
        <w:rPr>
          <w:kern w:val="1"/>
          <w:lang w:val="en-US"/>
        </w:rPr>
      </w:pPr>
    </w:p>
    <w:p w14:paraId="5F9E53EE" w14:textId="41245D5D" w:rsidR="002E69D1" w:rsidRPr="00260D1B" w:rsidRDefault="002E69D1" w:rsidP="005B1B5B">
      <w:pPr>
        <w:spacing w:line="360" w:lineRule="auto"/>
        <w:ind w:left="680" w:right="231"/>
        <w:rPr>
          <w:kern w:val="1"/>
          <w:lang w:val="en-US"/>
        </w:rPr>
      </w:pPr>
      <w:r w:rsidRPr="00260D1B">
        <w:rPr>
          <w:kern w:val="1"/>
          <w:lang w:val="en-US"/>
        </w:rPr>
        <w:t>(1</w:t>
      </w:r>
      <w:r w:rsidR="00D24C5E" w:rsidRPr="00260D1B">
        <w:rPr>
          <w:kern w:val="1"/>
          <w:lang w:val="en-US"/>
        </w:rPr>
        <w:t>2</w:t>
      </w:r>
      <w:r w:rsidRPr="00260D1B">
        <w:rPr>
          <w:kern w:val="1"/>
          <w:lang w:val="en-US"/>
        </w:rPr>
        <w:t xml:space="preserve">) Decreased renal function does not </w:t>
      </w:r>
      <w:r w:rsidRPr="00260D1B">
        <w:rPr>
          <w:b/>
          <w:bCs/>
          <w:i/>
          <w:iCs/>
          <w:kern w:val="1"/>
          <w:lang w:val="en-US"/>
        </w:rPr>
        <w:t xml:space="preserve">seem </w:t>
      </w:r>
      <w:r w:rsidRPr="00260D1B">
        <w:rPr>
          <w:kern w:val="1"/>
          <w:lang w:val="en-US"/>
        </w:rPr>
        <w:t>to be a direct cause of those disturbances. (CH 46)</w:t>
      </w:r>
    </w:p>
    <w:p w14:paraId="4C2860BE" w14:textId="77777777" w:rsidR="00261845" w:rsidRPr="00260D1B" w:rsidRDefault="00261845" w:rsidP="005B1B5B">
      <w:pPr>
        <w:spacing w:line="360" w:lineRule="auto"/>
        <w:ind w:right="231"/>
      </w:pPr>
    </w:p>
    <w:p w14:paraId="4158E417" w14:textId="5C6275BF" w:rsidR="00D830BC" w:rsidRPr="00260D1B" w:rsidRDefault="00261845" w:rsidP="005B1B5B">
      <w:pPr>
        <w:spacing w:line="360" w:lineRule="auto"/>
        <w:ind w:right="231"/>
      </w:pPr>
      <w:r w:rsidRPr="00260D1B">
        <w:t xml:space="preserve">The use of plausibility hedges in highlights covering other topics </w:t>
      </w:r>
      <w:r w:rsidR="003F47A1" w:rsidRPr="00260D1B">
        <w:t xml:space="preserve">were </w:t>
      </w:r>
      <w:r w:rsidR="00F56EF4" w:rsidRPr="00260D1B">
        <w:t xml:space="preserve">more commonly </w:t>
      </w:r>
      <w:r w:rsidR="003F47A1" w:rsidRPr="00260D1B">
        <w:t>used to distance writers from their statements and make their subjective views sound more objective</w:t>
      </w:r>
      <w:r w:rsidR="00842BCC" w:rsidRPr="00260D1B">
        <w:t xml:space="preserve">. By shifting readers’ attention from the person who presents the statement to research process or findings, plausibility hedges function </w:t>
      </w:r>
      <w:r w:rsidR="00F56EF4" w:rsidRPr="00260D1B">
        <w:t>to</w:t>
      </w:r>
      <w:r w:rsidR="00842BCC" w:rsidRPr="00260D1B">
        <w:t xml:space="preserve"> shield</w:t>
      </w:r>
      <w:r w:rsidR="00F56EF4" w:rsidRPr="00260D1B">
        <w:t xml:space="preserve"> the writer</w:t>
      </w:r>
      <w:r w:rsidR="00842BCC" w:rsidRPr="00260D1B">
        <w:t xml:space="preserve"> </w:t>
      </w:r>
      <w:r w:rsidR="00F56EF4" w:rsidRPr="00260D1B">
        <w:t>by</w:t>
      </w:r>
      <w:r w:rsidR="00842BCC" w:rsidRPr="00260D1B">
        <w:t xml:space="preserve"> avoid</w:t>
      </w:r>
      <w:r w:rsidR="00F56EF4" w:rsidRPr="00260D1B">
        <w:t>ing</w:t>
      </w:r>
      <w:r w:rsidR="00842BCC" w:rsidRPr="00260D1B">
        <w:t xml:space="preserve"> absolute statements</w:t>
      </w:r>
      <w:r w:rsidR="00D830BC" w:rsidRPr="00260D1B">
        <w:t>.</w:t>
      </w:r>
    </w:p>
    <w:p w14:paraId="7CB7C632" w14:textId="4DC3C31E" w:rsidR="003F47A1" w:rsidRPr="00260D1B" w:rsidRDefault="003F47A1" w:rsidP="005B1B5B">
      <w:pPr>
        <w:spacing w:line="360" w:lineRule="auto"/>
        <w:ind w:left="680" w:right="231"/>
        <w:rPr>
          <w:kern w:val="1"/>
          <w:lang w:val="en-US"/>
        </w:rPr>
      </w:pPr>
      <w:r w:rsidRPr="00260D1B">
        <w:rPr>
          <w:kern w:val="1"/>
          <w:lang w:val="en-US"/>
        </w:rPr>
        <w:t>(1</w:t>
      </w:r>
      <w:r w:rsidR="00D24C5E" w:rsidRPr="00260D1B">
        <w:rPr>
          <w:kern w:val="1"/>
          <w:lang w:val="en-US"/>
        </w:rPr>
        <w:t>3</w:t>
      </w:r>
      <w:r w:rsidRPr="00260D1B">
        <w:rPr>
          <w:kern w:val="1"/>
          <w:lang w:val="en-US"/>
        </w:rPr>
        <w:t xml:space="preserve">) This study </w:t>
      </w:r>
      <w:r w:rsidRPr="00260D1B">
        <w:rPr>
          <w:b/>
          <w:bCs/>
          <w:i/>
          <w:iCs/>
          <w:kern w:val="1"/>
          <w:lang w:val="en-US"/>
        </w:rPr>
        <w:t>estimates</w:t>
      </w:r>
      <w:r w:rsidRPr="00260D1B">
        <w:rPr>
          <w:kern w:val="1"/>
          <w:lang w:val="en-US"/>
        </w:rPr>
        <w:t xml:space="preserve"> lung cancer death rates among never-smokers with the NHIS-LMF.</w:t>
      </w:r>
      <w:r w:rsidR="00842BCC" w:rsidRPr="00260D1B">
        <w:rPr>
          <w:kern w:val="1"/>
          <w:lang w:val="en-US"/>
        </w:rPr>
        <w:t xml:space="preserve"> (RH 197)</w:t>
      </w:r>
    </w:p>
    <w:p w14:paraId="1C3F40AE" w14:textId="77777777" w:rsidR="00842BCC" w:rsidRPr="00260D1B" w:rsidRDefault="00842BCC" w:rsidP="0030701D">
      <w:pPr>
        <w:spacing w:line="276" w:lineRule="auto"/>
        <w:ind w:left="680" w:right="231"/>
        <w:rPr>
          <w:kern w:val="1"/>
          <w:lang w:val="en-US"/>
        </w:rPr>
      </w:pPr>
    </w:p>
    <w:p w14:paraId="51FF7641" w14:textId="167ED3D8" w:rsidR="00842BCC" w:rsidRPr="00260D1B" w:rsidRDefault="00842BCC" w:rsidP="005B1B5B">
      <w:pPr>
        <w:spacing w:line="360" w:lineRule="auto"/>
        <w:ind w:left="680" w:right="231"/>
        <w:rPr>
          <w:kern w:val="1"/>
          <w:lang w:val="en-US"/>
        </w:rPr>
      </w:pPr>
      <w:r w:rsidRPr="00260D1B">
        <w:rPr>
          <w:kern w:val="1"/>
          <w:lang w:val="en-US"/>
        </w:rPr>
        <w:t>(1</w:t>
      </w:r>
      <w:r w:rsidR="00D24C5E" w:rsidRPr="00260D1B">
        <w:rPr>
          <w:kern w:val="1"/>
          <w:lang w:val="en-US"/>
        </w:rPr>
        <w:t>4</w:t>
      </w:r>
      <w:r w:rsidRPr="00260D1B">
        <w:rPr>
          <w:kern w:val="1"/>
          <w:lang w:val="en-US"/>
        </w:rPr>
        <w:t xml:space="preserve">) Depression is a common co-morbid condition that </w:t>
      </w:r>
      <w:r w:rsidRPr="00260D1B">
        <w:rPr>
          <w:b/>
          <w:bCs/>
          <w:i/>
          <w:iCs/>
          <w:kern w:val="1"/>
          <w:lang w:val="en-US"/>
        </w:rPr>
        <w:t>seems</w:t>
      </w:r>
      <w:r w:rsidRPr="00260D1B">
        <w:rPr>
          <w:kern w:val="1"/>
          <w:lang w:val="en-US"/>
        </w:rPr>
        <w:t xml:space="preserve"> to influence the occurrence of psychotic symptoms in PTSD. (RH 183) </w:t>
      </w:r>
    </w:p>
    <w:p w14:paraId="5A31181B" w14:textId="77777777" w:rsidR="00842BCC" w:rsidRPr="00260D1B" w:rsidRDefault="00842BCC" w:rsidP="0030701D">
      <w:pPr>
        <w:spacing w:line="276" w:lineRule="auto"/>
        <w:ind w:left="680" w:right="231"/>
        <w:rPr>
          <w:kern w:val="1"/>
          <w:lang w:val="en-US"/>
        </w:rPr>
      </w:pPr>
    </w:p>
    <w:p w14:paraId="303FC3A9" w14:textId="51B35302" w:rsidR="00FA14C0" w:rsidRDefault="00842BCC" w:rsidP="005B1B5B">
      <w:pPr>
        <w:spacing w:line="360" w:lineRule="auto"/>
        <w:ind w:left="680" w:right="231"/>
        <w:rPr>
          <w:kern w:val="1"/>
          <w:lang w:val="en-US"/>
        </w:rPr>
      </w:pPr>
      <w:r w:rsidRPr="00260D1B">
        <w:rPr>
          <w:kern w:val="1"/>
          <w:lang w:val="en-US"/>
        </w:rPr>
        <w:lastRenderedPageBreak/>
        <w:t>(1</w:t>
      </w:r>
      <w:r w:rsidR="00D24C5E" w:rsidRPr="00260D1B">
        <w:rPr>
          <w:kern w:val="1"/>
          <w:lang w:val="en-US"/>
        </w:rPr>
        <w:t>5</w:t>
      </w:r>
      <w:r w:rsidRPr="00260D1B">
        <w:rPr>
          <w:kern w:val="1"/>
          <w:lang w:val="en-US"/>
        </w:rPr>
        <w:t xml:space="preserve">) High birth rates and low prior vaccination rates </w:t>
      </w:r>
      <w:r w:rsidRPr="00260D1B">
        <w:rPr>
          <w:b/>
          <w:bCs/>
          <w:i/>
          <w:iCs/>
          <w:kern w:val="1"/>
          <w:lang w:val="en-US"/>
        </w:rPr>
        <w:t xml:space="preserve">may </w:t>
      </w:r>
      <w:r w:rsidRPr="00260D1B">
        <w:rPr>
          <w:kern w:val="1"/>
          <w:lang w:val="en-US"/>
        </w:rPr>
        <w:t>lead to future outbreaks. (RH 228)</w:t>
      </w:r>
    </w:p>
    <w:p w14:paraId="678456C8" w14:textId="77777777" w:rsidR="007D1A4B" w:rsidRPr="00260D1B" w:rsidRDefault="007D1A4B" w:rsidP="005B1B5B">
      <w:pPr>
        <w:spacing w:line="360" w:lineRule="auto"/>
        <w:ind w:left="680" w:right="231"/>
        <w:rPr>
          <w:kern w:val="1"/>
          <w:lang w:val="en-US"/>
        </w:rPr>
      </w:pPr>
    </w:p>
    <w:p w14:paraId="3ACB197A" w14:textId="1941FBFE" w:rsidR="007743FC" w:rsidRPr="00260D1B" w:rsidRDefault="007743FC" w:rsidP="005B1B5B">
      <w:pPr>
        <w:spacing w:line="360" w:lineRule="auto"/>
        <w:ind w:right="231"/>
        <w:rPr>
          <w:b/>
          <w:bCs/>
        </w:rPr>
      </w:pPr>
      <w:r w:rsidRPr="00260D1B">
        <w:rPr>
          <w:b/>
          <w:bCs/>
        </w:rPr>
        <w:t>5.2 Boosters</w:t>
      </w:r>
    </w:p>
    <w:p w14:paraId="0C1CED05" w14:textId="7DCDFE67" w:rsidR="007C1D0E" w:rsidRPr="00260D1B" w:rsidRDefault="00D0411C" w:rsidP="005B1B5B">
      <w:pPr>
        <w:spacing w:line="360" w:lineRule="auto"/>
        <w:ind w:right="231"/>
      </w:pPr>
      <w:r w:rsidRPr="00260D1B">
        <w:t>While hedges tone down commitment or assertiveness, boosters remov</w:t>
      </w:r>
      <w:r w:rsidR="00EF1AEC">
        <w:t>e</w:t>
      </w:r>
      <w:r w:rsidRPr="00260D1B">
        <w:t xml:space="preserve"> any doubts about claims. They stress shared information, group membership and mark </w:t>
      </w:r>
      <w:r w:rsidR="00EF1AEC">
        <w:t>engagement</w:t>
      </w:r>
      <w:r w:rsidRPr="00260D1B">
        <w:t xml:space="preserve"> with the audience (</w:t>
      </w:r>
      <w:r w:rsidR="00454B5F">
        <w:t>Author 2</w:t>
      </w:r>
      <w:r w:rsidRPr="00260D1B">
        <w:t>, 2005).</w:t>
      </w:r>
      <w:r w:rsidR="003315E8" w:rsidRPr="00260D1B">
        <w:t xml:space="preserve"> In </w:t>
      </w:r>
      <w:r w:rsidR="007C1D0E" w:rsidRPr="00260D1B">
        <w:t xml:space="preserve">article highlights, boosters </w:t>
      </w:r>
      <w:r w:rsidR="008365FE" w:rsidRPr="00260D1B">
        <w:t xml:space="preserve">can </w:t>
      </w:r>
      <w:r w:rsidR="007C1D0E" w:rsidRPr="00260D1B">
        <w:t xml:space="preserve">help strengthen the reliability of a proposition and encourage readers to accept the truth </w:t>
      </w:r>
      <w:r w:rsidR="005165D5" w:rsidRPr="00260D1B">
        <w:t>or significance of scientific findings</w:t>
      </w:r>
      <w:r w:rsidR="007C1D0E" w:rsidRPr="00260D1B">
        <w:t>:</w:t>
      </w:r>
    </w:p>
    <w:p w14:paraId="49630024" w14:textId="60CA0267" w:rsidR="005165D5" w:rsidRPr="00260D1B" w:rsidRDefault="007C1D0E" w:rsidP="008365FE">
      <w:pPr>
        <w:tabs>
          <w:tab w:val="left" w:pos="8080"/>
          <w:tab w:val="left" w:pos="8222"/>
        </w:tabs>
        <w:spacing w:line="360" w:lineRule="auto"/>
        <w:ind w:left="567" w:right="940"/>
        <w:rPr>
          <w:kern w:val="1"/>
          <w:lang w:val="en-US"/>
        </w:rPr>
      </w:pPr>
      <w:r w:rsidRPr="00260D1B">
        <w:rPr>
          <w:kern w:val="1"/>
          <w:lang w:val="en-US"/>
        </w:rPr>
        <w:t>(1</w:t>
      </w:r>
      <w:r w:rsidR="00D24C5E" w:rsidRPr="00260D1B">
        <w:rPr>
          <w:kern w:val="1"/>
          <w:lang w:val="en-US"/>
        </w:rPr>
        <w:t>6</w:t>
      </w:r>
      <w:r w:rsidRPr="00260D1B">
        <w:rPr>
          <w:kern w:val="1"/>
          <w:lang w:val="en-US"/>
        </w:rPr>
        <w:t>)</w:t>
      </w:r>
      <w:r w:rsidR="005165D5" w:rsidRPr="00260D1B">
        <w:rPr>
          <w:kern w:val="1"/>
          <w:lang w:val="en-US"/>
        </w:rPr>
        <w:t xml:space="preserve"> Preventing viral transmission in airline travel is </w:t>
      </w:r>
      <w:r w:rsidR="005165D5" w:rsidRPr="00260D1B">
        <w:rPr>
          <w:b/>
          <w:bCs/>
          <w:i/>
          <w:iCs/>
          <w:kern w:val="1"/>
          <w:lang w:val="en-US"/>
        </w:rPr>
        <w:t>very</w:t>
      </w:r>
      <w:r w:rsidR="005165D5" w:rsidRPr="00260D1B">
        <w:rPr>
          <w:kern w:val="1"/>
          <w:lang w:val="en-US"/>
        </w:rPr>
        <w:t xml:space="preserve"> important. (CH 7)</w:t>
      </w:r>
    </w:p>
    <w:p w14:paraId="40CB116B" w14:textId="77777777" w:rsidR="008365FE" w:rsidRPr="00260D1B" w:rsidRDefault="008365FE" w:rsidP="008365FE">
      <w:pPr>
        <w:tabs>
          <w:tab w:val="left" w:pos="8080"/>
          <w:tab w:val="left" w:pos="8222"/>
        </w:tabs>
        <w:spacing w:line="360" w:lineRule="auto"/>
        <w:ind w:left="567" w:right="940"/>
        <w:rPr>
          <w:kern w:val="1"/>
          <w:lang w:val="en-US"/>
        </w:rPr>
      </w:pPr>
    </w:p>
    <w:p w14:paraId="07AD9628" w14:textId="5FF366B7" w:rsidR="005165D5" w:rsidRPr="00260D1B" w:rsidRDefault="007C1D0E" w:rsidP="008365FE">
      <w:pPr>
        <w:tabs>
          <w:tab w:val="left" w:pos="8080"/>
          <w:tab w:val="left" w:pos="8222"/>
        </w:tabs>
        <w:spacing w:line="360" w:lineRule="auto"/>
        <w:ind w:left="567" w:right="940"/>
        <w:rPr>
          <w:kern w:val="1"/>
          <w:lang w:val="en-US"/>
        </w:rPr>
      </w:pPr>
      <w:r w:rsidRPr="00260D1B">
        <w:rPr>
          <w:kern w:val="1"/>
          <w:lang w:val="en-US"/>
        </w:rPr>
        <w:t>(1</w:t>
      </w:r>
      <w:r w:rsidR="008365FE" w:rsidRPr="00260D1B">
        <w:rPr>
          <w:kern w:val="1"/>
          <w:lang w:val="en-US"/>
        </w:rPr>
        <w:t>7</w:t>
      </w:r>
      <w:r w:rsidRPr="00260D1B">
        <w:rPr>
          <w:kern w:val="1"/>
          <w:lang w:val="en-US"/>
        </w:rPr>
        <w:t>)</w:t>
      </w:r>
      <w:r w:rsidR="005165D5" w:rsidRPr="00260D1B">
        <w:rPr>
          <w:kern w:val="1"/>
          <w:lang w:val="en-US"/>
        </w:rPr>
        <w:t xml:space="preserve"> Oocysts are </w:t>
      </w:r>
      <w:r w:rsidR="005165D5" w:rsidRPr="00260D1B">
        <w:rPr>
          <w:b/>
          <w:bCs/>
          <w:i/>
          <w:iCs/>
          <w:kern w:val="1"/>
          <w:lang w:val="en-US"/>
        </w:rPr>
        <w:t xml:space="preserve">extremely </w:t>
      </w:r>
      <w:r w:rsidR="005165D5" w:rsidRPr="00260D1B">
        <w:rPr>
          <w:kern w:val="1"/>
          <w:lang w:val="en-US"/>
        </w:rPr>
        <w:t>infectious to intermediate hosts, one oocyst infects with probability 0.46 (0.31-0.57, 95% confidence level. (RH 227)</w:t>
      </w:r>
    </w:p>
    <w:p w14:paraId="038AEEAC" w14:textId="77777777" w:rsidR="005165D5" w:rsidRPr="00260D1B" w:rsidRDefault="005165D5" w:rsidP="005B1B5B">
      <w:pPr>
        <w:spacing w:line="360" w:lineRule="auto"/>
        <w:ind w:right="231"/>
        <w:rPr>
          <w:kern w:val="1"/>
        </w:rPr>
      </w:pPr>
    </w:p>
    <w:p w14:paraId="41897D73" w14:textId="5A69C0E0" w:rsidR="00165569" w:rsidRPr="00260D1B" w:rsidRDefault="008365FE" w:rsidP="005B1B5B">
      <w:pPr>
        <w:spacing w:line="360" w:lineRule="auto"/>
        <w:ind w:right="231"/>
      </w:pPr>
      <w:r w:rsidRPr="00260D1B">
        <w:rPr>
          <w:kern w:val="1"/>
        </w:rPr>
        <w:t>B</w:t>
      </w:r>
      <w:r w:rsidR="005165D5" w:rsidRPr="00260D1B">
        <w:rPr>
          <w:kern w:val="1"/>
        </w:rPr>
        <w:t xml:space="preserve">oosters comprise a </w:t>
      </w:r>
      <w:r w:rsidR="001459D0" w:rsidRPr="00260D1B">
        <w:rPr>
          <w:kern w:val="1"/>
        </w:rPr>
        <w:t xml:space="preserve">significantly </w:t>
      </w:r>
      <w:r w:rsidRPr="00260D1B">
        <w:rPr>
          <w:kern w:val="1"/>
        </w:rPr>
        <w:t>higher</w:t>
      </w:r>
      <w:r w:rsidR="005165D5" w:rsidRPr="00260D1B">
        <w:rPr>
          <w:kern w:val="1"/>
        </w:rPr>
        <w:t xml:space="preserve"> proportion of items in the COVID-19 highlight</w:t>
      </w:r>
      <w:r w:rsidRPr="00260D1B">
        <w:rPr>
          <w:kern w:val="1"/>
        </w:rPr>
        <w:t>s than in the reference corpus</w:t>
      </w:r>
      <w:r w:rsidR="005165D5" w:rsidRPr="00260D1B">
        <w:rPr>
          <w:kern w:val="1"/>
        </w:rPr>
        <w:t xml:space="preserve"> </w:t>
      </w:r>
      <w:r w:rsidR="005471BF" w:rsidRPr="00260D1B">
        <w:rPr>
          <w:kern w:val="1"/>
        </w:rPr>
        <w:t>(</w:t>
      </w:r>
      <w:r w:rsidR="007D1A4B" w:rsidRPr="00260D1B">
        <w:t>log Likelihood =</w:t>
      </w:r>
      <w:r w:rsidR="007D1A4B">
        <w:t>17.09</w:t>
      </w:r>
      <w:r w:rsidR="007D1A4B" w:rsidRPr="00260D1B">
        <w:t>, p &lt;0.001</w:t>
      </w:r>
      <w:r w:rsidR="005471BF" w:rsidRPr="00260D1B">
        <w:t>)</w:t>
      </w:r>
      <w:r w:rsidR="005165D5" w:rsidRPr="00260D1B">
        <w:t xml:space="preserve">. </w:t>
      </w:r>
      <w:r w:rsidR="001459D0" w:rsidRPr="00260D1B">
        <w:t>This</w:t>
      </w:r>
      <w:r w:rsidR="005165D5" w:rsidRPr="00260D1B">
        <w:t xml:space="preserve"> result is consistent with </w:t>
      </w:r>
      <w:r w:rsidR="00454B5F">
        <w:t>Author 2</w:t>
      </w:r>
      <w:r w:rsidR="001459D0" w:rsidRPr="00260D1B">
        <w:t xml:space="preserve"> and </w:t>
      </w:r>
      <w:r w:rsidR="00454B5F">
        <w:t>Other</w:t>
      </w:r>
      <w:r w:rsidR="001459D0" w:rsidRPr="00260D1B">
        <w:t xml:space="preserve">’s (2021) finding that research articles on Covid 19 contained </w:t>
      </w:r>
      <w:r w:rsidR="00822811" w:rsidRPr="00260D1B">
        <w:t xml:space="preserve">more </w:t>
      </w:r>
      <w:r w:rsidR="00070C44" w:rsidRPr="00260D1B">
        <w:t xml:space="preserve">boosters </w:t>
      </w:r>
      <w:r w:rsidR="00822811" w:rsidRPr="00260D1B">
        <w:t xml:space="preserve">compared with </w:t>
      </w:r>
      <w:r w:rsidR="001459D0" w:rsidRPr="00260D1B">
        <w:t xml:space="preserve">other </w:t>
      </w:r>
      <w:r w:rsidR="00822811" w:rsidRPr="00260D1B">
        <w:t>medical articles</w:t>
      </w:r>
      <w:r w:rsidR="0060067E" w:rsidRPr="00260D1B">
        <w:t xml:space="preserve">. This </w:t>
      </w:r>
      <w:r w:rsidR="001459D0" w:rsidRPr="00260D1B">
        <w:t>shows, once again, the clear stance that authors sought to impart to their research in the rather fevered atmosphere of the search for answers to the Covid public health crisis</w:t>
      </w:r>
      <w:r w:rsidR="0060067E" w:rsidRPr="00260D1B">
        <w:t xml:space="preserve">. </w:t>
      </w:r>
      <w:r w:rsidR="001459D0" w:rsidRPr="00260D1B">
        <w:t>These example highlights show how</w:t>
      </w:r>
      <w:r w:rsidR="00165569" w:rsidRPr="00260D1B">
        <w:t xml:space="preserve"> boosters were particularly used to promote the </w:t>
      </w:r>
      <w:r w:rsidR="001459D0" w:rsidRPr="00260D1B">
        <w:t>originality</w:t>
      </w:r>
      <w:r w:rsidR="00165569" w:rsidRPr="00260D1B">
        <w:t xml:space="preserve"> of the research, </w:t>
      </w:r>
      <w:r w:rsidR="001459D0" w:rsidRPr="00260D1B">
        <w:t>emphasising priority and novelty</w:t>
      </w:r>
      <w:r w:rsidR="00165569" w:rsidRPr="00260D1B">
        <w:t xml:space="preserve"> to attract </w:t>
      </w:r>
      <w:r w:rsidR="00EB05AB">
        <w:t>attention</w:t>
      </w:r>
      <w:r w:rsidR="00165569" w:rsidRPr="00260D1B">
        <w:t xml:space="preserve">: </w:t>
      </w:r>
    </w:p>
    <w:p w14:paraId="7F445492" w14:textId="322C2827" w:rsidR="007A3946" w:rsidRPr="00260D1B" w:rsidRDefault="007A3946" w:rsidP="005B1B5B">
      <w:pPr>
        <w:spacing w:line="360" w:lineRule="auto"/>
        <w:ind w:left="680" w:right="231"/>
        <w:rPr>
          <w:kern w:val="1"/>
          <w:lang w:val="en-US"/>
        </w:rPr>
      </w:pPr>
      <w:r w:rsidRPr="00260D1B">
        <w:rPr>
          <w:kern w:val="1"/>
          <w:lang w:val="en-US"/>
        </w:rPr>
        <w:t>(1</w:t>
      </w:r>
      <w:r w:rsidR="001459D0" w:rsidRPr="00260D1B">
        <w:rPr>
          <w:kern w:val="1"/>
          <w:lang w:val="en-US"/>
        </w:rPr>
        <w:t>8</w:t>
      </w:r>
      <w:r w:rsidRPr="00260D1B">
        <w:rPr>
          <w:kern w:val="1"/>
          <w:lang w:val="en-US"/>
        </w:rPr>
        <w:t xml:space="preserve">) This is </w:t>
      </w:r>
      <w:r w:rsidRPr="00260D1B">
        <w:rPr>
          <w:b/>
          <w:bCs/>
          <w:i/>
          <w:iCs/>
          <w:kern w:val="1"/>
          <w:lang w:val="en-US"/>
        </w:rPr>
        <w:t>the first</w:t>
      </w:r>
      <w:r w:rsidRPr="00260D1B">
        <w:rPr>
          <w:kern w:val="1"/>
          <w:lang w:val="en-US"/>
        </w:rPr>
        <w:t xml:space="preserve"> study to compare clinical features between the two diseases. (CH 51)</w:t>
      </w:r>
    </w:p>
    <w:p w14:paraId="55CC7C94" w14:textId="77777777" w:rsidR="007A3946" w:rsidRPr="00260D1B" w:rsidRDefault="007A3946" w:rsidP="001459D0">
      <w:pPr>
        <w:ind w:left="680" w:right="231"/>
        <w:rPr>
          <w:kern w:val="1"/>
          <w:lang w:val="en-US"/>
        </w:rPr>
      </w:pPr>
    </w:p>
    <w:p w14:paraId="16EE1026" w14:textId="09F658C0" w:rsidR="007A3946" w:rsidRPr="00260D1B" w:rsidRDefault="007A3946" w:rsidP="005B1B5B">
      <w:pPr>
        <w:spacing w:line="360" w:lineRule="auto"/>
        <w:ind w:left="680" w:right="231"/>
        <w:rPr>
          <w:kern w:val="1"/>
          <w:lang w:val="en-US"/>
        </w:rPr>
      </w:pPr>
      <w:r w:rsidRPr="00260D1B">
        <w:rPr>
          <w:kern w:val="1"/>
          <w:lang w:val="en-US"/>
        </w:rPr>
        <w:t>(1</w:t>
      </w:r>
      <w:r w:rsidR="001459D0" w:rsidRPr="00260D1B">
        <w:rPr>
          <w:kern w:val="1"/>
          <w:lang w:val="en-US"/>
        </w:rPr>
        <w:t>9</w:t>
      </w:r>
      <w:r w:rsidRPr="00260D1B">
        <w:rPr>
          <w:kern w:val="1"/>
          <w:lang w:val="en-US"/>
        </w:rPr>
        <w:t xml:space="preserve">) We conducted </w:t>
      </w:r>
      <w:r w:rsidRPr="00260D1B">
        <w:rPr>
          <w:b/>
          <w:bCs/>
          <w:i/>
          <w:iCs/>
          <w:kern w:val="1"/>
          <w:lang w:val="en-US"/>
        </w:rPr>
        <w:t>the first</w:t>
      </w:r>
      <w:r w:rsidRPr="00260D1B">
        <w:rPr>
          <w:kern w:val="1"/>
          <w:lang w:val="en-US"/>
        </w:rPr>
        <w:t xml:space="preserve"> large scale research for AI-based LUS analysis of COVID-19 and built an effective framework for COVID-19 diagnosis. (CH 264)</w:t>
      </w:r>
    </w:p>
    <w:p w14:paraId="06EBE884" w14:textId="77777777" w:rsidR="005471BF" w:rsidRPr="00260D1B" w:rsidRDefault="005471BF" w:rsidP="005B1B5B">
      <w:pPr>
        <w:spacing w:line="360" w:lineRule="auto"/>
        <w:ind w:left="680" w:right="231"/>
        <w:rPr>
          <w:kern w:val="1"/>
          <w:lang w:val="en-US"/>
        </w:rPr>
      </w:pPr>
    </w:p>
    <w:p w14:paraId="1E610C20" w14:textId="651A7FB0" w:rsidR="00273B0D" w:rsidRPr="00260D1B" w:rsidRDefault="0060067E" w:rsidP="005B1B5B">
      <w:pPr>
        <w:spacing w:line="360" w:lineRule="auto"/>
        <w:ind w:right="231"/>
      </w:pPr>
      <w:r w:rsidRPr="00260D1B">
        <w:t xml:space="preserve">In addition, </w:t>
      </w:r>
      <w:r w:rsidR="00AD1FD4" w:rsidRPr="00260D1B">
        <w:t xml:space="preserve">boosters in COVID highlights help confirm the writer’s commitment to the reliability their propositions and gain readers’ trust as </w:t>
      </w:r>
      <w:r w:rsidRPr="00260D1B">
        <w:t xml:space="preserve">there are </w:t>
      </w:r>
      <w:r w:rsidR="00AD1FD4" w:rsidRPr="00260D1B">
        <w:t xml:space="preserve">even more </w:t>
      </w:r>
      <w:r w:rsidRPr="00260D1B">
        <w:t>uncertainties or disagreements concerning the virus issue</w:t>
      </w:r>
      <w:r w:rsidR="00273B0D" w:rsidRPr="00260D1B">
        <w:t xml:space="preserve">. Combined with attitude markers, in particular, boosters can carry considerable persuasive force: </w:t>
      </w:r>
    </w:p>
    <w:p w14:paraId="21066772" w14:textId="2DB0FD35" w:rsidR="00273B0D" w:rsidRPr="00260D1B" w:rsidRDefault="00AD1FD4" w:rsidP="005B1B5B">
      <w:pPr>
        <w:spacing w:line="360" w:lineRule="auto"/>
        <w:ind w:left="680" w:right="231"/>
        <w:rPr>
          <w:kern w:val="1"/>
          <w:lang w:val="en-US"/>
        </w:rPr>
      </w:pPr>
      <w:r w:rsidRPr="00260D1B">
        <w:rPr>
          <w:kern w:val="1"/>
          <w:lang w:val="en-US"/>
        </w:rPr>
        <w:t>(</w:t>
      </w:r>
      <w:r w:rsidR="001459D0" w:rsidRPr="00260D1B">
        <w:rPr>
          <w:kern w:val="1"/>
          <w:lang w:val="en-US"/>
        </w:rPr>
        <w:t>20</w:t>
      </w:r>
      <w:r w:rsidRPr="00260D1B">
        <w:rPr>
          <w:kern w:val="1"/>
          <w:lang w:val="en-US"/>
        </w:rPr>
        <w:t>)</w:t>
      </w:r>
      <w:r w:rsidR="00273B0D" w:rsidRPr="00260D1B">
        <w:rPr>
          <w:kern w:val="1"/>
          <w:lang w:val="en-US"/>
        </w:rPr>
        <w:t xml:space="preserve"> The targeted epitope is </w:t>
      </w:r>
      <w:r w:rsidR="00273B0D" w:rsidRPr="00260D1B">
        <w:rPr>
          <w:b/>
          <w:bCs/>
          <w:i/>
          <w:iCs/>
          <w:kern w:val="1"/>
          <w:lang w:val="en-US"/>
        </w:rPr>
        <w:t>highly</w:t>
      </w:r>
      <w:r w:rsidR="00273B0D" w:rsidRPr="00260D1B">
        <w:rPr>
          <w:kern w:val="1"/>
          <w:lang w:val="en-US"/>
        </w:rPr>
        <w:t xml:space="preserve"> conserved in all emerged SARS-CoV-2 variants. (CH 130)</w:t>
      </w:r>
    </w:p>
    <w:p w14:paraId="585CE540" w14:textId="0DBB4CC5" w:rsidR="00AD1FD4" w:rsidRPr="00260D1B" w:rsidRDefault="00AD1FD4" w:rsidP="00694439">
      <w:pPr>
        <w:spacing w:line="276" w:lineRule="auto"/>
        <w:ind w:right="231"/>
      </w:pPr>
    </w:p>
    <w:p w14:paraId="656C7302" w14:textId="5102021F" w:rsidR="00273B0D" w:rsidRPr="00260D1B" w:rsidRDefault="00AD1FD4" w:rsidP="005B1B5B">
      <w:pPr>
        <w:spacing w:line="360" w:lineRule="auto"/>
        <w:ind w:left="680" w:right="231"/>
      </w:pPr>
      <w:r w:rsidRPr="00260D1B">
        <w:rPr>
          <w:kern w:val="1"/>
          <w:lang w:val="en-US"/>
        </w:rPr>
        <w:t>(</w:t>
      </w:r>
      <w:r w:rsidR="007A3946" w:rsidRPr="00260D1B">
        <w:rPr>
          <w:kern w:val="1"/>
          <w:lang w:val="en-US"/>
        </w:rPr>
        <w:t>2</w:t>
      </w:r>
      <w:r w:rsidR="001459D0" w:rsidRPr="00260D1B">
        <w:rPr>
          <w:kern w:val="1"/>
          <w:lang w:val="en-US"/>
        </w:rPr>
        <w:t>1</w:t>
      </w:r>
      <w:r w:rsidRPr="00260D1B">
        <w:rPr>
          <w:kern w:val="1"/>
          <w:lang w:val="en-US"/>
        </w:rPr>
        <w:t xml:space="preserve">) </w:t>
      </w:r>
      <w:r w:rsidR="00273B0D" w:rsidRPr="00260D1B">
        <w:rPr>
          <w:kern w:val="1"/>
          <w:lang w:val="en-US"/>
        </w:rPr>
        <w:t xml:space="preserve">Preventing viral transmission in airline travel is </w:t>
      </w:r>
      <w:r w:rsidR="00273B0D" w:rsidRPr="00260D1B">
        <w:rPr>
          <w:b/>
          <w:bCs/>
          <w:i/>
          <w:iCs/>
          <w:kern w:val="1"/>
          <w:lang w:val="en-US"/>
        </w:rPr>
        <w:t>very</w:t>
      </w:r>
      <w:r w:rsidR="00273B0D" w:rsidRPr="00260D1B">
        <w:rPr>
          <w:kern w:val="1"/>
          <w:lang w:val="en-US"/>
        </w:rPr>
        <w:t xml:space="preserve"> </w:t>
      </w:r>
      <w:r w:rsidR="00273B0D" w:rsidRPr="00260D1B">
        <w:rPr>
          <w:b/>
          <w:bCs/>
          <w:i/>
          <w:iCs/>
          <w:kern w:val="1"/>
          <w:lang w:val="en-US"/>
        </w:rPr>
        <w:t>important</w:t>
      </w:r>
      <w:r w:rsidR="00273B0D" w:rsidRPr="00260D1B">
        <w:rPr>
          <w:kern w:val="1"/>
          <w:lang w:val="en-US"/>
        </w:rPr>
        <w:t>. (CH 7)</w:t>
      </w:r>
    </w:p>
    <w:p w14:paraId="0C850758" w14:textId="77777777" w:rsidR="00273B0D" w:rsidRPr="00EB05AB" w:rsidRDefault="00273B0D" w:rsidP="005B1B5B">
      <w:pPr>
        <w:spacing w:line="360" w:lineRule="auto"/>
        <w:ind w:right="231"/>
      </w:pPr>
    </w:p>
    <w:p w14:paraId="559212C9" w14:textId="41192DA4" w:rsidR="002F7D43" w:rsidRPr="00EB05AB" w:rsidRDefault="002F7D43" w:rsidP="005B1B5B">
      <w:pPr>
        <w:spacing w:line="360" w:lineRule="auto"/>
        <w:ind w:right="231"/>
        <w:rPr>
          <w:kern w:val="1"/>
        </w:rPr>
      </w:pPr>
      <w:r w:rsidRPr="00EB05AB">
        <w:rPr>
          <w:kern w:val="1"/>
        </w:rPr>
        <w:t xml:space="preserve">Boosters do not only differ in frequency across the two corpora, however, but were also used differently. Following </w:t>
      </w:r>
      <w:r w:rsidR="00454B5F">
        <w:rPr>
          <w:kern w:val="1"/>
        </w:rPr>
        <w:t>Author 2</w:t>
      </w:r>
      <w:r w:rsidR="0073515B" w:rsidRPr="00EB05AB">
        <w:rPr>
          <w:kern w:val="1"/>
        </w:rPr>
        <w:t xml:space="preserve"> and </w:t>
      </w:r>
      <w:r w:rsidR="00454B5F">
        <w:rPr>
          <w:kern w:val="1"/>
        </w:rPr>
        <w:t>Author 1</w:t>
      </w:r>
      <w:r w:rsidRPr="00EB05AB">
        <w:rPr>
          <w:kern w:val="1"/>
        </w:rPr>
        <w:t xml:space="preserve"> (2021) we found that each booster </w:t>
      </w:r>
      <w:r w:rsidR="00694439" w:rsidRPr="00EB05AB">
        <w:rPr>
          <w:kern w:val="1"/>
        </w:rPr>
        <w:t>acted to enhance</w:t>
      </w:r>
      <w:r w:rsidRPr="00EB05AB">
        <w:rPr>
          <w:kern w:val="1"/>
        </w:rPr>
        <w:t xml:space="preserve"> one of three functions:</w:t>
      </w:r>
    </w:p>
    <w:p w14:paraId="5FE79511" w14:textId="5A914063" w:rsidR="002F7D43" w:rsidRPr="00EB05AB" w:rsidRDefault="002F7D43" w:rsidP="005B1B5B">
      <w:pPr>
        <w:pStyle w:val="ListParagraph"/>
        <w:numPr>
          <w:ilvl w:val="0"/>
          <w:numId w:val="9"/>
        </w:numPr>
        <w:spacing w:line="360" w:lineRule="auto"/>
        <w:ind w:left="714" w:right="231" w:hanging="357"/>
        <w:rPr>
          <w:kern w:val="1"/>
        </w:rPr>
      </w:pPr>
      <w:r w:rsidRPr="00EB05AB">
        <w:rPr>
          <w:i/>
          <w:iCs/>
          <w:kern w:val="1"/>
        </w:rPr>
        <w:t>Intensity</w:t>
      </w:r>
      <w:r w:rsidRPr="00EB05AB">
        <w:rPr>
          <w:kern w:val="1"/>
        </w:rPr>
        <w:t xml:space="preserve">: </w:t>
      </w:r>
      <w:r w:rsidR="002D125D" w:rsidRPr="00EB05AB">
        <w:rPr>
          <w:kern w:val="1"/>
        </w:rPr>
        <w:t>strengthen</w:t>
      </w:r>
      <w:r w:rsidR="002D125D">
        <w:rPr>
          <w:kern w:val="1"/>
        </w:rPr>
        <w:t>s</w:t>
      </w:r>
      <w:r w:rsidRPr="00EB05AB">
        <w:rPr>
          <w:kern w:val="1"/>
        </w:rPr>
        <w:t xml:space="preserve"> the emotive </w:t>
      </w:r>
      <w:r w:rsidR="002D125D" w:rsidRPr="00EB05AB">
        <w:rPr>
          <w:kern w:val="1"/>
        </w:rPr>
        <w:t>force</w:t>
      </w:r>
      <w:r w:rsidRPr="00EB05AB">
        <w:rPr>
          <w:kern w:val="1"/>
        </w:rPr>
        <w:t xml:space="preserve"> of a statement (</w:t>
      </w:r>
      <w:r w:rsidRPr="00EB05AB">
        <w:rPr>
          <w:i/>
          <w:iCs/>
          <w:kern w:val="1"/>
        </w:rPr>
        <w:t>extremely, amazing</w:t>
      </w:r>
      <w:r w:rsidRPr="00EB05AB">
        <w:rPr>
          <w:kern w:val="1"/>
        </w:rPr>
        <w:t>)</w:t>
      </w:r>
    </w:p>
    <w:p w14:paraId="524E842B" w14:textId="1160089C" w:rsidR="002F7D43" w:rsidRPr="00EB05AB" w:rsidRDefault="002F7D43" w:rsidP="005B1B5B">
      <w:pPr>
        <w:pStyle w:val="ListParagraph"/>
        <w:numPr>
          <w:ilvl w:val="0"/>
          <w:numId w:val="9"/>
        </w:numPr>
        <w:spacing w:line="360" w:lineRule="auto"/>
        <w:ind w:left="714" w:right="231" w:hanging="357"/>
        <w:rPr>
          <w:kern w:val="1"/>
        </w:rPr>
      </w:pPr>
      <w:r w:rsidRPr="00EB05AB">
        <w:rPr>
          <w:i/>
          <w:iCs/>
          <w:kern w:val="1"/>
        </w:rPr>
        <w:t>Extremity</w:t>
      </w:r>
      <w:r w:rsidRPr="00EB05AB">
        <w:rPr>
          <w:kern w:val="1"/>
        </w:rPr>
        <w:t xml:space="preserve">: </w:t>
      </w:r>
      <w:r w:rsidR="002D125D">
        <w:rPr>
          <w:kern w:val="1"/>
        </w:rPr>
        <w:t>stresses</w:t>
      </w:r>
      <w:r w:rsidRPr="00EB05AB">
        <w:rPr>
          <w:kern w:val="1"/>
        </w:rPr>
        <w:t xml:space="preserve"> the upper </w:t>
      </w:r>
      <w:r w:rsidR="002D125D" w:rsidRPr="00EB05AB">
        <w:rPr>
          <w:kern w:val="1"/>
        </w:rPr>
        <w:t>point</w:t>
      </w:r>
      <w:r w:rsidRPr="00EB05AB">
        <w:rPr>
          <w:kern w:val="1"/>
        </w:rPr>
        <w:t xml:space="preserve"> of a </w:t>
      </w:r>
      <w:r w:rsidR="002D125D" w:rsidRPr="00EB05AB">
        <w:rPr>
          <w:kern w:val="1"/>
        </w:rPr>
        <w:t>scale</w:t>
      </w:r>
      <w:r w:rsidRPr="00EB05AB">
        <w:rPr>
          <w:kern w:val="1"/>
        </w:rPr>
        <w:t xml:space="preserve"> (</w:t>
      </w:r>
      <w:r w:rsidRPr="00EB05AB">
        <w:rPr>
          <w:i/>
          <w:iCs/>
          <w:kern w:val="1"/>
        </w:rPr>
        <w:t>highest, greatest, most</w:t>
      </w:r>
      <w:r w:rsidRPr="00EB05AB">
        <w:rPr>
          <w:kern w:val="1"/>
        </w:rPr>
        <w:t>)</w:t>
      </w:r>
    </w:p>
    <w:p w14:paraId="29313B0B" w14:textId="358504B5" w:rsidR="002F7D43" w:rsidRPr="00EB05AB" w:rsidRDefault="002F7D43" w:rsidP="005B1B5B">
      <w:pPr>
        <w:pStyle w:val="ListParagraph"/>
        <w:numPr>
          <w:ilvl w:val="0"/>
          <w:numId w:val="9"/>
        </w:numPr>
        <w:spacing w:line="360" w:lineRule="auto"/>
        <w:ind w:left="714" w:right="231" w:hanging="357"/>
        <w:rPr>
          <w:kern w:val="1"/>
        </w:rPr>
      </w:pPr>
      <w:r w:rsidRPr="00EB05AB">
        <w:rPr>
          <w:i/>
          <w:iCs/>
          <w:kern w:val="1"/>
        </w:rPr>
        <w:t>Certainty</w:t>
      </w:r>
      <w:r w:rsidRPr="00EB05AB">
        <w:rPr>
          <w:kern w:val="1"/>
        </w:rPr>
        <w:t xml:space="preserve">: </w:t>
      </w:r>
      <w:r w:rsidR="002D125D" w:rsidRPr="00EB05AB">
        <w:rPr>
          <w:kern w:val="1"/>
        </w:rPr>
        <w:t>signal</w:t>
      </w:r>
      <w:r w:rsidR="002D125D">
        <w:rPr>
          <w:kern w:val="1"/>
        </w:rPr>
        <w:t>s</w:t>
      </w:r>
      <w:r w:rsidRPr="00EB05AB">
        <w:rPr>
          <w:kern w:val="1"/>
        </w:rPr>
        <w:t xml:space="preserve"> the writer’s epistemic conviction (</w:t>
      </w:r>
      <w:r w:rsidRPr="00EB05AB">
        <w:rPr>
          <w:i/>
          <w:iCs/>
          <w:kern w:val="1"/>
        </w:rPr>
        <w:t>definite, prove, show</w:t>
      </w:r>
      <w:r w:rsidRPr="00EB05AB">
        <w:rPr>
          <w:kern w:val="1"/>
        </w:rPr>
        <w:t>).</w:t>
      </w:r>
    </w:p>
    <w:p w14:paraId="6D60425E" w14:textId="77777777" w:rsidR="007D1A4B" w:rsidRDefault="007D1A4B" w:rsidP="00694439">
      <w:pPr>
        <w:spacing w:line="360" w:lineRule="auto"/>
        <w:ind w:right="231"/>
        <w:rPr>
          <w:kern w:val="1"/>
        </w:rPr>
      </w:pPr>
    </w:p>
    <w:p w14:paraId="60595AD3" w14:textId="77777777" w:rsidR="007D1A4B" w:rsidRDefault="007D1A4B" w:rsidP="007D1A4B">
      <w:pPr>
        <w:spacing w:line="360" w:lineRule="auto"/>
        <w:ind w:right="231"/>
      </w:pPr>
      <w:r w:rsidRPr="00EB05AB">
        <w:rPr>
          <w:kern w:val="1"/>
        </w:rPr>
        <w:t xml:space="preserve">Table 5 shows that </w:t>
      </w:r>
      <w:r w:rsidRPr="00EB05AB">
        <w:rPr>
          <w:rFonts w:hint="eastAsia"/>
          <w:kern w:val="1"/>
        </w:rPr>
        <w:t>all</w:t>
      </w:r>
      <w:r w:rsidRPr="00EB05AB">
        <w:rPr>
          <w:kern w:val="1"/>
        </w:rPr>
        <w:t xml:space="preserve"> three types of boosters were more frequent in Covid-19 highlights (</w:t>
      </w:r>
      <w:bookmarkStart w:id="1" w:name="OLE_LINK16"/>
      <w:bookmarkStart w:id="2" w:name="OLE_LINK17"/>
      <w:r w:rsidRPr="00EB05AB">
        <w:t>log Likelihood =1</w:t>
      </w:r>
      <w:r>
        <w:t>.72</w:t>
      </w:r>
      <w:r w:rsidRPr="00EB05AB">
        <w:t>, p &lt;</w:t>
      </w:r>
      <w:bookmarkEnd w:id="1"/>
      <w:bookmarkEnd w:id="2"/>
      <w:r w:rsidRPr="00EB05AB">
        <w:t>0.</w:t>
      </w:r>
      <w:r>
        <w:t>30</w:t>
      </w:r>
      <w:r w:rsidRPr="00EB05AB">
        <w:t xml:space="preserve"> for intensity, log Likelihood =</w:t>
      </w:r>
      <w:r>
        <w:t>13.34</w:t>
      </w:r>
      <w:r w:rsidRPr="00EB05AB">
        <w:t>, p &lt;0.001 for extremity and log Likelihood =</w:t>
      </w:r>
      <w:r>
        <w:t xml:space="preserve"> 5.57</w:t>
      </w:r>
      <w:r w:rsidRPr="00EB05AB">
        <w:t>, p &lt;0.0</w:t>
      </w:r>
      <w:r>
        <w:t>58</w:t>
      </w:r>
      <w:r w:rsidRPr="00EB05AB">
        <w:t xml:space="preserve"> for certainty). </w:t>
      </w:r>
    </w:p>
    <w:p w14:paraId="067562BB" w14:textId="77777777" w:rsidR="007D1A4B" w:rsidRDefault="007D1A4B" w:rsidP="00694439">
      <w:pPr>
        <w:spacing w:line="360" w:lineRule="auto"/>
        <w:ind w:right="231"/>
        <w:rPr>
          <w:b/>
          <w:bCs/>
          <w:kern w:val="1"/>
        </w:rPr>
      </w:pPr>
    </w:p>
    <w:p w14:paraId="2CA233E6" w14:textId="03CDBA6C" w:rsidR="00694439" w:rsidRPr="00EB05AB" w:rsidRDefault="00694439" w:rsidP="00694439">
      <w:pPr>
        <w:spacing w:line="360" w:lineRule="auto"/>
        <w:ind w:right="231"/>
      </w:pPr>
      <w:r w:rsidRPr="00EB05AB">
        <w:rPr>
          <w:b/>
          <w:bCs/>
        </w:rPr>
        <w:t xml:space="preserve">Table 5. </w:t>
      </w:r>
      <w:r w:rsidRPr="00EB05AB">
        <w:t>Types of boosters in two types of highlights (per 1000 words and %)</w:t>
      </w:r>
    </w:p>
    <w:tbl>
      <w:tblPr>
        <w:tblStyle w:val="TableGrid"/>
        <w:tblW w:w="91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78"/>
        <w:gridCol w:w="1843"/>
        <w:gridCol w:w="147"/>
        <w:gridCol w:w="567"/>
        <w:gridCol w:w="703"/>
        <w:gridCol w:w="147"/>
        <w:gridCol w:w="142"/>
        <w:gridCol w:w="1838"/>
        <w:gridCol w:w="147"/>
        <w:gridCol w:w="566"/>
        <w:gridCol w:w="505"/>
        <w:gridCol w:w="147"/>
      </w:tblGrid>
      <w:tr w:rsidR="007D1A4B" w:rsidRPr="00260D1B" w14:paraId="7AABB1B4" w14:textId="77777777" w:rsidTr="007D1A4B">
        <w:tc>
          <w:tcPr>
            <w:tcW w:w="2405" w:type="dxa"/>
            <w:gridSpan w:val="2"/>
          </w:tcPr>
          <w:p w14:paraId="17C58DC9" w14:textId="77777777" w:rsidR="007D1A4B" w:rsidRPr="00260D1B" w:rsidRDefault="007D1A4B" w:rsidP="001840CF">
            <w:pPr>
              <w:spacing w:line="360" w:lineRule="auto"/>
              <w:ind w:right="231"/>
              <w:rPr>
                <w:b/>
                <w:bCs/>
              </w:rPr>
            </w:pPr>
          </w:p>
        </w:tc>
        <w:tc>
          <w:tcPr>
            <w:tcW w:w="2557" w:type="dxa"/>
            <w:gridSpan w:val="3"/>
            <w:tcBorders>
              <w:top w:val="single" w:sz="4" w:space="0" w:color="auto"/>
              <w:bottom w:val="single" w:sz="4" w:space="0" w:color="auto"/>
            </w:tcBorders>
          </w:tcPr>
          <w:p w14:paraId="10DD05E1" w14:textId="77777777" w:rsidR="007D1A4B" w:rsidRPr="00260D1B" w:rsidRDefault="007D1A4B" w:rsidP="001840CF">
            <w:pPr>
              <w:spacing w:line="360" w:lineRule="auto"/>
              <w:ind w:right="231"/>
              <w:rPr>
                <w:b/>
                <w:bCs/>
              </w:rPr>
            </w:pPr>
            <w:r w:rsidRPr="00260D1B">
              <w:rPr>
                <w:b/>
                <w:bCs/>
              </w:rPr>
              <w:t>Covid-19 highlights</w:t>
            </w:r>
          </w:p>
        </w:tc>
        <w:tc>
          <w:tcPr>
            <w:tcW w:w="992" w:type="dxa"/>
            <w:gridSpan w:val="3"/>
            <w:tcBorders>
              <w:top w:val="single" w:sz="4" w:space="0" w:color="auto"/>
              <w:bottom w:val="single" w:sz="4" w:space="0" w:color="auto"/>
            </w:tcBorders>
          </w:tcPr>
          <w:p w14:paraId="0A374283" w14:textId="77777777" w:rsidR="007D1A4B" w:rsidRPr="00260D1B" w:rsidRDefault="007D1A4B" w:rsidP="001840CF">
            <w:pPr>
              <w:spacing w:line="360" w:lineRule="auto"/>
              <w:ind w:right="231"/>
              <w:rPr>
                <w:b/>
                <w:bCs/>
              </w:rPr>
            </w:pPr>
          </w:p>
        </w:tc>
        <w:tc>
          <w:tcPr>
            <w:tcW w:w="2551" w:type="dxa"/>
            <w:gridSpan w:val="3"/>
            <w:tcBorders>
              <w:top w:val="single" w:sz="4" w:space="0" w:color="auto"/>
              <w:bottom w:val="single" w:sz="4" w:space="0" w:color="auto"/>
            </w:tcBorders>
          </w:tcPr>
          <w:p w14:paraId="04FF50CB" w14:textId="77777777" w:rsidR="007D1A4B" w:rsidRPr="00260D1B" w:rsidRDefault="007D1A4B" w:rsidP="001840CF">
            <w:pPr>
              <w:spacing w:line="360" w:lineRule="auto"/>
              <w:ind w:right="231"/>
              <w:rPr>
                <w:b/>
                <w:bCs/>
              </w:rPr>
            </w:pPr>
            <w:r w:rsidRPr="00260D1B">
              <w:rPr>
                <w:b/>
                <w:bCs/>
              </w:rPr>
              <w:t>Reference highlights</w:t>
            </w:r>
          </w:p>
        </w:tc>
        <w:tc>
          <w:tcPr>
            <w:tcW w:w="652" w:type="dxa"/>
            <w:gridSpan w:val="2"/>
            <w:tcBorders>
              <w:top w:val="single" w:sz="4" w:space="0" w:color="auto"/>
              <w:bottom w:val="single" w:sz="4" w:space="0" w:color="auto"/>
            </w:tcBorders>
          </w:tcPr>
          <w:p w14:paraId="51CB2DDF" w14:textId="77777777" w:rsidR="007D1A4B" w:rsidRPr="00260D1B" w:rsidRDefault="007D1A4B" w:rsidP="001840CF">
            <w:pPr>
              <w:spacing w:line="360" w:lineRule="auto"/>
              <w:ind w:right="231"/>
              <w:rPr>
                <w:b/>
                <w:bCs/>
              </w:rPr>
            </w:pPr>
          </w:p>
        </w:tc>
      </w:tr>
      <w:tr w:rsidR="007D1A4B" w:rsidRPr="00260D1B" w14:paraId="403452D6" w14:textId="77777777" w:rsidTr="007D1A4B">
        <w:tc>
          <w:tcPr>
            <w:tcW w:w="2127" w:type="dxa"/>
            <w:tcBorders>
              <w:bottom w:val="single" w:sz="4" w:space="0" w:color="auto"/>
            </w:tcBorders>
          </w:tcPr>
          <w:p w14:paraId="27CD4399" w14:textId="77777777" w:rsidR="007D1A4B" w:rsidRPr="00260D1B" w:rsidRDefault="007D1A4B" w:rsidP="001840CF">
            <w:pPr>
              <w:spacing w:line="360" w:lineRule="auto"/>
              <w:ind w:right="231"/>
            </w:pPr>
            <w:r w:rsidRPr="00260D1B">
              <w:t>Type of booster</w:t>
            </w:r>
          </w:p>
        </w:tc>
        <w:tc>
          <w:tcPr>
            <w:tcW w:w="2268" w:type="dxa"/>
            <w:gridSpan w:val="3"/>
            <w:tcBorders>
              <w:top w:val="single" w:sz="4" w:space="0" w:color="auto"/>
              <w:bottom w:val="single" w:sz="4" w:space="0" w:color="auto"/>
            </w:tcBorders>
          </w:tcPr>
          <w:p w14:paraId="08A70C24" w14:textId="77777777" w:rsidR="007D1A4B" w:rsidRPr="00260D1B" w:rsidRDefault="007D1A4B" w:rsidP="001840CF">
            <w:pPr>
              <w:spacing w:line="360" w:lineRule="auto"/>
              <w:ind w:right="231"/>
              <w:rPr>
                <w:b/>
                <w:bCs/>
              </w:rPr>
            </w:pPr>
            <w:r w:rsidRPr="00260D1B">
              <w:t>per 1,000 words</w:t>
            </w:r>
          </w:p>
        </w:tc>
        <w:tc>
          <w:tcPr>
            <w:tcW w:w="1417" w:type="dxa"/>
            <w:gridSpan w:val="3"/>
            <w:tcBorders>
              <w:top w:val="single" w:sz="4" w:space="0" w:color="auto"/>
              <w:bottom w:val="single" w:sz="4" w:space="0" w:color="auto"/>
            </w:tcBorders>
          </w:tcPr>
          <w:p w14:paraId="0B898677" w14:textId="77777777" w:rsidR="007D1A4B" w:rsidRPr="00260D1B" w:rsidRDefault="007D1A4B" w:rsidP="001840CF">
            <w:pPr>
              <w:spacing w:line="360" w:lineRule="auto"/>
              <w:ind w:right="231"/>
              <w:rPr>
                <w:b/>
                <w:bCs/>
              </w:rPr>
            </w:pPr>
            <w:r w:rsidRPr="00260D1B">
              <w:t>%</w:t>
            </w:r>
          </w:p>
        </w:tc>
        <w:tc>
          <w:tcPr>
            <w:tcW w:w="2127" w:type="dxa"/>
            <w:gridSpan w:val="3"/>
            <w:tcBorders>
              <w:top w:val="single" w:sz="4" w:space="0" w:color="auto"/>
              <w:bottom w:val="single" w:sz="4" w:space="0" w:color="auto"/>
            </w:tcBorders>
          </w:tcPr>
          <w:p w14:paraId="35F83E5A" w14:textId="77777777" w:rsidR="007D1A4B" w:rsidRPr="00260D1B" w:rsidRDefault="007D1A4B" w:rsidP="001840CF">
            <w:pPr>
              <w:spacing w:line="360" w:lineRule="auto"/>
              <w:ind w:right="231"/>
              <w:rPr>
                <w:b/>
                <w:bCs/>
              </w:rPr>
            </w:pPr>
            <w:r w:rsidRPr="00260D1B">
              <w:t>per 1,000 words</w:t>
            </w:r>
          </w:p>
        </w:tc>
        <w:tc>
          <w:tcPr>
            <w:tcW w:w="1218" w:type="dxa"/>
            <w:gridSpan w:val="3"/>
            <w:tcBorders>
              <w:top w:val="single" w:sz="4" w:space="0" w:color="auto"/>
              <w:bottom w:val="single" w:sz="4" w:space="0" w:color="auto"/>
            </w:tcBorders>
          </w:tcPr>
          <w:p w14:paraId="0F7CC23D" w14:textId="77777777" w:rsidR="007D1A4B" w:rsidRPr="00260D1B" w:rsidRDefault="007D1A4B" w:rsidP="001840CF">
            <w:pPr>
              <w:spacing w:line="360" w:lineRule="auto"/>
              <w:ind w:right="231"/>
              <w:rPr>
                <w:b/>
                <w:bCs/>
              </w:rPr>
            </w:pPr>
            <w:r w:rsidRPr="00260D1B">
              <w:t>%</w:t>
            </w:r>
          </w:p>
        </w:tc>
      </w:tr>
      <w:tr w:rsidR="007D1A4B" w:rsidRPr="00260D1B" w14:paraId="723E73A2" w14:textId="77777777" w:rsidTr="007D1A4B">
        <w:trPr>
          <w:gridAfter w:val="1"/>
          <w:wAfter w:w="147" w:type="dxa"/>
        </w:trPr>
        <w:tc>
          <w:tcPr>
            <w:tcW w:w="2405" w:type="dxa"/>
            <w:gridSpan w:val="2"/>
            <w:tcBorders>
              <w:top w:val="single" w:sz="4" w:space="0" w:color="auto"/>
            </w:tcBorders>
          </w:tcPr>
          <w:p w14:paraId="325AA9D2" w14:textId="77777777" w:rsidR="007D1A4B" w:rsidRPr="00260D1B" w:rsidRDefault="007D1A4B" w:rsidP="001840CF">
            <w:pPr>
              <w:spacing w:line="360" w:lineRule="auto"/>
              <w:ind w:right="231"/>
            </w:pPr>
            <w:r w:rsidRPr="00260D1B">
              <w:t xml:space="preserve">Intensity </w:t>
            </w:r>
          </w:p>
        </w:tc>
        <w:tc>
          <w:tcPr>
            <w:tcW w:w="1843" w:type="dxa"/>
            <w:tcBorders>
              <w:top w:val="single" w:sz="4" w:space="0" w:color="auto"/>
            </w:tcBorders>
          </w:tcPr>
          <w:p w14:paraId="5B319B1B" w14:textId="77777777" w:rsidR="007D1A4B" w:rsidRPr="00260D1B" w:rsidRDefault="007D1A4B" w:rsidP="001840CF">
            <w:pPr>
              <w:spacing w:line="360" w:lineRule="auto"/>
              <w:ind w:right="231"/>
            </w:pPr>
            <w:r w:rsidRPr="00260D1B">
              <w:t>3.5</w:t>
            </w:r>
            <w:r>
              <w:t>4</w:t>
            </w:r>
          </w:p>
        </w:tc>
        <w:tc>
          <w:tcPr>
            <w:tcW w:w="1417" w:type="dxa"/>
            <w:gridSpan w:val="3"/>
            <w:tcBorders>
              <w:top w:val="single" w:sz="4" w:space="0" w:color="auto"/>
            </w:tcBorders>
          </w:tcPr>
          <w:p w14:paraId="19182F08" w14:textId="77777777" w:rsidR="007D1A4B" w:rsidRPr="00260D1B" w:rsidRDefault="007D1A4B" w:rsidP="001840CF">
            <w:pPr>
              <w:spacing w:line="360" w:lineRule="auto"/>
              <w:ind w:right="231"/>
            </w:pPr>
            <w:r w:rsidRPr="00260D1B">
              <w:t>30.</w:t>
            </w:r>
            <w:r>
              <w:t>26</w:t>
            </w:r>
          </w:p>
        </w:tc>
        <w:tc>
          <w:tcPr>
            <w:tcW w:w="2127" w:type="dxa"/>
            <w:gridSpan w:val="3"/>
            <w:tcBorders>
              <w:top w:val="single" w:sz="4" w:space="0" w:color="auto"/>
            </w:tcBorders>
          </w:tcPr>
          <w:p w14:paraId="4FD0FFAD" w14:textId="77777777" w:rsidR="007D1A4B" w:rsidRPr="00260D1B" w:rsidRDefault="007D1A4B" w:rsidP="001840CF">
            <w:pPr>
              <w:spacing w:line="360" w:lineRule="auto"/>
              <w:ind w:right="231"/>
            </w:pPr>
            <w:r w:rsidRPr="00260D1B">
              <w:t>2.</w:t>
            </w:r>
            <w:r>
              <w:t>83</w:t>
            </w:r>
          </w:p>
        </w:tc>
        <w:tc>
          <w:tcPr>
            <w:tcW w:w="1218" w:type="dxa"/>
            <w:gridSpan w:val="3"/>
            <w:tcBorders>
              <w:top w:val="single" w:sz="4" w:space="0" w:color="auto"/>
            </w:tcBorders>
          </w:tcPr>
          <w:p w14:paraId="1FED6B6A" w14:textId="77777777" w:rsidR="007D1A4B" w:rsidRPr="00260D1B" w:rsidRDefault="007D1A4B" w:rsidP="001840CF">
            <w:pPr>
              <w:spacing w:line="360" w:lineRule="auto"/>
              <w:ind w:right="231"/>
            </w:pPr>
            <w:r w:rsidRPr="00260D1B">
              <w:t>37.</w:t>
            </w:r>
            <w:r>
              <w:t>39</w:t>
            </w:r>
          </w:p>
        </w:tc>
      </w:tr>
      <w:tr w:rsidR="007D1A4B" w:rsidRPr="00260D1B" w14:paraId="026FB214" w14:textId="77777777" w:rsidTr="007D1A4B">
        <w:trPr>
          <w:gridAfter w:val="1"/>
          <w:wAfter w:w="147" w:type="dxa"/>
        </w:trPr>
        <w:tc>
          <w:tcPr>
            <w:tcW w:w="2405" w:type="dxa"/>
            <w:gridSpan w:val="2"/>
          </w:tcPr>
          <w:p w14:paraId="60E6FB8B" w14:textId="77777777" w:rsidR="007D1A4B" w:rsidRPr="00260D1B" w:rsidRDefault="007D1A4B" w:rsidP="001840CF">
            <w:pPr>
              <w:spacing w:line="360" w:lineRule="auto"/>
              <w:ind w:right="231"/>
            </w:pPr>
            <w:r w:rsidRPr="00260D1B">
              <w:t xml:space="preserve">Extremity </w:t>
            </w:r>
          </w:p>
        </w:tc>
        <w:tc>
          <w:tcPr>
            <w:tcW w:w="1843" w:type="dxa"/>
          </w:tcPr>
          <w:p w14:paraId="184D00B4" w14:textId="77777777" w:rsidR="007D1A4B" w:rsidRPr="00260D1B" w:rsidRDefault="007D1A4B" w:rsidP="001840CF">
            <w:pPr>
              <w:spacing w:line="360" w:lineRule="auto"/>
              <w:ind w:right="231"/>
            </w:pPr>
            <w:r w:rsidRPr="00260D1B">
              <w:t>4.5</w:t>
            </w:r>
            <w:r>
              <w:t>0</w:t>
            </w:r>
          </w:p>
        </w:tc>
        <w:tc>
          <w:tcPr>
            <w:tcW w:w="1417" w:type="dxa"/>
            <w:gridSpan w:val="3"/>
          </w:tcPr>
          <w:p w14:paraId="5D20C0DF" w14:textId="77777777" w:rsidR="007D1A4B" w:rsidRPr="00260D1B" w:rsidRDefault="007D1A4B" w:rsidP="001840CF">
            <w:pPr>
              <w:spacing w:line="360" w:lineRule="auto"/>
              <w:ind w:right="231"/>
            </w:pPr>
            <w:bookmarkStart w:id="3" w:name="OLE_LINK18"/>
            <w:bookmarkStart w:id="4" w:name="OLE_LINK21"/>
            <w:r w:rsidRPr="00260D1B">
              <w:t>38.4</w:t>
            </w:r>
            <w:bookmarkEnd w:id="3"/>
            <w:bookmarkEnd w:id="4"/>
            <w:r>
              <w:t>6</w:t>
            </w:r>
          </w:p>
        </w:tc>
        <w:tc>
          <w:tcPr>
            <w:tcW w:w="2127" w:type="dxa"/>
            <w:gridSpan w:val="3"/>
          </w:tcPr>
          <w:p w14:paraId="4C940FCA" w14:textId="77777777" w:rsidR="007D1A4B" w:rsidRPr="00260D1B" w:rsidRDefault="007D1A4B" w:rsidP="001840CF">
            <w:pPr>
              <w:spacing w:line="360" w:lineRule="auto"/>
              <w:ind w:right="231"/>
            </w:pPr>
            <w:r w:rsidRPr="00260D1B">
              <w:t>2.2</w:t>
            </w:r>
            <w:r>
              <w:t>4</w:t>
            </w:r>
          </w:p>
        </w:tc>
        <w:tc>
          <w:tcPr>
            <w:tcW w:w="1218" w:type="dxa"/>
            <w:gridSpan w:val="3"/>
          </w:tcPr>
          <w:p w14:paraId="672E9DFC" w14:textId="77777777" w:rsidR="007D1A4B" w:rsidRPr="00260D1B" w:rsidRDefault="007D1A4B" w:rsidP="001840CF">
            <w:pPr>
              <w:spacing w:line="360" w:lineRule="auto"/>
              <w:ind w:right="231"/>
            </w:pPr>
            <w:r w:rsidRPr="00260D1B">
              <w:t>29.</w:t>
            </w:r>
            <w:r>
              <w:t>57</w:t>
            </w:r>
          </w:p>
        </w:tc>
      </w:tr>
      <w:tr w:rsidR="007D1A4B" w:rsidRPr="00260D1B" w14:paraId="58C96826" w14:textId="77777777" w:rsidTr="007D1A4B">
        <w:trPr>
          <w:gridAfter w:val="1"/>
          <w:wAfter w:w="147" w:type="dxa"/>
        </w:trPr>
        <w:tc>
          <w:tcPr>
            <w:tcW w:w="2405" w:type="dxa"/>
            <w:gridSpan w:val="2"/>
          </w:tcPr>
          <w:p w14:paraId="120F6177" w14:textId="77777777" w:rsidR="007D1A4B" w:rsidRPr="00260D1B" w:rsidRDefault="007D1A4B" w:rsidP="001840CF">
            <w:pPr>
              <w:spacing w:line="360" w:lineRule="auto"/>
              <w:ind w:right="231"/>
              <w:rPr>
                <w:b/>
                <w:bCs/>
              </w:rPr>
            </w:pPr>
            <w:r w:rsidRPr="00260D1B">
              <w:t xml:space="preserve">Certainty </w:t>
            </w:r>
          </w:p>
        </w:tc>
        <w:tc>
          <w:tcPr>
            <w:tcW w:w="1843" w:type="dxa"/>
          </w:tcPr>
          <w:p w14:paraId="731ACE8C" w14:textId="77777777" w:rsidR="007D1A4B" w:rsidRPr="00260D1B" w:rsidRDefault="007D1A4B" w:rsidP="001840CF">
            <w:pPr>
              <w:spacing w:line="360" w:lineRule="auto"/>
              <w:ind w:right="231"/>
            </w:pPr>
            <w:r w:rsidRPr="00260D1B">
              <w:t>3.</w:t>
            </w:r>
            <w:r>
              <w:t>66</w:t>
            </w:r>
          </w:p>
        </w:tc>
        <w:tc>
          <w:tcPr>
            <w:tcW w:w="1417" w:type="dxa"/>
            <w:gridSpan w:val="3"/>
          </w:tcPr>
          <w:p w14:paraId="6672CA2B" w14:textId="77777777" w:rsidR="007D1A4B" w:rsidRPr="00260D1B" w:rsidRDefault="007D1A4B" w:rsidP="001840CF">
            <w:pPr>
              <w:spacing w:line="360" w:lineRule="auto"/>
              <w:ind w:right="231"/>
            </w:pPr>
            <w:r w:rsidRPr="00260D1B">
              <w:t>31.</w:t>
            </w:r>
            <w:r>
              <w:t>28</w:t>
            </w:r>
          </w:p>
        </w:tc>
        <w:tc>
          <w:tcPr>
            <w:tcW w:w="2127" w:type="dxa"/>
            <w:gridSpan w:val="3"/>
          </w:tcPr>
          <w:p w14:paraId="5CC2B075" w14:textId="77777777" w:rsidR="007D1A4B" w:rsidRPr="00260D1B" w:rsidRDefault="007D1A4B" w:rsidP="001840CF">
            <w:pPr>
              <w:spacing w:line="360" w:lineRule="auto"/>
              <w:ind w:right="231"/>
            </w:pPr>
            <w:r w:rsidRPr="00260D1B">
              <w:t>2.</w:t>
            </w:r>
            <w:r>
              <w:t>50</w:t>
            </w:r>
          </w:p>
        </w:tc>
        <w:tc>
          <w:tcPr>
            <w:tcW w:w="1218" w:type="dxa"/>
            <w:gridSpan w:val="3"/>
          </w:tcPr>
          <w:p w14:paraId="33F8545E" w14:textId="77777777" w:rsidR="007D1A4B" w:rsidRPr="00260D1B" w:rsidRDefault="007D1A4B" w:rsidP="001840CF">
            <w:pPr>
              <w:spacing w:line="360" w:lineRule="auto"/>
              <w:ind w:right="231"/>
            </w:pPr>
            <w:r w:rsidRPr="00260D1B">
              <w:t>33.0</w:t>
            </w:r>
            <w:r>
              <w:t>4</w:t>
            </w:r>
          </w:p>
        </w:tc>
      </w:tr>
      <w:tr w:rsidR="007D1A4B" w:rsidRPr="00260D1B" w14:paraId="6D5F538C" w14:textId="77777777" w:rsidTr="007D1A4B">
        <w:trPr>
          <w:gridAfter w:val="1"/>
          <w:wAfter w:w="147" w:type="dxa"/>
        </w:trPr>
        <w:tc>
          <w:tcPr>
            <w:tcW w:w="2405" w:type="dxa"/>
            <w:gridSpan w:val="2"/>
          </w:tcPr>
          <w:p w14:paraId="41AD5704" w14:textId="77777777" w:rsidR="007D1A4B" w:rsidRPr="00260D1B" w:rsidRDefault="007D1A4B" w:rsidP="001840CF">
            <w:pPr>
              <w:spacing w:line="360" w:lineRule="auto"/>
              <w:ind w:right="231"/>
              <w:rPr>
                <w:b/>
                <w:bCs/>
              </w:rPr>
            </w:pPr>
            <w:r w:rsidRPr="00260D1B">
              <w:rPr>
                <w:b/>
                <w:bCs/>
              </w:rPr>
              <w:t>Total</w:t>
            </w:r>
          </w:p>
        </w:tc>
        <w:tc>
          <w:tcPr>
            <w:tcW w:w="1843" w:type="dxa"/>
          </w:tcPr>
          <w:p w14:paraId="31F00CCB" w14:textId="77777777" w:rsidR="007D1A4B" w:rsidRPr="00260D1B" w:rsidRDefault="007D1A4B" w:rsidP="001840CF">
            <w:pPr>
              <w:spacing w:line="360" w:lineRule="auto"/>
              <w:ind w:right="231"/>
              <w:rPr>
                <w:b/>
                <w:bCs/>
              </w:rPr>
            </w:pPr>
            <w:r w:rsidRPr="00260D1B">
              <w:rPr>
                <w:b/>
                <w:bCs/>
              </w:rPr>
              <w:t>11.7</w:t>
            </w:r>
            <w:r>
              <w:rPr>
                <w:b/>
                <w:bCs/>
              </w:rPr>
              <w:t>0</w:t>
            </w:r>
          </w:p>
        </w:tc>
        <w:tc>
          <w:tcPr>
            <w:tcW w:w="1417" w:type="dxa"/>
            <w:gridSpan w:val="3"/>
          </w:tcPr>
          <w:p w14:paraId="6127A781" w14:textId="77777777" w:rsidR="007D1A4B" w:rsidRPr="00260D1B" w:rsidRDefault="007D1A4B" w:rsidP="001840CF">
            <w:pPr>
              <w:spacing w:line="360" w:lineRule="auto"/>
              <w:ind w:right="231"/>
              <w:rPr>
                <w:b/>
                <w:bCs/>
              </w:rPr>
            </w:pPr>
            <w:r w:rsidRPr="00260D1B">
              <w:rPr>
                <w:b/>
                <w:bCs/>
              </w:rPr>
              <w:t>100.0</w:t>
            </w:r>
            <w:r>
              <w:rPr>
                <w:b/>
                <w:bCs/>
              </w:rPr>
              <w:t>0</w:t>
            </w:r>
          </w:p>
        </w:tc>
        <w:tc>
          <w:tcPr>
            <w:tcW w:w="2127" w:type="dxa"/>
            <w:gridSpan w:val="3"/>
          </w:tcPr>
          <w:p w14:paraId="4951DEF2" w14:textId="77777777" w:rsidR="007D1A4B" w:rsidRPr="00260D1B" w:rsidRDefault="007D1A4B" w:rsidP="001840CF">
            <w:pPr>
              <w:spacing w:line="360" w:lineRule="auto"/>
              <w:ind w:right="231"/>
              <w:rPr>
                <w:b/>
                <w:bCs/>
              </w:rPr>
            </w:pPr>
            <w:r w:rsidRPr="00260D1B">
              <w:rPr>
                <w:b/>
                <w:bCs/>
              </w:rPr>
              <w:t>7.5</w:t>
            </w:r>
            <w:r>
              <w:rPr>
                <w:b/>
                <w:bCs/>
              </w:rPr>
              <w:t>7</w:t>
            </w:r>
          </w:p>
        </w:tc>
        <w:tc>
          <w:tcPr>
            <w:tcW w:w="1218" w:type="dxa"/>
            <w:gridSpan w:val="3"/>
          </w:tcPr>
          <w:p w14:paraId="64E2D702" w14:textId="77777777" w:rsidR="007D1A4B" w:rsidRPr="00260D1B" w:rsidRDefault="007D1A4B" w:rsidP="001840CF">
            <w:pPr>
              <w:spacing w:line="360" w:lineRule="auto"/>
              <w:ind w:right="231"/>
              <w:rPr>
                <w:b/>
                <w:bCs/>
              </w:rPr>
            </w:pPr>
            <w:r w:rsidRPr="00260D1B">
              <w:rPr>
                <w:b/>
                <w:bCs/>
              </w:rPr>
              <w:t>100.</w:t>
            </w:r>
            <w:r>
              <w:rPr>
                <w:b/>
                <w:bCs/>
              </w:rPr>
              <w:t>00</w:t>
            </w:r>
          </w:p>
        </w:tc>
      </w:tr>
    </w:tbl>
    <w:p w14:paraId="0D9F66DB" w14:textId="77777777" w:rsidR="007D1A4B" w:rsidRDefault="007D1A4B" w:rsidP="005B1B5B">
      <w:pPr>
        <w:spacing w:line="360" w:lineRule="auto"/>
        <w:ind w:right="231"/>
      </w:pPr>
    </w:p>
    <w:p w14:paraId="64384769" w14:textId="77ED35EE" w:rsidR="00165569" w:rsidRPr="00260D1B" w:rsidRDefault="000C0E9C" w:rsidP="005B1B5B">
      <w:pPr>
        <w:spacing w:line="360" w:lineRule="auto"/>
        <w:ind w:right="231"/>
        <w:rPr>
          <w:kern w:val="1"/>
        </w:rPr>
      </w:pPr>
      <w:r w:rsidRPr="00260D1B">
        <w:t xml:space="preserve">It is </w:t>
      </w:r>
      <w:r w:rsidR="00694439" w:rsidRPr="00260D1B">
        <w:t xml:space="preserve">also </w:t>
      </w:r>
      <w:r w:rsidRPr="00260D1B">
        <w:t xml:space="preserve">worth noting that </w:t>
      </w:r>
      <w:r w:rsidRPr="00260D1B">
        <w:rPr>
          <w:i/>
          <w:iCs/>
        </w:rPr>
        <w:t>extremity boosters</w:t>
      </w:r>
      <w:r w:rsidRPr="00260D1B">
        <w:t xml:space="preserve"> </w:t>
      </w:r>
      <w:r w:rsidR="007A5EC0" w:rsidRPr="00260D1B">
        <w:rPr>
          <w:kern w:val="1"/>
        </w:rPr>
        <w:t xml:space="preserve">account for </w:t>
      </w:r>
      <w:r w:rsidRPr="00260D1B">
        <w:rPr>
          <w:kern w:val="1"/>
        </w:rPr>
        <w:t>the greatest proportion</w:t>
      </w:r>
      <w:r w:rsidR="007A5EC0" w:rsidRPr="00260D1B">
        <w:rPr>
          <w:kern w:val="1"/>
        </w:rPr>
        <w:t xml:space="preserve"> (38.</w:t>
      </w:r>
      <w:r w:rsidR="007D1A4B">
        <w:rPr>
          <w:kern w:val="1"/>
        </w:rPr>
        <w:t>46</w:t>
      </w:r>
      <w:r w:rsidR="007A5EC0" w:rsidRPr="00260D1B">
        <w:rPr>
          <w:kern w:val="1"/>
        </w:rPr>
        <w:t>%)</w:t>
      </w:r>
      <w:r w:rsidRPr="00260D1B">
        <w:rPr>
          <w:kern w:val="1"/>
        </w:rPr>
        <w:t xml:space="preserve"> of types in Covid-19 highlights</w:t>
      </w:r>
      <w:r w:rsidR="007A5EC0" w:rsidRPr="00260D1B">
        <w:rPr>
          <w:kern w:val="1"/>
        </w:rPr>
        <w:t xml:space="preserve"> </w:t>
      </w:r>
      <w:r w:rsidR="00577454" w:rsidRPr="00260D1B">
        <w:rPr>
          <w:kern w:val="1"/>
        </w:rPr>
        <w:t xml:space="preserve">and the least </w:t>
      </w:r>
      <w:r w:rsidR="007A5EC0" w:rsidRPr="00260D1B">
        <w:rPr>
          <w:kern w:val="1"/>
        </w:rPr>
        <w:t>in the reference highlights (29.</w:t>
      </w:r>
      <w:r w:rsidR="007D1A4B">
        <w:rPr>
          <w:kern w:val="1"/>
        </w:rPr>
        <w:t>57</w:t>
      </w:r>
      <w:r w:rsidR="007A5EC0" w:rsidRPr="00260D1B">
        <w:rPr>
          <w:kern w:val="1"/>
        </w:rPr>
        <w:t>%)</w:t>
      </w:r>
      <w:r w:rsidR="007702A3" w:rsidRPr="00260D1B">
        <w:rPr>
          <w:kern w:val="1"/>
        </w:rPr>
        <w:t>. The</w:t>
      </w:r>
      <w:r w:rsidR="00577454" w:rsidRPr="00260D1B">
        <w:rPr>
          <w:kern w:val="1"/>
        </w:rPr>
        <w:t>se boosters</w:t>
      </w:r>
      <w:r w:rsidR="007702A3" w:rsidRPr="00260D1B">
        <w:rPr>
          <w:kern w:val="1"/>
        </w:rPr>
        <w:t xml:space="preserve"> </w:t>
      </w:r>
      <w:r w:rsidR="00577454" w:rsidRPr="00260D1B">
        <w:rPr>
          <w:kern w:val="1"/>
        </w:rPr>
        <w:t>act</w:t>
      </w:r>
      <w:r w:rsidR="007702A3" w:rsidRPr="00260D1B">
        <w:rPr>
          <w:kern w:val="1"/>
        </w:rPr>
        <w:t xml:space="preserve"> to remove any doubts about statements </w:t>
      </w:r>
      <w:r w:rsidR="00577454" w:rsidRPr="00260D1B">
        <w:rPr>
          <w:kern w:val="1"/>
        </w:rPr>
        <w:t xml:space="preserve">by emphasising the maximum end point of a scale. In doing so, they also function to catch the eye, </w:t>
      </w:r>
      <w:r w:rsidR="00127E0F" w:rsidRPr="00260D1B">
        <w:rPr>
          <w:kern w:val="1"/>
        </w:rPr>
        <w:t>grab</w:t>
      </w:r>
      <w:r w:rsidR="00577454" w:rsidRPr="00260D1B">
        <w:rPr>
          <w:kern w:val="1"/>
        </w:rPr>
        <w:t>bing</w:t>
      </w:r>
      <w:r w:rsidR="00127E0F" w:rsidRPr="00260D1B">
        <w:rPr>
          <w:kern w:val="1"/>
        </w:rPr>
        <w:t xml:space="preserve"> </w:t>
      </w:r>
      <w:r w:rsidR="00577454" w:rsidRPr="00260D1B">
        <w:rPr>
          <w:kern w:val="1"/>
        </w:rPr>
        <w:t xml:space="preserve">the </w:t>
      </w:r>
      <w:r w:rsidR="00127E0F" w:rsidRPr="00260D1B">
        <w:rPr>
          <w:kern w:val="1"/>
        </w:rPr>
        <w:t>reader</w:t>
      </w:r>
      <w:r w:rsidR="00577454" w:rsidRPr="00260D1B">
        <w:rPr>
          <w:kern w:val="1"/>
        </w:rPr>
        <w:t>’s</w:t>
      </w:r>
      <w:r w:rsidR="00127E0F" w:rsidRPr="00260D1B">
        <w:rPr>
          <w:kern w:val="1"/>
        </w:rPr>
        <w:t xml:space="preserve"> attention </w:t>
      </w:r>
      <w:r w:rsidR="00577454" w:rsidRPr="00260D1B">
        <w:rPr>
          <w:kern w:val="1"/>
        </w:rPr>
        <w:t>to</w:t>
      </w:r>
      <w:r w:rsidR="005768FB" w:rsidRPr="00260D1B">
        <w:rPr>
          <w:kern w:val="1"/>
        </w:rPr>
        <w:t xml:space="preserve"> evoke </w:t>
      </w:r>
      <w:r w:rsidR="00577454" w:rsidRPr="00260D1B">
        <w:rPr>
          <w:kern w:val="1"/>
        </w:rPr>
        <w:t xml:space="preserve">an </w:t>
      </w:r>
      <w:r w:rsidR="005768FB" w:rsidRPr="00260D1B">
        <w:rPr>
          <w:kern w:val="1"/>
        </w:rPr>
        <w:t>emotive response</w:t>
      </w:r>
      <w:r w:rsidR="00577454" w:rsidRPr="00260D1B">
        <w:rPr>
          <w:kern w:val="1"/>
        </w:rPr>
        <w:t xml:space="preserve"> regarding Covid symptoms </w:t>
      </w:r>
      <w:r w:rsidR="0066567B" w:rsidRPr="00260D1B">
        <w:rPr>
          <w:kern w:val="1"/>
        </w:rPr>
        <w:t>(</w:t>
      </w:r>
      <w:r w:rsidR="007A3946" w:rsidRPr="00260D1B">
        <w:rPr>
          <w:kern w:val="1"/>
        </w:rPr>
        <w:t>2</w:t>
      </w:r>
      <w:r w:rsidR="00577454" w:rsidRPr="00260D1B">
        <w:rPr>
          <w:kern w:val="1"/>
        </w:rPr>
        <w:t>2</w:t>
      </w:r>
      <w:r w:rsidR="0066567B" w:rsidRPr="00260D1B">
        <w:rPr>
          <w:kern w:val="1"/>
        </w:rPr>
        <w:t xml:space="preserve"> and 2</w:t>
      </w:r>
      <w:r w:rsidR="00577454" w:rsidRPr="00260D1B">
        <w:rPr>
          <w:kern w:val="1"/>
        </w:rPr>
        <w:t>3</w:t>
      </w:r>
      <w:r w:rsidR="0066567B" w:rsidRPr="00260D1B">
        <w:rPr>
          <w:kern w:val="1"/>
        </w:rPr>
        <w:t>) or the treatment (2</w:t>
      </w:r>
      <w:r w:rsidR="00577454" w:rsidRPr="00260D1B">
        <w:rPr>
          <w:kern w:val="1"/>
        </w:rPr>
        <w:t>4</w:t>
      </w:r>
      <w:r w:rsidR="007A3946" w:rsidRPr="00260D1B">
        <w:rPr>
          <w:kern w:val="1"/>
        </w:rPr>
        <w:t xml:space="preserve"> </w:t>
      </w:r>
      <w:r w:rsidR="0066567B" w:rsidRPr="00260D1B">
        <w:rPr>
          <w:kern w:val="1"/>
        </w:rPr>
        <w:t>and 2</w:t>
      </w:r>
      <w:r w:rsidR="00577454" w:rsidRPr="00260D1B">
        <w:rPr>
          <w:kern w:val="1"/>
        </w:rPr>
        <w:t>5</w:t>
      </w:r>
      <w:r w:rsidR="0066567B" w:rsidRPr="00260D1B">
        <w:rPr>
          <w:kern w:val="1"/>
        </w:rPr>
        <w:t>)</w:t>
      </w:r>
      <w:r w:rsidR="00165569" w:rsidRPr="00260D1B">
        <w:rPr>
          <w:kern w:val="1"/>
        </w:rPr>
        <w:t xml:space="preserve">: </w:t>
      </w:r>
    </w:p>
    <w:p w14:paraId="2D75C08D" w14:textId="11C97F8D" w:rsidR="005768FB" w:rsidRPr="00260D1B" w:rsidRDefault="005768FB" w:rsidP="00577454">
      <w:pPr>
        <w:spacing w:line="360" w:lineRule="auto"/>
        <w:ind w:left="567" w:right="798"/>
        <w:rPr>
          <w:kern w:val="1"/>
          <w:lang w:val="en-US"/>
        </w:rPr>
      </w:pPr>
      <w:r w:rsidRPr="00260D1B">
        <w:rPr>
          <w:kern w:val="1"/>
          <w:lang w:val="en-US"/>
        </w:rPr>
        <w:t>(</w:t>
      </w:r>
      <w:r w:rsidR="007A3946" w:rsidRPr="00260D1B">
        <w:rPr>
          <w:kern w:val="1"/>
          <w:lang w:val="en-US"/>
        </w:rPr>
        <w:t>2</w:t>
      </w:r>
      <w:r w:rsidR="00577454" w:rsidRPr="00260D1B">
        <w:rPr>
          <w:kern w:val="1"/>
          <w:lang w:val="en-US"/>
        </w:rPr>
        <w:t>2</w:t>
      </w:r>
      <w:r w:rsidRPr="00260D1B">
        <w:rPr>
          <w:kern w:val="1"/>
          <w:lang w:val="en-US"/>
        </w:rPr>
        <w:t xml:space="preserve">) </w:t>
      </w:r>
      <w:r w:rsidRPr="00260D1B">
        <w:rPr>
          <w:b/>
          <w:bCs/>
          <w:i/>
          <w:iCs/>
          <w:kern w:val="1"/>
          <w:lang w:val="en-US"/>
        </w:rPr>
        <w:t>The</w:t>
      </w:r>
      <w:r w:rsidRPr="00260D1B">
        <w:rPr>
          <w:kern w:val="1"/>
          <w:lang w:val="en-US"/>
        </w:rPr>
        <w:t xml:space="preserve"> </w:t>
      </w:r>
      <w:r w:rsidRPr="00260D1B">
        <w:rPr>
          <w:b/>
          <w:bCs/>
          <w:i/>
          <w:iCs/>
          <w:kern w:val="1"/>
          <w:lang w:val="en-US"/>
        </w:rPr>
        <w:t>most</w:t>
      </w:r>
      <w:r w:rsidRPr="00260D1B">
        <w:rPr>
          <w:kern w:val="1"/>
          <w:lang w:val="en-US"/>
        </w:rPr>
        <w:t xml:space="preserve"> prevalent long COVID symptoms were fatigue and taste and smell dysfunction. (CH 43)</w:t>
      </w:r>
    </w:p>
    <w:p w14:paraId="197FD503" w14:textId="77777777" w:rsidR="0066567B" w:rsidRPr="00260D1B" w:rsidRDefault="0066567B" w:rsidP="00577454">
      <w:pPr>
        <w:spacing w:line="276" w:lineRule="auto"/>
        <w:ind w:left="567" w:right="798"/>
        <w:rPr>
          <w:kern w:val="1"/>
          <w:lang w:val="en-US"/>
        </w:rPr>
      </w:pPr>
    </w:p>
    <w:p w14:paraId="3E4B3DEC" w14:textId="751E1400" w:rsidR="0066567B" w:rsidRPr="00260D1B" w:rsidRDefault="0066567B" w:rsidP="00577454">
      <w:pPr>
        <w:spacing w:line="360" w:lineRule="auto"/>
        <w:ind w:left="567" w:right="798"/>
        <w:rPr>
          <w:kern w:val="1"/>
          <w:lang w:val="en-US"/>
        </w:rPr>
      </w:pPr>
      <w:r w:rsidRPr="00260D1B">
        <w:rPr>
          <w:kern w:val="1"/>
          <w:lang w:val="en-US"/>
        </w:rPr>
        <w:t>(2</w:t>
      </w:r>
      <w:r w:rsidR="00577454" w:rsidRPr="00260D1B">
        <w:rPr>
          <w:kern w:val="1"/>
          <w:lang w:val="en-US"/>
        </w:rPr>
        <w:t>3</w:t>
      </w:r>
      <w:r w:rsidRPr="00260D1B">
        <w:rPr>
          <w:kern w:val="1"/>
          <w:lang w:val="en-US"/>
        </w:rPr>
        <w:t xml:space="preserve">) Muscle pain, fatigue, and fever were </w:t>
      </w:r>
      <w:r w:rsidRPr="00260D1B">
        <w:rPr>
          <w:b/>
          <w:bCs/>
          <w:i/>
          <w:iCs/>
          <w:kern w:val="1"/>
          <w:lang w:val="en-US"/>
        </w:rPr>
        <w:t xml:space="preserve">the most </w:t>
      </w:r>
      <w:r w:rsidRPr="00260D1B">
        <w:rPr>
          <w:kern w:val="1"/>
          <w:lang w:val="en-US"/>
        </w:rPr>
        <w:t>common systemic side effects. (CH 147)</w:t>
      </w:r>
    </w:p>
    <w:p w14:paraId="57C14E12" w14:textId="77777777" w:rsidR="0066567B" w:rsidRPr="00260D1B" w:rsidRDefault="0066567B" w:rsidP="00577454">
      <w:pPr>
        <w:spacing w:line="276" w:lineRule="auto"/>
        <w:ind w:left="567" w:right="798"/>
        <w:rPr>
          <w:kern w:val="1"/>
          <w:lang w:val="en-US"/>
        </w:rPr>
      </w:pPr>
    </w:p>
    <w:p w14:paraId="284E9555" w14:textId="25DCF80D" w:rsidR="0066567B" w:rsidRPr="00260D1B" w:rsidRDefault="0066567B" w:rsidP="00577454">
      <w:pPr>
        <w:spacing w:line="360" w:lineRule="auto"/>
        <w:ind w:left="567" w:right="798"/>
        <w:rPr>
          <w:kern w:val="1"/>
          <w:lang w:val="en-US"/>
        </w:rPr>
      </w:pPr>
      <w:r w:rsidRPr="00260D1B">
        <w:rPr>
          <w:kern w:val="1"/>
          <w:lang w:val="en-US"/>
        </w:rPr>
        <w:lastRenderedPageBreak/>
        <w:t>(2</w:t>
      </w:r>
      <w:r w:rsidR="00577454" w:rsidRPr="00260D1B">
        <w:rPr>
          <w:kern w:val="1"/>
          <w:lang w:val="en-US"/>
        </w:rPr>
        <w:t>4</w:t>
      </w:r>
      <w:r w:rsidRPr="00260D1B">
        <w:rPr>
          <w:kern w:val="1"/>
          <w:lang w:val="en-US"/>
        </w:rPr>
        <w:t xml:space="preserve">) Pre-exposure prophylactic treatment had </w:t>
      </w:r>
      <w:r w:rsidRPr="00260D1B">
        <w:rPr>
          <w:b/>
          <w:bCs/>
          <w:i/>
          <w:iCs/>
          <w:kern w:val="1"/>
          <w:lang w:val="en-US"/>
        </w:rPr>
        <w:t>the highest</w:t>
      </w:r>
      <w:r w:rsidRPr="00260D1B">
        <w:rPr>
          <w:kern w:val="1"/>
          <w:lang w:val="en-US"/>
        </w:rPr>
        <w:t xml:space="preserve"> effectiveness. (CH 234)</w:t>
      </w:r>
    </w:p>
    <w:p w14:paraId="2924C970" w14:textId="77777777" w:rsidR="00577454" w:rsidRPr="00260D1B" w:rsidRDefault="00577454" w:rsidP="00577454">
      <w:pPr>
        <w:spacing w:line="276" w:lineRule="auto"/>
        <w:ind w:left="567" w:right="798"/>
        <w:rPr>
          <w:kern w:val="1"/>
          <w:lang w:val="en-US"/>
        </w:rPr>
      </w:pPr>
    </w:p>
    <w:p w14:paraId="4754E597" w14:textId="52446B80" w:rsidR="005768FB" w:rsidRPr="00260D1B" w:rsidRDefault="0066567B" w:rsidP="00577454">
      <w:pPr>
        <w:spacing w:line="360" w:lineRule="auto"/>
        <w:ind w:left="567" w:right="798"/>
        <w:rPr>
          <w:rFonts w:eastAsia="SimSun"/>
        </w:rPr>
      </w:pPr>
      <w:r w:rsidRPr="00260D1B">
        <w:rPr>
          <w:kern w:val="1"/>
          <w:lang w:val="en-US"/>
        </w:rPr>
        <w:t>(2</w:t>
      </w:r>
      <w:r w:rsidR="00577454" w:rsidRPr="00260D1B">
        <w:rPr>
          <w:kern w:val="1"/>
          <w:lang w:val="en-US"/>
        </w:rPr>
        <w:t>5</w:t>
      </w:r>
      <w:r w:rsidRPr="00260D1B">
        <w:rPr>
          <w:kern w:val="1"/>
          <w:lang w:val="en-US"/>
        </w:rPr>
        <w:t xml:space="preserve">) </w:t>
      </w:r>
      <w:r w:rsidR="005768FB" w:rsidRPr="00260D1B">
        <w:rPr>
          <w:rFonts w:eastAsia="SimSun"/>
        </w:rPr>
        <w:t xml:space="preserve">The treatment benefit </w:t>
      </w:r>
      <w:r w:rsidR="005768FB" w:rsidRPr="00260D1B">
        <w:rPr>
          <w:rFonts w:eastAsia="SimSun"/>
          <w:b/>
          <w:bCs/>
          <w:i/>
          <w:iCs/>
        </w:rPr>
        <w:t>was greatest</w:t>
      </w:r>
      <w:r w:rsidR="005768FB" w:rsidRPr="00260D1B">
        <w:rPr>
          <w:rFonts w:eastAsia="SimSun"/>
        </w:rPr>
        <w:t xml:space="preserve"> when therapy was initiated early during the disease course. (CH 41)</w:t>
      </w:r>
    </w:p>
    <w:p w14:paraId="3E1982E6" w14:textId="17299C53" w:rsidR="009B0A64" w:rsidRPr="00260D1B" w:rsidRDefault="009B0A64" w:rsidP="005B1B5B">
      <w:pPr>
        <w:spacing w:line="360" w:lineRule="auto"/>
        <w:ind w:right="231"/>
        <w:rPr>
          <w:kern w:val="1"/>
          <w:lang w:val="en-US"/>
        </w:rPr>
      </w:pPr>
    </w:p>
    <w:p w14:paraId="692FB262" w14:textId="02187C90" w:rsidR="00A91B29" w:rsidRPr="00260D1B" w:rsidRDefault="00FD26FD" w:rsidP="005B1B5B">
      <w:pPr>
        <w:spacing w:line="360" w:lineRule="auto"/>
        <w:ind w:right="231"/>
        <w:rPr>
          <w:kern w:val="1"/>
        </w:rPr>
      </w:pPr>
      <w:r w:rsidRPr="00260D1B">
        <w:rPr>
          <w:i/>
          <w:iCs/>
          <w:kern w:val="1"/>
        </w:rPr>
        <w:t>Intensity boosters</w:t>
      </w:r>
      <w:r w:rsidRPr="00260D1B">
        <w:rPr>
          <w:rFonts w:hint="eastAsia"/>
          <w:kern w:val="1"/>
        </w:rPr>
        <w:t>,</w:t>
      </w:r>
      <w:r w:rsidRPr="00260D1B">
        <w:rPr>
          <w:kern w:val="1"/>
        </w:rPr>
        <w:t xml:space="preserve"> </w:t>
      </w:r>
      <w:r w:rsidR="00DA7480" w:rsidRPr="00260D1B">
        <w:t xml:space="preserve">which add a strong personal endorsement to a statement, were </w:t>
      </w:r>
      <w:r w:rsidR="00A91B29" w:rsidRPr="00260D1B">
        <w:t xml:space="preserve">also </w:t>
      </w:r>
      <w:r w:rsidR="005D33FE" w:rsidRPr="00260D1B">
        <w:t xml:space="preserve">significantly </w:t>
      </w:r>
      <w:r w:rsidR="00DA7480" w:rsidRPr="00260D1B">
        <w:t xml:space="preserve">more frequent in </w:t>
      </w:r>
      <w:r w:rsidRPr="00260D1B">
        <w:rPr>
          <w:kern w:val="1"/>
        </w:rPr>
        <w:t>Covid-19 highlights</w:t>
      </w:r>
      <w:r w:rsidR="00415B8E" w:rsidRPr="00260D1B">
        <w:rPr>
          <w:kern w:val="1"/>
        </w:rPr>
        <w:t xml:space="preserve">. However, </w:t>
      </w:r>
      <w:r w:rsidR="00DA7480" w:rsidRPr="00260D1B">
        <w:rPr>
          <w:kern w:val="1"/>
        </w:rPr>
        <w:t xml:space="preserve">they </w:t>
      </w:r>
      <w:r w:rsidR="00A91B29" w:rsidRPr="00260D1B">
        <w:rPr>
          <w:kern w:val="1"/>
        </w:rPr>
        <w:t>also appear to be the most</w:t>
      </w:r>
      <w:r w:rsidR="00DA7480" w:rsidRPr="00260D1B">
        <w:rPr>
          <w:kern w:val="1"/>
        </w:rPr>
        <w:t xml:space="preserve"> favoured </w:t>
      </w:r>
      <w:r w:rsidR="00A91B29" w:rsidRPr="00260D1B">
        <w:rPr>
          <w:kern w:val="1"/>
        </w:rPr>
        <w:t xml:space="preserve">types </w:t>
      </w:r>
      <w:r w:rsidR="00DA7480" w:rsidRPr="00260D1B">
        <w:rPr>
          <w:kern w:val="1"/>
        </w:rPr>
        <w:t xml:space="preserve">by academics </w:t>
      </w:r>
      <w:r w:rsidR="00A91B29" w:rsidRPr="00260D1B">
        <w:rPr>
          <w:kern w:val="1"/>
        </w:rPr>
        <w:t xml:space="preserve">writing in medicine more generally </w:t>
      </w:r>
      <w:r w:rsidR="002B3B2A" w:rsidRPr="00260D1B">
        <w:rPr>
          <w:kern w:val="1"/>
        </w:rPr>
        <w:t>(37.</w:t>
      </w:r>
      <w:r w:rsidR="007D1A4B">
        <w:rPr>
          <w:kern w:val="1"/>
        </w:rPr>
        <w:t>39</w:t>
      </w:r>
      <w:r w:rsidR="002B3B2A" w:rsidRPr="00260D1B">
        <w:rPr>
          <w:kern w:val="1"/>
        </w:rPr>
        <w:t>%)</w:t>
      </w:r>
      <w:r w:rsidR="00DA7480" w:rsidRPr="00260D1B">
        <w:rPr>
          <w:kern w:val="1"/>
        </w:rPr>
        <w:t xml:space="preserve">. </w:t>
      </w:r>
      <w:r w:rsidR="00A91B29" w:rsidRPr="00260D1B">
        <w:rPr>
          <w:kern w:val="1"/>
        </w:rPr>
        <w:t>The popularity of intensity boosters among Covid researchers was their value in stressing what the writers wanted present as an es</w:t>
      </w:r>
      <w:r w:rsidR="003E23E0" w:rsidRPr="00260D1B">
        <w:rPr>
          <w:kern w:val="1"/>
        </w:rPr>
        <w:t>tablished fact</w:t>
      </w:r>
      <w:r w:rsidR="00F63C8F" w:rsidRPr="00260D1B">
        <w:rPr>
          <w:kern w:val="1"/>
        </w:rPr>
        <w:t xml:space="preserve"> or </w:t>
      </w:r>
      <w:r w:rsidR="00A91B29" w:rsidRPr="00260D1B">
        <w:rPr>
          <w:kern w:val="1"/>
        </w:rPr>
        <w:t>emphasise the efficacy of protective measures:</w:t>
      </w:r>
    </w:p>
    <w:p w14:paraId="1B5A7279" w14:textId="41779688" w:rsidR="00F63C8F" w:rsidRPr="00260D1B" w:rsidRDefault="00F63C8F" w:rsidP="00577454">
      <w:pPr>
        <w:tabs>
          <w:tab w:val="left" w:pos="8080"/>
        </w:tabs>
        <w:spacing w:line="360" w:lineRule="auto"/>
        <w:ind w:left="680" w:right="798"/>
        <w:rPr>
          <w:kern w:val="1"/>
          <w:lang w:val="en-US"/>
        </w:rPr>
      </w:pPr>
      <w:r w:rsidRPr="00260D1B">
        <w:rPr>
          <w:kern w:val="1"/>
          <w:lang w:val="en-US"/>
        </w:rPr>
        <w:t>(2</w:t>
      </w:r>
      <w:r w:rsidR="00A91B29" w:rsidRPr="00260D1B">
        <w:rPr>
          <w:kern w:val="1"/>
          <w:lang w:val="en-US"/>
        </w:rPr>
        <w:t>6</w:t>
      </w:r>
      <w:r w:rsidRPr="00260D1B">
        <w:rPr>
          <w:kern w:val="1"/>
          <w:lang w:val="en-US"/>
        </w:rPr>
        <w:t xml:space="preserve">) Human memory B cells encoding </w:t>
      </w:r>
      <w:r w:rsidRPr="00260D1B">
        <w:rPr>
          <w:b/>
          <w:bCs/>
          <w:i/>
          <w:iCs/>
          <w:kern w:val="1"/>
          <w:lang w:val="en-US"/>
        </w:rPr>
        <w:t>extremely</w:t>
      </w:r>
      <w:r w:rsidRPr="00260D1B">
        <w:rPr>
          <w:kern w:val="1"/>
          <w:lang w:val="en-US"/>
        </w:rPr>
        <w:t xml:space="preserve"> potent neutralizing antibodies are rare (CH 89)</w:t>
      </w:r>
    </w:p>
    <w:p w14:paraId="78AE7768" w14:textId="77E65A54" w:rsidR="00DA7480" w:rsidRPr="00260D1B" w:rsidRDefault="00DA7480" w:rsidP="00577454">
      <w:pPr>
        <w:tabs>
          <w:tab w:val="left" w:pos="8080"/>
        </w:tabs>
        <w:spacing w:line="276" w:lineRule="auto"/>
        <w:ind w:left="680" w:right="798"/>
        <w:rPr>
          <w:kern w:val="1"/>
          <w:lang w:val="en-US"/>
        </w:rPr>
      </w:pPr>
    </w:p>
    <w:p w14:paraId="6EBA11BB" w14:textId="7F98F70A" w:rsidR="003A7C39" w:rsidRPr="00260D1B" w:rsidRDefault="00F63C8F" w:rsidP="00577454">
      <w:pPr>
        <w:tabs>
          <w:tab w:val="left" w:pos="8080"/>
        </w:tabs>
        <w:spacing w:line="360" w:lineRule="auto"/>
        <w:ind w:left="680" w:right="798"/>
        <w:rPr>
          <w:kern w:val="1"/>
          <w:lang w:val="en-US"/>
        </w:rPr>
      </w:pPr>
      <w:r w:rsidRPr="00260D1B">
        <w:rPr>
          <w:kern w:val="1"/>
          <w:lang w:val="en-US"/>
        </w:rPr>
        <w:t>(2</w:t>
      </w:r>
      <w:r w:rsidR="00A91B29" w:rsidRPr="00260D1B">
        <w:rPr>
          <w:kern w:val="1"/>
          <w:lang w:val="en-US"/>
        </w:rPr>
        <w:t>7</w:t>
      </w:r>
      <w:r w:rsidRPr="00260D1B">
        <w:rPr>
          <w:kern w:val="1"/>
          <w:lang w:val="en-US"/>
        </w:rPr>
        <w:t xml:space="preserve">) </w:t>
      </w:r>
      <w:r w:rsidR="003A7C39" w:rsidRPr="00260D1B">
        <w:rPr>
          <w:kern w:val="1"/>
          <w:lang w:val="en-US"/>
        </w:rPr>
        <w:t xml:space="preserve">BNT162b2 vaccine with an extended interval between doses is </w:t>
      </w:r>
      <w:r w:rsidR="003A7C39" w:rsidRPr="00260D1B">
        <w:rPr>
          <w:b/>
          <w:bCs/>
          <w:i/>
          <w:iCs/>
          <w:kern w:val="1"/>
          <w:lang w:val="en-US"/>
        </w:rPr>
        <w:t xml:space="preserve">highly </w:t>
      </w:r>
      <w:r w:rsidR="003A7C39" w:rsidRPr="00260D1B">
        <w:rPr>
          <w:kern w:val="1"/>
          <w:lang w:val="en-US"/>
        </w:rPr>
        <w:t>protective (CH 108)</w:t>
      </w:r>
    </w:p>
    <w:p w14:paraId="0212FCE4" w14:textId="734728A5" w:rsidR="00F63C8F" w:rsidRPr="00260D1B" w:rsidRDefault="00F63C8F" w:rsidP="005B1B5B">
      <w:pPr>
        <w:spacing w:line="360" w:lineRule="auto"/>
        <w:ind w:right="231"/>
        <w:rPr>
          <w:kern w:val="1"/>
        </w:rPr>
      </w:pPr>
    </w:p>
    <w:p w14:paraId="3CCDB9AB" w14:textId="2A5CABBC" w:rsidR="00400E05" w:rsidRPr="00260D1B" w:rsidRDefault="007428B5" w:rsidP="005B1B5B">
      <w:pPr>
        <w:spacing w:line="360" w:lineRule="auto"/>
        <w:ind w:right="231"/>
      </w:pPr>
      <w:r w:rsidRPr="00260D1B">
        <w:rPr>
          <w:kern w:val="1"/>
        </w:rPr>
        <w:t>Finally, c</w:t>
      </w:r>
      <w:r w:rsidR="00F036A7" w:rsidRPr="00260D1B">
        <w:rPr>
          <w:kern w:val="1"/>
        </w:rPr>
        <w:t xml:space="preserve">ertainty boosters </w:t>
      </w:r>
      <w:r w:rsidR="00A91B29" w:rsidRPr="00260D1B">
        <w:rPr>
          <w:kern w:val="1"/>
        </w:rPr>
        <w:t xml:space="preserve">most clearly </w:t>
      </w:r>
      <w:r w:rsidRPr="00260D1B">
        <w:rPr>
          <w:kern w:val="1"/>
        </w:rPr>
        <w:t xml:space="preserve">show the writer’s epistemic convictions, </w:t>
      </w:r>
      <w:r w:rsidR="00A91B29" w:rsidRPr="00260D1B">
        <w:rPr>
          <w:kern w:val="1"/>
        </w:rPr>
        <w:t xml:space="preserve">and these </w:t>
      </w:r>
      <w:r w:rsidRPr="00260D1B">
        <w:rPr>
          <w:kern w:val="1"/>
        </w:rPr>
        <w:t>were also more frequent in Covid-19 highlights (</w:t>
      </w:r>
      <w:r w:rsidR="007D1A4B" w:rsidRPr="00EB05AB">
        <w:t>log Likelihood =</w:t>
      </w:r>
      <w:r w:rsidR="007D1A4B">
        <w:t xml:space="preserve"> 5.57</w:t>
      </w:r>
      <w:r w:rsidR="007D1A4B" w:rsidRPr="00EB05AB">
        <w:t>, p &lt;0.0</w:t>
      </w:r>
      <w:r w:rsidR="007D1A4B">
        <w:t>58</w:t>
      </w:r>
      <w:r w:rsidRPr="00260D1B">
        <w:t>). Th</w:t>
      </w:r>
      <w:r w:rsidR="00A91B29" w:rsidRPr="00260D1B">
        <w:t>is</w:t>
      </w:r>
      <w:r w:rsidRPr="00260D1B">
        <w:t xml:space="preserve"> more frequent </w:t>
      </w:r>
      <w:r w:rsidR="00A91B29" w:rsidRPr="00260D1B">
        <w:t>use</w:t>
      </w:r>
      <w:r w:rsidRPr="00260D1B">
        <w:t xml:space="preserve"> </w:t>
      </w:r>
      <w:r w:rsidR="00400E05" w:rsidRPr="00260D1B">
        <w:t xml:space="preserve">is </w:t>
      </w:r>
      <w:r w:rsidR="00A91B29" w:rsidRPr="00260D1B">
        <w:t xml:space="preserve">doubtless </w:t>
      </w:r>
      <w:r w:rsidR="00400E05" w:rsidRPr="00260D1B">
        <w:t xml:space="preserve">related to the urgency of making claims </w:t>
      </w:r>
      <w:r w:rsidR="00A91B29" w:rsidRPr="00260D1B">
        <w:t>as forcefully as possible</w:t>
      </w:r>
      <w:r w:rsidR="00321E65" w:rsidRPr="00260D1B">
        <w:t>, imparting an explicit stance</w:t>
      </w:r>
      <w:r w:rsidR="00A91B29" w:rsidRPr="00260D1B">
        <w:t xml:space="preserve"> </w:t>
      </w:r>
      <w:r w:rsidR="00321E65" w:rsidRPr="00260D1B">
        <w:t xml:space="preserve">to promote a particular ‘solution’ to a Covid-relevant issue. </w:t>
      </w:r>
      <w:r w:rsidR="00400E05" w:rsidRPr="00260D1B">
        <w:t xml:space="preserve">We </w:t>
      </w:r>
      <w:r w:rsidR="00321E65" w:rsidRPr="00260D1B">
        <w:t xml:space="preserve">found that </w:t>
      </w:r>
      <w:r w:rsidR="00400E05" w:rsidRPr="00260D1B">
        <w:t xml:space="preserve">“show” was </w:t>
      </w:r>
      <w:r w:rsidR="00321E65" w:rsidRPr="00260D1B">
        <w:t xml:space="preserve">by far the most </w:t>
      </w:r>
      <w:r w:rsidR="00400E05" w:rsidRPr="00260D1B">
        <w:t xml:space="preserve">favoured </w:t>
      </w:r>
      <w:r w:rsidR="00321E65" w:rsidRPr="00260D1B">
        <w:t xml:space="preserve">certainty booster in the </w:t>
      </w:r>
      <w:r w:rsidR="00BD4FFB" w:rsidRPr="00260D1B">
        <w:t xml:space="preserve">COVID </w:t>
      </w:r>
      <w:r w:rsidR="00400E05" w:rsidRPr="00260D1B">
        <w:t xml:space="preserve">highlights, which is </w:t>
      </w:r>
      <w:r w:rsidR="00AE2BDE" w:rsidRPr="00260D1B">
        <w:t>consistent with its wide use in medical journal articles (</w:t>
      </w:r>
      <w:r w:rsidR="00F90DE6" w:rsidRPr="00260D1B">
        <w:t xml:space="preserve">Ngai et al., 2018; </w:t>
      </w:r>
      <w:r w:rsidR="00AE2BDE" w:rsidRPr="00260D1B">
        <w:t xml:space="preserve">Shen &amp; Tao, 2021). </w:t>
      </w:r>
      <w:r w:rsidR="00321E65" w:rsidRPr="00260D1B">
        <w:t xml:space="preserve">This </w:t>
      </w:r>
      <w:r w:rsidR="005A07FE" w:rsidRPr="00260D1B">
        <w:t xml:space="preserve">adds </w:t>
      </w:r>
      <w:r w:rsidR="000F7F58" w:rsidRPr="00260D1B">
        <w:rPr>
          <w:kern w:val="1"/>
        </w:rPr>
        <w:t xml:space="preserve">credibility </w:t>
      </w:r>
      <w:r w:rsidR="00321E65" w:rsidRPr="00260D1B">
        <w:rPr>
          <w:kern w:val="1"/>
        </w:rPr>
        <w:t xml:space="preserve">to </w:t>
      </w:r>
      <w:r w:rsidR="000F7F58" w:rsidRPr="00260D1B">
        <w:rPr>
          <w:kern w:val="1"/>
        </w:rPr>
        <w:t>the research findings and</w:t>
      </w:r>
      <w:r w:rsidR="00321E65" w:rsidRPr="00260D1B">
        <w:rPr>
          <w:kern w:val="1"/>
        </w:rPr>
        <w:t xml:space="preserve"> gives readers the confidence </w:t>
      </w:r>
      <w:r w:rsidR="00321E65" w:rsidRPr="00260D1B">
        <w:t>to trust</w:t>
      </w:r>
      <w:r w:rsidR="000F7F58" w:rsidRPr="00260D1B">
        <w:t xml:space="preserve"> new findings: </w:t>
      </w:r>
    </w:p>
    <w:p w14:paraId="6AE870F4" w14:textId="2B1A0856" w:rsidR="005A07FE" w:rsidRPr="00260D1B" w:rsidRDefault="005A07FE" w:rsidP="005B1B5B">
      <w:pPr>
        <w:spacing w:line="360" w:lineRule="auto"/>
        <w:ind w:left="680" w:right="231"/>
        <w:rPr>
          <w:kern w:val="1"/>
          <w:lang w:val="en-US"/>
        </w:rPr>
      </w:pPr>
      <w:r w:rsidRPr="00260D1B">
        <w:rPr>
          <w:kern w:val="1"/>
          <w:lang w:val="en-US"/>
        </w:rPr>
        <w:t>(2</w:t>
      </w:r>
      <w:r w:rsidR="00321E65" w:rsidRPr="00260D1B">
        <w:rPr>
          <w:kern w:val="1"/>
          <w:lang w:val="en-US"/>
        </w:rPr>
        <w:t>8</w:t>
      </w:r>
      <w:r w:rsidRPr="00260D1B">
        <w:rPr>
          <w:kern w:val="1"/>
          <w:lang w:val="en-US"/>
        </w:rPr>
        <w:t xml:space="preserve">) We </w:t>
      </w:r>
      <w:r w:rsidRPr="00260D1B">
        <w:rPr>
          <w:b/>
          <w:bCs/>
          <w:i/>
          <w:iCs/>
          <w:kern w:val="1"/>
          <w:lang w:val="en-US"/>
        </w:rPr>
        <w:t>show</w:t>
      </w:r>
      <w:r w:rsidRPr="00260D1B">
        <w:rPr>
          <w:kern w:val="1"/>
          <w:lang w:val="en-US"/>
        </w:rPr>
        <w:t xml:space="preserve"> the benefit of joint unsupervised contrastive and supervised learning of patient labels under the multiple instance learning (MIL) framework. (CH 261)</w:t>
      </w:r>
    </w:p>
    <w:p w14:paraId="257B3BF7" w14:textId="77777777" w:rsidR="005A07FE" w:rsidRPr="00260D1B" w:rsidRDefault="005A07FE" w:rsidP="005B1B5B">
      <w:pPr>
        <w:spacing w:line="360" w:lineRule="auto"/>
        <w:ind w:left="680" w:right="231"/>
        <w:rPr>
          <w:kern w:val="1"/>
          <w:lang w:val="en-US"/>
        </w:rPr>
      </w:pPr>
    </w:p>
    <w:p w14:paraId="718226AC" w14:textId="5F2EC878" w:rsidR="00890DB6" w:rsidRPr="00260D1B" w:rsidRDefault="005A07FE" w:rsidP="00321E65">
      <w:pPr>
        <w:spacing w:line="360" w:lineRule="auto"/>
        <w:ind w:left="680" w:right="231"/>
        <w:rPr>
          <w:kern w:val="1"/>
          <w:lang w:val="en-US"/>
        </w:rPr>
      </w:pPr>
      <w:r w:rsidRPr="00260D1B">
        <w:rPr>
          <w:kern w:val="1"/>
          <w:lang w:val="en-US"/>
        </w:rPr>
        <w:t>(2</w:t>
      </w:r>
      <w:r w:rsidR="00321E65" w:rsidRPr="00260D1B">
        <w:rPr>
          <w:kern w:val="1"/>
          <w:lang w:val="en-US"/>
        </w:rPr>
        <w:t>9</w:t>
      </w:r>
      <w:r w:rsidRPr="00260D1B">
        <w:rPr>
          <w:kern w:val="1"/>
          <w:lang w:val="en-US"/>
        </w:rPr>
        <w:t xml:space="preserve">) The present study results </w:t>
      </w:r>
      <w:r w:rsidRPr="00260D1B">
        <w:rPr>
          <w:b/>
          <w:bCs/>
          <w:i/>
          <w:iCs/>
          <w:kern w:val="1"/>
          <w:lang w:val="en-US"/>
        </w:rPr>
        <w:t xml:space="preserve">showed </w:t>
      </w:r>
      <w:r w:rsidRPr="00260D1B">
        <w:rPr>
          <w:kern w:val="1"/>
          <w:lang w:val="en-US"/>
        </w:rPr>
        <w:t>that 7.3% of the Covid-19 patients received psychiatric consultations. (CH 168)</w:t>
      </w:r>
    </w:p>
    <w:p w14:paraId="25F954D6" w14:textId="69385966" w:rsidR="00292692" w:rsidRPr="00260D1B" w:rsidRDefault="00292692" w:rsidP="005B1B5B">
      <w:pPr>
        <w:spacing w:line="360" w:lineRule="auto"/>
        <w:ind w:right="231"/>
        <w:rPr>
          <w:b/>
          <w:bCs/>
        </w:rPr>
      </w:pPr>
    </w:p>
    <w:p w14:paraId="13BE466D" w14:textId="0885693B" w:rsidR="007743FC" w:rsidRPr="00260D1B" w:rsidRDefault="007743FC" w:rsidP="005B1B5B">
      <w:pPr>
        <w:spacing w:line="360" w:lineRule="auto"/>
        <w:ind w:right="231"/>
        <w:rPr>
          <w:b/>
          <w:bCs/>
        </w:rPr>
      </w:pPr>
      <w:r w:rsidRPr="00260D1B">
        <w:rPr>
          <w:b/>
          <w:bCs/>
        </w:rPr>
        <w:t>5.3 Attitude markers</w:t>
      </w:r>
    </w:p>
    <w:p w14:paraId="01245C3C" w14:textId="68AFA591" w:rsidR="003546D6" w:rsidRPr="00260D1B" w:rsidRDefault="00C65E01" w:rsidP="003546D6">
      <w:pPr>
        <w:spacing w:line="360" w:lineRule="auto"/>
        <w:ind w:right="231"/>
        <w:rPr>
          <w:rFonts w:cs="Garamond"/>
        </w:rPr>
      </w:pPr>
      <w:r w:rsidRPr="00260D1B">
        <w:rPr>
          <w:rFonts w:cs="Garamond"/>
        </w:rPr>
        <w:lastRenderedPageBreak/>
        <w:t xml:space="preserve">Attitude markers express the writer’s </w:t>
      </w:r>
      <w:r w:rsidR="00321E65" w:rsidRPr="00260D1B">
        <w:rPr>
          <w:rFonts w:cs="Garamond"/>
        </w:rPr>
        <w:t>assessment</w:t>
      </w:r>
      <w:r w:rsidRPr="00260D1B">
        <w:rPr>
          <w:rFonts w:cs="Garamond"/>
        </w:rPr>
        <w:t xml:space="preserve"> of infor</w:t>
      </w:r>
      <w:r w:rsidRPr="00260D1B">
        <w:rPr>
          <w:rFonts w:cs="Garamond"/>
        </w:rPr>
        <w:softHyphen/>
        <w:t xml:space="preserve">mation </w:t>
      </w:r>
      <w:r w:rsidR="00321E65" w:rsidRPr="00260D1B">
        <w:rPr>
          <w:rFonts w:cs="Garamond"/>
        </w:rPr>
        <w:t xml:space="preserve">from a more personal, rather than epistemic, perspective. This conveys the author’ individual take on material and conveys the presence of a living, human researcher </w:t>
      </w:r>
      <w:r w:rsidRPr="00260D1B">
        <w:rPr>
          <w:rFonts w:cs="Garamond"/>
        </w:rPr>
        <w:t>(</w:t>
      </w:r>
      <w:r w:rsidR="00454B5F">
        <w:rPr>
          <w:rFonts w:cs="Garamond"/>
        </w:rPr>
        <w:t>Author 2</w:t>
      </w:r>
      <w:r w:rsidRPr="00260D1B">
        <w:rPr>
          <w:rFonts w:cs="Garamond"/>
        </w:rPr>
        <w:t>, 2005).</w:t>
      </w:r>
      <w:r w:rsidR="0015012B" w:rsidRPr="00260D1B">
        <w:rPr>
          <w:rFonts w:cs="Garamond"/>
        </w:rPr>
        <w:t xml:space="preserve"> </w:t>
      </w:r>
      <w:r w:rsidR="002B5141" w:rsidRPr="00260D1B">
        <w:rPr>
          <w:rFonts w:cs="Garamond"/>
        </w:rPr>
        <w:t xml:space="preserve">Table 2 </w:t>
      </w:r>
      <w:r w:rsidR="00321E65" w:rsidRPr="00260D1B">
        <w:rPr>
          <w:rFonts w:cs="Garamond"/>
        </w:rPr>
        <w:t xml:space="preserve">above </w:t>
      </w:r>
      <w:r w:rsidR="002B5141" w:rsidRPr="00260D1B">
        <w:rPr>
          <w:rFonts w:cs="Garamond"/>
        </w:rPr>
        <w:t>shows attitude markers constitute</w:t>
      </w:r>
      <w:r w:rsidR="0004272C" w:rsidRPr="00260D1B">
        <w:rPr>
          <w:rFonts w:cs="Garamond"/>
        </w:rPr>
        <w:t>d</w:t>
      </w:r>
      <w:r w:rsidR="002B5141" w:rsidRPr="00260D1B">
        <w:rPr>
          <w:rFonts w:cs="Garamond"/>
        </w:rPr>
        <w:t xml:space="preserve"> the most frequently used stance feature in both types of highlights</w:t>
      </w:r>
      <w:r w:rsidR="003546D6" w:rsidRPr="00260D1B">
        <w:rPr>
          <w:rFonts w:cs="Garamond"/>
        </w:rPr>
        <w:t xml:space="preserve">, being </w:t>
      </w:r>
      <w:r w:rsidR="002B5141" w:rsidRPr="00260D1B">
        <w:rPr>
          <w:rFonts w:cs="Garamond"/>
        </w:rPr>
        <w:t xml:space="preserve">slightly more </w:t>
      </w:r>
      <w:r w:rsidR="003546D6" w:rsidRPr="00260D1B">
        <w:rPr>
          <w:rFonts w:cs="Garamond"/>
        </w:rPr>
        <w:t>common</w:t>
      </w:r>
      <w:r w:rsidR="002B5141" w:rsidRPr="00260D1B">
        <w:rPr>
          <w:rFonts w:cs="Garamond"/>
        </w:rPr>
        <w:t xml:space="preserve"> in the Covid-19 corpus (</w:t>
      </w:r>
      <w:r w:rsidR="007D1A4B" w:rsidRPr="00260D1B">
        <w:t>log Likelihood =</w:t>
      </w:r>
      <w:r w:rsidR="007D1A4B">
        <w:t>1.99</w:t>
      </w:r>
      <w:r w:rsidR="007D1A4B" w:rsidRPr="00260D1B">
        <w:t>, p &lt;0.</w:t>
      </w:r>
      <w:r w:rsidR="007D1A4B">
        <w:t>27</w:t>
      </w:r>
      <w:r w:rsidR="002B5141" w:rsidRPr="00260D1B">
        <w:rPr>
          <w:rFonts w:cs="Garamond"/>
        </w:rPr>
        <w:t xml:space="preserve">). </w:t>
      </w:r>
      <w:r w:rsidR="00D76673" w:rsidRPr="00260D1B">
        <w:rPr>
          <w:rFonts w:cs="Garamond"/>
        </w:rPr>
        <w:t xml:space="preserve">This is in line with the deployment of attitude markers in </w:t>
      </w:r>
      <w:r w:rsidR="0004272C" w:rsidRPr="00260D1B">
        <w:rPr>
          <w:rFonts w:cs="Garamond"/>
        </w:rPr>
        <w:t>their</w:t>
      </w:r>
      <w:r w:rsidR="003C6FE4" w:rsidRPr="00260D1B">
        <w:rPr>
          <w:rFonts w:cs="Garamond"/>
        </w:rPr>
        <w:t xml:space="preserve"> host journal articles</w:t>
      </w:r>
      <w:r w:rsidR="003546D6" w:rsidRPr="00260D1B">
        <w:rPr>
          <w:rFonts w:cs="Garamond"/>
        </w:rPr>
        <w:t>, where</w:t>
      </w:r>
      <w:r w:rsidR="003C6FE4" w:rsidRPr="00260D1B">
        <w:rPr>
          <w:rFonts w:cs="Garamond"/>
        </w:rPr>
        <w:t xml:space="preserve"> </w:t>
      </w:r>
      <w:r w:rsidR="00454B5F">
        <w:rPr>
          <w:rFonts w:cs="Garamond"/>
        </w:rPr>
        <w:t>Author 2</w:t>
      </w:r>
      <w:r w:rsidR="003546D6" w:rsidRPr="00260D1B">
        <w:rPr>
          <w:rFonts w:cs="Garamond"/>
        </w:rPr>
        <w:t xml:space="preserve"> and </w:t>
      </w:r>
      <w:r w:rsidR="00454B5F">
        <w:rPr>
          <w:rFonts w:cs="Garamond"/>
        </w:rPr>
        <w:t>Other</w:t>
      </w:r>
      <w:r w:rsidR="003546D6" w:rsidRPr="00260D1B">
        <w:rPr>
          <w:rFonts w:cs="Garamond"/>
        </w:rPr>
        <w:t xml:space="preserve"> (2021) found </w:t>
      </w:r>
      <w:r w:rsidR="0015012B" w:rsidRPr="00260D1B">
        <w:rPr>
          <w:rFonts w:cs="Garamond"/>
        </w:rPr>
        <w:t xml:space="preserve">a higher ratio of positive </w:t>
      </w:r>
      <w:r w:rsidR="003C6FE4" w:rsidRPr="00260D1B">
        <w:rPr>
          <w:rFonts w:cs="Garamond"/>
        </w:rPr>
        <w:t>attitude markers</w:t>
      </w:r>
      <w:r w:rsidR="0015012B" w:rsidRPr="00260D1B">
        <w:rPr>
          <w:rFonts w:cs="Garamond"/>
        </w:rPr>
        <w:t xml:space="preserve"> in the Covid-19 papers</w:t>
      </w:r>
      <w:r w:rsidR="003546D6" w:rsidRPr="00260D1B">
        <w:rPr>
          <w:rFonts w:cs="Garamond"/>
        </w:rPr>
        <w:t xml:space="preserve">. </w:t>
      </w:r>
      <w:r w:rsidR="00590524" w:rsidRPr="00260D1B">
        <w:rPr>
          <w:rFonts w:cs="Garamond"/>
        </w:rPr>
        <w:t>Attitude markers</w:t>
      </w:r>
      <w:r w:rsidR="007737CF" w:rsidRPr="00260D1B">
        <w:rPr>
          <w:rFonts w:cs="Garamond"/>
        </w:rPr>
        <w:t xml:space="preserve"> </w:t>
      </w:r>
      <w:r w:rsidR="003546D6" w:rsidRPr="00260D1B">
        <w:rPr>
          <w:rFonts w:cs="Garamond"/>
        </w:rPr>
        <w:t xml:space="preserve">contribute to the promotion of research by </w:t>
      </w:r>
      <w:r w:rsidR="007737CF" w:rsidRPr="00260D1B">
        <w:rPr>
          <w:rFonts w:cs="Garamond"/>
        </w:rPr>
        <w:t>inject</w:t>
      </w:r>
      <w:r w:rsidR="003546D6" w:rsidRPr="00260D1B">
        <w:rPr>
          <w:rFonts w:cs="Garamond"/>
        </w:rPr>
        <w:t>ing</w:t>
      </w:r>
      <w:r w:rsidR="007737CF" w:rsidRPr="00260D1B">
        <w:rPr>
          <w:rFonts w:cs="Garamond"/>
        </w:rPr>
        <w:t xml:space="preserve"> emotional colour into </w:t>
      </w:r>
      <w:r w:rsidR="003546D6" w:rsidRPr="00260D1B">
        <w:rPr>
          <w:rFonts w:cs="Garamond"/>
        </w:rPr>
        <w:t>a</w:t>
      </w:r>
      <w:r w:rsidR="007737CF" w:rsidRPr="00260D1B">
        <w:rPr>
          <w:rFonts w:cs="Garamond"/>
        </w:rPr>
        <w:t xml:space="preserve"> text </w:t>
      </w:r>
      <w:r w:rsidR="003546D6" w:rsidRPr="00260D1B">
        <w:rPr>
          <w:rFonts w:cs="Garamond"/>
        </w:rPr>
        <w:t>to</w:t>
      </w:r>
      <w:r w:rsidR="007737CF" w:rsidRPr="00260D1B">
        <w:rPr>
          <w:rFonts w:cs="Garamond"/>
        </w:rPr>
        <w:t xml:space="preserve"> help highlight the value</w:t>
      </w:r>
      <w:r w:rsidR="003546D6" w:rsidRPr="00260D1B">
        <w:rPr>
          <w:rFonts w:cs="Garamond"/>
        </w:rPr>
        <w:t xml:space="preserve">, significance </w:t>
      </w:r>
      <w:r w:rsidR="007737CF" w:rsidRPr="00260D1B">
        <w:rPr>
          <w:rFonts w:cs="Garamond"/>
        </w:rPr>
        <w:t xml:space="preserve"> </w:t>
      </w:r>
      <w:r w:rsidR="003546D6" w:rsidRPr="00260D1B">
        <w:rPr>
          <w:rFonts w:cs="Garamond"/>
        </w:rPr>
        <w:t xml:space="preserve">and novelty of </w:t>
      </w:r>
      <w:r w:rsidR="007737CF" w:rsidRPr="00260D1B">
        <w:rPr>
          <w:rFonts w:cs="Garamond"/>
        </w:rPr>
        <w:t xml:space="preserve">statements. </w:t>
      </w:r>
    </w:p>
    <w:p w14:paraId="0A7AA655" w14:textId="77777777" w:rsidR="003546D6" w:rsidRPr="00260D1B" w:rsidRDefault="003546D6" w:rsidP="003546D6">
      <w:pPr>
        <w:spacing w:line="360" w:lineRule="auto"/>
        <w:ind w:right="231"/>
        <w:rPr>
          <w:rFonts w:cs="Garamond"/>
        </w:rPr>
      </w:pPr>
    </w:p>
    <w:p w14:paraId="015E6A9A" w14:textId="3A97E38B" w:rsidR="007737CF" w:rsidRPr="00260D1B" w:rsidRDefault="003546D6" w:rsidP="003546D6">
      <w:pPr>
        <w:spacing w:line="360" w:lineRule="auto"/>
        <w:ind w:right="231"/>
        <w:rPr>
          <w:rFonts w:cs="Garamond"/>
        </w:rPr>
      </w:pPr>
      <w:r w:rsidRPr="00260D1B">
        <w:rPr>
          <w:rFonts w:cs="Garamond"/>
        </w:rPr>
        <w:t>I</w:t>
      </w:r>
      <w:r w:rsidR="007737CF" w:rsidRPr="00260D1B">
        <w:rPr>
          <w:rFonts w:cs="Garamond"/>
        </w:rPr>
        <w:t xml:space="preserve">n both </w:t>
      </w:r>
      <w:r w:rsidRPr="00260D1B">
        <w:rPr>
          <w:rFonts w:cs="Garamond"/>
        </w:rPr>
        <w:t>sets of highlights they often work to</w:t>
      </w:r>
      <w:r w:rsidR="007737CF" w:rsidRPr="00260D1B">
        <w:rPr>
          <w:rFonts w:cs="Garamond"/>
        </w:rPr>
        <w:t xml:space="preserve"> strengthen the rationale for conducting the current study, highlight the originality of the research and </w:t>
      </w:r>
      <w:r w:rsidR="00845804" w:rsidRPr="00260D1B">
        <w:rPr>
          <w:rFonts w:cs="Garamond"/>
        </w:rPr>
        <w:t>encourage readers to approach the longer attached text</w:t>
      </w:r>
      <w:r w:rsidR="007737CF" w:rsidRPr="00260D1B">
        <w:rPr>
          <w:rFonts w:cs="Garamond"/>
        </w:rPr>
        <w:t xml:space="preserve">: </w:t>
      </w:r>
    </w:p>
    <w:p w14:paraId="00C78914" w14:textId="6A0D2405" w:rsidR="00F779BE" w:rsidRPr="00260D1B" w:rsidRDefault="007737CF" w:rsidP="005B1B5B">
      <w:pPr>
        <w:spacing w:line="360" w:lineRule="auto"/>
        <w:ind w:left="680" w:right="231"/>
        <w:rPr>
          <w:kern w:val="1"/>
          <w:lang w:val="en-US"/>
        </w:rPr>
      </w:pPr>
      <w:r w:rsidRPr="00260D1B">
        <w:rPr>
          <w:kern w:val="1"/>
          <w:lang w:val="en-US"/>
        </w:rPr>
        <w:t>(</w:t>
      </w:r>
      <w:r w:rsidR="003546D6" w:rsidRPr="00260D1B">
        <w:rPr>
          <w:kern w:val="1"/>
          <w:lang w:val="en-US"/>
        </w:rPr>
        <w:t>30</w:t>
      </w:r>
      <w:r w:rsidRPr="00260D1B">
        <w:rPr>
          <w:kern w:val="1"/>
          <w:lang w:val="en-US"/>
        </w:rPr>
        <w:t>)</w:t>
      </w:r>
      <w:r w:rsidR="00F779BE" w:rsidRPr="00260D1B">
        <w:rPr>
          <w:kern w:val="1"/>
          <w:lang w:val="en-US"/>
        </w:rPr>
        <w:t xml:space="preserve"> </w:t>
      </w:r>
      <w:r w:rsidR="003546D6" w:rsidRPr="00260D1B">
        <w:rPr>
          <w:kern w:val="1"/>
          <w:lang w:val="en-US"/>
        </w:rPr>
        <w:t xml:space="preserve">The results show </w:t>
      </w:r>
      <w:r w:rsidR="003546D6" w:rsidRPr="00260D1B">
        <w:rPr>
          <w:b/>
          <w:bCs/>
          <w:i/>
          <w:iCs/>
          <w:kern w:val="1"/>
          <w:lang w:val="en-US"/>
        </w:rPr>
        <w:t>impressive</w:t>
      </w:r>
      <w:r w:rsidR="003546D6" w:rsidRPr="00260D1B">
        <w:rPr>
          <w:kern w:val="1"/>
          <w:lang w:val="en-US"/>
        </w:rPr>
        <w:t xml:space="preserve"> gains over time. </w:t>
      </w:r>
      <w:r w:rsidR="00F779BE" w:rsidRPr="00260D1B">
        <w:rPr>
          <w:kern w:val="1"/>
          <w:lang w:val="en-US"/>
        </w:rPr>
        <w:t xml:space="preserve">(CH 189) </w:t>
      </w:r>
    </w:p>
    <w:p w14:paraId="46E6750A" w14:textId="01E262EA" w:rsidR="007737CF" w:rsidRPr="00260D1B" w:rsidRDefault="007737CF" w:rsidP="003546D6">
      <w:pPr>
        <w:spacing w:line="276" w:lineRule="auto"/>
        <w:ind w:left="680" w:right="231"/>
        <w:rPr>
          <w:kern w:val="1"/>
          <w:lang w:val="en-US"/>
        </w:rPr>
      </w:pPr>
    </w:p>
    <w:p w14:paraId="2DEE22BE" w14:textId="77777777" w:rsidR="007C6C88" w:rsidRPr="00260D1B" w:rsidRDefault="007737CF" w:rsidP="007C6C88">
      <w:pPr>
        <w:spacing w:line="360" w:lineRule="auto"/>
        <w:ind w:left="680" w:right="231"/>
        <w:rPr>
          <w:kern w:val="1"/>
          <w:lang w:val="en-US"/>
        </w:rPr>
      </w:pPr>
      <w:r w:rsidRPr="00260D1B">
        <w:rPr>
          <w:kern w:val="1"/>
          <w:lang w:val="en-US"/>
        </w:rPr>
        <w:t>(3</w:t>
      </w:r>
      <w:r w:rsidR="003546D6" w:rsidRPr="00260D1B">
        <w:rPr>
          <w:kern w:val="1"/>
          <w:lang w:val="en-US"/>
        </w:rPr>
        <w:t>1</w:t>
      </w:r>
      <w:r w:rsidRPr="00260D1B">
        <w:rPr>
          <w:kern w:val="1"/>
          <w:lang w:val="en-US"/>
        </w:rPr>
        <w:t>)</w:t>
      </w:r>
      <w:r w:rsidR="00F779BE" w:rsidRPr="00260D1B">
        <w:rPr>
          <w:kern w:val="1"/>
          <w:lang w:val="en-US"/>
        </w:rPr>
        <w:t xml:space="preserve"> We present a </w:t>
      </w:r>
      <w:r w:rsidR="00F779BE" w:rsidRPr="00260D1B">
        <w:rPr>
          <w:b/>
          <w:bCs/>
          <w:i/>
          <w:iCs/>
          <w:kern w:val="1"/>
          <w:lang w:val="en-US"/>
        </w:rPr>
        <w:t>novel</w:t>
      </w:r>
      <w:r w:rsidR="00F779BE" w:rsidRPr="00260D1B">
        <w:rPr>
          <w:kern w:val="1"/>
          <w:lang w:val="en-US"/>
        </w:rPr>
        <w:t xml:space="preserve"> method to extract and analyse initial exponential outbreak phase. (CH 233)</w:t>
      </w:r>
    </w:p>
    <w:p w14:paraId="55A68C07" w14:textId="77777777" w:rsidR="007C6C88" w:rsidRPr="00260D1B" w:rsidRDefault="007C6C88" w:rsidP="007C6C88">
      <w:pPr>
        <w:spacing w:line="276" w:lineRule="auto"/>
        <w:ind w:left="680" w:right="231"/>
        <w:rPr>
          <w:kern w:val="1"/>
          <w:lang w:val="en-US"/>
        </w:rPr>
      </w:pPr>
    </w:p>
    <w:p w14:paraId="4D53099D" w14:textId="5247376F" w:rsidR="007C6C88" w:rsidRPr="00260D1B" w:rsidRDefault="007737CF" w:rsidP="007C6C88">
      <w:pPr>
        <w:spacing w:line="360" w:lineRule="auto"/>
        <w:ind w:left="680" w:right="231"/>
        <w:rPr>
          <w:kern w:val="1"/>
          <w:lang w:val="en-US"/>
        </w:rPr>
      </w:pPr>
      <w:r w:rsidRPr="00260D1B">
        <w:rPr>
          <w:kern w:val="1"/>
          <w:lang w:val="en-US"/>
        </w:rPr>
        <w:t>(3</w:t>
      </w:r>
      <w:r w:rsidR="003546D6" w:rsidRPr="00260D1B">
        <w:rPr>
          <w:kern w:val="1"/>
          <w:lang w:val="en-US"/>
        </w:rPr>
        <w:t>2</w:t>
      </w:r>
      <w:r w:rsidRPr="00260D1B">
        <w:rPr>
          <w:kern w:val="1"/>
          <w:lang w:val="en-US"/>
        </w:rPr>
        <w:t>)</w:t>
      </w:r>
      <w:r w:rsidR="00F779BE" w:rsidRPr="00260D1B">
        <w:rPr>
          <w:kern w:val="1"/>
          <w:lang w:val="en-US"/>
        </w:rPr>
        <w:t xml:space="preserve"> </w:t>
      </w:r>
      <w:r w:rsidR="007C6C88" w:rsidRPr="00260D1B">
        <w:rPr>
          <w:rFonts w:eastAsia="SimSun"/>
        </w:rPr>
        <w:t>Among combination indices, </w:t>
      </w:r>
      <w:hyperlink r:id="rId13" w:tooltip="Learn more about NLR from ScienceDirect's AI-generated Topic Pages" w:history="1">
        <w:r w:rsidR="007C6C88" w:rsidRPr="00260D1B">
          <w:rPr>
            <w:rFonts w:eastAsia="SimSun"/>
          </w:rPr>
          <w:t>NLR</w:t>
        </w:r>
      </w:hyperlink>
      <w:r w:rsidR="007C6C88" w:rsidRPr="00260D1B">
        <w:rPr>
          <w:rFonts w:eastAsia="SimSun"/>
        </w:rPr>
        <w:t> combined to </w:t>
      </w:r>
      <w:hyperlink r:id="rId14" w:tooltip="Learn more about CLR from ScienceDirect's AI-generated Topic Pages" w:history="1">
        <w:r w:rsidR="007C6C88" w:rsidRPr="00260D1B">
          <w:rPr>
            <w:rFonts w:eastAsia="SimSun"/>
          </w:rPr>
          <w:t>CLR</w:t>
        </w:r>
      </w:hyperlink>
      <w:r w:rsidR="007C6C88" w:rsidRPr="00260D1B">
        <w:rPr>
          <w:rFonts w:eastAsia="SimSun"/>
        </w:rPr>
        <w:t> </w:t>
      </w:r>
      <w:r w:rsidR="007C6C88" w:rsidRPr="00260D1B">
        <w:rPr>
          <w:rFonts w:eastAsia="SimSun"/>
          <w:u w:val="single"/>
        </w:rPr>
        <w:t>seems the most</w:t>
      </w:r>
      <w:r w:rsidR="007C6C88" w:rsidRPr="00260D1B">
        <w:rPr>
          <w:rFonts w:eastAsia="SimSun"/>
        </w:rPr>
        <w:t xml:space="preserve"> </w:t>
      </w:r>
      <w:r w:rsidR="007C6C88" w:rsidRPr="00260D1B">
        <w:rPr>
          <w:rFonts w:eastAsia="SimSun"/>
          <w:b/>
          <w:bCs/>
          <w:i/>
          <w:iCs/>
        </w:rPr>
        <w:t xml:space="preserve">effective </w:t>
      </w:r>
      <w:r w:rsidR="007C6C88" w:rsidRPr="00260D1B">
        <w:rPr>
          <w:rFonts w:eastAsia="SimSun"/>
        </w:rPr>
        <w:t>to predict COVID-19 outcome. (CH 117)</w:t>
      </w:r>
    </w:p>
    <w:p w14:paraId="2F050295" w14:textId="05A4A67A" w:rsidR="00845804" w:rsidRPr="00260D1B" w:rsidRDefault="00845804" w:rsidP="007C6C88">
      <w:pPr>
        <w:spacing w:line="276" w:lineRule="auto"/>
        <w:ind w:left="680" w:right="231"/>
        <w:rPr>
          <w:rFonts w:eastAsia="SimSun"/>
        </w:rPr>
      </w:pPr>
    </w:p>
    <w:p w14:paraId="1935E56B" w14:textId="6E25D60B" w:rsidR="00845804" w:rsidRPr="00260D1B" w:rsidRDefault="00845804" w:rsidP="00845804">
      <w:pPr>
        <w:spacing w:line="360" w:lineRule="auto"/>
        <w:ind w:left="680" w:right="231"/>
        <w:rPr>
          <w:rFonts w:eastAsia="SimSun"/>
        </w:rPr>
      </w:pPr>
      <w:r w:rsidRPr="00260D1B">
        <w:rPr>
          <w:rFonts w:eastAsia="SimSun"/>
        </w:rPr>
        <w:t xml:space="preserve">(33) </w:t>
      </w:r>
      <w:r w:rsidRPr="00260D1B">
        <w:t xml:space="preserve">HMC is as </w:t>
      </w:r>
      <w:r w:rsidRPr="00260D1B">
        <w:rPr>
          <w:b/>
          <w:bCs/>
          <w:i/>
          <w:iCs/>
        </w:rPr>
        <w:t xml:space="preserve">effective </w:t>
      </w:r>
      <w:r w:rsidRPr="00260D1B">
        <w:t xml:space="preserve">and </w:t>
      </w:r>
      <w:r w:rsidRPr="00260D1B">
        <w:rPr>
          <w:b/>
          <w:bCs/>
          <w:i/>
          <w:iCs/>
        </w:rPr>
        <w:t xml:space="preserve">efficient </w:t>
      </w:r>
      <w:r w:rsidRPr="00260D1B">
        <w:t>as NMS in calibrating highly-constrained transmission rates in age–structured SEIR models. (RH 246)</w:t>
      </w:r>
    </w:p>
    <w:p w14:paraId="78F990D3" w14:textId="77777777" w:rsidR="00845804" w:rsidRPr="00260D1B" w:rsidRDefault="00845804" w:rsidP="00845804">
      <w:pPr>
        <w:spacing w:line="360" w:lineRule="auto"/>
        <w:ind w:left="680" w:right="231"/>
        <w:rPr>
          <w:kern w:val="1"/>
          <w:lang w:val="en-US"/>
        </w:rPr>
      </w:pPr>
    </w:p>
    <w:p w14:paraId="39CD4C38" w14:textId="1DAC73C8" w:rsidR="000A03C9" w:rsidRPr="00260D1B" w:rsidRDefault="008F129D" w:rsidP="005B1B5B">
      <w:pPr>
        <w:spacing w:line="360" w:lineRule="auto"/>
        <w:ind w:right="231"/>
        <w:rPr>
          <w:rFonts w:cs="Garamond"/>
        </w:rPr>
      </w:pPr>
      <w:r w:rsidRPr="00260D1B">
        <w:rPr>
          <w:rFonts w:cs="Garamond"/>
        </w:rPr>
        <w:t>A</w:t>
      </w:r>
      <w:r w:rsidR="00D90349" w:rsidRPr="00260D1B">
        <w:rPr>
          <w:rFonts w:cs="Garamond"/>
        </w:rPr>
        <w:t>ttitude markers</w:t>
      </w:r>
      <w:r w:rsidRPr="00260D1B">
        <w:rPr>
          <w:rFonts w:cs="Garamond"/>
        </w:rPr>
        <w:t xml:space="preserve"> </w:t>
      </w:r>
      <w:r w:rsidR="00D90349" w:rsidRPr="00260D1B">
        <w:rPr>
          <w:rFonts w:cs="Garamond"/>
        </w:rPr>
        <w:t xml:space="preserve">not only </w:t>
      </w:r>
      <w:r w:rsidRPr="00260D1B">
        <w:rPr>
          <w:rFonts w:cs="Garamond"/>
        </w:rPr>
        <w:t xml:space="preserve">help </w:t>
      </w:r>
      <w:r w:rsidR="00D90349" w:rsidRPr="00260D1B">
        <w:rPr>
          <w:rFonts w:cs="Garamond"/>
        </w:rPr>
        <w:t>express the writer’s affective evaluation towards</w:t>
      </w:r>
      <w:r w:rsidRPr="00260D1B">
        <w:rPr>
          <w:rFonts w:cs="Garamond"/>
        </w:rPr>
        <w:t xml:space="preserve"> a proposition but </w:t>
      </w:r>
      <w:r w:rsidR="003546D6" w:rsidRPr="00260D1B">
        <w:rPr>
          <w:rFonts w:cs="Garamond"/>
        </w:rPr>
        <w:t>announce</w:t>
      </w:r>
      <w:r w:rsidR="00D54B8B" w:rsidRPr="00260D1B">
        <w:rPr>
          <w:rFonts w:cs="Garamond"/>
        </w:rPr>
        <w:t xml:space="preserve"> </w:t>
      </w:r>
      <w:r w:rsidRPr="00260D1B">
        <w:rPr>
          <w:rFonts w:cs="Garamond"/>
        </w:rPr>
        <w:t xml:space="preserve">the </w:t>
      </w:r>
      <w:r w:rsidR="00D54B8B" w:rsidRPr="00260D1B">
        <w:rPr>
          <w:rFonts w:cs="Garamond"/>
        </w:rPr>
        <w:t>write</w:t>
      </w:r>
      <w:r w:rsidRPr="00260D1B">
        <w:rPr>
          <w:rFonts w:cs="Garamond"/>
        </w:rPr>
        <w:t xml:space="preserve">’s </w:t>
      </w:r>
      <w:r w:rsidR="00D54B8B" w:rsidRPr="00260D1B">
        <w:rPr>
          <w:rFonts w:cs="Garamond"/>
        </w:rPr>
        <w:t>attitudes in a dialogical way</w:t>
      </w:r>
      <w:r w:rsidR="003546D6" w:rsidRPr="00260D1B">
        <w:rPr>
          <w:rFonts w:cs="Garamond"/>
        </w:rPr>
        <w:t xml:space="preserve">, attempting to </w:t>
      </w:r>
      <w:r w:rsidR="00D54B8B" w:rsidRPr="00260D1B">
        <w:rPr>
          <w:rFonts w:cs="Garamond"/>
        </w:rPr>
        <w:t>align</w:t>
      </w:r>
      <w:r w:rsidR="000A03C9" w:rsidRPr="00260D1B">
        <w:rPr>
          <w:rFonts w:cs="Garamond"/>
        </w:rPr>
        <w:t xml:space="preserve"> </w:t>
      </w:r>
      <w:r w:rsidR="00D54B8B" w:rsidRPr="00260D1B">
        <w:rPr>
          <w:rFonts w:cs="Garamond"/>
        </w:rPr>
        <w:t xml:space="preserve">with </w:t>
      </w:r>
      <w:r w:rsidR="000A03C9" w:rsidRPr="00260D1B">
        <w:rPr>
          <w:rFonts w:cs="Garamond"/>
        </w:rPr>
        <w:t xml:space="preserve">an </w:t>
      </w:r>
      <w:r w:rsidRPr="00260D1B">
        <w:rPr>
          <w:rFonts w:cs="Garamond"/>
        </w:rPr>
        <w:t>audience</w:t>
      </w:r>
      <w:r w:rsidR="000A03C9" w:rsidRPr="00260D1B">
        <w:rPr>
          <w:rFonts w:cs="Garamond"/>
        </w:rPr>
        <w:t xml:space="preserve"> which hopefully see</w:t>
      </w:r>
      <w:r w:rsidR="00DF4F15" w:rsidRPr="00260D1B">
        <w:rPr>
          <w:rFonts w:cs="Garamond"/>
        </w:rPr>
        <w:t>s</w:t>
      </w:r>
      <w:r w:rsidR="000A03C9" w:rsidRPr="00260D1B">
        <w:rPr>
          <w:rFonts w:cs="Garamond"/>
        </w:rPr>
        <w:t xml:space="preserve"> the world in a similar way and understands the sentiment behind the statement. In this respect it both conveys a strong stance and makes an appeal to </w:t>
      </w:r>
      <w:r w:rsidR="00D54B8B" w:rsidRPr="00260D1B">
        <w:rPr>
          <w:rFonts w:cs="Garamond"/>
        </w:rPr>
        <w:t>shared belief</w:t>
      </w:r>
      <w:r w:rsidR="000A03C9" w:rsidRPr="00260D1B">
        <w:rPr>
          <w:rFonts w:cs="Garamond"/>
        </w:rPr>
        <w:t>s</w:t>
      </w:r>
      <w:r w:rsidR="00D54B8B" w:rsidRPr="00260D1B">
        <w:rPr>
          <w:rFonts w:cs="Garamond"/>
        </w:rPr>
        <w:t xml:space="preserve"> and value</w:t>
      </w:r>
      <w:r w:rsidR="000A03C9" w:rsidRPr="00260D1B">
        <w:rPr>
          <w:rFonts w:cs="Garamond"/>
        </w:rPr>
        <w:t>s</w:t>
      </w:r>
      <w:r w:rsidR="00D54B8B" w:rsidRPr="00260D1B">
        <w:rPr>
          <w:rFonts w:cs="Garamond"/>
        </w:rPr>
        <w:t xml:space="preserve"> </w:t>
      </w:r>
      <w:r w:rsidRPr="00260D1B">
        <w:rPr>
          <w:rFonts w:cs="Garamond"/>
        </w:rPr>
        <w:t xml:space="preserve">(Martin &amp; White, 2005). </w:t>
      </w:r>
      <w:r w:rsidR="000A03C9" w:rsidRPr="00260D1B">
        <w:rPr>
          <w:rFonts w:cs="Garamond"/>
        </w:rPr>
        <w:t xml:space="preserve">Once again, this </w:t>
      </w:r>
      <w:r w:rsidR="00DF4F15" w:rsidRPr="00260D1B">
        <w:rPr>
          <w:rFonts w:cs="Garamond"/>
        </w:rPr>
        <w:t>carries</w:t>
      </w:r>
      <w:r w:rsidR="000A03C9" w:rsidRPr="00260D1B">
        <w:rPr>
          <w:rFonts w:cs="Garamond"/>
        </w:rPr>
        <w:t xml:space="preserve"> the urgency of </w:t>
      </w:r>
      <w:r w:rsidR="00DF4F15" w:rsidRPr="00260D1B">
        <w:rPr>
          <w:rFonts w:cs="Garamond"/>
        </w:rPr>
        <w:t>getting on top of the Covid pandemic, but boosts highlight statements t</w:t>
      </w:r>
      <w:r w:rsidR="000A03C9" w:rsidRPr="00260D1B">
        <w:rPr>
          <w:rFonts w:cs="Garamond"/>
        </w:rPr>
        <w:t>hrough an investment of personal commitment</w:t>
      </w:r>
      <w:r w:rsidR="00DF4F15" w:rsidRPr="00260D1B">
        <w:rPr>
          <w:rFonts w:cs="Garamond"/>
        </w:rPr>
        <w:t>:</w:t>
      </w:r>
    </w:p>
    <w:p w14:paraId="3BF524CF" w14:textId="4F7381AD" w:rsidR="00AA1142" w:rsidRPr="00260D1B" w:rsidRDefault="008125F0" w:rsidP="005B1B5B">
      <w:pPr>
        <w:spacing w:line="360" w:lineRule="auto"/>
        <w:ind w:left="680" w:right="231"/>
        <w:rPr>
          <w:kern w:val="1"/>
          <w:lang w:val="en-US"/>
        </w:rPr>
      </w:pPr>
      <w:r w:rsidRPr="00260D1B">
        <w:rPr>
          <w:kern w:val="1"/>
          <w:lang w:val="en-US"/>
        </w:rPr>
        <w:t>(3</w:t>
      </w:r>
      <w:r w:rsidR="00845804" w:rsidRPr="00260D1B">
        <w:rPr>
          <w:kern w:val="1"/>
          <w:lang w:val="en-US"/>
        </w:rPr>
        <w:t>4</w:t>
      </w:r>
      <w:r w:rsidRPr="00260D1B">
        <w:rPr>
          <w:kern w:val="1"/>
          <w:lang w:val="en-US"/>
        </w:rPr>
        <w:t>)</w:t>
      </w:r>
      <w:r w:rsidR="00AA1142" w:rsidRPr="00260D1B">
        <w:rPr>
          <w:kern w:val="1"/>
          <w:lang w:val="en-US"/>
        </w:rPr>
        <w:t xml:space="preserve"> ESR, INR, PT, </w:t>
      </w:r>
      <w:hyperlink r:id="rId15" w:tooltip="Learn more about CRP from ScienceDirect's AI-generated Topic Pages" w:history="1">
        <w:r w:rsidR="00AA1142" w:rsidRPr="00260D1B">
          <w:rPr>
            <w:kern w:val="1"/>
            <w:lang w:val="en-US"/>
          </w:rPr>
          <w:t>CRP</w:t>
        </w:r>
      </w:hyperlink>
      <w:r w:rsidR="00AA1142" w:rsidRPr="00260D1B">
        <w:rPr>
          <w:kern w:val="1"/>
          <w:lang w:val="en-US"/>
        </w:rPr>
        <w:t xml:space="preserve">, D-dimer, Ferritin were </w:t>
      </w:r>
      <w:r w:rsidR="00AA1142" w:rsidRPr="00260D1B">
        <w:rPr>
          <w:kern w:val="1"/>
          <w:u w:val="single"/>
          <w:lang w:val="en-US"/>
        </w:rPr>
        <w:t>the most</w:t>
      </w:r>
      <w:r w:rsidR="00AA1142" w:rsidRPr="00260D1B">
        <w:rPr>
          <w:kern w:val="1"/>
          <w:lang w:val="en-US"/>
        </w:rPr>
        <w:t xml:space="preserve"> </w:t>
      </w:r>
      <w:r w:rsidR="00AA1142" w:rsidRPr="00260D1B">
        <w:rPr>
          <w:b/>
          <w:bCs/>
          <w:i/>
          <w:iCs/>
          <w:kern w:val="1"/>
          <w:lang w:val="en-US"/>
        </w:rPr>
        <w:t xml:space="preserve">effective </w:t>
      </w:r>
      <w:r w:rsidR="00AA1142" w:rsidRPr="00260D1B">
        <w:rPr>
          <w:kern w:val="1"/>
          <w:lang w:val="en-US"/>
        </w:rPr>
        <w:t>mortality biomarkers, respectively. (CH 129)</w:t>
      </w:r>
    </w:p>
    <w:p w14:paraId="318BB11D" w14:textId="4691EEFE" w:rsidR="008125F0" w:rsidRPr="00260D1B" w:rsidRDefault="008125F0" w:rsidP="00845804">
      <w:pPr>
        <w:ind w:left="680" w:right="231"/>
        <w:rPr>
          <w:kern w:val="1"/>
          <w:lang w:val="en-US"/>
        </w:rPr>
      </w:pPr>
    </w:p>
    <w:p w14:paraId="27AAA676" w14:textId="1EEABB7E" w:rsidR="008125F0" w:rsidRPr="00260D1B" w:rsidRDefault="008125F0" w:rsidP="005B1B5B">
      <w:pPr>
        <w:spacing w:line="360" w:lineRule="auto"/>
        <w:ind w:left="680" w:right="231"/>
        <w:rPr>
          <w:kern w:val="1"/>
          <w:lang w:val="en-US"/>
        </w:rPr>
      </w:pPr>
      <w:r w:rsidRPr="00260D1B">
        <w:rPr>
          <w:kern w:val="1"/>
          <w:lang w:val="en-US"/>
        </w:rPr>
        <w:t>(3</w:t>
      </w:r>
      <w:r w:rsidR="00845804" w:rsidRPr="00260D1B">
        <w:rPr>
          <w:kern w:val="1"/>
          <w:lang w:val="en-US"/>
        </w:rPr>
        <w:t>5</w:t>
      </w:r>
      <w:r w:rsidRPr="00260D1B">
        <w:rPr>
          <w:kern w:val="1"/>
          <w:lang w:val="en-US"/>
        </w:rPr>
        <w:t xml:space="preserve">) </w:t>
      </w:r>
      <w:r w:rsidR="00AA1142" w:rsidRPr="00260D1B">
        <w:rPr>
          <w:kern w:val="1"/>
          <w:lang w:val="en-US"/>
        </w:rPr>
        <w:t xml:space="preserve">Derived biomarkers were more </w:t>
      </w:r>
      <w:r w:rsidR="00AA1142" w:rsidRPr="00260D1B">
        <w:rPr>
          <w:b/>
          <w:bCs/>
          <w:i/>
          <w:iCs/>
          <w:kern w:val="1"/>
          <w:lang w:val="en-US"/>
        </w:rPr>
        <w:t>successful</w:t>
      </w:r>
      <w:r w:rsidR="00AA1142" w:rsidRPr="00260D1B">
        <w:rPr>
          <w:kern w:val="1"/>
          <w:lang w:val="en-US"/>
        </w:rPr>
        <w:t xml:space="preserve"> than previously used biomarkers. (CH 140)</w:t>
      </w:r>
    </w:p>
    <w:p w14:paraId="36C8A3EE" w14:textId="77777777" w:rsidR="001B0048" w:rsidRPr="00260D1B" w:rsidRDefault="001B0048" w:rsidP="00845804">
      <w:pPr>
        <w:ind w:right="231"/>
        <w:rPr>
          <w:rFonts w:cs="Garamond"/>
        </w:rPr>
      </w:pPr>
    </w:p>
    <w:p w14:paraId="78DAF219" w14:textId="471EFA78" w:rsidR="007D1A4B" w:rsidRDefault="007D1A4B" w:rsidP="005B1B5B">
      <w:pPr>
        <w:spacing w:line="360" w:lineRule="auto"/>
        <w:ind w:right="231"/>
        <w:rPr>
          <w:rFonts w:cs="Garamond"/>
        </w:rPr>
      </w:pPr>
      <w:r w:rsidRPr="00260D1B">
        <w:rPr>
          <w:rFonts w:cs="Garamond"/>
        </w:rPr>
        <w:t xml:space="preserve">We also identified the most frequently occurring attitude markers in the two corpora. Table 6 shows that “effective” appears at the head of the list for Covid-19 highlights and was more prominent in this corpus. “Key” and “novel” were the most preferred in the reference corpus, with “key” higher compared with the COVID highlights. </w:t>
      </w:r>
    </w:p>
    <w:p w14:paraId="0A7BB4C6" w14:textId="77777777" w:rsidR="00E45045" w:rsidRPr="00260D1B" w:rsidRDefault="00E45045" w:rsidP="005B1B5B">
      <w:pPr>
        <w:spacing w:line="360" w:lineRule="auto"/>
        <w:ind w:right="231"/>
        <w:rPr>
          <w:rFonts w:cs="Garamond"/>
        </w:rPr>
      </w:pPr>
    </w:p>
    <w:p w14:paraId="0C1A8F28" w14:textId="77777777" w:rsidR="00321E65" w:rsidRPr="00260D1B" w:rsidRDefault="00321E65" w:rsidP="00E45045">
      <w:pPr>
        <w:spacing w:line="360" w:lineRule="auto"/>
        <w:ind w:right="232"/>
        <w:rPr>
          <w:rFonts w:cs="Garamond"/>
        </w:rPr>
      </w:pPr>
      <w:r w:rsidRPr="00260D1B">
        <w:rPr>
          <w:rFonts w:cs="Garamond"/>
          <w:b/>
          <w:bCs/>
        </w:rPr>
        <w:t>Table 6</w:t>
      </w:r>
      <w:r w:rsidRPr="00260D1B">
        <w:rPr>
          <w:rFonts w:cs="Garamond"/>
        </w:rPr>
        <w:t>. The most common attitude markers in highlights (per 1000 words and %)</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05"/>
        <w:gridCol w:w="1438"/>
        <w:gridCol w:w="107"/>
        <w:gridCol w:w="886"/>
        <w:gridCol w:w="268"/>
        <w:gridCol w:w="1432"/>
        <w:gridCol w:w="417"/>
        <w:gridCol w:w="1709"/>
        <w:gridCol w:w="111"/>
        <w:gridCol w:w="878"/>
        <w:gridCol w:w="111"/>
      </w:tblGrid>
      <w:tr w:rsidR="00260D1B" w:rsidRPr="00260D1B" w14:paraId="4C971DA2" w14:textId="77777777" w:rsidTr="00EE7953">
        <w:tc>
          <w:tcPr>
            <w:tcW w:w="4522" w:type="dxa"/>
            <w:gridSpan w:val="6"/>
            <w:tcBorders>
              <w:top w:val="single" w:sz="4" w:space="0" w:color="auto"/>
              <w:bottom w:val="single" w:sz="4" w:space="0" w:color="auto"/>
            </w:tcBorders>
          </w:tcPr>
          <w:p w14:paraId="71F2AE85" w14:textId="77777777" w:rsidR="00321E65" w:rsidRPr="00260D1B" w:rsidRDefault="00321E65" w:rsidP="00321E65">
            <w:pPr>
              <w:spacing w:line="276" w:lineRule="auto"/>
              <w:ind w:right="231"/>
              <w:rPr>
                <w:rFonts w:cs="Garamond"/>
                <w:b/>
                <w:bCs/>
              </w:rPr>
            </w:pPr>
            <w:r w:rsidRPr="00260D1B">
              <w:rPr>
                <w:rFonts w:cs="Garamond"/>
                <w:b/>
                <w:bCs/>
              </w:rPr>
              <w:t>COVID-19 highlights</w:t>
            </w:r>
          </w:p>
        </w:tc>
        <w:tc>
          <w:tcPr>
            <w:tcW w:w="4658" w:type="dxa"/>
            <w:gridSpan w:val="6"/>
            <w:tcBorders>
              <w:top w:val="single" w:sz="4" w:space="0" w:color="auto"/>
              <w:bottom w:val="single" w:sz="4" w:space="0" w:color="auto"/>
            </w:tcBorders>
          </w:tcPr>
          <w:p w14:paraId="061E1EFA" w14:textId="77777777" w:rsidR="00321E65" w:rsidRPr="00260D1B" w:rsidRDefault="00321E65" w:rsidP="00321E65">
            <w:pPr>
              <w:spacing w:line="276" w:lineRule="auto"/>
              <w:ind w:right="231"/>
              <w:rPr>
                <w:rFonts w:cs="Garamond"/>
                <w:b/>
                <w:bCs/>
              </w:rPr>
            </w:pPr>
            <w:r w:rsidRPr="00260D1B">
              <w:rPr>
                <w:rFonts w:cs="Garamond"/>
                <w:b/>
                <w:bCs/>
              </w:rPr>
              <w:t>Reference highlights</w:t>
            </w:r>
          </w:p>
        </w:tc>
      </w:tr>
      <w:tr w:rsidR="00260D1B" w:rsidRPr="00260D1B" w14:paraId="43423407" w14:textId="77777777" w:rsidTr="00EE7953">
        <w:trPr>
          <w:gridAfter w:val="1"/>
          <w:wAfter w:w="111" w:type="dxa"/>
        </w:trPr>
        <w:tc>
          <w:tcPr>
            <w:tcW w:w="1418" w:type="dxa"/>
            <w:tcBorders>
              <w:top w:val="single" w:sz="4" w:space="0" w:color="auto"/>
              <w:bottom w:val="single" w:sz="4" w:space="0" w:color="auto"/>
            </w:tcBorders>
          </w:tcPr>
          <w:p w14:paraId="5C58AE43" w14:textId="30285FA4" w:rsidR="00321E65" w:rsidRPr="00260D1B" w:rsidRDefault="00321E65" w:rsidP="00321E65">
            <w:pPr>
              <w:spacing w:line="276" w:lineRule="auto"/>
              <w:ind w:right="231"/>
              <w:rPr>
                <w:rFonts w:cs="Garamond"/>
              </w:rPr>
            </w:pPr>
            <w:r w:rsidRPr="00260D1B">
              <w:rPr>
                <w:rFonts w:cs="Garamond"/>
              </w:rPr>
              <w:t>marker</w:t>
            </w:r>
          </w:p>
        </w:tc>
        <w:tc>
          <w:tcPr>
            <w:tcW w:w="1843" w:type="dxa"/>
            <w:gridSpan w:val="2"/>
            <w:tcBorders>
              <w:top w:val="single" w:sz="4" w:space="0" w:color="auto"/>
              <w:bottom w:val="single" w:sz="4" w:space="0" w:color="auto"/>
            </w:tcBorders>
          </w:tcPr>
          <w:p w14:paraId="51221515" w14:textId="77777777" w:rsidR="00321E65" w:rsidRPr="00260D1B" w:rsidRDefault="00321E65" w:rsidP="00EE7953">
            <w:pPr>
              <w:spacing w:line="276" w:lineRule="auto"/>
              <w:rPr>
                <w:rFonts w:cs="Garamond"/>
              </w:rPr>
            </w:pPr>
            <w:r w:rsidRPr="00260D1B">
              <w:rPr>
                <w:rFonts w:cs="Garamond"/>
              </w:rPr>
              <w:t>per 1,000 words</w:t>
            </w:r>
          </w:p>
        </w:tc>
        <w:tc>
          <w:tcPr>
            <w:tcW w:w="993" w:type="dxa"/>
            <w:gridSpan w:val="2"/>
            <w:tcBorders>
              <w:top w:val="single" w:sz="4" w:space="0" w:color="auto"/>
              <w:bottom w:val="single" w:sz="4" w:space="0" w:color="auto"/>
            </w:tcBorders>
          </w:tcPr>
          <w:p w14:paraId="238FB12E" w14:textId="77777777" w:rsidR="00321E65" w:rsidRPr="00260D1B" w:rsidRDefault="00321E65" w:rsidP="00321E65">
            <w:pPr>
              <w:spacing w:line="276" w:lineRule="auto"/>
              <w:ind w:right="231"/>
              <w:rPr>
                <w:rFonts w:cs="Garamond"/>
              </w:rPr>
            </w:pPr>
            <w:r w:rsidRPr="00260D1B">
              <w:rPr>
                <w:rFonts w:cs="Garamond"/>
              </w:rPr>
              <w:t>%</w:t>
            </w:r>
          </w:p>
        </w:tc>
        <w:tc>
          <w:tcPr>
            <w:tcW w:w="1700" w:type="dxa"/>
            <w:gridSpan w:val="2"/>
            <w:tcBorders>
              <w:top w:val="single" w:sz="4" w:space="0" w:color="auto"/>
              <w:bottom w:val="single" w:sz="4" w:space="0" w:color="auto"/>
            </w:tcBorders>
          </w:tcPr>
          <w:p w14:paraId="5A8CF06D" w14:textId="1DFA8E0E" w:rsidR="00321E65" w:rsidRPr="00260D1B" w:rsidRDefault="00321E65" w:rsidP="00321E65">
            <w:pPr>
              <w:spacing w:line="276" w:lineRule="auto"/>
              <w:ind w:right="231"/>
              <w:rPr>
                <w:rFonts w:cs="Garamond"/>
              </w:rPr>
            </w:pPr>
            <w:r w:rsidRPr="00260D1B">
              <w:rPr>
                <w:rFonts w:cs="Garamond"/>
              </w:rPr>
              <w:t>marker</w:t>
            </w:r>
          </w:p>
        </w:tc>
        <w:tc>
          <w:tcPr>
            <w:tcW w:w="2126" w:type="dxa"/>
            <w:gridSpan w:val="2"/>
            <w:tcBorders>
              <w:top w:val="single" w:sz="4" w:space="0" w:color="auto"/>
              <w:bottom w:val="single" w:sz="4" w:space="0" w:color="auto"/>
            </w:tcBorders>
          </w:tcPr>
          <w:p w14:paraId="6BF060B5" w14:textId="77777777" w:rsidR="00321E65" w:rsidRPr="00260D1B" w:rsidRDefault="00321E65" w:rsidP="00321E65">
            <w:pPr>
              <w:spacing w:line="276" w:lineRule="auto"/>
              <w:ind w:right="231"/>
              <w:rPr>
                <w:rFonts w:cs="Garamond"/>
                <w:b/>
                <w:bCs/>
              </w:rPr>
            </w:pPr>
            <w:r w:rsidRPr="00260D1B">
              <w:rPr>
                <w:rFonts w:cs="Garamond"/>
              </w:rPr>
              <w:t>per 1,000 words</w:t>
            </w:r>
          </w:p>
        </w:tc>
        <w:tc>
          <w:tcPr>
            <w:tcW w:w="989" w:type="dxa"/>
            <w:gridSpan w:val="2"/>
            <w:tcBorders>
              <w:top w:val="single" w:sz="4" w:space="0" w:color="auto"/>
              <w:bottom w:val="single" w:sz="4" w:space="0" w:color="auto"/>
            </w:tcBorders>
          </w:tcPr>
          <w:p w14:paraId="7FBAFB28" w14:textId="77777777" w:rsidR="00321E65" w:rsidRPr="00260D1B" w:rsidRDefault="00321E65" w:rsidP="00321E65">
            <w:pPr>
              <w:spacing w:line="276" w:lineRule="auto"/>
              <w:ind w:right="231"/>
              <w:rPr>
                <w:rFonts w:cs="Garamond"/>
                <w:b/>
                <w:bCs/>
              </w:rPr>
            </w:pPr>
            <w:r w:rsidRPr="00260D1B">
              <w:rPr>
                <w:rFonts w:cs="Garamond"/>
              </w:rPr>
              <w:t>%</w:t>
            </w:r>
          </w:p>
        </w:tc>
      </w:tr>
      <w:tr w:rsidR="00260D1B" w:rsidRPr="00260D1B" w14:paraId="6400BFB9" w14:textId="77777777" w:rsidTr="00EE7953">
        <w:tc>
          <w:tcPr>
            <w:tcW w:w="1823" w:type="dxa"/>
            <w:gridSpan w:val="2"/>
            <w:tcBorders>
              <w:top w:val="single" w:sz="4" w:space="0" w:color="auto"/>
            </w:tcBorders>
          </w:tcPr>
          <w:p w14:paraId="5DD2CC2E" w14:textId="77777777" w:rsidR="00321E65" w:rsidRPr="00260D1B" w:rsidRDefault="00321E65" w:rsidP="00321E65">
            <w:pPr>
              <w:spacing w:line="276" w:lineRule="auto"/>
              <w:ind w:right="231"/>
              <w:rPr>
                <w:rFonts w:cs="Garamond"/>
              </w:rPr>
            </w:pPr>
            <w:r w:rsidRPr="00260D1B">
              <w:rPr>
                <w:rFonts w:cs="Garamond"/>
              </w:rPr>
              <w:t>effective</w:t>
            </w:r>
          </w:p>
        </w:tc>
        <w:tc>
          <w:tcPr>
            <w:tcW w:w="1545" w:type="dxa"/>
            <w:gridSpan w:val="2"/>
            <w:tcBorders>
              <w:top w:val="single" w:sz="4" w:space="0" w:color="auto"/>
            </w:tcBorders>
          </w:tcPr>
          <w:p w14:paraId="7AEFE02B" w14:textId="77777777" w:rsidR="00321E65" w:rsidRPr="00260D1B" w:rsidRDefault="00321E65" w:rsidP="00321E65">
            <w:pPr>
              <w:spacing w:line="276" w:lineRule="auto"/>
              <w:ind w:right="231"/>
              <w:rPr>
                <w:rFonts w:cs="Garamond"/>
              </w:rPr>
            </w:pPr>
            <w:r w:rsidRPr="00260D1B">
              <w:rPr>
                <w:rFonts w:cs="Garamond"/>
              </w:rPr>
              <w:t>1.3</w:t>
            </w:r>
          </w:p>
        </w:tc>
        <w:tc>
          <w:tcPr>
            <w:tcW w:w="1154" w:type="dxa"/>
            <w:gridSpan w:val="2"/>
            <w:tcBorders>
              <w:top w:val="single" w:sz="4" w:space="0" w:color="auto"/>
            </w:tcBorders>
          </w:tcPr>
          <w:p w14:paraId="5F77BB32" w14:textId="77777777" w:rsidR="00321E65" w:rsidRPr="00260D1B" w:rsidRDefault="00321E65" w:rsidP="00321E65">
            <w:pPr>
              <w:spacing w:line="276" w:lineRule="auto"/>
              <w:ind w:right="231"/>
              <w:rPr>
                <w:rFonts w:cs="Garamond"/>
              </w:rPr>
            </w:pPr>
            <w:r w:rsidRPr="00260D1B">
              <w:rPr>
                <w:rFonts w:cs="Garamond"/>
              </w:rPr>
              <w:t>9.4</w:t>
            </w:r>
          </w:p>
        </w:tc>
        <w:tc>
          <w:tcPr>
            <w:tcW w:w="1849" w:type="dxa"/>
            <w:gridSpan w:val="2"/>
            <w:tcBorders>
              <w:top w:val="single" w:sz="4" w:space="0" w:color="auto"/>
            </w:tcBorders>
          </w:tcPr>
          <w:p w14:paraId="0F554475" w14:textId="77777777" w:rsidR="00321E65" w:rsidRPr="00260D1B" w:rsidRDefault="00321E65" w:rsidP="00321E65">
            <w:pPr>
              <w:spacing w:line="276" w:lineRule="auto"/>
              <w:ind w:right="231"/>
              <w:rPr>
                <w:rFonts w:cs="Garamond"/>
              </w:rPr>
            </w:pPr>
            <w:r w:rsidRPr="00260D1B">
              <w:rPr>
                <w:rFonts w:cs="Garamond"/>
              </w:rPr>
              <w:t>key</w:t>
            </w:r>
          </w:p>
        </w:tc>
        <w:tc>
          <w:tcPr>
            <w:tcW w:w="1820" w:type="dxa"/>
            <w:gridSpan w:val="2"/>
            <w:tcBorders>
              <w:top w:val="single" w:sz="4" w:space="0" w:color="auto"/>
            </w:tcBorders>
          </w:tcPr>
          <w:p w14:paraId="5530076E" w14:textId="77777777" w:rsidR="00321E65" w:rsidRPr="00260D1B" w:rsidRDefault="00321E65" w:rsidP="00321E65">
            <w:pPr>
              <w:spacing w:line="276" w:lineRule="auto"/>
              <w:ind w:right="231"/>
              <w:rPr>
                <w:rFonts w:cs="Garamond"/>
              </w:rPr>
            </w:pPr>
            <w:r w:rsidRPr="00260D1B">
              <w:rPr>
                <w:rFonts w:cs="Garamond"/>
              </w:rPr>
              <w:t>0.9</w:t>
            </w:r>
          </w:p>
        </w:tc>
        <w:tc>
          <w:tcPr>
            <w:tcW w:w="989" w:type="dxa"/>
            <w:gridSpan w:val="2"/>
            <w:tcBorders>
              <w:top w:val="single" w:sz="4" w:space="0" w:color="auto"/>
            </w:tcBorders>
          </w:tcPr>
          <w:p w14:paraId="2E99F961" w14:textId="77777777" w:rsidR="00321E65" w:rsidRPr="00260D1B" w:rsidRDefault="00321E65" w:rsidP="00321E65">
            <w:pPr>
              <w:spacing w:line="276" w:lineRule="auto"/>
              <w:ind w:right="231"/>
              <w:rPr>
                <w:rFonts w:cs="Garamond"/>
              </w:rPr>
            </w:pPr>
            <w:r w:rsidRPr="00260D1B">
              <w:rPr>
                <w:rFonts w:cs="Garamond"/>
              </w:rPr>
              <w:t>7.5</w:t>
            </w:r>
          </w:p>
        </w:tc>
      </w:tr>
      <w:tr w:rsidR="00260D1B" w:rsidRPr="00260D1B" w14:paraId="43C98B0A" w14:textId="77777777" w:rsidTr="00EE7953">
        <w:tc>
          <w:tcPr>
            <w:tcW w:w="1823" w:type="dxa"/>
            <w:gridSpan w:val="2"/>
          </w:tcPr>
          <w:p w14:paraId="0BC812F9" w14:textId="77777777" w:rsidR="00321E65" w:rsidRPr="00260D1B" w:rsidRDefault="00321E65" w:rsidP="00321E65">
            <w:pPr>
              <w:spacing w:line="276" w:lineRule="auto"/>
              <w:ind w:right="231"/>
              <w:rPr>
                <w:rFonts w:cs="Garamond"/>
              </w:rPr>
            </w:pPr>
            <w:r w:rsidRPr="00260D1B">
              <w:rPr>
                <w:rFonts w:cs="Garamond"/>
              </w:rPr>
              <w:t>important</w:t>
            </w:r>
          </w:p>
        </w:tc>
        <w:tc>
          <w:tcPr>
            <w:tcW w:w="1545" w:type="dxa"/>
            <w:gridSpan w:val="2"/>
          </w:tcPr>
          <w:p w14:paraId="158C8A1D" w14:textId="77777777" w:rsidR="00321E65" w:rsidRPr="00260D1B" w:rsidRDefault="00321E65" w:rsidP="00321E65">
            <w:pPr>
              <w:spacing w:line="276" w:lineRule="auto"/>
              <w:ind w:right="231"/>
              <w:rPr>
                <w:rFonts w:cs="Garamond"/>
              </w:rPr>
            </w:pPr>
            <w:r w:rsidRPr="00260D1B">
              <w:rPr>
                <w:rFonts w:cs="Garamond"/>
              </w:rPr>
              <w:t>0.8</w:t>
            </w:r>
          </w:p>
        </w:tc>
        <w:tc>
          <w:tcPr>
            <w:tcW w:w="1154" w:type="dxa"/>
            <w:gridSpan w:val="2"/>
          </w:tcPr>
          <w:p w14:paraId="4B9B4217" w14:textId="77777777" w:rsidR="00321E65" w:rsidRPr="00260D1B" w:rsidRDefault="00321E65" w:rsidP="00321E65">
            <w:pPr>
              <w:spacing w:line="276" w:lineRule="auto"/>
              <w:ind w:right="231"/>
              <w:rPr>
                <w:rFonts w:cs="Garamond"/>
              </w:rPr>
            </w:pPr>
            <w:r w:rsidRPr="00260D1B">
              <w:rPr>
                <w:rFonts w:cs="Garamond"/>
              </w:rPr>
              <w:t>6.3</w:t>
            </w:r>
          </w:p>
        </w:tc>
        <w:tc>
          <w:tcPr>
            <w:tcW w:w="1849" w:type="dxa"/>
            <w:gridSpan w:val="2"/>
          </w:tcPr>
          <w:p w14:paraId="1E43581B" w14:textId="77777777" w:rsidR="00321E65" w:rsidRPr="00260D1B" w:rsidRDefault="00321E65" w:rsidP="00321E65">
            <w:pPr>
              <w:spacing w:line="276" w:lineRule="auto"/>
              <w:ind w:right="231"/>
              <w:rPr>
                <w:rFonts w:cs="Garamond"/>
              </w:rPr>
            </w:pPr>
            <w:r w:rsidRPr="00260D1B">
              <w:rPr>
                <w:rFonts w:cs="Garamond"/>
              </w:rPr>
              <w:t>novel</w:t>
            </w:r>
          </w:p>
        </w:tc>
        <w:tc>
          <w:tcPr>
            <w:tcW w:w="1820" w:type="dxa"/>
            <w:gridSpan w:val="2"/>
          </w:tcPr>
          <w:p w14:paraId="1897BEEE" w14:textId="77777777" w:rsidR="00321E65" w:rsidRPr="00260D1B" w:rsidRDefault="00321E65" w:rsidP="00321E65">
            <w:pPr>
              <w:spacing w:line="276" w:lineRule="auto"/>
              <w:ind w:right="231"/>
              <w:rPr>
                <w:rFonts w:cs="Garamond"/>
              </w:rPr>
            </w:pPr>
            <w:r w:rsidRPr="00260D1B">
              <w:rPr>
                <w:rFonts w:cs="Garamond"/>
              </w:rPr>
              <w:t>0.9</w:t>
            </w:r>
          </w:p>
        </w:tc>
        <w:tc>
          <w:tcPr>
            <w:tcW w:w="989" w:type="dxa"/>
            <w:gridSpan w:val="2"/>
          </w:tcPr>
          <w:p w14:paraId="10847001" w14:textId="77777777" w:rsidR="00321E65" w:rsidRPr="00260D1B" w:rsidRDefault="00321E65" w:rsidP="00321E65">
            <w:pPr>
              <w:spacing w:line="276" w:lineRule="auto"/>
              <w:ind w:right="231"/>
              <w:rPr>
                <w:rFonts w:cs="Garamond"/>
              </w:rPr>
            </w:pPr>
            <w:r w:rsidRPr="00260D1B">
              <w:rPr>
                <w:rFonts w:cs="Garamond"/>
              </w:rPr>
              <w:t>7.5</w:t>
            </w:r>
          </w:p>
        </w:tc>
      </w:tr>
      <w:tr w:rsidR="00260D1B" w:rsidRPr="00260D1B" w14:paraId="29EF1C1C" w14:textId="77777777" w:rsidTr="00EE7953">
        <w:tc>
          <w:tcPr>
            <w:tcW w:w="1823" w:type="dxa"/>
            <w:gridSpan w:val="2"/>
          </w:tcPr>
          <w:p w14:paraId="25E7CCB6" w14:textId="77777777" w:rsidR="00321E65" w:rsidRPr="00260D1B" w:rsidRDefault="00321E65" w:rsidP="00321E65">
            <w:pPr>
              <w:spacing w:line="276" w:lineRule="auto"/>
              <w:ind w:right="231"/>
              <w:rPr>
                <w:rFonts w:cs="Garamond"/>
              </w:rPr>
            </w:pPr>
            <w:r w:rsidRPr="00260D1B">
              <w:rPr>
                <w:rFonts w:cs="Garamond"/>
              </w:rPr>
              <w:t>novel</w:t>
            </w:r>
          </w:p>
        </w:tc>
        <w:tc>
          <w:tcPr>
            <w:tcW w:w="1545" w:type="dxa"/>
            <w:gridSpan w:val="2"/>
          </w:tcPr>
          <w:p w14:paraId="48A51FEF" w14:textId="1F1AAEA0" w:rsidR="00321E65" w:rsidRPr="00260D1B" w:rsidRDefault="00321E65" w:rsidP="00321E65">
            <w:pPr>
              <w:spacing w:line="276" w:lineRule="auto"/>
              <w:ind w:right="231"/>
              <w:rPr>
                <w:rFonts w:cs="Garamond"/>
              </w:rPr>
            </w:pPr>
            <w:r w:rsidRPr="00260D1B">
              <w:rPr>
                <w:rFonts w:cs="Garamond"/>
              </w:rPr>
              <w:t>0.8</w:t>
            </w:r>
          </w:p>
        </w:tc>
        <w:tc>
          <w:tcPr>
            <w:tcW w:w="1154" w:type="dxa"/>
            <w:gridSpan w:val="2"/>
          </w:tcPr>
          <w:p w14:paraId="01C6E80C" w14:textId="77777777" w:rsidR="00321E65" w:rsidRPr="00260D1B" w:rsidRDefault="00321E65" w:rsidP="00321E65">
            <w:pPr>
              <w:spacing w:line="276" w:lineRule="auto"/>
              <w:ind w:right="231"/>
              <w:rPr>
                <w:rFonts w:cs="Garamond"/>
              </w:rPr>
            </w:pPr>
            <w:r w:rsidRPr="00260D1B">
              <w:rPr>
                <w:rFonts w:cs="Garamond"/>
              </w:rPr>
              <w:t>5.8</w:t>
            </w:r>
          </w:p>
        </w:tc>
        <w:tc>
          <w:tcPr>
            <w:tcW w:w="1849" w:type="dxa"/>
            <w:gridSpan w:val="2"/>
          </w:tcPr>
          <w:p w14:paraId="46C0CE21" w14:textId="77777777" w:rsidR="00321E65" w:rsidRPr="00260D1B" w:rsidRDefault="00321E65" w:rsidP="00321E65">
            <w:pPr>
              <w:spacing w:line="276" w:lineRule="auto"/>
              <w:ind w:right="231"/>
              <w:rPr>
                <w:rFonts w:cs="Garamond"/>
              </w:rPr>
            </w:pPr>
            <w:r w:rsidRPr="00260D1B">
              <w:rPr>
                <w:rFonts w:cs="Garamond"/>
              </w:rPr>
              <w:t>new</w:t>
            </w:r>
          </w:p>
        </w:tc>
        <w:tc>
          <w:tcPr>
            <w:tcW w:w="1820" w:type="dxa"/>
            <w:gridSpan w:val="2"/>
          </w:tcPr>
          <w:p w14:paraId="6DB0A38D" w14:textId="77777777" w:rsidR="00321E65" w:rsidRPr="00260D1B" w:rsidRDefault="00321E65" w:rsidP="00321E65">
            <w:pPr>
              <w:spacing w:line="276" w:lineRule="auto"/>
              <w:ind w:right="231"/>
              <w:rPr>
                <w:rFonts w:cs="Garamond"/>
              </w:rPr>
            </w:pPr>
            <w:r w:rsidRPr="00260D1B">
              <w:rPr>
                <w:rFonts w:cs="Garamond"/>
              </w:rPr>
              <w:t>0.9</w:t>
            </w:r>
          </w:p>
        </w:tc>
        <w:tc>
          <w:tcPr>
            <w:tcW w:w="989" w:type="dxa"/>
            <w:gridSpan w:val="2"/>
          </w:tcPr>
          <w:p w14:paraId="2C7F47B8" w14:textId="77777777" w:rsidR="00321E65" w:rsidRPr="00260D1B" w:rsidRDefault="00321E65" w:rsidP="00321E65">
            <w:pPr>
              <w:spacing w:line="276" w:lineRule="auto"/>
              <w:ind w:right="231"/>
              <w:rPr>
                <w:rFonts w:cs="Garamond"/>
              </w:rPr>
            </w:pPr>
            <w:r w:rsidRPr="00260D1B">
              <w:rPr>
                <w:rFonts w:cs="Garamond"/>
              </w:rPr>
              <w:t>7.0</w:t>
            </w:r>
          </w:p>
        </w:tc>
      </w:tr>
      <w:tr w:rsidR="00260D1B" w:rsidRPr="00260D1B" w14:paraId="14B62C10" w14:textId="77777777" w:rsidTr="00EE7953">
        <w:tc>
          <w:tcPr>
            <w:tcW w:w="1823" w:type="dxa"/>
            <w:gridSpan w:val="2"/>
          </w:tcPr>
          <w:p w14:paraId="551635D6" w14:textId="77777777" w:rsidR="00321E65" w:rsidRPr="00260D1B" w:rsidRDefault="00321E65" w:rsidP="00321E65">
            <w:pPr>
              <w:spacing w:line="276" w:lineRule="auto"/>
              <w:ind w:right="231"/>
              <w:rPr>
                <w:rFonts w:cs="Garamond"/>
              </w:rPr>
            </w:pPr>
            <w:r w:rsidRPr="00260D1B">
              <w:rPr>
                <w:rFonts w:cs="Garamond"/>
              </w:rPr>
              <w:t>significant</w:t>
            </w:r>
          </w:p>
        </w:tc>
        <w:tc>
          <w:tcPr>
            <w:tcW w:w="1545" w:type="dxa"/>
            <w:gridSpan w:val="2"/>
          </w:tcPr>
          <w:p w14:paraId="501C4083" w14:textId="77777777" w:rsidR="00321E65" w:rsidRPr="00260D1B" w:rsidRDefault="00321E65" w:rsidP="00321E65">
            <w:pPr>
              <w:spacing w:line="276" w:lineRule="auto"/>
              <w:ind w:right="231"/>
              <w:rPr>
                <w:rFonts w:cs="Garamond"/>
              </w:rPr>
            </w:pPr>
            <w:r w:rsidRPr="00260D1B">
              <w:rPr>
                <w:rFonts w:cs="Garamond"/>
              </w:rPr>
              <w:t>0.8</w:t>
            </w:r>
          </w:p>
        </w:tc>
        <w:tc>
          <w:tcPr>
            <w:tcW w:w="1154" w:type="dxa"/>
            <w:gridSpan w:val="2"/>
          </w:tcPr>
          <w:p w14:paraId="66E3BF66" w14:textId="77777777" w:rsidR="00321E65" w:rsidRPr="00260D1B" w:rsidRDefault="00321E65" w:rsidP="00321E65">
            <w:pPr>
              <w:spacing w:line="276" w:lineRule="auto"/>
              <w:ind w:right="231"/>
              <w:rPr>
                <w:rFonts w:cs="Garamond"/>
              </w:rPr>
            </w:pPr>
            <w:r w:rsidRPr="00260D1B">
              <w:rPr>
                <w:rFonts w:cs="Garamond"/>
              </w:rPr>
              <w:t>5.8</w:t>
            </w:r>
          </w:p>
        </w:tc>
        <w:tc>
          <w:tcPr>
            <w:tcW w:w="1849" w:type="dxa"/>
            <w:gridSpan w:val="2"/>
          </w:tcPr>
          <w:p w14:paraId="4A3295C7" w14:textId="77777777" w:rsidR="00321E65" w:rsidRPr="00260D1B" w:rsidRDefault="00321E65" w:rsidP="00321E65">
            <w:pPr>
              <w:spacing w:line="276" w:lineRule="auto"/>
              <w:ind w:right="231"/>
              <w:rPr>
                <w:rFonts w:cs="Garamond"/>
              </w:rPr>
            </w:pPr>
            <w:r w:rsidRPr="00260D1B">
              <w:rPr>
                <w:rFonts w:cs="Garamond"/>
              </w:rPr>
              <w:t>important</w:t>
            </w:r>
          </w:p>
        </w:tc>
        <w:tc>
          <w:tcPr>
            <w:tcW w:w="1820" w:type="dxa"/>
            <w:gridSpan w:val="2"/>
          </w:tcPr>
          <w:p w14:paraId="11A8D873" w14:textId="77777777" w:rsidR="00321E65" w:rsidRPr="00260D1B" w:rsidRDefault="00321E65" w:rsidP="00321E65">
            <w:pPr>
              <w:spacing w:line="276" w:lineRule="auto"/>
              <w:ind w:right="231"/>
              <w:rPr>
                <w:rFonts w:cs="Garamond"/>
              </w:rPr>
            </w:pPr>
            <w:r w:rsidRPr="00260D1B">
              <w:rPr>
                <w:rFonts w:cs="Garamond"/>
              </w:rPr>
              <w:t>0.7</w:t>
            </w:r>
          </w:p>
        </w:tc>
        <w:tc>
          <w:tcPr>
            <w:tcW w:w="989" w:type="dxa"/>
            <w:gridSpan w:val="2"/>
          </w:tcPr>
          <w:p w14:paraId="15846F80" w14:textId="77777777" w:rsidR="00321E65" w:rsidRPr="00260D1B" w:rsidRDefault="00321E65" w:rsidP="00321E65">
            <w:pPr>
              <w:spacing w:line="276" w:lineRule="auto"/>
              <w:ind w:right="231"/>
              <w:rPr>
                <w:rFonts w:cs="Garamond"/>
              </w:rPr>
            </w:pPr>
            <w:r w:rsidRPr="00260D1B">
              <w:rPr>
                <w:rFonts w:cs="Garamond"/>
              </w:rPr>
              <w:t>5.4</w:t>
            </w:r>
          </w:p>
        </w:tc>
      </w:tr>
      <w:tr w:rsidR="00260D1B" w:rsidRPr="00260D1B" w14:paraId="69F24A10" w14:textId="77777777" w:rsidTr="00EE7953">
        <w:tc>
          <w:tcPr>
            <w:tcW w:w="1823" w:type="dxa"/>
            <w:gridSpan w:val="2"/>
          </w:tcPr>
          <w:p w14:paraId="2BC51BE2" w14:textId="77777777" w:rsidR="00321E65" w:rsidRPr="00260D1B" w:rsidRDefault="00321E65" w:rsidP="00321E65">
            <w:pPr>
              <w:spacing w:line="276" w:lineRule="auto"/>
              <w:ind w:right="231"/>
              <w:rPr>
                <w:rFonts w:cs="Garamond"/>
              </w:rPr>
            </w:pPr>
            <w:r w:rsidRPr="00260D1B">
              <w:rPr>
                <w:rFonts w:cs="Garamond"/>
              </w:rPr>
              <w:t>limited</w:t>
            </w:r>
          </w:p>
        </w:tc>
        <w:tc>
          <w:tcPr>
            <w:tcW w:w="1545" w:type="dxa"/>
            <w:gridSpan w:val="2"/>
          </w:tcPr>
          <w:p w14:paraId="43CB7E2D" w14:textId="77777777" w:rsidR="00321E65" w:rsidRPr="00260D1B" w:rsidRDefault="00321E65" w:rsidP="00321E65">
            <w:pPr>
              <w:spacing w:line="276" w:lineRule="auto"/>
              <w:ind w:right="231"/>
              <w:rPr>
                <w:rFonts w:cs="Garamond"/>
              </w:rPr>
            </w:pPr>
            <w:r w:rsidRPr="00260D1B">
              <w:rPr>
                <w:rFonts w:cs="Garamond"/>
              </w:rPr>
              <w:t>0.7</w:t>
            </w:r>
          </w:p>
        </w:tc>
        <w:tc>
          <w:tcPr>
            <w:tcW w:w="1154" w:type="dxa"/>
            <w:gridSpan w:val="2"/>
          </w:tcPr>
          <w:p w14:paraId="70B44C5A" w14:textId="77777777" w:rsidR="00321E65" w:rsidRPr="00260D1B" w:rsidRDefault="00321E65" w:rsidP="00321E65">
            <w:pPr>
              <w:spacing w:line="276" w:lineRule="auto"/>
              <w:ind w:right="231"/>
              <w:rPr>
                <w:rFonts w:cs="Garamond"/>
              </w:rPr>
            </w:pPr>
            <w:r w:rsidRPr="00260D1B">
              <w:rPr>
                <w:rFonts w:cs="Garamond"/>
              </w:rPr>
              <w:t>4.9</w:t>
            </w:r>
          </w:p>
        </w:tc>
        <w:tc>
          <w:tcPr>
            <w:tcW w:w="1849" w:type="dxa"/>
            <w:gridSpan w:val="2"/>
          </w:tcPr>
          <w:p w14:paraId="4FE207E3" w14:textId="77777777" w:rsidR="00321E65" w:rsidRPr="00260D1B" w:rsidRDefault="00321E65" w:rsidP="00321E65">
            <w:pPr>
              <w:spacing w:line="276" w:lineRule="auto"/>
              <w:ind w:right="231"/>
              <w:rPr>
                <w:rFonts w:cs="Garamond"/>
              </w:rPr>
            </w:pPr>
            <w:r w:rsidRPr="00260D1B">
              <w:rPr>
                <w:rFonts w:cs="Garamond"/>
              </w:rPr>
              <w:t>good</w:t>
            </w:r>
          </w:p>
        </w:tc>
        <w:tc>
          <w:tcPr>
            <w:tcW w:w="1820" w:type="dxa"/>
            <w:gridSpan w:val="2"/>
          </w:tcPr>
          <w:p w14:paraId="2D557E96" w14:textId="77777777" w:rsidR="00321E65" w:rsidRPr="00260D1B" w:rsidRDefault="00321E65" w:rsidP="00321E65">
            <w:pPr>
              <w:spacing w:line="276" w:lineRule="auto"/>
              <w:ind w:right="231"/>
              <w:rPr>
                <w:rFonts w:cs="Garamond"/>
              </w:rPr>
            </w:pPr>
            <w:r w:rsidRPr="00260D1B">
              <w:rPr>
                <w:rFonts w:cs="Garamond"/>
              </w:rPr>
              <w:t>0.5</w:t>
            </w:r>
          </w:p>
        </w:tc>
        <w:tc>
          <w:tcPr>
            <w:tcW w:w="989" w:type="dxa"/>
            <w:gridSpan w:val="2"/>
          </w:tcPr>
          <w:p w14:paraId="43E60248" w14:textId="77777777" w:rsidR="00321E65" w:rsidRPr="00260D1B" w:rsidRDefault="00321E65" w:rsidP="00321E65">
            <w:pPr>
              <w:spacing w:line="276" w:lineRule="auto"/>
              <w:ind w:right="231"/>
              <w:rPr>
                <w:rFonts w:cs="Garamond"/>
              </w:rPr>
            </w:pPr>
            <w:r w:rsidRPr="00260D1B">
              <w:rPr>
                <w:rFonts w:cs="Garamond"/>
              </w:rPr>
              <w:t>4.3</w:t>
            </w:r>
          </w:p>
        </w:tc>
      </w:tr>
      <w:tr w:rsidR="00260D1B" w:rsidRPr="00260D1B" w14:paraId="34A2872F" w14:textId="77777777" w:rsidTr="00EE7953">
        <w:tc>
          <w:tcPr>
            <w:tcW w:w="1823" w:type="dxa"/>
            <w:gridSpan w:val="2"/>
          </w:tcPr>
          <w:p w14:paraId="0F1033B6" w14:textId="77777777" w:rsidR="00321E65" w:rsidRPr="00260D1B" w:rsidRDefault="00321E65" w:rsidP="00321E65">
            <w:pPr>
              <w:spacing w:line="276" w:lineRule="auto"/>
              <w:ind w:right="231"/>
              <w:rPr>
                <w:rFonts w:cs="Garamond"/>
              </w:rPr>
            </w:pPr>
            <w:r w:rsidRPr="00260D1B">
              <w:rPr>
                <w:rFonts w:cs="Garamond"/>
              </w:rPr>
              <w:t>positive</w:t>
            </w:r>
          </w:p>
        </w:tc>
        <w:tc>
          <w:tcPr>
            <w:tcW w:w="1545" w:type="dxa"/>
            <w:gridSpan w:val="2"/>
          </w:tcPr>
          <w:p w14:paraId="7B9C962B" w14:textId="77777777" w:rsidR="00321E65" w:rsidRPr="00260D1B" w:rsidRDefault="00321E65" w:rsidP="00321E65">
            <w:pPr>
              <w:spacing w:line="276" w:lineRule="auto"/>
              <w:ind w:right="231"/>
              <w:rPr>
                <w:rFonts w:cs="Garamond"/>
              </w:rPr>
            </w:pPr>
            <w:r w:rsidRPr="00260D1B">
              <w:rPr>
                <w:rFonts w:cs="Garamond"/>
              </w:rPr>
              <w:t>0.6</w:t>
            </w:r>
          </w:p>
        </w:tc>
        <w:tc>
          <w:tcPr>
            <w:tcW w:w="1154" w:type="dxa"/>
            <w:gridSpan w:val="2"/>
          </w:tcPr>
          <w:p w14:paraId="4139F3A5" w14:textId="77777777" w:rsidR="00321E65" w:rsidRPr="00260D1B" w:rsidRDefault="00321E65" w:rsidP="00321E65">
            <w:pPr>
              <w:spacing w:line="276" w:lineRule="auto"/>
              <w:ind w:right="231"/>
              <w:rPr>
                <w:rFonts w:cs="Garamond"/>
              </w:rPr>
            </w:pPr>
            <w:r w:rsidRPr="00260D1B">
              <w:rPr>
                <w:rFonts w:cs="Garamond"/>
              </w:rPr>
              <w:t>4.5</w:t>
            </w:r>
          </w:p>
        </w:tc>
        <w:tc>
          <w:tcPr>
            <w:tcW w:w="1849" w:type="dxa"/>
            <w:gridSpan w:val="2"/>
          </w:tcPr>
          <w:p w14:paraId="6744DCE0" w14:textId="77777777" w:rsidR="00321E65" w:rsidRPr="00260D1B" w:rsidRDefault="00321E65" w:rsidP="00321E65">
            <w:pPr>
              <w:spacing w:line="276" w:lineRule="auto"/>
              <w:ind w:right="231"/>
              <w:rPr>
                <w:rFonts w:cs="Garamond"/>
              </w:rPr>
            </w:pPr>
            <w:r w:rsidRPr="00260D1B">
              <w:rPr>
                <w:rFonts w:cs="Garamond"/>
              </w:rPr>
              <w:t>effective</w:t>
            </w:r>
          </w:p>
        </w:tc>
        <w:tc>
          <w:tcPr>
            <w:tcW w:w="1820" w:type="dxa"/>
            <w:gridSpan w:val="2"/>
          </w:tcPr>
          <w:p w14:paraId="57DA78B5" w14:textId="77777777" w:rsidR="00321E65" w:rsidRPr="00260D1B" w:rsidRDefault="00321E65" w:rsidP="00321E65">
            <w:pPr>
              <w:spacing w:line="276" w:lineRule="auto"/>
              <w:ind w:right="231"/>
              <w:rPr>
                <w:rFonts w:cs="Garamond"/>
              </w:rPr>
            </w:pPr>
            <w:r w:rsidRPr="00260D1B">
              <w:rPr>
                <w:rFonts w:cs="Garamond"/>
              </w:rPr>
              <w:t>0.5</w:t>
            </w:r>
          </w:p>
        </w:tc>
        <w:tc>
          <w:tcPr>
            <w:tcW w:w="989" w:type="dxa"/>
            <w:gridSpan w:val="2"/>
          </w:tcPr>
          <w:p w14:paraId="735590D7" w14:textId="77777777" w:rsidR="00321E65" w:rsidRPr="00260D1B" w:rsidRDefault="00321E65" w:rsidP="00321E65">
            <w:pPr>
              <w:spacing w:line="276" w:lineRule="auto"/>
              <w:ind w:right="231"/>
              <w:rPr>
                <w:rFonts w:cs="Garamond"/>
              </w:rPr>
            </w:pPr>
            <w:r w:rsidRPr="00260D1B">
              <w:rPr>
                <w:rFonts w:cs="Garamond"/>
              </w:rPr>
              <w:t>3.8</w:t>
            </w:r>
          </w:p>
        </w:tc>
      </w:tr>
      <w:tr w:rsidR="00260D1B" w:rsidRPr="00260D1B" w14:paraId="3F36EB3E" w14:textId="77777777" w:rsidTr="00EE7953">
        <w:tc>
          <w:tcPr>
            <w:tcW w:w="1823" w:type="dxa"/>
            <w:gridSpan w:val="2"/>
          </w:tcPr>
          <w:p w14:paraId="5A28F24F" w14:textId="77777777" w:rsidR="00321E65" w:rsidRPr="00260D1B" w:rsidRDefault="00321E65" w:rsidP="00321E65">
            <w:pPr>
              <w:spacing w:line="276" w:lineRule="auto"/>
              <w:ind w:right="231"/>
              <w:rPr>
                <w:rFonts w:cs="Garamond"/>
              </w:rPr>
            </w:pPr>
            <w:r w:rsidRPr="00260D1B">
              <w:rPr>
                <w:rFonts w:cs="Garamond"/>
              </w:rPr>
              <w:t>critical</w:t>
            </w:r>
          </w:p>
        </w:tc>
        <w:tc>
          <w:tcPr>
            <w:tcW w:w="1545" w:type="dxa"/>
            <w:gridSpan w:val="2"/>
          </w:tcPr>
          <w:p w14:paraId="6FE4B18A" w14:textId="77777777" w:rsidR="00321E65" w:rsidRPr="00260D1B" w:rsidRDefault="00321E65" w:rsidP="00321E65">
            <w:pPr>
              <w:spacing w:line="276" w:lineRule="auto"/>
              <w:ind w:right="231"/>
              <w:rPr>
                <w:rFonts w:cs="Garamond"/>
              </w:rPr>
            </w:pPr>
            <w:r w:rsidRPr="00260D1B">
              <w:rPr>
                <w:rFonts w:cs="Garamond"/>
              </w:rPr>
              <w:t>0.5</w:t>
            </w:r>
          </w:p>
        </w:tc>
        <w:tc>
          <w:tcPr>
            <w:tcW w:w="1154" w:type="dxa"/>
            <w:gridSpan w:val="2"/>
          </w:tcPr>
          <w:p w14:paraId="337BEA1A" w14:textId="77777777" w:rsidR="00321E65" w:rsidRPr="00260D1B" w:rsidRDefault="00321E65" w:rsidP="00321E65">
            <w:pPr>
              <w:spacing w:line="276" w:lineRule="auto"/>
              <w:ind w:right="231"/>
              <w:rPr>
                <w:rFonts w:cs="Garamond"/>
              </w:rPr>
            </w:pPr>
            <w:r w:rsidRPr="00260D1B">
              <w:rPr>
                <w:rFonts w:cs="Garamond"/>
              </w:rPr>
              <w:t>4.0</w:t>
            </w:r>
          </w:p>
        </w:tc>
        <w:tc>
          <w:tcPr>
            <w:tcW w:w="1849" w:type="dxa"/>
            <w:gridSpan w:val="2"/>
          </w:tcPr>
          <w:p w14:paraId="33D0C1BC" w14:textId="77777777" w:rsidR="00321E65" w:rsidRPr="00260D1B" w:rsidRDefault="00321E65" w:rsidP="00321E65">
            <w:pPr>
              <w:spacing w:line="276" w:lineRule="auto"/>
              <w:ind w:right="231"/>
              <w:rPr>
                <w:rFonts w:cs="Garamond"/>
              </w:rPr>
            </w:pPr>
            <w:r w:rsidRPr="00260D1B">
              <w:rPr>
                <w:rFonts w:cs="Garamond"/>
              </w:rPr>
              <w:t>poor</w:t>
            </w:r>
          </w:p>
        </w:tc>
        <w:tc>
          <w:tcPr>
            <w:tcW w:w="1820" w:type="dxa"/>
            <w:gridSpan w:val="2"/>
          </w:tcPr>
          <w:p w14:paraId="6AA51E6A" w14:textId="77777777" w:rsidR="00321E65" w:rsidRPr="00260D1B" w:rsidRDefault="00321E65" w:rsidP="00321E65">
            <w:pPr>
              <w:spacing w:line="276" w:lineRule="auto"/>
              <w:ind w:right="231"/>
              <w:rPr>
                <w:rFonts w:cs="Garamond"/>
              </w:rPr>
            </w:pPr>
            <w:r w:rsidRPr="00260D1B">
              <w:rPr>
                <w:rFonts w:cs="Garamond"/>
              </w:rPr>
              <w:t>0.5</w:t>
            </w:r>
          </w:p>
        </w:tc>
        <w:tc>
          <w:tcPr>
            <w:tcW w:w="989" w:type="dxa"/>
            <w:gridSpan w:val="2"/>
          </w:tcPr>
          <w:p w14:paraId="5B8CAF88" w14:textId="77777777" w:rsidR="00321E65" w:rsidRPr="00260D1B" w:rsidRDefault="00321E65" w:rsidP="00321E65">
            <w:pPr>
              <w:spacing w:line="276" w:lineRule="auto"/>
              <w:ind w:right="231"/>
              <w:rPr>
                <w:rFonts w:cs="Garamond"/>
              </w:rPr>
            </w:pPr>
            <w:r w:rsidRPr="00260D1B">
              <w:rPr>
                <w:rFonts w:cs="Garamond"/>
              </w:rPr>
              <w:t>3.8</w:t>
            </w:r>
          </w:p>
        </w:tc>
      </w:tr>
      <w:tr w:rsidR="00260D1B" w:rsidRPr="00260D1B" w14:paraId="2246F2D1" w14:textId="77777777" w:rsidTr="00EE7953">
        <w:tc>
          <w:tcPr>
            <w:tcW w:w="1823" w:type="dxa"/>
            <w:gridSpan w:val="2"/>
          </w:tcPr>
          <w:p w14:paraId="38EB8683" w14:textId="77777777" w:rsidR="00321E65" w:rsidRPr="00260D1B" w:rsidRDefault="00321E65" w:rsidP="00321E65">
            <w:pPr>
              <w:spacing w:line="276" w:lineRule="auto"/>
              <w:ind w:right="231"/>
              <w:rPr>
                <w:rFonts w:cs="Garamond"/>
              </w:rPr>
            </w:pPr>
            <w:r w:rsidRPr="00260D1B">
              <w:rPr>
                <w:rFonts w:cs="Garamond"/>
              </w:rPr>
              <w:t>poor</w:t>
            </w:r>
          </w:p>
        </w:tc>
        <w:tc>
          <w:tcPr>
            <w:tcW w:w="1545" w:type="dxa"/>
            <w:gridSpan w:val="2"/>
          </w:tcPr>
          <w:p w14:paraId="3E941307" w14:textId="77777777" w:rsidR="00321E65" w:rsidRPr="00260D1B" w:rsidRDefault="00321E65" w:rsidP="00321E65">
            <w:pPr>
              <w:spacing w:line="276" w:lineRule="auto"/>
              <w:ind w:right="231"/>
              <w:rPr>
                <w:rFonts w:cs="Garamond"/>
              </w:rPr>
            </w:pPr>
            <w:r w:rsidRPr="00260D1B">
              <w:rPr>
                <w:rFonts w:cs="Garamond"/>
              </w:rPr>
              <w:t>0.5</w:t>
            </w:r>
          </w:p>
        </w:tc>
        <w:tc>
          <w:tcPr>
            <w:tcW w:w="1154" w:type="dxa"/>
            <w:gridSpan w:val="2"/>
          </w:tcPr>
          <w:p w14:paraId="51AAB94D" w14:textId="77777777" w:rsidR="00321E65" w:rsidRPr="00260D1B" w:rsidRDefault="00321E65" w:rsidP="00321E65">
            <w:pPr>
              <w:spacing w:line="276" w:lineRule="auto"/>
              <w:ind w:right="231"/>
              <w:rPr>
                <w:rFonts w:cs="Garamond"/>
              </w:rPr>
            </w:pPr>
            <w:r w:rsidRPr="00260D1B">
              <w:rPr>
                <w:rFonts w:cs="Garamond"/>
              </w:rPr>
              <w:t>4.0</w:t>
            </w:r>
          </w:p>
        </w:tc>
        <w:tc>
          <w:tcPr>
            <w:tcW w:w="1849" w:type="dxa"/>
            <w:gridSpan w:val="2"/>
          </w:tcPr>
          <w:p w14:paraId="1D939CEF" w14:textId="77777777" w:rsidR="00321E65" w:rsidRPr="00260D1B" w:rsidRDefault="00321E65" w:rsidP="00321E65">
            <w:pPr>
              <w:spacing w:line="276" w:lineRule="auto"/>
              <w:ind w:right="231"/>
              <w:rPr>
                <w:rFonts w:cs="Garamond"/>
              </w:rPr>
            </w:pPr>
            <w:r w:rsidRPr="00260D1B">
              <w:rPr>
                <w:rFonts w:cs="Garamond"/>
              </w:rPr>
              <w:t>complex</w:t>
            </w:r>
          </w:p>
        </w:tc>
        <w:tc>
          <w:tcPr>
            <w:tcW w:w="1820" w:type="dxa"/>
            <w:gridSpan w:val="2"/>
          </w:tcPr>
          <w:p w14:paraId="42F84E1F" w14:textId="77777777" w:rsidR="00321E65" w:rsidRPr="00260D1B" w:rsidRDefault="00321E65" w:rsidP="00321E65">
            <w:pPr>
              <w:spacing w:line="276" w:lineRule="auto"/>
              <w:ind w:right="231"/>
              <w:rPr>
                <w:rFonts w:cs="Garamond"/>
              </w:rPr>
            </w:pPr>
            <w:r w:rsidRPr="00260D1B">
              <w:rPr>
                <w:rFonts w:cs="Garamond"/>
              </w:rPr>
              <w:t>0.4</w:t>
            </w:r>
          </w:p>
        </w:tc>
        <w:tc>
          <w:tcPr>
            <w:tcW w:w="989" w:type="dxa"/>
            <w:gridSpan w:val="2"/>
          </w:tcPr>
          <w:p w14:paraId="4AD9D82C" w14:textId="77777777" w:rsidR="00321E65" w:rsidRPr="00260D1B" w:rsidRDefault="00321E65" w:rsidP="00321E65">
            <w:pPr>
              <w:spacing w:line="276" w:lineRule="auto"/>
              <w:ind w:right="231"/>
              <w:rPr>
                <w:rFonts w:cs="Garamond"/>
              </w:rPr>
            </w:pPr>
            <w:r w:rsidRPr="00260D1B">
              <w:rPr>
                <w:rFonts w:cs="Garamond"/>
              </w:rPr>
              <w:t>3.2</w:t>
            </w:r>
          </w:p>
        </w:tc>
      </w:tr>
      <w:tr w:rsidR="00260D1B" w:rsidRPr="00260D1B" w14:paraId="6FC2877C" w14:textId="77777777" w:rsidTr="00EE7953">
        <w:tc>
          <w:tcPr>
            <w:tcW w:w="1823" w:type="dxa"/>
            <w:gridSpan w:val="2"/>
          </w:tcPr>
          <w:p w14:paraId="16DE05CF" w14:textId="77777777" w:rsidR="00321E65" w:rsidRPr="00260D1B" w:rsidRDefault="00321E65" w:rsidP="00321E65">
            <w:pPr>
              <w:spacing w:line="276" w:lineRule="auto"/>
              <w:ind w:right="231"/>
              <w:rPr>
                <w:rFonts w:cs="Garamond"/>
              </w:rPr>
            </w:pPr>
            <w:r w:rsidRPr="00260D1B">
              <w:rPr>
                <w:rFonts w:cs="Garamond"/>
              </w:rPr>
              <w:t>useful</w:t>
            </w:r>
          </w:p>
        </w:tc>
        <w:tc>
          <w:tcPr>
            <w:tcW w:w="1545" w:type="dxa"/>
            <w:gridSpan w:val="2"/>
          </w:tcPr>
          <w:p w14:paraId="5E918D6B" w14:textId="77777777" w:rsidR="00321E65" w:rsidRPr="00260D1B" w:rsidRDefault="00321E65" w:rsidP="00321E65">
            <w:pPr>
              <w:spacing w:line="276" w:lineRule="auto"/>
              <w:ind w:right="231"/>
              <w:rPr>
                <w:rFonts w:cs="Garamond"/>
              </w:rPr>
            </w:pPr>
            <w:r w:rsidRPr="00260D1B">
              <w:rPr>
                <w:rFonts w:cs="Garamond"/>
              </w:rPr>
              <w:t>0.5</w:t>
            </w:r>
          </w:p>
        </w:tc>
        <w:tc>
          <w:tcPr>
            <w:tcW w:w="1154" w:type="dxa"/>
            <w:gridSpan w:val="2"/>
          </w:tcPr>
          <w:p w14:paraId="10EB3D0E" w14:textId="77777777" w:rsidR="00321E65" w:rsidRPr="00260D1B" w:rsidRDefault="00321E65" w:rsidP="00321E65">
            <w:pPr>
              <w:spacing w:line="276" w:lineRule="auto"/>
              <w:ind w:right="231"/>
              <w:rPr>
                <w:rFonts w:cs="Garamond"/>
              </w:rPr>
            </w:pPr>
            <w:r w:rsidRPr="00260D1B">
              <w:rPr>
                <w:rFonts w:cs="Garamond"/>
              </w:rPr>
              <w:t>4.0</w:t>
            </w:r>
          </w:p>
        </w:tc>
        <w:tc>
          <w:tcPr>
            <w:tcW w:w="1849" w:type="dxa"/>
            <w:gridSpan w:val="2"/>
          </w:tcPr>
          <w:p w14:paraId="2B920D3E" w14:textId="77777777" w:rsidR="00321E65" w:rsidRPr="00260D1B" w:rsidRDefault="00321E65" w:rsidP="00321E65">
            <w:pPr>
              <w:spacing w:line="276" w:lineRule="auto"/>
              <w:ind w:right="231"/>
              <w:rPr>
                <w:rFonts w:cs="Garamond"/>
              </w:rPr>
            </w:pPr>
            <w:r w:rsidRPr="00260D1B">
              <w:rPr>
                <w:rFonts w:cs="Garamond"/>
              </w:rPr>
              <w:t>critical</w:t>
            </w:r>
          </w:p>
        </w:tc>
        <w:tc>
          <w:tcPr>
            <w:tcW w:w="1820" w:type="dxa"/>
            <w:gridSpan w:val="2"/>
          </w:tcPr>
          <w:p w14:paraId="1D12BE1F" w14:textId="77777777" w:rsidR="00321E65" w:rsidRPr="00260D1B" w:rsidRDefault="00321E65" w:rsidP="00321E65">
            <w:pPr>
              <w:spacing w:line="276" w:lineRule="auto"/>
              <w:ind w:right="231"/>
              <w:rPr>
                <w:rFonts w:cs="Garamond"/>
              </w:rPr>
            </w:pPr>
            <w:r w:rsidRPr="00260D1B">
              <w:rPr>
                <w:rFonts w:cs="Garamond"/>
              </w:rPr>
              <w:t>0.4</w:t>
            </w:r>
          </w:p>
        </w:tc>
        <w:tc>
          <w:tcPr>
            <w:tcW w:w="989" w:type="dxa"/>
            <w:gridSpan w:val="2"/>
          </w:tcPr>
          <w:p w14:paraId="73146062" w14:textId="77777777" w:rsidR="00321E65" w:rsidRPr="00260D1B" w:rsidRDefault="00321E65" w:rsidP="00321E65">
            <w:pPr>
              <w:spacing w:line="276" w:lineRule="auto"/>
              <w:ind w:right="231"/>
              <w:rPr>
                <w:rFonts w:cs="Garamond"/>
              </w:rPr>
            </w:pPr>
            <w:r w:rsidRPr="00260D1B">
              <w:rPr>
                <w:rFonts w:cs="Garamond"/>
              </w:rPr>
              <w:t xml:space="preserve"> 3.2</w:t>
            </w:r>
          </w:p>
        </w:tc>
      </w:tr>
      <w:tr w:rsidR="00260D1B" w:rsidRPr="00260D1B" w14:paraId="30E0D3BF" w14:textId="77777777" w:rsidTr="00EE7953">
        <w:tc>
          <w:tcPr>
            <w:tcW w:w="1823" w:type="dxa"/>
            <w:gridSpan w:val="2"/>
          </w:tcPr>
          <w:p w14:paraId="14D491DE" w14:textId="77777777" w:rsidR="00321E65" w:rsidRPr="00260D1B" w:rsidRDefault="00321E65" w:rsidP="00321E65">
            <w:pPr>
              <w:spacing w:line="276" w:lineRule="auto"/>
              <w:ind w:right="231"/>
              <w:rPr>
                <w:rFonts w:cs="Garamond"/>
              </w:rPr>
            </w:pPr>
            <w:r w:rsidRPr="00260D1B">
              <w:rPr>
                <w:rFonts w:cs="Garamond"/>
              </w:rPr>
              <w:t>key</w:t>
            </w:r>
          </w:p>
        </w:tc>
        <w:tc>
          <w:tcPr>
            <w:tcW w:w="1545" w:type="dxa"/>
            <w:gridSpan w:val="2"/>
          </w:tcPr>
          <w:p w14:paraId="39ECA1D4" w14:textId="77777777" w:rsidR="00321E65" w:rsidRPr="00260D1B" w:rsidRDefault="00321E65" w:rsidP="00321E65">
            <w:pPr>
              <w:spacing w:line="276" w:lineRule="auto"/>
              <w:ind w:right="231"/>
              <w:rPr>
                <w:rFonts w:cs="Garamond"/>
              </w:rPr>
            </w:pPr>
            <w:r w:rsidRPr="00260D1B">
              <w:rPr>
                <w:rFonts w:cs="Garamond"/>
              </w:rPr>
              <w:t>0.4</w:t>
            </w:r>
          </w:p>
        </w:tc>
        <w:tc>
          <w:tcPr>
            <w:tcW w:w="1154" w:type="dxa"/>
            <w:gridSpan w:val="2"/>
          </w:tcPr>
          <w:p w14:paraId="460913FD" w14:textId="77777777" w:rsidR="00321E65" w:rsidRPr="00260D1B" w:rsidRDefault="00321E65" w:rsidP="00321E65">
            <w:pPr>
              <w:spacing w:line="276" w:lineRule="auto"/>
              <w:ind w:right="231"/>
              <w:rPr>
                <w:rFonts w:cs="Garamond"/>
              </w:rPr>
            </w:pPr>
            <w:r w:rsidRPr="00260D1B">
              <w:rPr>
                <w:rFonts w:cs="Garamond"/>
              </w:rPr>
              <w:t>3.1</w:t>
            </w:r>
          </w:p>
        </w:tc>
        <w:tc>
          <w:tcPr>
            <w:tcW w:w="1849" w:type="dxa"/>
            <w:gridSpan w:val="2"/>
          </w:tcPr>
          <w:p w14:paraId="65509FCF" w14:textId="77777777" w:rsidR="00321E65" w:rsidRPr="00260D1B" w:rsidRDefault="00321E65" w:rsidP="00321E65">
            <w:pPr>
              <w:spacing w:line="276" w:lineRule="auto"/>
              <w:ind w:right="231"/>
              <w:rPr>
                <w:rFonts w:cs="Garamond"/>
              </w:rPr>
            </w:pPr>
            <w:r w:rsidRPr="00260D1B">
              <w:rPr>
                <w:rFonts w:cs="Garamond"/>
              </w:rPr>
              <w:t>meaningful</w:t>
            </w:r>
          </w:p>
        </w:tc>
        <w:tc>
          <w:tcPr>
            <w:tcW w:w="1820" w:type="dxa"/>
            <w:gridSpan w:val="2"/>
          </w:tcPr>
          <w:p w14:paraId="610FAC4D" w14:textId="77777777" w:rsidR="00321E65" w:rsidRPr="00260D1B" w:rsidRDefault="00321E65" w:rsidP="00321E65">
            <w:pPr>
              <w:spacing w:line="276" w:lineRule="auto"/>
              <w:ind w:right="231"/>
              <w:rPr>
                <w:rFonts w:cs="Garamond"/>
              </w:rPr>
            </w:pPr>
            <w:r w:rsidRPr="00260D1B">
              <w:rPr>
                <w:rFonts w:cs="Garamond"/>
              </w:rPr>
              <w:t>0.4</w:t>
            </w:r>
          </w:p>
        </w:tc>
        <w:tc>
          <w:tcPr>
            <w:tcW w:w="989" w:type="dxa"/>
            <w:gridSpan w:val="2"/>
          </w:tcPr>
          <w:p w14:paraId="3151F997" w14:textId="77777777" w:rsidR="00321E65" w:rsidRPr="00260D1B" w:rsidRDefault="00321E65" w:rsidP="00321E65">
            <w:pPr>
              <w:spacing w:line="276" w:lineRule="auto"/>
              <w:ind w:right="231"/>
              <w:rPr>
                <w:rFonts w:cs="Garamond"/>
              </w:rPr>
            </w:pPr>
            <w:r w:rsidRPr="00260D1B">
              <w:rPr>
                <w:rFonts w:cs="Garamond"/>
              </w:rPr>
              <w:t>3.2</w:t>
            </w:r>
          </w:p>
        </w:tc>
      </w:tr>
      <w:tr w:rsidR="00260D1B" w:rsidRPr="00260D1B" w14:paraId="4384D0B1" w14:textId="77777777" w:rsidTr="00EE7953">
        <w:tc>
          <w:tcPr>
            <w:tcW w:w="1823" w:type="dxa"/>
            <w:gridSpan w:val="2"/>
          </w:tcPr>
          <w:p w14:paraId="3C282193" w14:textId="77777777" w:rsidR="00321E65" w:rsidRPr="00260D1B" w:rsidRDefault="00321E65" w:rsidP="00321E65">
            <w:pPr>
              <w:spacing w:line="276" w:lineRule="auto"/>
              <w:ind w:right="231"/>
              <w:rPr>
                <w:rFonts w:cs="Garamond"/>
              </w:rPr>
            </w:pPr>
            <w:r w:rsidRPr="00260D1B">
              <w:rPr>
                <w:rFonts w:cs="Garamond"/>
              </w:rPr>
              <w:t>substantial</w:t>
            </w:r>
          </w:p>
        </w:tc>
        <w:tc>
          <w:tcPr>
            <w:tcW w:w="1545" w:type="dxa"/>
            <w:gridSpan w:val="2"/>
          </w:tcPr>
          <w:p w14:paraId="6A9CE069" w14:textId="77777777" w:rsidR="00321E65" w:rsidRPr="00260D1B" w:rsidRDefault="00321E65" w:rsidP="00321E65">
            <w:pPr>
              <w:spacing w:line="276" w:lineRule="auto"/>
              <w:ind w:right="231"/>
              <w:rPr>
                <w:rFonts w:cs="Garamond"/>
              </w:rPr>
            </w:pPr>
            <w:r w:rsidRPr="00260D1B">
              <w:rPr>
                <w:rFonts w:cs="Garamond"/>
              </w:rPr>
              <w:t>0.4</w:t>
            </w:r>
          </w:p>
        </w:tc>
        <w:tc>
          <w:tcPr>
            <w:tcW w:w="1154" w:type="dxa"/>
            <w:gridSpan w:val="2"/>
          </w:tcPr>
          <w:p w14:paraId="1F5A1E72" w14:textId="77777777" w:rsidR="00321E65" w:rsidRPr="00260D1B" w:rsidRDefault="00321E65" w:rsidP="00321E65">
            <w:pPr>
              <w:spacing w:line="276" w:lineRule="auto"/>
              <w:ind w:right="231"/>
              <w:rPr>
                <w:rFonts w:cs="Garamond"/>
              </w:rPr>
            </w:pPr>
            <w:r w:rsidRPr="00260D1B">
              <w:rPr>
                <w:rFonts w:cs="Garamond"/>
              </w:rPr>
              <w:t>3.1</w:t>
            </w:r>
          </w:p>
        </w:tc>
        <w:tc>
          <w:tcPr>
            <w:tcW w:w="1849" w:type="dxa"/>
            <w:gridSpan w:val="2"/>
          </w:tcPr>
          <w:p w14:paraId="5F4ED062" w14:textId="77777777" w:rsidR="00321E65" w:rsidRPr="00260D1B" w:rsidRDefault="00321E65" w:rsidP="00321E65">
            <w:pPr>
              <w:spacing w:line="276" w:lineRule="auto"/>
              <w:ind w:right="231"/>
              <w:rPr>
                <w:rFonts w:cs="Garamond"/>
              </w:rPr>
            </w:pPr>
            <w:r w:rsidRPr="00260D1B">
              <w:rPr>
                <w:rFonts w:cs="Garamond"/>
              </w:rPr>
              <w:t>essential</w:t>
            </w:r>
          </w:p>
        </w:tc>
        <w:tc>
          <w:tcPr>
            <w:tcW w:w="1820" w:type="dxa"/>
            <w:gridSpan w:val="2"/>
          </w:tcPr>
          <w:p w14:paraId="6D9D18B0" w14:textId="77777777" w:rsidR="00321E65" w:rsidRPr="00260D1B" w:rsidRDefault="00321E65" w:rsidP="00321E65">
            <w:pPr>
              <w:spacing w:line="276" w:lineRule="auto"/>
              <w:ind w:right="231"/>
              <w:rPr>
                <w:rFonts w:cs="Garamond"/>
              </w:rPr>
            </w:pPr>
            <w:r w:rsidRPr="00260D1B">
              <w:rPr>
                <w:rFonts w:cs="Garamond"/>
              </w:rPr>
              <w:t>0.3</w:t>
            </w:r>
          </w:p>
        </w:tc>
        <w:tc>
          <w:tcPr>
            <w:tcW w:w="989" w:type="dxa"/>
            <w:gridSpan w:val="2"/>
          </w:tcPr>
          <w:p w14:paraId="3EC91704" w14:textId="77777777" w:rsidR="00321E65" w:rsidRPr="00260D1B" w:rsidRDefault="00321E65" w:rsidP="00321E65">
            <w:pPr>
              <w:spacing w:line="276" w:lineRule="auto"/>
              <w:ind w:right="231"/>
              <w:rPr>
                <w:rFonts w:cs="Garamond"/>
              </w:rPr>
            </w:pPr>
            <w:r w:rsidRPr="00260D1B">
              <w:rPr>
                <w:rFonts w:cs="Garamond"/>
              </w:rPr>
              <w:t>2.7</w:t>
            </w:r>
          </w:p>
        </w:tc>
      </w:tr>
      <w:tr w:rsidR="00260D1B" w:rsidRPr="00260D1B" w14:paraId="69F99BD6" w14:textId="77777777" w:rsidTr="00EE7953">
        <w:tc>
          <w:tcPr>
            <w:tcW w:w="1823" w:type="dxa"/>
            <w:gridSpan w:val="2"/>
          </w:tcPr>
          <w:p w14:paraId="5946E0C7" w14:textId="77777777" w:rsidR="00321E65" w:rsidRPr="00260D1B" w:rsidRDefault="00321E65" w:rsidP="00321E65">
            <w:pPr>
              <w:spacing w:line="276" w:lineRule="auto"/>
              <w:ind w:right="231"/>
              <w:rPr>
                <w:rFonts w:cs="Garamond"/>
              </w:rPr>
            </w:pPr>
            <w:r w:rsidRPr="00260D1B">
              <w:rPr>
                <w:rFonts w:cs="Garamond"/>
              </w:rPr>
              <w:t>unique</w:t>
            </w:r>
          </w:p>
        </w:tc>
        <w:tc>
          <w:tcPr>
            <w:tcW w:w="1545" w:type="dxa"/>
            <w:gridSpan w:val="2"/>
          </w:tcPr>
          <w:p w14:paraId="0F2A2144" w14:textId="77777777" w:rsidR="00321E65" w:rsidRPr="00260D1B" w:rsidRDefault="00321E65" w:rsidP="00321E65">
            <w:pPr>
              <w:spacing w:line="276" w:lineRule="auto"/>
              <w:ind w:right="231"/>
              <w:rPr>
                <w:rFonts w:cs="Garamond"/>
              </w:rPr>
            </w:pPr>
            <w:r w:rsidRPr="00260D1B">
              <w:rPr>
                <w:rFonts w:cs="Garamond"/>
              </w:rPr>
              <w:t>0.4</w:t>
            </w:r>
          </w:p>
        </w:tc>
        <w:tc>
          <w:tcPr>
            <w:tcW w:w="1154" w:type="dxa"/>
            <w:gridSpan w:val="2"/>
          </w:tcPr>
          <w:p w14:paraId="5E4AE18D" w14:textId="77777777" w:rsidR="00321E65" w:rsidRPr="00260D1B" w:rsidRDefault="00321E65" w:rsidP="00321E65">
            <w:pPr>
              <w:spacing w:line="276" w:lineRule="auto"/>
              <w:ind w:right="231"/>
              <w:rPr>
                <w:rFonts w:cs="Garamond"/>
              </w:rPr>
            </w:pPr>
            <w:r w:rsidRPr="00260D1B">
              <w:rPr>
                <w:rFonts w:cs="Garamond"/>
              </w:rPr>
              <w:t>3.1</w:t>
            </w:r>
          </w:p>
        </w:tc>
        <w:tc>
          <w:tcPr>
            <w:tcW w:w="1849" w:type="dxa"/>
            <w:gridSpan w:val="2"/>
          </w:tcPr>
          <w:p w14:paraId="79BBD2BC" w14:textId="77777777" w:rsidR="00321E65" w:rsidRPr="00260D1B" w:rsidRDefault="00321E65" w:rsidP="00321E65">
            <w:pPr>
              <w:spacing w:line="276" w:lineRule="auto"/>
              <w:ind w:right="231"/>
              <w:rPr>
                <w:rFonts w:cs="Garamond"/>
              </w:rPr>
            </w:pPr>
            <w:r w:rsidRPr="00260D1B">
              <w:rPr>
                <w:rFonts w:cs="Garamond"/>
              </w:rPr>
              <w:t>insight</w:t>
            </w:r>
          </w:p>
        </w:tc>
        <w:tc>
          <w:tcPr>
            <w:tcW w:w="1820" w:type="dxa"/>
            <w:gridSpan w:val="2"/>
          </w:tcPr>
          <w:p w14:paraId="35906172" w14:textId="77777777" w:rsidR="00321E65" w:rsidRPr="00260D1B" w:rsidRDefault="00321E65" w:rsidP="00321E65">
            <w:pPr>
              <w:spacing w:line="276" w:lineRule="auto"/>
              <w:ind w:right="231"/>
              <w:rPr>
                <w:rFonts w:cs="Garamond"/>
              </w:rPr>
            </w:pPr>
            <w:r w:rsidRPr="00260D1B">
              <w:rPr>
                <w:rFonts w:cs="Garamond"/>
              </w:rPr>
              <w:t>0.3</w:t>
            </w:r>
          </w:p>
        </w:tc>
        <w:tc>
          <w:tcPr>
            <w:tcW w:w="989" w:type="dxa"/>
            <w:gridSpan w:val="2"/>
          </w:tcPr>
          <w:p w14:paraId="7EF722A9" w14:textId="77777777" w:rsidR="00321E65" w:rsidRPr="00260D1B" w:rsidRDefault="00321E65" w:rsidP="00321E65">
            <w:pPr>
              <w:spacing w:line="276" w:lineRule="auto"/>
              <w:ind w:right="231"/>
              <w:rPr>
                <w:rFonts w:cs="Garamond"/>
              </w:rPr>
            </w:pPr>
            <w:r w:rsidRPr="00260D1B">
              <w:rPr>
                <w:rFonts w:cs="Garamond"/>
              </w:rPr>
              <w:t>2.7</w:t>
            </w:r>
          </w:p>
        </w:tc>
      </w:tr>
      <w:tr w:rsidR="00260D1B" w:rsidRPr="00260D1B" w14:paraId="5E240B7D" w14:textId="77777777" w:rsidTr="00EE7953">
        <w:tc>
          <w:tcPr>
            <w:tcW w:w="1823" w:type="dxa"/>
            <w:gridSpan w:val="2"/>
          </w:tcPr>
          <w:p w14:paraId="27DC570E" w14:textId="77777777" w:rsidR="00321E65" w:rsidRPr="00260D1B" w:rsidRDefault="00321E65" w:rsidP="00321E65">
            <w:pPr>
              <w:spacing w:line="276" w:lineRule="auto"/>
              <w:ind w:right="231"/>
              <w:rPr>
                <w:rFonts w:cs="Garamond"/>
              </w:rPr>
            </w:pPr>
            <w:r w:rsidRPr="00260D1B">
              <w:rPr>
                <w:rFonts w:cs="Garamond"/>
              </w:rPr>
              <w:t>new</w:t>
            </w:r>
          </w:p>
        </w:tc>
        <w:tc>
          <w:tcPr>
            <w:tcW w:w="1545" w:type="dxa"/>
            <w:gridSpan w:val="2"/>
          </w:tcPr>
          <w:p w14:paraId="4B0486A8" w14:textId="77777777" w:rsidR="00321E65" w:rsidRPr="00260D1B" w:rsidRDefault="00321E65" w:rsidP="00321E65">
            <w:pPr>
              <w:spacing w:line="276" w:lineRule="auto"/>
              <w:ind w:right="231"/>
              <w:rPr>
                <w:rFonts w:cs="Garamond"/>
              </w:rPr>
            </w:pPr>
            <w:r w:rsidRPr="00260D1B">
              <w:rPr>
                <w:rFonts w:cs="Garamond"/>
              </w:rPr>
              <w:t>0.4</w:t>
            </w:r>
          </w:p>
        </w:tc>
        <w:tc>
          <w:tcPr>
            <w:tcW w:w="1154" w:type="dxa"/>
            <w:gridSpan w:val="2"/>
          </w:tcPr>
          <w:p w14:paraId="07AEBB51" w14:textId="77777777" w:rsidR="00321E65" w:rsidRPr="00260D1B" w:rsidRDefault="00321E65" w:rsidP="00321E65">
            <w:pPr>
              <w:spacing w:line="276" w:lineRule="auto"/>
              <w:ind w:right="231"/>
              <w:rPr>
                <w:rFonts w:cs="Garamond"/>
              </w:rPr>
            </w:pPr>
            <w:r w:rsidRPr="00260D1B">
              <w:rPr>
                <w:rFonts w:cs="Garamond"/>
              </w:rPr>
              <w:t>2.7</w:t>
            </w:r>
          </w:p>
        </w:tc>
        <w:tc>
          <w:tcPr>
            <w:tcW w:w="1849" w:type="dxa"/>
            <w:gridSpan w:val="2"/>
          </w:tcPr>
          <w:p w14:paraId="5554D590" w14:textId="77777777" w:rsidR="00321E65" w:rsidRPr="00260D1B" w:rsidRDefault="00321E65" w:rsidP="00321E65">
            <w:pPr>
              <w:spacing w:line="276" w:lineRule="auto"/>
              <w:ind w:right="231"/>
              <w:rPr>
                <w:rFonts w:cs="Garamond"/>
              </w:rPr>
            </w:pPr>
            <w:r w:rsidRPr="00260D1B">
              <w:rPr>
                <w:rFonts w:cs="Garamond"/>
              </w:rPr>
              <w:t>reliable</w:t>
            </w:r>
          </w:p>
        </w:tc>
        <w:tc>
          <w:tcPr>
            <w:tcW w:w="1820" w:type="dxa"/>
            <w:gridSpan w:val="2"/>
          </w:tcPr>
          <w:p w14:paraId="3291C590" w14:textId="77777777" w:rsidR="00321E65" w:rsidRPr="00260D1B" w:rsidRDefault="00321E65" w:rsidP="00321E65">
            <w:pPr>
              <w:spacing w:line="276" w:lineRule="auto"/>
              <w:ind w:right="231"/>
              <w:rPr>
                <w:rFonts w:cs="Garamond"/>
              </w:rPr>
            </w:pPr>
            <w:r w:rsidRPr="00260D1B">
              <w:rPr>
                <w:rFonts w:cs="Garamond"/>
              </w:rPr>
              <w:t>0.3</w:t>
            </w:r>
          </w:p>
        </w:tc>
        <w:tc>
          <w:tcPr>
            <w:tcW w:w="989" w:type="dxa"/>
            <w:gridSpan w:val="2"/>
          </w:tcPr>
          <w:p w14:paraId="1D54ED65" w14:textId="77777777" w:rsidR="00321E65" w:rsidRPr="00260D1B" w:rsidRDefault="00321E65" w:rsidP="00321E65">
            <w:pPr>
              <w:spacing w:line="276" w:lineRule="auto"/>
              <w:ind w:right="231"/>
              <w:rPr>
                <w:rFonts w:cs="Garamond"/>
              </w:rPr>
            </w:pPr>
            <w:r w:rsidRPr="00260D1B">
              <w:rPr>
                <w:rFonts w:cs="Garamond"/>
              </w:rPr>
              <w:t>2.7</w:t>
            </w:r>
          </w:p>
        </w:tc>
      </w:tr>
      <w:tr w:rsidR="00260D1B" w:rsidRPr="00260D1B" w14:paraId="775665DD" w14:textId="77777777" w:rsidTr="00EE7953">
        <w:trPr>
          <w:trHeight w:val="211"/>
        </w:trPr>
        <w:tc>
          <w:tcPr>
            <w:tcW w:w="1823" w:type="dxa"/>
            <w:gridSpan w:val="2"/>
          </w:tcPr>
          <w:p w14:paraId="27D9A569" w14:textId="77777777" w:rsidR="00321E65" w:rsidRPr="00260D1B" w:rsidRDefault="00321E65" w:rsidP="00321E65">
            <w:pPr>
              <w:spacing w:line="276" w:lineRule="auto"/>
              <w:ind w:right="231"/>
              <w:rPr>
                <w:rFonts w:cs="Garamond"/>
              </w:rPr>
            </w:pPr>
            <w:r w:rsidRPr="00260D1B">
              <w:rPr>
                <w:rFonts w:cs="Garamond"/>
              </w:rPr>
              <w:t>good</w:t>
            </w:r>
          </w:p>
        </w:tc>
        <w:tc>
          <w:tcPr>
            <w:tcW w:w="1545" w:type="dxa"/>
            <w:gridSpan w:val="2"/>
          </w:tcPr>
          <w:p w14:paraId="63AB6F4E" w14:textId="77777777" w:rsidR="00321E65" w:rsidRPr="00260D1B" w:rsidRDefault="00321E65" w:rsidP="00321E65">
            <w:pPr>
              <w:spacing w:line="276" w:lineRule="auto"/>
              <w:ind w:right="231"/>
              <w:rPr>
                <w:rFonts w:cs="Garamond"/>
              </w:rPr>
            </w:pPr>
            <w:r w:rsidRPr="00260D1B">
              <w:rPr>
                <w:rFonts w:cs="Garamond"/>
              </w:rPr>
              <w:t>0.3</w:t>
            </w:r>
          </w:p>
        </w:tc>
        <w:tc>
          <w:tcPr>
            <w:tcW w:w="1154" w:type="dxa"/>
            <w:gridSpan w:val="2"/>
          </w:tcPr>
          <w:p w14:paraId="42D9EC16" w14:textId="77777777" w:rsidR="00321E65" w:rsidRPr="00260D1B" w:rsidRDefault="00321E65" w:rsidP="00321E65">
            <w:pPr>
              <w:spacing w:line="276" w:lineRule="auto"/>
              <w:ind w:right="231"/>
              <w:rPr>
                <w:rFonts w:cs="Garamond"/>
              </w:rPr>
            </w:pPr>
            <w:r w:rsidRPr="00260D1B">
              <w:rPr>
                <w:rFonts w:cs="Garamond"/>
              </w:rPr>
              <w:t>2.2</w:t>
            </w:r>
          </w:p>
        </w:tc>
        <w:tc>
          <w:tcPr>
            <w:tcW w:w="1849" w:type="dxa"/>
            <w:gridSpan w:val="2"/>
          </w:tcPr>
          <w:p w14:paraId="3D42DF49" w14:textId="77777777" w:rsidR="00321E65" w:rsidRPr="00260D1B" w:rsidRDefault="00321E65" w:rsidP="00321E65">
            <w:pPr>
              <w:spacing w:line="276" w:lineRule="auto"/>
              <w:ind w:right="231"/>
              <w:rPr>
                <w:rFonts w:cs="Garamond"/>
              </w:rPr>
            </w:pPr>
            <w:r w:rsidRPr="00260D1B">
              <w:rPr>
                <w:rFonts w:cs="Garamond"/>
              </w:rPr>
              <w:t>significant</w:t>
            </w:r>
          </w:p>
        </w:tc>
        <w:tc>
          <w:tcPr>
            <w:tcW w:w="1820" w:type="dxa"/>
            <w:gridSpan w:val="2"/>
          </w:tcPr>
          <w:p w14:paraId="497CBE73" w14:textId="77777777" w:rsidR="00321E65" w:rsidRPr="00260D1B" w:rsidRDefault="00321E65" w:rsidP="00321E65">
            <w:pPr>
              <w:spacing w:line="276" w:lineRule="auto"/>
              <w:ind w:right="231"/>
              <w:rPr>
                <w:rFonts w:cs="Garamond"/>
              </w:rPr>
            </w:pPr>
            <w:r w:rsidRPr="00260D1B">
              <w:rPr>
                <w:rFonts w:cs="Garamond"/>
              </w:rPr>
              <w:t>0.3</w:t>
            </w:r>
          </w:p>
        </w:tc>
        <w:tc>
          <w:tcPr>
            <w:tcW w:w="989" w:type="dxa"/>
            <w:gridSpan w:val="2"/>
          </w:tcPr>
          <w:p w14:paraId="51A30DD4" w14:textId="77777777" w:rsidR="00321E65" w:rsidRPr="00260D1B" w:rsidRDefault="00321E65" w:rsidP="00321E65">
            <w:pPr>
              <w:spacing w:line="276" w:lineRule="auto"/>
              <w:ind w:right="231"/>
              <w:rPr>
                <w:rFonts w:cs="Garamond"/>
              </w:rPr>
            </w:pPr>
            <w:r w:rsidRPr="00260D1B">
              <w:rPr>
                <w:rFonts w:cs="Garamond"/>
              </w:rPr>
              <w:t>2.7</w:t>
            </w:r>
          </w:p>
        </w:tc>
      </w:tr>
    </w:tbl>
    <w:p w14:paraId="4A5B2271" w14:textId="77777777" w:rsidR="00783F38" w:rsidRDefault="00783F38" w:rsidP="005B1B5B">
      <w:pPr>
        <w:spacing w:line="360" w:lineRule="auto"/>
        <w:ind w:right="231"/>
        <w:rPr>
          <w:rFonts w:cs="Garamond"/>
        </w:rPr>
      </w:pPr>
    </w:p>
    <w:p w14:paraId="308E5617" w14:textId="3DE9B896" w:rsidR="00EA19D8" w:rsidRPr="00260D1B" w:rsidRDefault="001B0048" w:rsidP="005B1B5B">
      <w:pPr>
        <w:spacing w:line="360" w:lineRule="auto"/>
        <w:ind w:right="231"/>
        <w:rPr>
          <w:rFonts w:cs="Garamond"/>
        </w:rPr>
      </w:pPr>
      <w:r w:rsidRPr="00260D1B">
        <w:rPr>
          <w:rFonts w:cs="Garamond"/>
        </w:rPr>
        <w:t xml:space="preserve">It is interesting to note that “novel” appears </w:t>
      </w:r>
      <w:r w:rsidR="00EE7953" w:rsidRPr="00260D1B">
        <w:rPr>
          <w:rFonts w:cs="Garamond"/>
        </w:rPr>
        <w:t xml:space="preserve">near </w:t>
      </w:r>
      <w:r w:rsidRPr="00260D1B">
        <w:rPr>
          <w:rFonts w:cs="Garamond"/>
        </w:rPr>
        <w:t xml:space="preserve">the top of </w:t>
      </w:r>
      <w:r w:rsidR="00EE7953" w:rsidRPr="00260D1B">
        <w:rPr>
          <w:rFonts w:cs="Garamond"/>
        </w:rPr>
        <w:t xml:space="preserve">both </w:t>
      </w:r>
      <w:r w:rsidRPr="00260D1B">
        <w:rPr>
          <w:rFonts w:cs="Garamond"/>
        </w:rPr>
        <w:t>list</w:t>
      </w:r>
      <w:r w:rsidR="00EE7953" w:rsidRPr="00260D1B">
        <w:rPr>
          <w:rFonts w:cs="Garamond"/>
        </w:rPr>
        <w:t xml:space="preserve">s, stressing the importance of innovation in medical research. </w:t>
      </w:r>
      <w:r w:rsidR="00EA19D8" w:rsidRPr="00260D1B">
        <w:rPr>
          <w:rFonts w:cs="Garamond"/>
        </w:rPr>
        <w:t xml:space="preserve">Half of the top markers </w:t>
      </w:r>
      <w:r w:rsidR="00EA19D8" w:rsidRPr="00260D1B">
        <w:t>were significantly more prominent in the COVID highlights (</w:t>
      </w:r>
      <w:r w:rsidRPr="00260D1B">
        <w:rPr>
          <w:rFonts w:cs="Garamond"/>
          <w:i/>
          <w:iCs/>
        </w:rPr>
        <w:t>effective</w:t>
      </w:r>
      <w:r w:rsidRPr="00260D1B">
        <w:rPr>
          <w:rFonts w:cs="Garamond"/>
        </w:rPr>
        <w:t xml:space="preserve">, </w:t>
      </w:r>
      <w:r w:rsidRPr="00260D1B">
        <w:rPr>
          <w:rFonts w:cs="Garamond"/>
          <w:i/>
          <w:iCs/>
        </w:rPr>
        <w:t xml:space="preserve">significant, limited, positive, useful, </w:t>
      </w:r>
      <w:r w:rsidRPr="00260D1B">
        <w:rPr>
          <w:i/>
          <w:iCs/>
        </w:rPr>
        <w:t>substantial and unique</w:t>
      </w:r>
      <w:r w:rsidR="00EA19D8" w:rsidRPr="00260D1B">
        <w:rPr>
          <w:i/>
          <w:iCs/>
        </w:rPr>
        <w:t xml:space="preserve">) </w:t>
      </w:r>
      <w:r w:rsidR="00EA19D8" w:rsidRPr="00260D1B">
        <w:t xml:space="preserve">and four of these do not occur in the general medical highlights at all. </w:t>
      </w:r>
      <w:r w:rsidR="00D31017" w:rsidRPr="00260D1B">
        <w:rPr>
          <w:i/>
          <w:iCs/>
        </w:rPr>
        <w:t xml:space="preserve">Complex, meaningful, insight </w:t>
      </w:r>
      <w:r w:rsidR="00D31017" w:rsidRPr="00260D1B">
        <w:t>and</w:t>
      </w:r>
      <w:r w:rsidR="00D31017" w:rsidRPr="00260D1B">
        <w:rPr>
          <w:i/>
          <w:iCs/>
        </w:rPr>
        <w:t xml:space="preserve"> reliable</w:t>
      </w:r>
      <w:r w:rsidR="00D31017" w:rsidRPr="00260D1B">
        <w:t xml:space="preserve"> were exclusive to the latter</w:t>
      </w:r>
      <w:r w:rsidR="00757292" w:rsidRPr="00260D1B">
        <w:t>, perhaps conveying a slightly less intense colour to the material they are used to describe</w:t>
      </w:r>
      <w:r w:rsidR="00D31017" w:rsidRPr="00260D1B">
        <w:t xml:space="preserve">. </w:t>
      </w:r>
    </w:p>
    <w:p w14:paraId="2D163FE3" w14:textId="77777777" w:rsidR="00EA19D8" w:rsidRPr="00260D1B" w:rsidRDefault="00EA19D8" w:rsidP="005B1B5B">
      <w:pPr>
        <w:spacing w:line="360" w:lineRule="auto"/>
        <w:ind w:right="231"/>
        <w:rPr>
          <w:rFonts w:cs="Garamond"/>
        </w:rPr>
      </w:pPr>
    </w:p>
    <w:p w14:paraId="5AC09615" w14:textId="77777777" w:rsidR="00D31017" w:rsidRPr="00260D1B" w:rsidRDefault="00D31017" w:rsidP="00D31017">
      <w:pPr>
        <w:spacing w:line="360" w:lineRule="auto"/>
        <w:ind w:right="231"/>
        <w:rPr>
          <w:rFonts w:cs="Garamond"/>
        </w:rPr>
      </w:pPr>
      <w:proofErr w:type="spellStart"/>
      <w:r w:rsidRPr="00260D1B">
        <w:rPr>
          <w:rFonts w:cs="Garamond"/>
        </w:rPr>
        <w:t>Dueñas</w:t>
      </w:r>
      <w:proofErr w:type="spellEnd"/>
      <w:r w:rsidRPr="00260D1B">
        <w:rPr>
          <w:rFonts w:cs="Garamond"/>
        </w:rPr>
        <w:t>’ (2010) has categorised attitude markers into three types, depending on the aspect of affect they modify:</w:t>
      </w:r>
    </w:p>
    <w:p w14:paraId="7EC7DBC8" w14:textId="76185BB6" w:rsidR="00D31017" w:rsidRPr="00260D1B" w:rsidRDefault="00D31017" w:rsidP="00D31017">
      <w:pPr>
        <w:numPr>
          <w:ilvl w:val="0"/>
          <w:numId w:val="10"/>
        </w:numPr>
        <w:spacing w:line="360" w:lineRule="auto"/>
        <w:ind w:right="231"/>
        <w:rPr>
          <w:rFonts w:cs="Garamond"/>
        </w:rPr>
      </w:pPr>
      <w:r w:rsidRPr="00260D1B">
        <w:rPr>
          <w:rFonts w:cs="Garamond"/>
        </w:rPr>
        <w:t>assessment (i.e., novelty, interestingness, validity, quality);</w:t>
      </w:r>
    </w:p>
    <w:p w14:paraId="54477AAC" w14:textId="77777777" w:rsidR="00D31017" w:rsidRPr="00260D1B" w:rsidRDefault="00D31017" w:rsidP="00D31017">
      <w:pPr>
        <w:numPr>
          <w:ilvl w:val="0"/>
          <w:numId w:val="10"/>
        </w:numPr>
        <w:spacing w:line="360" w:lineRule="auto"/>
        <w:ind w:right="231"/>
        <w:rPr>
          <w:rFonts w:cs="Garamond"/>
        </w:rPr>
      </w:pPr>
      <w:r w:rsidRPr="00260D1B">
        <w:rPr>
          <w:rFonts w:cs="Garamond"/>
        </w:rPr>
        <w:t>significance (i.e., relevance, importance); and</w:t>
      </w:r>
    </w:p>
    <w:p w14:paraId="5539EB6E" w14:textId="07021626" w:rsidR="00D31017" w:rsidRPr="00260D1B" w:rsidRDefault="00D31017" w:rsidP="00D31017">
      <w:pPr>
        <w:numPr>
          <w:ilvl w:val="0"/>
          <w:numId w:val="10"/>
        </w:numPr>
        <w:spacing w:line="360" w:lineRule="auto"/>
        <w:ind w:right="231"/>
        <w:rPr>
          <w:rFonts w:cs="Garamond"/>
        </w:rPr>
      </w:pPr>
      <w:r w:rsidRPr="00260D1B">
        <w:rPr>
          <w:rFonts w:cs="Garamond"/>
        </w:rPr>
        <w:lastRenderedPageBreak/>
        <w:t xml:space="preserve">emotion (i.e., affective </w:t>
      </w:r>
      <w:r w:rsidR="002D125D" w:rsidRPr="00260D1B">
        <w:rPr>
          <w:rFonts w:cs="Garamond"/>
        </w:rPr>
        <w:t>assessments</w:t>
      </w:r>
      <w:r w:rsidRPr="00260D1B">
        <w:rPr>
          <w:rFonts w:cs="Garamond"/>
        </w:rPr>
        <w:t>)</w:t>
      </w:r>
    </w:p>
    <w:p w14:paraId="720D7D84" w14:textId="77777777" w:rsidR="007D1A4B" w:rsidRDefault="007D1A4B" w:rsidP="00D31017">
      <w:pPr>
        <w:spacing w:line="360" w:lineRule="auto"/>
        <w:ind w:right="231"/>
        <w:rPr>
          <w:rFonts w:cs="Garamond"/>
        </w:rPr>
      </w:pPr>
    </w:p>
    <w:p w14:paraId="0A951450" w14:textId="643EA719" w:rsidR="007D1A4B" w:rsidRDefault="007D1A4B" w:rsidP="007D1A4B">
      <w:pPr>
        <w:spacing w:line="360" w:lineRule="auto"/>
        <w:ind w:right="231"/>
      </w:pPr>
      <w:r w:rsidRPr="00260D1B">
        <w:rPr>
          <w:rFonts w:cs="Garamond"/>
        </w:rPr>
        <w:t xml:space="preserve">Table 7 shows the distribution of these categories across the two corpora. </w:t>
      </w:r>
      <w:r w:rsidRPr="00260D1B">
        <w:t xml:space="preserve">All the three types were </w:t>
      </w:r>
      <w:r w:rsidRPr="00260D1B">
        <w:rPr>
          <w:rFonts w:cs="Garamond"/>
        </w:rPr>
        <w:t>more prominent in the COVID corpus, even though the difference</w:t>
      </w:r>
      <w:r>
        <w:rPr>
          <w:rFonts w:cs="Garamond"/>
        </w:rPr>
        <w:t>s</w:t>
      </w:r>
      <w:r w:rsidRPr="00260D1B">
        <w:rPr>
          <w:rFonts w:cs="Garamond"/>
        </w:rPr>
        <w:t xml:space="preserve"> </w:t>
      </w:r>
      <w:r>
        <w:rPr>
          <w:rFonts w:cs="Garamond"/>
        </w:rPr>
        <w:t>were</w:t>
      </w:r>
      <w:r w:rsidRPr="00260D1B">
        <w:rPr>
          <w:rFonts w:cs="Garamond"/>
        </w:rPr>
        <w:t xml:space="preserve"> not significant </w:t>
      </w:r>
      <w:r w:rsidRPr="00260D1B">
        <w:t>(log likelihood =</w:t>
      </w:r>
      <w:r>
        <w:t xml:space="preserve"> 0.74</w:t>
      </w:r>
      <w:r w:rsidRPr="00260D1B">
        <w:t>, p &lt;0.4</w:t>
      </w:r>
      <w:r>
        <w:t>1</w:t>
      </w:r>
      <w:r w:rsidRPr="00260D1B">
        <w:t xml:space="preserve"> for assessment, </w:t>
      </w:r>
      <w:bookmarkStart w:id="5" w:name="OLE_LINK22"/>
      <w:bookmarkStart w:id="6" w:name="OLE_LINK23"/>
      <w:r w:rsidRPr="00260D1B">
        <w:t>log likelihood =</w:t>
      </w:r>
      <w:r>
        <w:t>-0.60</w:t>
      </w:r>
      <w:r w:rsidRPr="00260D1B">
        <w:t>, p &lt;0.5</w:t>
      </w:r>
      <w:r>
        <w:t>7</w:t>
      </w:r>
      <w:r w:rsidRPr="00260D1B">
        <w:t xml:space="preserve"> </w:t>
      </w:r>
      <w:bookmarkEnd w:id="5"/>
      <w:bookmarkEnd w:id="6"/>
      <w:r w:rsidRPr="00260D1B">
        <w:t xml:space="preserve">for significance, log likelihood </w:t>
      </w:r>
      <w:r>
        <w:t>= 3.33</w:t>
      </w:r>
      <w:r w:rsidRPr="00260D1B">
        <w:t>, p &lt;0.</w:t>
      </w:r>
      <w:r>
        <w:t>16</w:t>
      </w:r>
      <w:r w:rsidRPr="00260D1B">
        <w:t xml:space="preserve"> for emotion). </w:t>
      </w:r>
    </w:p>
    <w:p w14:paraId="58AFF001" w14:textId="77777777" w:rsidR="007D1A4B" w:rsidRPr="00260D1B" w:rsidRDefault="007D1A4B" w:rsidP="007D1A4B">
      <w:pPr>
        <w:spacing w:line="360" w:lineRule="auto"/>
        <w:ind w:right="231"/>
      </w:pPr>
    </w:p>
    <w:p w14:paraId="5FCFB0D3" w14:textId="2DA019E0" w:rsidR="00D31017" w:rsidRPr="00260D1B" w:rsidRDefault="00D31017" w:rsidP="00D31017">
      <w:pPr>
        <w:spacing w:line="360" w:lineRule="auto"/>
        <w:ind w:right="231"/>
        <w:rPr>
          <w:rFonts w:cs="Garamond"/>
        </w:rPr>
      </w:pPr>
      <w:r w:rsidRPr="00260D1B">
        <w:rPr>
          <w:rFonts w:cs="Garamond"/>
          <w:b/>
          <w:bCs/>
        </w:rPr>
        <w:t>Table 7</w:t>
      </w:r>
      <w:r w:rsidRPr="00260D1B">
        <w:rPr>
          <w:rFonts w:cs="Garamond"/>
        </w:rPr>
        <w:t>. Functions of attitude markers across corpora (per 1,000 words and %)</w:t>
      </w:r>
    </w:p>
    <w:tbl>
      <w:tblPr>
        <w:tblStyle w:val="TableGrid"/>
        <w:tblW w:w="93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847"/>
        <w:gridCol w:w="1849"/>
        <w:gridCol w:w="1139"/>
        <w:gridCol w:w="278"/>
        <w:gridCol w:w="2126"/>
        <w:gridCol w:w="146"/>
        <w:gridCol w:w="1072"/>
        <w:gridCol w:w="151"/>
      </w:tblGrid>
      <w:tr w:rsidR="00260D1B" w:rsidRPr="00260D1B" w14:paraId="26A0534A" w14:textId="77777777" w:rsidTr="001840CF">
        <w:tc>
          <w:tcPr>
            <w:tcW w:w="1700" w:type="dxa"/>
          </w:tcPr>
          <w:p w14:paraId="3DBF7801" w14:textId="77777777" w:rsidR="00D31017" w:rsidRPr="00260D1B" w:rsidRDefault="00D31017" w:rsidP="00D31017">
            <w:pPr>
              <w:spacing w:line="360" w:lineRule="auto"/>
              <w:ind w:right="231"/>
              <w:rPr>
                <w:rFonts w:cs="Garamond"/>
                <w:b/>
                <w:bCs/>
              </w:rPr>
            </w:pPr>
          </w:p>
        </w:tc>
        <w:tc>
          <w:tcPr>
            <w:tcW w:w="2696" w:type="dxa"/>
            <w:gridSpan w:val="2"/>
            <w:tcBorders>
              <w:top w:val="single" w:sz="4" w:space="0" w:color="auto"/>
              <w:bottom w:val="single" w:sz="4" w:space="0" w:color="auto"/>
            </w:tcBorders>
          </w:tcPr>
          <w:p w14:paraId="756B80AC" w14:textId="77777777" w:rsidR="00D31017" w:rsidRPr="00260D1B" w:rsidRDefault="00D31017" w:rsidP="00D31017">
            <w:pPr>
              <w:spacing w:line="360" w:lineRule="auto"/>
              <w:ind w:right="231"/>
              <w:rPr>
                <w:rFonts w:cs="Garamond"/>
                <w:b/>
                <w:bCs/>
              </w:rPr>
            </w:pPr>
            <w:r w:rsidRPr="00260D1B">
              <w:rPr>
                <w:rFonts w:cs="Garamond"/>
                <w:b/>
                <w:bCs/>
              </w:rPr>
              <w:t>Covid-19 highlights</w:t>
            </w:r>
          </w:p>
        </w:tc>
        <w:tc>
          <w:tcPr>
            <w:tcW w:w="1139" w:type="dxa"/>
            <w:tcBorders>
              <w:top w:val="single" w:sz="4" w:space="0" w:color="auto"/>
              <w:bottom w:val="single" w:sz="4" w:space="0" w:color="auto"/>
            </w:tcBorders>
          </w:tcPr>
          <w:p w14:paraId="38343D2C" w14:textId="77777777" w:rsidR="00D31017" w:rsidRPr="00260D1B" w:rsidRDefault="00D31017" w:rsidP="00D31017">
            <w:pPr>
              <w:spacing w:line="360" w:lineRule="auto"/>
              <w:ind w:right="231"/>
              <w:rPr>
                <w:rFonts w:cs="Garamond"/>
                <w:b/>
                <w:bCs/>
              </w:rPr>
            </w:pPr>
          </w:p>
        </w:tc>
        <w:tc>
          <w:tcPr>
            <w:tcW w:w="2550" w:type="dxa"/>
            <w:gridSpan w:val="3"/>
            <w:tcBorders>
              <w:top w:val="single" w:sz="4" w:space="0" w:color="auto"/>
              <w:bottom w:val="single" w:sz="4" w:space="0" w:color="auto"/>
            </w:tcBorders>
          </w:tcPr>
          <w:p w14:paraId="471B9009" w14:textId="77777777" w:rsidR="00D31017" w:rsidRPr="00260D1B" w:rsidRDefault="00D31017" w:rsidP="00D31017">
            <w:pPr>
              <w:spacing w:line="360" w:lineRule="auto"/>
              <w:ind w:right="231"/>
              <w:rPr>
                <w:rFonts w:cs="Garamond"/>
                <w:b/>
                <w:bCs/>
              </w:rPr>
            </w:pPr>
            <w:r w:rsidRPr="00260D1B">
              <w:rPr>
                <w:rFonts w:cs="Garamond"/>
                <w:b/>
                <w:bCs/>
              </w:rPr>
              <w:t>Reference highlights</w:t>
            </w:r>
          </w:p>
        </w:tc>
        <w:tc>
          <w:tcPr>
            <w:tcW w:w="1223" w:type="dxa"/>
            <w:gridSpan w:val="2"/>
            <w:tcBorders>
              <w:top w:val="single" w:sz="4" w:space="0" w:color="auto"/>
              <w:bottom w:val="single" w:sz="4" w:space="0" w:color="auto"/>
            </w:tcBorders>
          </w:tcPr>
          <w:p w14:paraId="077174F3" w14:textId="77777777" w:rsidR="00D31017" w:rsidRPr="00260D1B" w:rsidRDefault="00D31017" w:rsidP="00D31017">
            <w:pPr>
              <w:spacing w:line="360" w:lineRule="auto"/>
              <w:ind w:right="231"/>
              <w:rPr>
                <w:rFonts w:cs="Garamond"/>
                <w:b/>
                <w:bCs/>
              </w:rPr>
            </w:pPr>
          </w:p>
        </w:tc>
      </w:tr>
      <w:tr w:rsidR="00260D1B" w:rsidRPr="00260D1B" w14:paraId="206F3871" w14:textId="77777777" w:rsidTr="0078132F">
        <w:trPr>
          <w:gridAfter w:val="1"/>
          <w:wAfter w:w="151" w:type="dxa"/>
          <w:trHeight w:val="70"/>
        </w:trPr>
        <w:tc>
          <w:tcPr>
            <w:tcW w:w="1700" w:type="dxa"/>
            <w:tcBorders>
              <w:bottom w:val="single" w:sz="4" w:space="0" w:color="auto"/>
            </w:tcBorders>
          </w:tcPr>
          <w:p w14:paraId="6FA7FC85" w14:textId="77777777" w:rsidR="00D31017" w:rsidRPr="00260D1B" w:rsidRDefault="00D31017" w:rsidP="00D31017">
            <w:pPr>
              <w:spacing w:line="360" w:lineRule="auto"/>
              <w:ind w:right="231"/>
              <w:rPr>
                <w:rFonts w:cs="Garamond"/>
              </w:rPr>
            </w:pPr>
          </w:p>
        </w:tc>
        <w:tc>
          <w:tcPr>
            <w:tcW w:w="2696" w:type="dxa"/>
            <w:gridSpan w:val="2"/>
            <w:tcBorders>
              <w:top w:val="single" w:sz="4" w:space="0" w:color="auto"/>
              <w:bottom w:val="single" w:sz="4" w:space="0" w:color="auto"/>
            </w:tcBorders>
          </w:tcPr>
          <w:p w14:paraId="1A8F74D4" w14:textId="77777777" w:rsidR="00D31017" w:rsidRPr="00260D1B" w:rsidRDefault="00D31017" w:rsidP="00D31017">
            <w:pPr>
              <w:spacing w:line="360" w:lineRule="auto"/>
              <w:ind w:right="231"/>
              <w:rPr>
                <w:rFonts w:cs="Garamond"/>
                <w:b/>
                <w:bCs/>
              </w:rPr>
            </w:pPr>
            <w:r w:rsidRPr="00260D1B">
              <w:rPr>
                <w:rFonts w:cs="Garamond"/>
              </w:rPr>
              <w:t>per 1,000 words</w:t>
            </w:r>
          </w:p>
        </w:tc>
        <w:tc>
          <w:tcPr>
            <w:tcW w:w="1417" w:type="dxa"/>
            <w:gridSpan w:val="2"/>
            <w:tcBorders>
              <w:top w:val="single" w:sz="4" w:space="0" w:color="auto"/>
              <w:bottom w:val="single" w:sz="4" w:space="0" w:color="auto"/>
            </w:tcBorders>
          </w:tcPr>
          <w:p w14:paraId="0C819BE5" w14:textId="77777777" w:rsidR="00D31017" w:rsidRPr="00260D1B" w:rsidRDefault="00D31017" w:rsidP="00D31017">
            <w:pPr>
              <w:spacing w:line="360" w:lineRule="auto"/>
              <w:ind w:right="231"/>
              <w:rPr>
                <w:rFonts w:cs="Garamond"/>
                <w:b/>
                <w:bCs/>
              </w:rPr>
            </w:pPr>
            <w:r w:rsidRPr="00260D1B">
              <w:rPr>
                <w:rFonts w:cs="Garamond"/>
              </w:rPr>
              <w:t>%</w:t>
            </w:r>
          </w:p>
        </w:tc>
        <w:tc>
          <w:tcPr>
            <w:tcW w:w="2126" w:type="dxa"/>
            <w:tcBorders>
              <w:top w:val="single" w:sz="4" w:space="0" w:color="auto"/>
              <w:bottom w:val="single" w:sz="4" w:space="0" w:color="auto"/>
            </w:tcBorders>
          </w:tcPr>
          <w:p w14:paraId="6346607A" w14:textId="77777777" w:rsidR="00D31017" w:rsidRPr="00260D1B" w:rsidRDefault="00D31017" w:rsidP="00D31017">
            <w:pPr>
              <w:spacing w:line="360" w:lineRule="auto"/>
              <w:ind w:right="231"/>
              <w:rPr>
                <w:rFonts w:cs="Garamond"/>
                <w:b/>
                <w:bCs/>
              </w:rPr>
            </w:pPr>
            <w:r w:rsidRPr="00260D1B">
              <w:rPr>
                <w:rFonts w:cs="Garamond"/>
              </w:rPr>
              <w:t>per 1,000 words</w:t>
            </w:r>
          </w:p>
        </w:tc>
        <w:tc>
          <w:tcPr>
            <w:tcW w:w="1218" w:type="dxa"/>
            <w:gridSpan w:val="2"/>
            <w:tcBorders>
              <w:top w:val="single" w:sz="4" w:space="0" w:color="auto"/>
              <w:bottom w:val="single" w:sz="4" w:space="0" w:color="auto"/>
            </w:tcBorders>
          </w:tcPr>
          <w:p w14:paraId="1DF022AE" w14:textId="77777777" w:rsidR="00D31017" w:rsidRPr="00260D1B" w:rsidRDefault="00D31017" w:rsidP="00D31017">
            <w:pPr>
              <w:spacing w:line="360" w:lineRule="auto"/>
              <w:ind w:right="231"/>
              <w:rPr>
                <w:rFonts w:cs="Garamond"/>
                <w:b/>
                <w:bCs/>
              </w:rPr>
            </w:pPr>
            <w:r w:rsidRPr="00260D1B">
              <w:rPr>
                <w:rFonts w:cs="Garamond"/>
              </w:rPr>
              <w:t>%</w:t>
            </w:r>
          </w:p>
        </w:tc>
      </w:tr>
      <w:tr w:rsidR="00260D1B" w:rsidRPr="00260D1B" w14:paraId="455E2A79" w14:textId="77777777" w:rsidTr="001840CF">
        <w:trPr>
          <w:gridAfter w:val="1"/>
          <w:wAfter w:w="151" w:type="dxa"/>
        </w:trPr>
        <w:tc>
          <w:tcPr>
            <w:tcW w:w="2547" w:type="dxa"/>
            <w:gridSpan w:val="2"/>
            <w:tcBorders>
              <w:top w:val="single" w:sz="4" w:space="0" w:color="auto"/>
            </w:tcBorders>
          </w:tcPr>
          <w:p w14:paraId="65D5089C" w14:textId="77777777" w:rsidR="00D31017" w:rsidRPr="00260D1B" w:rsidRDefault="00D31017" w:rsidP="00D31017">
            <w:pPr>
              <w:spacing w:line="360" w:lineRule="auto"/>
              <w:ind w:right="231"/>
              <w:rPr>
                <w:rFonts w:cs="Garamond"/>
              </w:rPr>
            </w:pPr>
            <w:r w:rsidRPr="00260D1B">
              <w:rPr>
                <w:rFonts w:cs="Garamond"/>
              </w:rPr>
              <w:t>Assessment</w:t>
            </w:r>
          </w:p>
        </w:tc>
        <w:tc>
          <w:tcPr>
            <w:tcW w:w="1849" w:type="dxa"/>
            <w:tcBorders>
              <w:top w:val="single" w:sz="4" w:space="0" w:color="auto"/>
            </w:tcBorders>
          </w:tcPr>
          <w:p w14:paraId="38B84667" w14:textId="77777777" w:rsidR="00D31017" w:rsidRPr="00260D1B" w:rsidRDefault="00D31017" w:rsidP="00D31017">
            <w:pPr>
              <w:spacing w:line="360" w:lineRule="auto"/>
              <w:ind w:right="231"/>
              <w:rPr>
                <w:rFonts w:cs="Garamond"/>
              </w:rPr>
            </w:pPr>
            <w:r w:rsidRPr="00260D1B">
              <w:rPr>
                <w:rFonts w:cs="Garamond"/>
              </w:rPr>
              <w:t>11.0</w:t>
            </w:r>
          </w:p>
        </w:tc>
        <w:tc>
          <w:tcPr>
            <w:tcW w:w="1417" w:type="dxa"/>
            <w:gridSpan w:val="2"/>
            <w:tcBorders>
              <w:top w:val="single" w:sz="4" w:space="0" w:color="auto"/>
            </w:tcBorders>
          </w:tcPr>
          <w:p w14:paraId="1071AF51" w14:textId="77777777" w:rsidR="00D31017" w:rsidRPr="00260D1B" w:rsidRDefault="00D31017" w:rsidP="00D31017">
            <w:pPr>
              <w:spacing w:line="360" w:lineRule="auto"/>
              <w:ind w:right="231"/>
              <w:rPr>
                <w:rFonts w:cs="Garamond"/>
              </w:rPr>
            </w:pPr>
            <w:r w:rsidRPr="00260D1B">
              <w:rPr>
                <w:rFonts w:cs="Garamond"/>
              </w:rPr>
              <w:t>82.6</w:t>
            </w:r>
          </w:p>
        </w:tc>
        <w:tc>
          <w:tcPr>
            <w:tcW w:w="2126" w:type="dxa"/>
            <w:tcBorders>
              <w:top w:val="single" w:sz="4" w:space="0" w:color="auto"/>
            </w:tcBorders>
          </w:tcPr>
          <w:p w14:paraId="745F7E5B" w14:textId="77777777" w:rsidR="00D31017" w:rsidRPr="00260D1B" w:rsidRDefault="00D31017" w:rsidP="00D31017">
            <w:pPr>
              <w:spacing w:line="360" w:lineRule="auto"/>
              <w:ind w:right="231"/>
              <w:rPr>
                <w:rFonts w:cs="Garamond"/>
              </w:rPr>
            </w:pPr>
            <w:r w:rsidRPr="00260D1B">
              <w:rPr>
                <w:rFonts w:cs="Garamond"/>
              </w:rPr>
              <w:t>10.7</w:t>
            </w:r>
          </w:p>
        </w:tc>
        <w:tc>
          <w:tcPr>
            <w:tcW w:w="1218" w:type="dxa"/>
            <w:gridSpan w:val="2"/>
            <w:tcBorders>
              <w:top w:val="single" w:sz="4" w:space="0" w:color="auto"/>
            </w:tcBorders>
          </w:tcPr>
          <w:p w14:paraId="0E7F514A" w14:textId="77777777" w:rsidR="00D31017" w:rsidRPr="00260D1B" w:rsidRDefault="00D31017" w:rsidP="00D31017">
            <w:pPr>
              <w:spacing w:line="360" w:lineRule="auto"/>
              <w:ind w:right="231"/>
              <w:rPr>
                <w:rFonts w:cs="Garamond"/>
              </w:rPr>
            </w:pPr>
            <w:r w:rsidRPr="00260D1B">
              <w:rPr>
                <w:rFonts w:cs="Garamond"/>
              </w:rPr>
              <w:t>88.1</w:t>
            </w:r>
          </w:p>
        </w:tc>
      </w:tr>
      <w:tr w:rsidR="00260D1B" w:rsidRPr="00260D1B" w14:paraId="5FDC15D0" w14:textId="77777777" w:rsidTr="001840CF">
        <w:trPr>
          <w:gridAfter w:val="1"/>
          <w:wAfter w:w="151" w:type="dxa"/>
        </w:trPr>
        <w:tc>
          <w:tcPr>
            <w:tcW w:w="2547" w:type="dxa"/>
            <w:gridSpan w:val="2"/>
          </w:tcPr>
          <w:p w14:paraId="48902C56" w14:textId="77777777" w:rsidR="00D31017" w:rsidRPr="00260D1B" w:rsidRDefault="00D31017" w:rsidP="00D31017">
            <w:pPr>
              <w:spacing w:line="360" w:lineRule="auto"/>
              <w:ind w:right="231"/>
              <w:rPr>
                <w:rFonts w:cs="Garamond"/>
              </w:rPr>
            </w:pPr>
            <w:r w:rsidRPr="00260D1B">
              <w:rPr>
                <w:rFonts w:cs="Garamond"/>
              </w:rPr>
              <w:t>Significance</w:t>
            </w:r>
          </w:p>
        </w:tc>
        <w:tc>
          <w:tcPr>
            <w:tcW w:w="1849" w:type="dxa"/>
          </w:tcPr>
          <w:p w14:paraId="5E01CAEA" w14:textId="77777777" w:rsidR="00D31017" w:rsidRPr="00260D1B" w:rsidRDefault="00D31017" w:rsidP="00D31017">
            <w:pPr>
              <w:spacing w:line="360" w:lineRule="auto"/>
              <w:ind w:right="231"/>
              <w:rPr>
                <w:rFonts w:cs="Garamond"/>
              </w:rPr>
            </w:pPr>
            <w:r w:rsidRPr="00260D1B">
              <w:rPr>
                <w:rFonts w:cs="Garamond"/>
              </w:rPr>
              <w:t>2.2</w:t>
            </w:r>
          </w:p>
        </w:tc>
        <w:tc>
          <w:tcPr>
            <w:tcW w:w="1417" w:type="dxa"/>
            <w:gridSpan w:val="2"/>
          </w:tcPr>
          <w:p w14:paraId="05D24D86" w14:textId="77777777" w:rsidR="00D31017" w:rsidRPr="00260D1B" w:rsidRDefault="00D31017" w:rsidP="00D31017">
            <w:pPr>
              <w:spacing w:line="360" w:lineRule="auto"/>
              <w:ind w:right="231"/>
              <w:rPr>
                <w:rFonts w:cs="Garamond"/>
              </w:rPr>
            </w:pPr>
            <w:r w:rsidRPr="00260D1B">
              <w:rPr>
                <w:rFonts w:cs="Garamond"/>
              </w:rPr>
              <w:t>16.1</w:t>
            </w:r>
          </w:p>
        </w:tc>
        <w:tc>
          <w:tcPr>
            <w:tcW w:w="2126" w:type="dxa"/>
          </w:tcPr>
          <w:p w14:paraId="6FF4D156" w14:textId="77777777" w:rsidR="00D31017" w:rsidRPr="00260D1B" w:rsidRDefault="00D31017" w:rsidP="00D31017">
            <w:pPr>
              <w:spacing w:line="360" w:lineRule="auto"/>
              <w:ind w:right="231"/>
              <w:rPr>
                <w:rFonts w:cs="Garamond"/>
              </w:rPr>
            </w:pPr>
            <w:r w:rsidRPr="00260D1B">
              <w:rPr>
                <w:rFonts w:cs="Garamond"/>
              </w:rPr>
              <w:t>1.5</w:t>
            </w:r>
          </w:p>
        </w:tc>
        <w:tc>
          <w:tcPr>
            <w:tcW w:w="1218" w:type="dxa"/>
            <w:gridSpan w:val="2"/>
          </w:tcPr>
          <w:p w14:paraId="1E0FD145" w14:textId="77777777" w:rsidR="00D31017" w:rsidRPr="00260D1B" w:rsidRDefault="00D31017" w:rsidP="00D31017">
            <w:pPr>
              <w:spacing w:line="360" w:lineRule="auto"/>
              <w:ind w:right="231"/>
              <w:rPr>
                <w:rFonts w:cs="Garamond"/>
              </w:rPr>
            </w:pPr>
            <w:r w:rsidRPr="00260D1B">
              <w:rPr>
                <w:rFonts w:cs="Garamond"/>
              </w:rPr>
              <w:t>11.9</w:t>
            </w:r>
          </w:p>
        </w:tc>
      </w:tr>
      <w:tr w:rsidR="00260D1B" w:rsidRPr="00260D1B" w14:paraId="5D656338" w14:textId="77777777" w:rsidTr="001840CF">
        <w:trPr>
          <w:gridAfter w:val="1"/>
          <w:wAfter w:w="151" w:type="dxa"/>
        </w:trPr>
        <w:tc>
          <w:tcPr>
            <w:tcW w:w="2547" w:type="dxa"/>
            <w:gridSpan w:val="2"/>
          </w:tcPr>
          <w:p w14:paraId="193DACEC" w14:textId="77777777" w:rsidR="00D31017" w:rsidRPr="00260D1B" w:rsidRDefault="00D31017" w:rsidP="00D31017">
            <w:pPr>
              <w:spacing w:line="360" w:lineRule="auto"/>
              <w:ind w:right="231"/>
              <w:rPr>
                <w:rFonts w:cs="Garamond"/>
                <w:b/>
                <w:bCs/>
              </w:rPr>
            </w:pPr>
            <w:r w:rsidRPr="00260D1B">
              <w:rPr>
                <w:rFonts w:cs="Garamond"/>
              </w:rPr>
              <w:t>Emotion</w:t>
            </w:r>
          </w:p>
        </w:tc>
        <w:tc>
          <w:tcPr>
            <w:tcW w:w="1849" w:type="dxa"/>
          </w:tcPr>
          <w:p w14:paraId="6E1FA3D6" w14:textId="77777777" w:rsidR="00D31017" w:rsidRPr="00260D1B" w:rsidRDefault="00D31017" w:rsidP="00D31017">
            <w:pPr>
              <w:spacing w:line="360" w:lineRule="auto"/>
              <w:ind w:right="231"/>
              <w:rPr>
                <w:rFonts w:cs="Garamond"/>
              </w:rPr>
            </w:pPr>
            <w:r w:rsidRPr="00260D1B">
              <w:rPr>
                <w:rFonts w:cs="Garamond"/>
              </w:rPr>
              <w:t>0.2</w:t>
            </w:r>
          </w:p>
        </w:tc>
        <w:tc>
          <w:tcPr>
            <w:tcW w:w="1417" w:type="dxa"/>
            <w:gridSpan w:val="2"/>
          </w:tcPr>
          <w:p w14:paraId="4EDD3B3B" w14:textId="77777777" w:rsidR="00D31017" w:rsidRPr="00260D1B" w:rsidRDefault="00D31017" w:rsidP="00D31017">
            <w:pPr>
              <w:spacing w:line="360" w:lineRule="auto"/>
              <w:ind w:right="231"/>
              <w:rPr>
                <w:rFonts w:cs="Garamond"/>
              </w:rPr>
            </w:pPr>
            <w:r w:rsidRPr="00260D1B">
              <w:rPr>
                <w:rFonts w:cs="Garamond"/>
              </w:rPr>
              <w:t>1.3</w:t>
            </w:r>
          </w:p>
        </w:tc>
        <w:tc>
          <w:tcPr>
            <w:tcW w:w="2126" w:type="dxa"/>
          </w:tcPr>
          <w:p w14:paraId="18363541" w14:textId="77777777" w:rsidR="00D31017" w:rsidRPr="00260D1B" w:rsidRDefault="00D31017" w:rsidP="00D31017">
            <w:pPr>
              <w:spacing w:line="360" w:lineRule="auto"/>
              <w:ind w:right="231"/>
              <w:rPr>
                <w:rFonts w:cs="Garamond"/>
              </w:rPr>
            </w:pPr>
            <w:r w:rsidRPr="00260D1B">
              <w:rPr>
                <w:rFonts w:cs="Garamond"/>
              </w:rPr>
              <w:t>0.0</w:t>
            </w:r>
          </w:p>
        </w:tc>
        <w:tc>
          <w:tcPr>
            <w:tcW w:w="1218" w:type="dxa"/>
            <w:gridSpan w:val="2"/>
          </w:tcPr>
          <w:p w14:paraId="72A5CAE3" w14:textId="77777777" w:rsidR="00D31017" w:rsidRPr="00260D1B" w:rsidRDefault="00D31017" w:rsidP="00D31017">
            <w:pPr>
              <w:spacing w:line="360" w:lineRule="auto"/>
              <w:ind w:right="231"/>
              <w:rPr>
                <w:rFonts w:cs="Garamond"/>
              </w:rPr>
            </w:pPr>
            <w:r w:rsidRPr="00260D1B">
              <w:rPr>
                <w:rFonts w:cs="Garamond"/>
              </w:rPr>
              <w:t>0.0</w:t>
            </w:r>
          </w:p>
        </w:tc>
      </w:tr>
      <w:tr w:rsidR="00D31017" w:rsidRPr="00260D1B" w14:paraId="73A7BABE" w14:textId="77777777" w:rsidTr="001840CF">
        <w:trPr>
          <w:gridAfter w:val="1"/>
          <w:wAfter w:w="151" w:type="dxa"/>
        </w:trPr>
        <w:tc>
          <w:tcPr>
            <w:tcW w:w="2547" w:type="dxa"/>
            <w:gridSpan w:val="2"/>
          </w:tcPr>
          <w:p w14:paraId="159C45D2" w14:textId="77777777" w:rsidR="00D31017" w:rsidRPr="00260D1B" w:rsidRDefault="00D31017" w:rsidP="00D31017">
            <w:pPr>
              <w:spacing w:line="360" w:lineRule="auto"/>
              <w:ind w:right="231"/>
              <w:rPr>
                <w:rFonts w:cs="Garamond"/>
                <w:b/>
                <w:bCs/>
              </w:rPr>
            </w:pPr>
            <w:r w:rsidRPr="00260D1B">
              <w:rPr>
                <w:rFonts w:cs="Garamond"/>
                <w:b/>
                <w:bCs/>
              </w:rPr>
              <w:t>Total</w:t>
            </w:r>
          </w:p>
        </w:tc>
        <w:tc>
          <w:tcPr>
            <w:tcW w:w="1849" w:type="dxa"/>
          </w:tcPr>
          <w:p w14:paraId="272F410A" w14:textId="77777777" w:rsidR="00D31017" w:rsidRPr="00260D1B" w:rsidRDefault="00D31017" w:rsidP="00D31017">
            <w:pPr>
              <w:spacing w:line="360" w:lineRule="auto"/>
              <w:ind w:right="231"/>
              <w:rPr>
                <w:rFonts w:cs="Garamond"/>
                <w:b/>
                <w:bCs/>
              </w:rPr>
            </w:pPr>
            <w:r w:rsidRPr="00260D1B">
              <w:rPr>
                <w:rFonts w:cs="Garamond"/>
                <w:b/>
                <w:bCs/>
              </w:rPr>
              <w:t>13.4</w:t>
            </w:r>
          </w:p>
        </w:tc>
        <w:tc>
          <w:tcPr>
            <w:tcW w:w="1417" w:type="dxa"/>
            <w:gridSpan w:val="2"/>
          </w:tcPr>
          <w:p w14:paraId="5ADED581" w14:textId="77777777" w:rsidR="00D31017" w:rsidRPr="00260D1B" w:rsidRDefault="00D31017" w:rsidP="00D31017">
            <w:pPr>
              <w:spacing w:line="360" w:lineRule="auto"/>
              <w:ind w:right="231"/>
              <w:rPr>
                <w:rFonts w:cs="Garamond"/>
                <w:b/>
                <w:bCs/>
              </w:rPr>
            </w:pPr>
            <w:r w:rsidRPr="00260D1B">
              <w:rPr>
                <w:rFonts w:cs="Garamond"/>
                <w:b/>
                <w:bCs/>
              </w:rPr>
              <w:t>100.0</w:t>
            </w:r>
          </w:p>
        </w:tc>
        <w:tc>
          <w:tcPr>
            <w:tcW w:w="2126" w:type="dxa"/>
          </w:tcPr>
          <w:p w14:paraId="31B18A89" w14:textId="77777777" w:rsidR="00D31017" w:rsidRPr="00260D1B" w:rsidRDefault="00D31017" w:rsidP="00D31017">
            <w:pPr>
              <w:spacing w:line="360" w:lineRule="auto"/>
              <w:ind w:right="231"/>
              <w:rPr>
                <w:rFonts w:cs="Garamond"/>
                <w:b/>
                <w:bCs/>
              </w:rPr>
            </w:pPr>
            <w:r w:rsidRPr="00260D1B">
              <w:rPr>
                <w:rFonts w:cs="Garamond"/>
                <w:b/>
                <w:bCs/>
              </w:rPr>
              <w:t>12.2</w:t>
            </w:r>
          </w:p>
        </w:tc>
        <w:tc>
          <w:tcPr>
            <w:tcW w:w="1218" w:type="dxa"/>
            <w:gridSpan w:val="2"/>
          </w:tcPr>
          <w:p w14:paraId="031C66FD" w14:textId="77777777" w:rsidR="00D31017" w:rsidRPr="00260D1B" w:rsidRDefault="00D31017" w:rsidP="00D31017">
            <w:pPr>
              <w:spacing w:line="360" w:lineRule="auto"/>
              <w:ind w:right="231"/>
              <w:rPr>
                <w:rFonts w:cs="Garamond"/>
                <w:b/>
                <w:bCs/>
              </w:rPr>
            </w:pPr>
            <w:r w:rsidRPr="00260D1B">
              <w:rPr>
                <w:rFonts w:cs="Garamond"/>
                <w:b/>
                <w:bCs/>
              </w:rPr>
              <w:t>100.0</w:t>
            </w:r>
          </w:p>
        </w:tc>
      </w:tr>
    </w:tbl>
    <w:p w14:paraId="3869F86F" w14:textId="558796EA" w:rsidR="00757292" w:rsidRPr="00260D1B" w:rsidRDefault="00757292" w:rsidP="005B1B5B">
      <w:pPr>
        <w:spacing w:line="360" w:lineRule="auto"/>
        <w:ind w:right="231"/>
      </w:pPr>
    </w:p>
    <w:p w14:paraId="0E8EF532" w14:textId="069AD9DF" w:rsidR="001539AA" w:rsidRPr="00260D1B" w:rsidRDefault="0039596D" w:rsidP="005B1B5B">
      <w:pPr>
        <w:spacing w:line="360" w:lineRule="auto"/>
        <w:ind w:right="231"/>
      </w:pPr>
      <w:r w:rsidRPr="00260D1B">
        <w:t>A</w:t>
      </w:r>
      <w:r w:rsidR="00C15F47" w:rsidRPr="00260D1B">
        <w:t>ttitude</w:t>
      </w:r>
      <w:r w:rsidR="00FD5BCE" w:rsidRPr="00260D1B">
        <w:t xml:space="preserve"> m</w:t>
      </w:r>
      <w:r w:rsidR="00C15F47" w:rsidRPr="00260D1B">
        <w:t xml:space="preserve">arking </w:t>
      </w:r>
      <w:r w:rsidR="00FD5BCE" w:rsidRPr="00260D1B">
        <w:t xml:space="preserve">of </w:t>
      </w:r>
      <w:r w:rsidR="00C15F47" w:rsidRPr="00260D1B">
        <w:t>a</w:t>
      </w:r>
      <w:r w:rsidRPr="00260D1B">
        <w:t>ssessment is overwhelmingly the most frequent function in</w:t>
      </w:r>
      <w:r w:rsidR="00C15F47" w:rsidRPr="00260D1B">
        <w:t xml:space="preserve"> both corpora</w:t>
      </w:r>
      <w:r w:rsidRPr="00260D1B">
        <w:t xml:space="preserve">, accounting for more than 80% of all forms. </w:t>
      </w:r>
      <w:r w:rsidR="001539AA" w:rsidRPr="00260D1B">
        <w:t xml:space="preserve">These markers </w:t>
      </w:r>
      <w:r w:rsidR="004C50F3" w:rsidRPr="00260D1B">
        <w:t>highlight the importance and value of what is reported and work to</w:t>
      </w:r>
      <w:r w:rsidR="001539AA" w:rsidRPr="00260D1B">
        <w:t xml:space="preserve"> </w:t>
      </w:r>
      <w:r w:rsidR="00132145" w:rsidRPr="00260D1B">
        <w:t xml:space="preserve">create a positive stance </w:t>
      </w:r>
      <w:r w:rsidR="004C50F3" w:rsidRPr="00260D1B">
        <w:t>which might</w:t>
      </w:r>
      <w:r w:rsidR="00132145" w:rsidRPr="00260D1B">
        <w:t xml:space="preserve"> </w:t>
      </w:r>
      <w:r w:rsidR="001539AA" w:rsidRPr="00260D1B">
        <w:t>generate a certain enthusiasm to readers</w:t>
      </w:r>
      <w:r w:rsidR="004C50F3" w:rsidRPr="00260D1B">
        <w:t>:</w:t>
      </w:r>
    </w:p>
    <w:p w14:paraId="3E32712A" w14:textId="671715F4" w:rsidR="00FD5BCE" w:rsidRPr="00260D1B" w:rsidRDefault="00FD5BCE" w:rsidP="00FD5BCE">
      <w:pPr>
        <w:spacing w:line="360" w:lineRule="auto"/>
        <w:ind w:left="709" w:right="231"/>
        <w:rPr>
          <w:kern w:val="1"/>
          <w:lang w:val="en-US"/>
        </w:rPr>
      </w:pPr>
      <w:r w:rsidRPr="00260D1B">
        <w:rPr>
          <w:kern w:val="1"/>
          <w:lang w:val="en-US"/>
        </w:rPr>
        <w:t>(3</w:t>
      </w:r>
      <w:r w:rsidR="00845804" w:rsidRPr="00260D1B">
        <w:rPr>
          <w:kern w:val="1"/>
          <w:lang w:val="en-US"/>
        </w:rPr>
        <w:t>6</w:t>
      </w:r>
      <w:r w:rsidRPr="00260D1B">
        <w:rPr>
          <w:kern w:val="1"/>
          <w:lang w:val="en-US"/>
        </w:rPr>
        <w:t xml:space="preserve">) Research on coronavirus disease 2019 (COVID-19)’s effect on mental health across Europe is </w:t>
      </w:r>
      <w:r w:rsidRPr="00260D1B">
        <w:rPr>
          <w:b/>
          <w:bCs/>
          <w:i/>
          <w:iCs/>
          <w:kern w:val="1"/>
          <w:lang w:val="en-US"/>
        </w:rPr>
        <w:t>limited</w:t>
      </w:r>
      <w:r w:rsidRPr="00260D1B">
        <w:rPr>
          <w:kern w:val="1"/>
          <w:lang w:val="en-US"/>
        </w:rPr>
        <w:t xml:space="preserve">. (CH 190) </w:t>
      </w:r>
    </w:p>
    <w:p w14:paraId="3EAB60BD" w14:textId="77777777" w:rsidR="00845804" w:rsidRPr="00260D1B" w:rsidRDefault="00845804" w:rsidP="00845804">
      <w:pPr>
        <w:spacing w:line="276" w:lineRule="auto"/>
        <w:ind w:left="709" w:right="231"/>
        <w:rPr>
          <w:kern w:val="1"/>
          <w:lang w:val="en-US"/>
        </w:rPr>
      </w:pPr>
    </w:p>
    <w:p w14:paraId="0566BD16" w14:textId="7097318C" w:rsidR="00845804" w:rsidRDefault="00FD5BCE" w:rsidP="00845804">
      <w:pPr>
        <w:spacing w:line="360" w:lineRule="auto"/>
        <w:ind w:left="709" w:right="231"/>
      </w:pPr>
      <w:r w:rsidRPr="00260D1B">
        <w:rPr>
          <w:kern w:val="1"/>
          <w:lang w:val="en-US"/>
        </w:rPr>
        <w:t>(3</w:t>
      </w:r>
      <w:r w:rsidR="00845804" w:rsidRPr="00260D1B">
        <w:rPr>
          <w:kern w:val="1"/>
          <w:lang w:val="en-US"/>
        </w:rPr>
        <w:t>7</w:t>
      </w:r>
      <w:r w:rsidRPr="00260D1B">
        <w:rPr>
          <w:kern w:val="1"/>
          <w:lang w:val="en-US"/>
        </w:rPr>
        <w:t xml:space="preserve">) </w:t>
      </w:r>
      <w:r w:rsidR="00845804" w:rsidRPr="00260D1B">
        <w:t xml:space="preserve">We conducted the first large scale research for AI-based LUS analysis of COVID-19 and built an </w:t>
      </w:r>
      <w:r w:rsidR="00845804" w:rsidRPr="00260D1B">
        <w:rPr>
          <w:b/>
          <w:bCs/>
          <w:i/>
          <w:iCs/>
        </w:rPr>
        <w:t>effective</w:t>
      </w:r>
      <w:r w:rsidR="00845804" w:rsidRPr="00260D1B">
        <w:t xml:space="preserve"> framework for COVID-19 diagnosis. (CH 264)</w:t>
      </w:r>
    </w:p>
    <w:p w14:paraId="7354CA3B" w14:textId="77777777" w:rsidR="007D1A4B" w:rsidRPr="00260D1B" w:rsidRDefault="007D1A4B" w:rsidP="00845804">
      <w:pPr>
        <w:spacing w:line="360" w:lineRule="auto"/>
        <w:ind w:left="709" w:right="231"/>
        <w:rPr>
          <w:kern w:val="1"/>
          <w:highlight w:val="cyan"/>
          <w:lang w:val="en-US"/>
        </w:rPr>
      </w:pPr>
    </w:p>
    <w:p w14:paraId="10391940" w14:textId="6FC38D0C" w:rsidR="00C21F71" w:rsidRPr="00260D1B" w:rsidRDefault="00FD5BCE" w:rsidP="005B1B5B">
      <w:pPr>
        <w:spacing w:line="360" w:lineRule="auto"/>
        <w:ind w:right="231"/>
      </w:pPr>
      <w:r w:rsidRPr="00260D1B">
        <w:t xml:space="preserve">The presence </w:t>
      </w:r>
      <w:r w:rsidR="004C50F3" w:rsidRPr="00260D1B">
        <w:t xml:space="preserve">of assessment markers </w:t>
      </w:r>
      <w:r w:rsidRPr="00260D1B">
        <w:t xml:space="preserve">in the </w:t>
      </w:r>
      <w:r w:rsidR="0039596D" w:rsidRPr="00260D1B">
        <w:t>COVID highlights</w:t>
      </w:r>
      <w:r w:rsidRPr="00260D1B">
        <w:t xml:space="preserve"> tended to place </w:t>
      </w:r>
      <w:r w:rsidR="00C15F47" w:rsidRPr="00260D1B">
        <w:t xml:space="preserve">greater emphasis on </w:t>
      </w:r>
      <w:r w:rsidR="0039596D" w:rsidRPr="00260D1B">
        <w:t>evaluating</w:t>
      </w:r>
      <w:r w:rsidR="0039596D" w:rsidRPr="00260D1B">
        <w:rPr>
          <w:rFonts w:eastAsia="SimSun"/>
          <w:kern w:val="1"/>
        </w:rPr>
        <w:t xml:space="preserve"> the novelty, usefulness or</w:t>
      </w:r>
      <w:r w:rsidR="00777A48" w:rsidRPr="00260D1B">
        <w:rPr>
          <w:rFonts w:eastAsia="SimSun"/>
          <w:kern w:val="1"/>
        </w:rPr>
        <w:t xml:space="preserve"> validity of </w:t>
      </w:r>
      <w:r w:rsidRPr="00260D1B">
        <w:rPr>
          <w:rFonts w:eastAsia="SimSun"/>
          <w:kern w:val="1"/>
        </w:rPr>
        <w:t xml:space="preserve">the </w:t>
      </w:r>
      <w:r w:rsidR="00777A48" w:rsidRPr="00260D1B">
        <w:rPr>
          <w:rFonts w:eastAsia="SimSun"/>
          <w:kern w:val="1"/>
        </w:rPr>
        <w:t>studies</w:t>
      </w:r>
      <w:r w:rsidRPr="00260D1B">
        <w:rPr>
          <w:rFonts w:eastAsia="SimSun"/>
          <w:kern w:val="1"/>
        </w:rPr>
        <w:t xml:space="preserve"> they precede</w:t>
      </w:r>
      <w:r w:rsidR="0039596D" w:rsidRPr="00260D1B">
        <w:t>,</w:t>
      </w:r>
      <w:r w:rsidRPr="00260D1B">
        <w:t xml:space="preserve"> </w:t>
      </w:r>
      <w:r w:rsidR="001E724E" w:rsidRPr="00260D1B">
        <w:t>offering writers a more involved and visible stance in the evaluation</w:t>
      </w:r>
      <w:r w:rsidR="00777A48" w:rsidRPr="00260D1B">
        <w:rPr>
          <w:rFonts w:eastAsia="SimSun"/>
          <w:kern w:val="1"/>
        </w:rPr>
        <w:t xml:space="preserve">: </w:t>
      </w:r>
    </w:p>
    <w:p w14:paraId="385B49B3" w14:textId="4BE987BB" w:rsidR="00132145" w:rsidRPr="00260D1B" w:rsidRDefault="00C21F71" w:rsidP="00132145">
      <w:pPr>
        <w:spacing w:line="360" w:lineRule="auto"/>
        <w:ind w:left="680" w:right="231"/>
        <w:rPr>
          <w:kern w:val="1"/>
          <w:lang w:val="en-US"/>
        </w:rPr>
      </w:pPr>
      <w:r w:rsidRPr="00260D1B">
        <w:rPr>
          <w:kern w:val="1"/>
          <w:lang w:val="en-US"/>
        </w:rPr>
        <w:t>(</w:t>
      </w:r>
      <w:r w:rsidR="001E724E" w:rsidRPr="00260D1B">
        <w:rPr>
          <w:kern w:val="1"/>
          <w:lang w:val="en-US"/>
        </w:rPr>
        <w:t>3</w:t>
      </w:r>
      <w:r w:rsidR="00845804" w:rsidRPr="00260D1B">
        <w:rPr>
          <w:kern w:val="1"/>
          <w:lang w:val="en-US"/>
        </w:rPr>
        <w:t>8</w:t>
      </w:r>
      <w:r w:rsidRPr="00260D1B">
        <w:rPr>
          <w:kern w:val="1"/>
          <w:lang w:val="en-US"/>
        </w:rPr>
        <w:t>)</w:t>
      </w:r>
      <w:r w:rsidR="003E180D" w:rsidRPr="00260D1B">
        <w:rPr>
          <w:kern w:val="1"/>
          <w:lang w:val="en-US"/>
        </w:rPr>
        <w:t xml:space="preserve"> We propose a </w:t>
      </w:r>
      <w:r w:rsidR="003E180D" w:rsidRPr="00260D1B">
        <w:rPr>
          <w:b/>
          <w:bCs/>
          <w:i/>
          <w:iCs/>
          <w:kern w:val="1"/>
          <w:lang w:val="en-US"/>
        </w:rPr>
        <w:t>novel</w:t>
      </w:r>
      <w:r w:rsidR="003E180D" w:rsidRPr="00260D1B">
        <w:rPr>
          <w:kern w:val="1"/>
          <w:lang w:val="en-US"/>
        </w:rPr>
        <w:t xml:space="preserve"> two-stage </w:t>
      </w:r>
      <w:hyperlink r:id="rId16" w:tooltip="Learn more about transfer learning from ScienceDirect's AI-generated Topic Pages" w:history="1">
        <w:r w:rsidR="003E180D" w:rsidRPr="00260D1B">
          <w:rPr>
            <w:kern w:val="1"/>
            <w:lang w:val="en-US"/>
          </w:rPr>
          <w:t>transfer learning</w:t>
        </w:r>
      </w:hyperlink>
      <w:r w:rsidR="003E180D" w:rsidRPr="00260D1B">
        <w:rPr>
          <w:kern w:val="1"/>
          <w:lang w:val="en-US"/>
        </w:rPr>
        <w:t xml:space="preserve"> framework for segmenting COVID-19 lung infections from CT images. </w:t>
      </w:r>
      <w:r w:rsidR="00132145" w:rsidRPr="00260D1B">
        <w:rPr>
          <w:kern w:val="1"/>
          <w:lang w:val="en-US"/>
        </w:rPr>
        <w:t xml:space="preserve"> (CH 254)</w:t>
      </w:r>
    </w:p>
    <w:p w14:paraId="4459F8D8" w14:textId="22303492" w:rsidR="00C21F71" w:rsidRPr="00260D1B" w:rsidRDefault="00C21F71" w:rsidP="002C2917">
      <w:pPr>
        <w:spacing w:line="276" w:lineRule="auto"/>
        <w:ind w:right="231"/>
        <w:rPr>
          <w:rFonts w:eastAsia="SimSun"/>
          <w:kern w:val="1"/>
        </w:rPr>
      </w:pPr>
    </w:p>
    <w:p w14:paraId="51DDE426" w14:textId="4814C93A" w:rsidR="001E724E" w:rsidRPr="00260D1B" w:rsidRDefault="00C21F71" w:rsidP="001E724E">
      <w:pPr>
        <w:spacing w:line="360" w:lineRule="auto"/>
        <w:ind w:left="680" w:right="231"/>
        <w:rPr>
          <w:kern w:val="1"/>
          <w:lang w:val="en-US"/>
        </w:rPr>
      </w:pPr>
      <w:r w:rsidRPr="00260D1B">
        <w:rPr>
          <w:kern w:val="1"/>
          <w:lang w:val="en-US"/>
        </w:rPr>
        <w:t>(</w:t>
      </w:r>
      <w:r w:rsidR="001E724E" w:rsidRPr="00260D1B">
        <w:rPr>
          <w:kern w:val="1"/>
          <w:lang w:val="en-US"/>
        </w:rPr>
        <w:t>3</w:t>
      </w:r>
      <w:r w:rsidR="00845804" w:rsidRPr="00260D1B">
        <w:rPr>
          <w:kern w:val="1"/>
          <w:lang w:val="en-US"/>
        </w:rPr>
        <w:t>9</w:t>
      </w:r>
      <w:r w:rsidRPr="00260D1B">
        <w:rPr>
          <w:kern w:val="1"/>
          <w:lang w:val="en-US"/>
        </w:rPr>
        <w:t>)</w:t>
      </w:r>
      <w:r w:rsidR="003E180D" w:rsidRPr="00260D1B">
        <w:rPr>
          <w:kern w:val="1"/>
          <w:lang w:val="en-US"/>
        </w:rPr>
        <w:t xml:space="preserve"> This framework can thus be </w:t>
      </w:r>
      <w:r w:rsidR="003E180D" w:rsidRPr="00260D1B">
        <w:rPr>
          <w:b/>
          <w:bCs/>
          <w:i/>
          <w:iCs/>
          <w:kern w:val="1"/>
          <w:lang w:val="en-US"/>
        </w:rPr>
        <w:t xml:space="preserve">useful </w:t>
      </w:r>
      <w:r w:rsidR="003E180D" w:rsidRPr="00260D1B">
        <w:rPr>
          <w:kern w:val="1"/>
          <w:lang w:val="en-US"/>
        </w:rPr>
        <w:t xml:space="preserve">in the short-term forecasting of epidemics and in the evaluation of potential disease control implementations. (CH 245) </w:t>
      </w:r>
    </w:p>
    <w:p w14:paraId="699985E0" w14:textId="77777777" w:rsidR="001E724E" w:rsidRPr="00260D1B" w:rsidRDefault="001E724E" w:rsidP="002C2917">
      <w:pPr>
        <w:spacing w:line="276" w:lineRule="auto"/>
        <w:ind w:left="680" w:right="231"/>
        <w:rPr>
          <w:kern w:val="1"/>
          <w:lang w:val="en-US"/>
        </w:rPr>
      </w:pPr>
    </w:p>
    <w:p w14:paraId="57F0C4F3" w14:textId="16DF3BBD" w:rsidR="001E724E" w:rsidRDefault="001E724E" w:rsidP="001E724E">
      <w:pPr>
        <w:spacing w:line="360" w:lineRule="auto"/>
        <w:ind w:left="680" w:right="231"/>
        <w:rPr>
          <w:kern w:val="1"/>
          <w:lang w:val="en-US"/>
        </w:rPr>
      </w:pPr>
      <w:r w:rsidRPr="00260D1B">
        <w:rPr>
          <w:kern w:val="1"/>
          <w:lang w:val="en-US"/>
        </w:rPr>
        <w:lastRenderedPageBreak/>
        <w:t>(</w:t>
      </w:r>
      <w:r w:rsidR="00845804" w:rsidRPr="00260D1B">
        <w:rPr>
          <w:kern w:val="1"/>
          <w:lang w:val="en-US"/>
        </w:rPr>
        <w:t>40</w:t>
      </w:r>
      <w:r w:rsidRPr="00260D1B">
        <w:rPr>
          <w:kern w:val="1"/>
          <w:lang w:val="en-US"/>
        </w:rPr>
        <w:t xml:space="preserve">) Elevation of Treg cells and basophils are </w:t>
      </w:r>
      <w:r w:rsidRPr="00260D1B">
        <w:rPr>
          <w:b/>
          <w:bCs/>
          <w:i/>
          <w:iCs/>
          <w:kern w:val="1"/>
          <w:lang w:val="en-US"/>
        </w:rPr>
        <w:t>unique</w:t>
      </w:r>
      <w:r w:rsidRPr="00260D1B">
        <w:rPr>
          <w:kern w:val="1"/>
          <w:lang w:val="en-US"/>
        </w:rPr>
        <w:t xml:space="preserve"> to ventilation recovery </w:t>
      </w:r>
      <w:r w:rsidR="005B5FDB" w:rsidRPr="00260D1B">
        <w:rPr>
          <w:kern w:val="1"/>
          <w:lang w:val="en-US"/>
        </w:rPr>
        <w:t xml:space="preserve">  </w:t>
      </w:r>
      <w:proofErr w:type="gramStart"/>
      <w:r w:rsidR="005B5FDB" w:rsidRPr="00260D1B">
        <w:rPr>
          <w:kern w:val="1"/>
          <w:lang w:val="en-US"/>
        </w:rPr>
        <w:t xml:space="preserve">   </w:t>
      </w:r>
      <w:r w:rsidRPr="00260D1B">
        <w:rPr>
          <w:kern w:val="1"/>
          <w:lang w:val="en-US"/>
        </w:rPr>
        <w:t>(</w:t>
      </w:r>
      <w:proofErr w:type="gramEnd"/>
      <w:r w:rsidRPr="00260D1B">
        <w:rPr>
          <w:kern w:val="1"/>
          <w:lang w:val="en-US"/>
        </w:rPr>
        <w:t>CH 60)</w:t>
      </w:r>
    </w:p>
    <w:p w14:paraId="0D037058" w14:textId="77777777" w:rsidR="007D1A4B" w:rsidRPr="00260D1B" w:rsidRDefault="007D1A4B" w:rsidP="001E724E">
      <w:pPr>
        <w:spacing w:line="360" w:lineRule="auto"/>
        <w:ind w:left="680" w:right="231"/>
        <w:rPr>
          <w:kern w:val="1"/>
          <w:lang w:val="en-US"/>
        </w:rPr>
      </w:pPr>
    </w:p>
    <w:p w14:paraId="35430087" w14:textId="4E289BEB" w:rsidR="001E724E" w:rsidRPr="00260D1B" w:rsidRDefault="001E724E" w:rsidP="001E724E">
      <w:pPr>
        <w:spacing w:line="360" w:lineRule="auto"/>
        <w:ind w:right="231"/>
        <w:rPr>
          <w:kern w:val="1"/>
        </w:rPr>
      </w:pPr>
      <w:r w:rsidRPr="00260D1B">
        <w:rPr>
          <w:kern w:val="1"/>
        </w:rPr>
        <w:t xml:space="preserve">Highlights here promoted the originality of the research and its immediate value, but those </w:t>
      </w:r>
      <w:r w:rsidRPr="00260D1B">
        <w:rPr>
          <w:kern w:val="1"/>
          <w:lang w:val="en-US"/>
        </w:rPr>
        <w:t xml:space="preserve">in the reference corpus, in contrast, tended to address the potential future value or possible benefits of </w:t>
      </w:r>
      <w:r w:rsidR="004C50F3" w:rsidRPr="00260D1B">
        <w:rPr>
          <w:kern w:val="1"/>
          <w:lang w:val="en-US"/>
        </w:rPr>
        <w:t xml:space="preserve">a </w:t>
      </w:r>
      <w:r w:rsidRPr="00260D1B">
        <w:rPr>
          <w:kern w:val="1"/>
          <w:lang w:val="en-US"/>
        </w:rPr>
        <w:t xml:space="preserve">treatment: </w:t>
      </w:r>
    </w:p>
    <w:p w14:paraId="66780645" w14:textId="025AC5FA" w:rsidR="001E724E" w:rsidRPr="00260D1B" w:rsidRDefault="001E724E" w:rsidP="001E724E">
      <w:pPr>
        <w:spacing w:line="360" w:lineRule="auto"/>
        <w:ind w:left="680" w:right="231"/>
        <w:rPr>
          <w:kern w:val="1"/>
          <w:lang w:val="en-US"/>
        </w:rPr>
      </w:pPr>
      <w:r w:rsidRPr="00260D1B">
        <w:rPr>
          <w:kern w:val="1"/>
          <w:lang w:val="en-US"/>
        </w:rPr>
        <w:t>(</w:t>
      </w:r>
      <w:r w:rsidR="005B5FDB" w:rsidRPr="00260D1B">
        <w:rPr>
          <w:kern w:val="1"/>
          <w:lang w:val="en-US"/>
        </w:rPr>
        <w:t>4</w:t>
      </w:r>
      <w:r w:rsidR="00845804" w:rsidRPr="00260D1B">
        <w:rPr>
          <w:kern w:val="1"/>
          <w:lang w:val="en-US"/>
        </w:rPr>
        <w:t>1</w:t>
      </w:r>
      <w:r w:rsidRPr="00260D1B">
        <w:rPr>
          <w:kern w:val="1"/>
          <w:lang w:val="en-US"/>
        </w:rPr>
        <w:t xml:space="preserve">) The anti-PD-1 plus azacytidine might be a more </w:t>
      </w:r>
      <w:r w:rsidRPr="00260D1B">
        <w:rPr>
          <w:b/>
          <w:bCs/>
          <w:i/>
          <w:iCs/>
          <w:kern w:val="1"/>
          <w:lang w:val="en-US"/>
        </w:rPr>
        <w:t>promising</w:t>
      </w:r>
      <w:r w:rsidRPr="00260D1B">
        <w:rPr>
          <w:kern w:val="1"/>
          <w:lang w:val="en-US"/>
        </w:rPr>
        <w:t xml:space="preserve"> approach to treat GCA. (RH 151)</w:t>
      </w:r>
    </w:p>
    <w:p w14:paraId="25956CFE" w14:textId="77777777" w:rsidR="001E724E" w:rsidRPr="00260D1B" w:rsidRDefault="001E724E" w:rsidP="005B5FDB">
      <w:pPr>
        <w:spacing w:line="276" w:lineRule="auto"/>
        <w:ind w:left="680" w:right="231"/>
        <w:rPr>
          <w:kern w:val="1"/>
          <w:lang w:val="en-US"/>
        </w:rPr>
      </w:pPr>
    </w:p>
    <w:p w14:paraId="71612537" w14:textId="6C100C90" w:rsidR="008E7075" w:rsidRPr="00260D1B" w:rsidRDefault="001E724E" w:rsidP="008E7075">
      <w:pPr>
        <w:spacing w:line="360" w:lineRule="auto"/>
        <w:ind w:left="680" w:right="231"/>
        <w:rPr>
          <w:kern w:val="1"/>
          <w:lang w:val="en-US"/>
        </w:rPr>
      </w:pPr>
      <w:r w:rsidRPr="00260D1B">
        <w:rPr>
          <w:kern w:val="1"/>
          <w:lang w:val="en-US"/>
        </w:rPr>
        <w:t>(4</w:t>
      </w:r>
      <w:r w:rsidR="00845804" w:rsidRPr="00260D1B">
        <w:rPr>
          <w:kern w:val="1"/>
          <w:lang w:val="en-US"/>
        </w:rPr>
        <w:t>2</w:t>
      </w:r>
      <w:r w:rsidRPr="00260D1B">
        <w:rPr>
          <w:kern w:val="1"/>
          <w:lang w:val="en-US"/>
        </w:rPr>
        <w:t xml:space="preserve">) Two </w:t>
      </w:r>
      <w:proofErr w:type="spellStart"/>
      <w:r w:rsidRPr="00260D1B">
        <w:rPr>
          <w:kern w:val="1"/>
          <w:lang w:val="en-US"/>
        </w:rPr>
        <w:t>lncRNAs</w:t>
      </w:r>
      <w:proofErr w:type="spellEnd"/>
      <w:r w:rsidRPr="00260D1B">
        <w:rPr>
          <w:kern w:val="1"/>
          <w:lang w:val="en-US"/>
        </w:rPr>
        <w:t xml:space="preserve"> were identified as </w:t>
      </w:r>
      <w:r w:rsidRPr="00260D1B">
        <w:rPr>
          <w:b/>
          <w:bCs/>
          <w:i/>
          <w:iCs/>
          <w:kern w:val="1"/>
          <w:lang w:val="en-US"/>
        </w:rPr>
        <w:t>potential</w:t>
      </w:r>
      <w:r w:rsidRPr="00260D1B">
        <w:rPr>
          <w:kern w:val="1"/>
          <w:lang w:val="en-US"/>
        </w:rPr>
        <w:t xml:space="preserve"> </w:t>
      </w:r>
      <w:r w:rsidRPr="00260D1B">
        <w:rPr>
          <w:i/>
          <w:iCs/>
          <w:kern w:val="1"/>
          <w:lang w:val="en-US"/>
        </w:rPr>
        <w:t xml:space="preserve">novel </w:t>
      </w:r>
      <w:r w:rsidRPr="00260D1B">
        <w:rPr>
          <w:kern w:val="1"/>
          <w:lang w:val="en-US"/>
        </w:rPr>
        <w:t xml:space="preserve">biomarkers for cured TB. </w:t>
      </w:r>
      <w:r w:rsidR="002C2917" w:rsidRPr="00260D1B">
        <w:rPr>
          <w:kern w:val="1"/>
          <w:lang w:val="en-US"/>
        </w:rPr>
        <w:t xml:space="preserve"> </w:t>
      </w:r>
      <w:r w:rsidRPr="00260D1B">
        <w:rPr>
          <w:kern w:val="1"/>
          <w:lang w:val="en-US"/>
        </w:rPr>
        <w:t>(RH 55)</w:t>
      </w:r>
    </w:p>
    <w:p w14:paraId="712EF479" w14:textId="77777777" w:rsidR="008E7075" w:rsidRPr="00260D1B" w:rsidRDefault="008E7075" w:rsidP="002C2917">
      <w:pPr>
        <w:spacing w:line="276" w:lineRule="auto"/>
        <w:ind w:left="680" w:right="231"/>
        <w:rPr>
          <w:kern w:val="1"/>
          <w:lang w:val="en-US"/>
        </w:rPr>
      </w:pPr>
    </w:p>
    <w:p w14:paraId="3984272C" w14:textId="76D340F7" w:rsidR="008E7075" w:rsidRPr="00260D1B" w:rsidRDefault="008E7075" w:rsidP="008E7075">
      <w:pPr>
        <w:spacing w:line="360" w:lineRule="auto"/>
        <w:ind w:left="680" w:right="231"/>
        <w:rPr>
          <w:kern w:val="1"/>
          <w:lang w:val="en-US"/>
        </w:rPr>
      </w:pPr>
      <w:r w:rsidRPr="00260D1B">
        <w:rPr>
          <w:kern w:val="1"/>
          <w:lang w:val="en-US"/>
        </w:rPr>
        <w:t>(4</w:t>
      </w:r>
      <w:r w:rsidR="002942C9" w:rsidRPr="00260D1B">
        <w:rPr>
          <w:kern w:val="1"/>
          <w:lang w:val="en-US"/>
        </w:rPr>
        <w:t>3</w:t>
      </w:r>
      <w:r w:rsidRPr="00260D1B">
        <w:rPr>
          <w:kern w:val="1"/>
          <w:lang w:val="en-US"/>
        </w:rPr>
        <w:t xml:space="preserve">)Intravenous azithromycin can be recommended as a </w:t>
      </w:r>
      <w:r w:rsidRPr="00260D1B">
        <w:rPr>
          <w:b/>
          <w:bCs/>
          <w:i/>
          <w:iCs/>
          <w:kern w:val="1"/>
          <w:lang w:val="en-US"/>
        </w:rPr>
        <w:t xml:space="preserve">good </w:t>
      </w:r>
      <w:r w:rsidRPr="00260D1B">
        <w:rPr>
          <w:kern w:val="1"/>
          <w:lang w:val="en-US"/>
        </w:rPr>
        <w:t xml:space="preserve">alternative agent when oral doxycycline is contraindicated. (RH 7) </w:t>
      </w:r>
    </w:p>
    <w:p w14:paraId="2C86465D" w14:textId="3080538B" w:rsidR="003E180D" w:rsidRPr="00260D1B" w:rsidRDefault="003E180D" w:rsidP="005B1B5B">
      <w:pPr>
        <w:spacing w:line="360" w:lineRule="auto"/>
        <w:ind w:right="231"/>
        <w:rPr>
          <w:kern w:val="1"/>
          <w:lang w:val="en-US"/>
        </w:rPr>
      </w:pPr>
    </w:p>
    <w:p w14:paraId="4A040D03" w14:textId="1F833FE4" w:rsidR="00CC3FE7" w:rsidRPr="00260D1B" w:rsidRDefault="00CC3FE7" w:rsidP="005B1B5B">
      <w:pPr>
        <w:widowControl w:val="0"/>
        <w:spacing w:line="360" w:lineRule="auto"/>
        <w:ind w:right="231"/>
      </w:pPr>
      <w:r w:rsidRPr="00260D1B">
        <w:rPr>
          <w:i/>
          <w:iCs/>
        </w:rPr>
        <w:t>Significance</w:t>
      </w:r>
      <w:r w:rsidRPr="00260D1B">
        <w:t xml:space="preserve"> markers</w:t>
      </w:r>
      <w:r w:rsidR="005B5FDB" w:rsidRPr="00260D1B">
        <w:t xml:space="preserve">, indicating the writer’s assessment of importance or application of the findings, </w:t>
      </w:r>
      <w:r w:rsidRPr="00260D1B">
        <w:t>were</w:t>
      </w:r>
      <w:r w:rsidR="004C50F3" w:rsidRPr="00260D1B">
        <w:t xml:space="preserve"> also</w:t>
      </w:r>
      <w:r w:rsidRPr="00260D1B">
        <w:t xml:space="preserve"> much more common in the Covid-19 highlights. </w:t>
      </w:r>
      <w:r w:rsidR="005B5FDB" w:rsidRPr="00260D1B">
        <w:rPr>
          <w:i/>
          <w:iCs/>
        </w:rPr>
        <w:t xml:space="preserve">Important , significant, critical </w:t>
      </w:r>
      <w:r w:rsidR="005B5FDB" w:rsidRPr="00260D1B">
        <w:t>and</w:t>
      </w:r>
      <w:r w:rsidR="005B5FDB" w:rsidRPr="00260D1B">
        <w:rPr>
          <w:i/>
          <w:iCs/>
        </w:rPr>
        <w:t xml:space="preserve"> substantial</w:t>
      </w:r>
      <w:r w:rsidR="005B5FDB" w:rsidRPr="00260D1B">
        <w:t xml:space="preserve"> all occur in the top 10 most frequent tokens </w:t>
      </w:r>
      <w:r w:rsidR="002E3EE4" w:rsidRPr="00260D1B">
        <w:t>in the COVID highlights</w:t>
      </w:r>
      <w:r w:rsidR="005B5FDB" w:rsidRPr="00260D1B">
        <w:t xml:space="preserve"> (Table</w:t>
      </w:r>
      <w:r w:rsidR="002E3EE4" w:rsidRPr="00260D1B">
        <w:t xml:space="preserve"> 6</w:t>
      </w:r>
      <w:r w:rsidR="005B5FDB" w:rsidRPr="00260D1B">
        <w:t>)</w:t>
      </w:r>
      <w:r w:rsidR="002E3EE4" w:rsidRPr="00260D1B">
        <w:t xml:space="preserve">. </w:t>
      </w:r>
      <w:r w:rsidR="001B0048" w:rsidRPr="00260D1B">
        <w:t>It is</w:t>
      </w:r>
      <w:r w:rsidR="002E3EE4" w:rsidRPr="00260D1B">
        <w:t xml:space="preserve"> thus</w:t>
      </w:r>
      <w:r w:rsidR="001B0048" w:rsidRPr="00260D1B">
        <w:t xml:space="preserve"> an opportunity for writers to show a clear assurance of the significance of</w:t>
      </w:r>
      <w:r w:rsidR="00314214" w:rsidRPr="00260D1B">
        <w:t xml:space="preserve"> </w:t>
      </w:r>
      <w:r w:rsidR="001B0048" w:rsidRPr="00260D1B">
        <w:t>the research</w:t>
      </w:r>
      <w:r w:rsidR="002E3EE4" w:rsidRPr="00260D1B">
        <w:t xml:space="preserve"> </w:t>
      </w:r>
      <w:r w:rsidR="00314214" w:rsidRPr="00260D1B">
        <w:t xml:space="preserve">or to guide readers to understand the importance of a particular research method: </w:t>
      </w:r>
      <w:r w:rsidR="002E3EE4" w:rsidRPr="00260D1B">
        <w:t xml:space="preserve"> </w:t>
      </w:r>
    </w:p>
    <w:p w14:paraId="03399F73" w14:textId="6C77A7B9" w:rsidR="0039596D" w:rsidRPr="00260D1B" w:rsidRDefault="002E3EE4" w:rsidP="005B1B5B">
      <w:pPr>
        <w:spacing w:line="360" w:lineRule="auto"/>
        <w:ind w:left="680" w:right="231"/>
        <w:rPr>
          <w:kern w:val="1"/>
          <w:lang w:val="en-US"/>
        </w:rPr>
      </w:pPr>
      <w:r w:rsidRPr="00260D1B">
        <w:rPr>
          <w:kern w:val="1"/>
          <w:lang w:val="en-US"/>
        </w:rPr>
        <w:t>(</w:t>
      </w:r>
      <w:r w:rsidR="00BE4C1C" w:rsidRPr="00260D1B">
        <w:rPr>
          <w:kern w:val="1"/>
          <w:lang w:val="en-US"/>
        </w:rPr>
        <w:t>4</w:t>
      </w:r>
      <w:r w:rsidR="002942C9" w:rsidRPr="00260D1B">
        <w:rPr>
          <w:kern w:val="1"/>
          <w:lang w:val="en-US"/>
        </w:rPr>
        <w:t>4</w:t>
      </w:r>
      <w:r w:rsidRPr="00260D1B">
        <w:rPr>
          <w:kern w:val="1"/>
          <w:lang w:val="en-US"/>
        </w:rPr>
        <w:t>)</w:t>
      </w:r>
      <w:r w:rsidR="00FA476D" w:rsidRPr="00260D1B">
        <w:rPr>
          <w:kern w:val="1"/>
          <w:lang w:val="en-US"/>
        </w:rPr>
        <w:t xml:space="preserve"> Findings of this observational study provide </w:t>
      </w:r>
      <w:r w:rsidR="00FA476D" w:rsidRPr="00260D1B">
        <w:rPr>
          <w:b/>
          <w:bCs/>
          <w:i/>
          <w:iCs/>
          <w:kern w:val="1"/>
          <w:lang w:val="en-US"/>
        </w:rPr>
        <w:t xml:space="preserve">crucial </w:t>
      </w:r>
      <w:r w:rsidR="00FA476D" w:rsidRPr="00260D1B">
        <w:rPr>
          <w:kern w:val="1"/>
          <w:lang w:val="en-US"/>
        </w:rPr>
        <w:t>data on experience with hydroxychloroquine therapy,… (CH 40)</w:t>
      </w:r>
    </w:p>
    <w:p w14:paraId="4BB8BA4A" w14:textId="77777777" w:rsidR="00314214" w:rsidRPr="00260D1B" w:rsidRDefault="00314214" w:rsidP="004B0EE9">
      <w:pPr>
        <w:spacing w:line="276" w:lineRule="auto"/>
        <w:ind w:left="680" w:right="231"/>
        <w:rPr>
          <w:kern w:val="1"/>
          <w:lang w:val="en-US"/>
        </w:rPr>
      </w:pPr>
    </w:p>
    <w:p w14:paraId="2B31B2C2" w14:textId="57F999AA" w:rsidR="002942C9" w:rsidRDefault="002E3EE4" w:rsidP="002942C9">
      <w:pPr>
        <w:spacing w:line="360" w:lineRule="auto"/>
        <w:ind w:left="680" w:right="231"/>
        <w:rPr>
          <w:kern w:val="1"/>
          <w:lang w:val="en-US"/>
        </w:rPr>
      </w:pPr>
      <w:r w:rsidRPr="00260D1B">
        <w:rPr>
          <w:kern w:val="1"/>
          <w:lang w:val="en-US"/>
        </w:rPr>
        <w:t>(</w:t>
      </w:r>
      <w:r w:rsidR="00BE4C1C" w:rsidRPr="00260D1B">
        <w:rPr>
          <w:kern w:val="1"/>
          <w:lang w:val="en-US"/>
        </w:rPr>
        <w:t>4</w:t>
      </w:r>
      <w:r w:rsidR="002942C9" w:rsidRPr="00260D1B">
        <w:rPr>
          <w:kern w:val="1"/>
          <w:lang w:val="en-US"/>
        </w:rPr>
        <w:t>5</w:t>
      </w:r>
      <w:r w:rsidRPr="00260D1B">
        <w:rPr>
          <w:kern w:val="1"/>
          <w:lang w:val="en-US"/>
        </w:rPr>
        <w:t>)</w:t>
      </w:r>
      <w:r w:rsidR="00314214" w:rsidRPr="00260D1B">
        <w:rPr>
          <w:kern w:val="1"/>
          <w:lang w:val="en-US"/>
        </w:rPr>
        <w:t xml:space="preserve"> Understanding biases within case-based data sources used in epidemiological analyses is </w:t>
      </w:r>
      <w:r w:rsidR="00314214" w:rsidRPr="00260D1B">
        <w:rPr>
          <w:b/>
          <w:bCs/>
          <w:i/>
          <w:iCs/>
          <w:kern w:val="1"/>
          <w:lang w:val="en-US"/>
        </w:rPr>
        <w:t>important</w:t>
      </w:r>
      <w:r w:rsidR="00314214" w:rsidRPr="00260D1B">
        <w:rPr>
          <w:kern w:val="1"/>
          <w:lang w:val="en-US"/>
        </w:rPr>
        <w:t xml:space="preserve"> as they can detract from the value of rich datasets. (CH 241)</w:t>
      </w:r>
    </w:p>
    <w:p w14:paraId="1D88E35B" w14:textId="77777777" w:rsidR="007D1A4B" w:rsidRPr="00260D1B" w:rsidRDefault="007D1A4B" w:rsidP="002942C9">
      <w:pPr>
        <w:spacing w:line="360" w:lineRule="auto"/>
        <w:ind w:left="680" w:right="231"/>
        <w:rPr>
          <w:kern w:val="1"/>
          <w:lang w:val="en-US"/>
        </w:rPr>
      </w:pPr>
    </w:p>
    <w:p w14:paraId="584A271E" w14:textId="2CA387EE" w:rsidR="001E724E" w:rsidRPr="00260D1B" w:rsidRDefault="001E724E" w:rsidP="002942C9">
      <w:pPr>
        <w:spacing w:line="360" w:lineRule="auto"/>
        <w:ind w:left="680" w:right="231"/>
        <w:rPr>
          <w:kern w:val="1"/>
          <w:lang w:val="en-US"/>
        </w:rPr>
      </w:pPr>
      <w:r w:rsidRPr="00260D1B">
        <w:rPr>
          <w:kern w:val="1"/>
          <w:lang w:val="en-US"/>
        </w:rPr>
        <w:t>(</w:t>
      </w:r>
      <w:r w:rsidR="002942C9" w:rsidRPr="00260D1B">
        <w:rPr>
          <w:kern w:val="1"/>
          <w:lang w:val="en-US"/>
        </w:rPr>
        <w:t>4</w:t>
      </w:r>
      <w:r w:rsidRPr="00260D1B">
        <w:rPr>
          <w:kern w:val="1"/>
          <w:lang w:val="en-US"/>
        </w:rPr>
        <w:t xml:space="preserve">6) There were </w:t>
      </w:r>
      <w:r w:rsidRPr="00260D1B">
        <w:rPr>
          <w:b/>
          <w:bCs/>
          <w:i/>
          <w:iCs/>
          <w:kern w:val="1"/>
          <w:lang w:val="en-US"/>
        </w:rPr>
        <w:t xml:space="preserve">substantial </w:t>
      </w:r>
      <w:r w:rsidRPr="00260D1B">
        <w:rPr>
          <w:kern w:val="1"/>
          <w:lang w:val="en-US"/>
        </w:rPr>
        <w:t>increases in out-of-pocket rates and in-hospital case fatality rates. (CH 275)</w:t>
      </w:r>
    </w:p>
    <w:p w14:paraId="1D6AA80B" w14:textId="77777777" w:rsidR="008D0820" w:rsidRPr="00260D1B" w:rsidRDefault="008D0820" w:rsidP="005B1B5B">
      <w:pPr>
        <w:spacing w:line="360" w:lineRule="auto"/>
        <w:ind w:left="680" w:right="231"/>
        <w:rPr>
          <w:kern w:val="1"/>
          <w:lang w:val="en-US"/>
        </w:rPr>
      </w:pPr>
    </w:p>
    <w:p w14:paraId="64CD150B" w14:textId="77777777" w:rsidR="007B1F0C" w:rsidRPr="00260D1B" w:rsidRDefault="004B0EE9" w:rsidP="005B1B5B">
      <w:pPr>
        <w:spacing w:line="360" w:lineRule="auto"/>
        <w:ind w:right="231"/>
      </w:pPr>
      <w:r w:rsidRPr="00260D1B">
        <w:t>Attitude markers conveying</w:t>
      </w:r>
      <w:r w:rsidRPr="00260D1B">
        <w:rPr>
          <w:i/>
          <w:iCs/>
        </w:rPr>
        <w:t xml:space="preserve"> e</w:t>
      </w:r>
      <w:r w:rsidR="003A33C3" w:rsidRPr="00260D1B">
        <w:rPr>
          <w:i/>
          <w:iCs/>
        </w:rPr>
        <w:t>motion</w:t>
      </w:r>
      <w:r w:rsidRPr="00260D1B">
        <w:t xml:space="preserve"> are, perhaps unsurprisingly, largely absent from both sets of highlights </w:t>
      </w:r>
      <w:r w:rsidR="00725457" w:rsidRPr="00260D1B">
        <w:t xml:space="preserve">and were </w:t>
      </w:r>
      <w:r w:rsidRPr="00260D1B">
        <w:t xml:space="preserve">not found in the reference corpus at all. </w:t>
      </w:r>
      <w:r w:rsidR="007B1F0C" w:rsidRPr="00260D1B">
        <w:t>Where they did occur in the Covid highlights, the attitude tended to be attributed to participants rather than avowed by the writer:</w:t>
      </w:r>
    </w:p>
    <w:p w14:paraId="4B427BAE" w14:textId="2786D04F" w:rsidR="007B1F0C" w:rsidRDefault="007B1F0C" w:rsidP="007B1F0C">
      <w:pPr>
        <w:spacing w:line="360" w:lineRule="auto"/>
        <w:ind w:left="680" w:right="231"/>
        <w:rPr>
          <w:kern w:val="1"/>
          <w:lang w:val="en-US"/>
        </w:rPr>
      </w:pPr>
      <w:r w:rsidRPr="00260D1B">
        <w:rPr>
          <w:kern w:val="1"/>
          <w:lang w:val="en-US"/>
        </w:rPr>
        <w:lastRenderedPageBreak/>
        <w:t xml:space="preserve">(47) For public health workers, feeling </w:t>
      </w:r>
      <w:r w:rsidRPr="00260D1B">
        <w:rPr>
          <w:b/>
          <w:bCs/>
          <w:i/>
          <w:iCs/>
          <w:kern w:val="1"/>
          <w:lang w:val="en-US"/>
        </w:rPr>
        <w:t>isolated and alone</w:t>
      </w:r>
      <w:r w:rsidRPr="00260D1B">
        <w:rPr>
          <w:kern w:val="1"/>
          <w:lang w:val="en-US"/>
        </w:rPr>
        <w:t xml:space="preserve"> was associated with increased odds of reporting symptoms of anxiety, depression, post-traumatic stress disorder, and suicidal ideation.</w:t>
      </w:r>
    </w:p>
    <w:p w14:paraId="79F22DA7" w14:textId="77777777" w:rsidR="007D1A4B" w:rsidRPr="00260D1B" w:rsidRDefault="007D1A4B" w:rsidP="007B1F0C">
      <w:pPr>
        <w:spacing w:line="360" w:lineRule="auto"/>
        <w:ind w:left="680" w:right="231"/>
        <w:rPr>
          <w:kern w:val="1"/>
          <w:lang w:val="en-US"/>
        </w:rPr>
      </w:pPr>
    </w:p>
    <w:p w14:paraId="1FC5ECCE" w14:textId="6A84B36C" w:rsidR="007B1F0C" w:rsidRPr="00260D1B" w:rsidRDefault="007B1F0C" w:rsidP="005B1B5B">
      <w:pPr>
        <w:spacing w:line="360" w:lineRule="auto"/>
        <w:ind w:right="231"/>
        <w:rPr>
          <w:rFonts w:cs="Garamond"/>
        </w:rPr>
      </w:pPr>
      <w:r w:rsidRPr="00260D1B">
        <w:t xml:space="preserve">This </w:t>
      </w:r>
      <w:r w:rsidR="00725457" w:rsidRPr="00260D1B">
        <w:rPr>
          <w:rFonts w:cs="Garamond"/>
        </w:rPr>
        <w:t xml:space="preserve">reflects </w:t>
      </w:r>
      <w:r w:rsidRPr="00260D1B">
        <w:rPr>
          <w:rFonts w:cs="Garamond"/>
        </w:rPr>
        <w:t xml:space="preserve">both the succinctness demanded by the limited </w:t>
      </w:r>
      <w:r w:rsidR="002C2917" w:rsidRPr="00260D1B">
        <w:rPr>
          <w:rFonts w:cs="Garamond"/>
        </w:rPr>
        <w:t xml:space="preserve">space </w:t>
      </w:r>
      <w:r w:rsidRPr="00260D1B">
        <w:rPr>
          <w:rFonts w:cs="Garamond"/>
        </w:rPr>
        <w:t xml:space="preserve">available to convey personal judgements in highlights and the general expectation of researcher objectivity in scholarly writing. Studies of attitude markers in other research genres have revealed a similar lack of </w:t>
      </w:r>
      <w:r w:rsidR="002C2917" w:rsidRPr="00260D1B">
        <w:rPr>
          <w:rFonts w:cs="Garamond"/>
        </w:rPr>
        <w:t xml:space="preserve">expressed affect (e.g. </w:t>
      </w:r>
      <w:proofErr w:type="spellStart"/>
      <w:r w:rsidR="002C2917" w:rsidRPr="00260D1B">
        <w:rPr>
          <w:rFonts w:cs="Garamond"/>
        </w:rPr>
        <w:t>Dueñas</w:t>
      </w:r>
      <w:proofErr w:type="spellEnd"/>
      <w:r w:rsidR="002C2917" w:rsidRPr="00260D1B">
        <w:rPr>
          <w:rFonts w:cs="Garamond"/>
        </w:rPr>
        <w:t xml:space="preserve">, 2010), </w:t>
      </w:r>
      <w:r w:rsidR="00454B5F">
        <w:rPr>
          <w:rFonts w:cs="Garamond"/>
        </w:rPr>
        <w:t>Author 2</w:t>
      </w:r>
      <w:r w:rsidR="002C2917" w:rsidRPr="00260D1B">
        <w:rPr>
          <w:rFonts w:cs="Garamond"/>
        </w:rPr>
        <w:t xml:space="preserve">, 2005; </w:t>
      </w:r>
      <w:r w:rsidR="00454B5F">
        <w:rPr>
          <w:rFonts w:cs="Garamond"/>
        </w:rPr>
        <w:t>Author 1</w:t>
      </w:r>
      <w:r w:rsidR="002C2917" w:rsidRPr="00260D1B">
        <w:rPr>
          <w:rFonts w:cs="Garamond"/>
        </w:rPr>
        <w:t xml:space="preserve"> &amp; </w:t>
      </w:r>
      <w:r w:rsidR="00454B5F">
        <w:rPr>
          <w:rFonts w:cs="Garamond"/>
        </w:rPr>
        <w:t>Author 2</w:t>
      </w:r>
      <w:r w:rsidR="002C2917" w:rsidRPr="00260D1B">
        <w:rPr>
          <w:rFonts w:cs="Garamond"/>
        </w:rPr>
        <w:t xml:space="preserve">, 2022b) as writers seek to sway readers </w:t>
      </w:r>
      <w:r w:rsidR="00AA7605" w:rsidRPr="00260D1B">
        <w:rPr>
          <w:rFonts w:cs="Garamond"/>
        </w:rPr>
        <w:t>using</w:t>
      </w:r>
      <w:r w:rsidR="002C2917" w:rsidRPr="00260D1B">
        <w:rPr>
          <w:rFonts w:cs="Garamond"/>
        </w:rPr>
        <w:t xml:space="preserve"> </w:t>
      </w:r>
      <w:r w:rsidR="00AA7605" w:rsidRPr="00260D1B">
        <w:rPr>
          <w:rFonts w:cs="Garamond"/>
        </w:rPr>
        <w:t>more disciplinary effective conventions of persuasion.</w:t>
      </w:r>
    </w:p>
    <w:p w14:paraId="19C1E7A4" w14:textId="77777777" w:rsidR="007B1F0C" w:rsidRPr="00260D1B" w:rsidRDefault="007B1F0C" w:rsidP="005B1B5B">
      <w:pPr>
        <w:spacing w:line="360" w:lineRule="auto"/>
        <w:ind w:right="231"/>
        <w:rPr>
          <w:rFonts w:cs="Garamond"/>
        </w:rPr>
      </w:pPr>
    </w:p>
    <w:p w14:paraId="38B9B428" w14:textId="40D55BF4" w:rsidR="007743FC" w:rsidRPr="00260D1B" w:rsidRDefault="007743FC" w:rsidP="005B1B5B">
      <w:pPr>
        <w:spacing w:line="360" w:lineRule="auto"/>
        <w:ind w:right="231"/>
        <w:rPr>
          <w:b/>
          <w:bCs/>
        </w:rPr>
      </w:pPr>
      <w:r w:rsidRPr="00260D1B">
        <w:rPr>
          <w:b/>
          <w:bCs/>
        </w:rPr>
        <w:t xml:space="preserve">5.4 Self-mention </w:t>
      </w:r>
    </w:p>
    <w:p w14:paraId="58E6ECEE" w14:textId="2139495D" w:rsidR="00AA7605" w:rsidRPr="00260D1B" w:rsidRDefault="0084502A" w:rsidP="005B1B5B">
      <w:pPr>
        <w:spacing w:line="360" w:lineRule="auto"/>
        <w:ind w:right="231"/>
      </w:pPr>
      <w:r w:rsidRPr="00260D1B">
        <w:t>Self- mention</w:t>
      </w:r>
      <w:r w:rsidR="00610174" w:rsidRPr="00260D1B">
        <w:t xml:space="preserve">, </w:t>
      </w:r>
      <w:r w:rsidR="007B1F0C" w:rsidRPr="00260D1B">
        <w:t xml:space="preserve">perhaps </w:t>
      </w:r>
      <w:r w:rsidR="00610174" w:rsidRPr="00260D1B">
        <w:t>the</w:t>
      </w:r>
      <w:r w:rsidR="007B1F0C" w:rsidRPr="00260D1B">
        <w:t xml:space="preserve"> most</w:t>
      </w:r>
      <w:r w:rsidR="00610174" w:rsidRPr="00260D1B">
        <w:t xml:space="preserve"> extensively studied aspect of writer stance, </w:t>
      </w:r>
      <w:r w:rsidRPr="00260D1B">
        <w:t xml:space="preserve">refers to the extent writers </w:t>
      </w:r>
      <w:r w:rsidR="005B40AA">
        <w:t xml:space="preserve">project themselves </w:t>
      </w:r>
      <w:r w:rsidRPr="00260D1B">
        <w:t>in</w:t>
      </w:r>
      <w:r w:rsidR="005B40AA">
        <w:t>to</w:t>
      </w:r>
      <w:r w:rsidRPr="00260D1B">
        <w:t xml:space="preserve"> their texts using first- person pronouns and possessive adjectives (</w:t>
      </w:r>
      <w:r w:rsidR="00454B5F">
        <w:t>Author 2</w:t>
      </w:r>
      <w:r w:rsidRPr="00260D1B">
        <w:t>, 200</w:t>
      </w:r>
      <w:r w:rsidR="00B44FEC" w:rsidRPr="00260D1B">
        <w:t>5</w:t>
      </w:r>
      <w:r w:rsidRPr="00260D1B">
        <w:t>).</w:t>
      </w:r>
      <w:r w:rsidR="00610174" w:rsidRPr="00260D1B">
        <w:t xml:space="preserve"> </w:t>
      </w:r>
      <w:r w:rsidR="005B40AA">
        <w:t xml:space="preserve">These decisions concerning authorial presence heavily influence how readers recognise the stance writers </w:t>
      </w:r>
      <w:r w:rsidR="00AA7605" w:rsidRPr="00260D1B">
        <w:t xml:space="preserve">take towards their </w:t>
      </w:r>
      <w:r w:rsidR="00610174" w:rsidRPr="00260D1B">
        <w:t xml:space="preserve">arguments and readers. </w:t>
      </w:r>
      <w:r w:rsidR="00AA7605" w:rsidRPr="00260D1B">
        <w:t>While accounting for the smallest proportion of features in both corpora,</w:t>
      </w:r>
      <w:r w:rsidR="00610174" w:rsidRPr="00260D1B">
        <w:t xml:space="preserve"> self-mention was significantly more frequent in the Covid-19 highlights</w:t>
      </w:r>
      <w:r w:rsidR="00AA7605" w:rsidRPr="00260D1B">
        <w:t xml:space="preserve"> with 6.2 tokens per 1,000 words compared with 2.</w:t>
      </w:r>
      <w:r w:rsidR="007D1A4B">
        <w:t>1</w:t>
      </w:r>
      <w:r w:rsidR="00AA7605" w:rsidRPr="00260D1B">
        <w:t>1 per 1,000 in the reference corpus</w:t>
      </w:r>
      <w:r w:rsidR="00610174" w:rsidRPr="00260D1B">
        <w:t xml:space="preserve"> (</w:t>
      </w:r>
      <w:r w:rsidR="007D1A4B" w:rsidRPr="00260D1B">
        <w:t>log Likelihood =23.</w:t>
      </w:r>
      <w:r w:rsidR="007D1A4B">
        <w:t>34</w:t>
      </w:r>
      <w:r w:rsidR="007D1A4B" w:rsidRPr="00260D1B">
        <w:t>, p &lt;0.001</w:t>
      </w:r>
      <w:r w:rsidR="00610174" w:rsidRPr="00260D1B">
        <w:t>)</w:t>
      </w:r>
      <w:r w:rsidR="00AA7605" w:rsidRPr="00260D1B">
        <w:t xml:space="preserve">. </w:t>
      </w:r>
    </w:p>
    <w:p w14:paraId="3AA8DF76" w14:textId="77777777" w:rsidR="00AA7605" w:rsidRPr="00260D1B" w:rsidRDefault="00AA7605" w:rsidP="00AA7605">
      <w:pPr>
        <w:spacing w:line="360" w:lineRule="auto"/>
        <w:ind w:right="231"/>
        <w:rPr>
          <w:b/>
          <w:bCs/>
        </w:rPr>
      </w:pPr>
    </w:p>
    <w:p w14:paraId="1249D15A" w14:textId="62CC6577" w:rsidR="002B1E91" w:rsidRPr="00260D1B" w:rsidRDefault="00264946" w:rsidP="005B1B5B">
      <w:pPr>
        <w:spacing w:line="360" w:lineRule="auto"/>
        <w:ind w:right="231"/>
      </w:pPr>
      <w:r w:rsidRPr="00260D1B">
        <w:t xml:space="preserve">The absence of authors from academic discourses </w:t>
      </w:r>
      <w:r w:rsidR="007C7F76" w:rsidRPr="00260D1B">
        <w:t xml:space="preserve">is widely seen as contributing to scholarly objectivity and the exclusion of personal interest in research claims </w:t>
      </w:r>
      <w:r w:rsidRPr="00260D1B">
        <w:t>(Marco, 2000</w:t>
      </w:r>
      <w:r w:rsidR="00B44FEC" w:rsidRPr="00260D1B">
        <w:t xml:space="preserve">; </w:t>
      </w:r>
      <w:r w:rsidR="00454B5F">
        <w:t>Author 2</w:t>
      </w:r>
      <w:r w:rsidR="00B44FEC" w:rsidRPr="00260D1B">
        <w:t>, 2001</w:t>
      </w:r>
      <w:r w:rsidRPr="00260D1B">
        <w:t>)</w:t>
      </w:r>
      <w:r w:rsidR="00B44FEC" w:rsidRPr="00260D1B">
        <w:t xml:space="preserve">. </w:t>
      </w:r>
      <w:r w:rsidR="007C7F76" w:rsidRPr="00260D1B">
        <w:t>This</w:t>
      </w:r>
      <w:r w:rsidRPr="00260D1B">
        <w:t xml:space="preserve"> “disinterestedness” </w:t>
      </w:r>
      <w:r w:rsidR="007C7F76" w:rsidRPr="00260D1B">
        <w:t xml:space="preserve">is almost a defining feature of scientific discourse and </w:t>
      </w:r>
      <w:r w:rsidR="00E56E6A" w:rsidRPr="00260D1B">
        <w:t xml:space="preserve">has </w:t>
      </w:r>
      <w:r w:rsidR="007C7F76" w:rsidRPr="00260D1B">
        <w:t>traditionally</w:t>
      </w:r>
      <w:r w:rsidR="00E56E6A" w:rsidRPr="00260D1B">
        <w:t xml:space="preserve"> been</w:t>
      </w:r>
      <w:r w:rsidR="007C7F76" w:rsidRPr="00260D1B">
        <w:t xml:space="preserve"> </w:t>
      </w:r>
      <w:r w:rsidR="00E56E6A" w:rsidRPr="00260D1B">
        <w:t xml:space="preserve">a cornerstone </w:t>
      </w:r>
      <w:r w:rsidR="007C7F76" w:rsidRPr="00260D1B">
        <w:t xml:space="preserve">of </w:t>
      </w:r>
      <w:r w:rsidR="00B44FEC" w:rsidRPr="00260D1B">
        <w:t>effective persuasion in the hard sciences, removing the author to allow facts ‘to speak for themselves’</w:t>
      </w:r>
      <w:r w:rsidR="00E56E6A" w:rsidRPr="00260D1B">
        <w:t>. But convention</w:t>
      </w:r>
      <w:r w:rsidR="005B40AA">
        <w:t>s</w:t>
      </w:r>
      <w:r w:rsidR="00E56E6A" w:rsidRPr="00260D1B">
        <w:t xml:space="preserve"> of impersonal</w:t>
      </w:r>
      <w:r w:rsidR="005B40AA">
        <w:t>ity</w:t>
      </w:r>
      <w:r w:rsidR="00E56E6A" w:rsidRPr="00260D1B">
        <w:t xml:space="preserve"> now seems to be less rigidly adhered to as there is now greater tolerance for subjective forms as part of a wider </w:t>
      </w:r>
      <w:r w:rsidR="001E0A8B">
        <w:t xml:space="preserve">societal </w:t>
      </w:r>
      <w:r w:rsidR="00E56E6A" w:rsidRPr="00260D1B">
        <w:t>shift toward more engaged and intimate forms of interaction (</w:t>
      </w:r>
      <w:r w:rsidR="00454B5F">
        <w:t xml:space="preserve">Author 2 </w:t>
      </w:r>
      <w:r w:rsidR="00E56E6A" w:rsidRPr="00260D1B">
        <w:t xml:space="preserve">&amp; </w:t>
      </w:r>
      <w:r w:rsidR="00454B5F">
        <w:t>Other</w:t>
      </w:r>
      <w:r w:rsidR="00E56E6A" w:rsidRPr="00260D1B">
        <w:t xml:space="preserve">, 2019). </w:t>
      </w:r>
      <w:r w:rsidR="005B40AA">
        <w:t xml:space="preserve">Increased authorial presence can </w:t>
      </w:r>
      <w:r w:rsidR="005B40AA" w:rsidRPr="00260D1B">
        <w:t>strengthen</w:t>
      </w:r>
      <w:r w:rsidR="00E56E6A" w:rsidRPr="00260D1B">
        <w:t xml:space="preserve"> efforts </w:t>
      </w:r>
      <w:r w:rsidR="005B40AA">
        <w:t xml:space="preserve">of authors </w:t>
      </w:r>
      <w:r w:rsidR="00E56E6A" w:rsidRPr="00260D1B">
        <w:t xml:space="preserve">to </w:t>
      </w:r>
      <w:r w:rsidR="005B40AA">
        <w:t>gain</w:t>
      </w:r>
      <w:r w:rsidR="00E56E6A" w:rsidRPr="00260D1B">
        <w:t xml:space="preserve"> support for </w:t>
      </w:r>
      <w:r w:rsidR="005B40AA">
        <w:t xml:space="preserve">their </w:t>
      </w:r>
      <w:r w:rsidR="00E56E6A" w:rsidRPr="00260D1B">
        <w:t xml:space="preserve">claims </w:t>
      </w:r>
      <w:r w:rsidR="005B40AA">
        <w:t xml:space="preserve">by </w:t>
      </w:r>
      <w:r w:rsidR="00E56E6A" w:rsidRPr="00260D1B">
        <w:t xml:space="preserve">positioning themselves more </w:t>
      </w:r>
      <w:r w:rsidR="005B40AA" w:rsidRPr="00260D1B">
        <w:t>openly</w:t>
      </w:r>
      <w:r w:rsidR="00E56E6A" w:rsidRPr="00260D1B">
        <w:t xml:space="preserve"> to their ideas and readers</w:t>
      </w:r>
      <w:r w:rsidR="007C6C88" w:rsidRPr="00260D1B">
        <w:t>. This is</w:t>
      </w:r>
      <w:r w:rsidR="002B1E91" w:rsidRPr="00260D1B">
        <w:t xml:space="preserve"> </w:t>
      </w:r>
      <w:r w:rsidR="007C6C88" w:rsidRPr="00260D1B">
        <w:t xml:space="preserve">also </w:t>
      </w:r>
      <w:r w:rsidR="002B1E91" w:rsidRPr="00260D1B">
        <w:t>apparent in the highlights.</w:t>
      </w:r>
    </w:p>
    <w:p w14:paraId="24CA46B0" w14:textId="77777777" w:rsidR="002B1E91" w:rsidRPr="00260D1B" w:rsidRDefault="002B1E91" w:rsidP="005B1B5B">
      <w:pPr>
        <w:spacing w:line="360" w:lineRule="auto"/>
        <w:ind w:right="231"/>
      </w:pPr>
    </w:p>
    <w:p w14:paraId="3112E8FE" w14:textId="5FC5BB57" w:rsidR="007C6C88" w:rsidRPr="00260D1B" w:rsidRDefault="002B201C" w:rsidP="007C6C88">
      <w:pPr>
        <w:spacing w:line="360" w:lineRule="auto"/>
        <w:ind w:right="231"/>
      </w:pPr>
      <w:r w:rsidRPr="00260D1B">
        <w:lastRenderedPageBreak/>
        <w:t xml:space="preserve">The </w:t>
      </w:r>
      <w:r w:rsidR="007C6C88" w:rsidRPr="00260D1B">
        <w:t xml:space="preserve">substantial difference between the two corpora in the use of first person shows the considerable personal investment the Covid researchers made to establish a clear stance and take responsibility for novel approaches and significant claims: </w:t>
      </w:r>
    </w:p>
    <w:p w14:paraId="5EA31851" w14:textId="44369458" w:rsidR="00705809" w:rsidRPr="00260D1B" w:rsidRDefault="00EF4D6F" w:rsidP="005B1B5B">
      <w:pPr>
        <w:spacing w:line="360" w:lineRule="auto"/>
        <w:ind w:left="680" w:right="231"/>
        <w:rPr>
          <w:kern w:val="1"/>
          <w:lang w:val="en-US"/>
        </w:rPr>
      </w:pPr>
      <w:r w:rsidRPr="00260D1B">
        <w:rPr>
          <w:kern w:val="1"/>
          <w:lang w:val="en-US"/>
        </w:rPr>
        <w:t>(4</w:t>
      </w:r>
      <w:r w:rsidR="00926F58" w:rsidRPr="00260D1B">
        <w:rPr>
          <w:kern w:val="1"/>
          <w:lang w:val="en-US"/>
        </w:rPr>
        <w:t>8</w:t>
      </w:r>
      <w:r w:rsidRPr="00260D1B">
        <w:rPr>
          <w:kern w:val="1"/>
          <w:lang w:val="en-US"/>
        </w:rPr>
        <w:t>)</w:t>
      </w:r>
      <w:r w:rsidR="00705809" w:rsidRPr="00260D1B">
        <w:rPr>
          <w:kern w:val="1"/>
          <w:lang w:val="en-US"/>
        </w:rPr>
        <w:t xml:space="preserve"> </w:t>
      </w:r>
      <w:r w:rsidR="00705809" w:rsidRPr="00260D1B">
        <w:rPr>
          <w:b/>
          <w:bCs/>
          <w:i/>
          <w:iCs/>
          <w:kern w:val="1"/>
          <w:lang w:val="en-US"/>
        </w:rPr>
        <w:t>We</w:t>
      </w:r>
      <w:r w:rsidR="00705809" w:rsidRPr="00260D1B">
        <w:rPr>
          <w:kern w:val="1"/>
          <w:lang w:val="en-US"/>
        </w:rPr>
        <w:t xml:space="preserve"> provided an initial epidemiological study of confirmed COVID-19 in Libya. (CH 8)</w:t>
      </w:r>
    </w:p>
    <w:p w14:paraId="7CE5D526" w14:textId="77777777" w:rsidR="007C6C88" w:rsidRPr="00260D1B" w:rsidRDefault="007C6C88" w:rsidP="007C6C88">
      <w:pPr>
        <w:spacing w:line="276" w:lineRule="auto"/>
        <w:ind w:left="680" w:right="231"/>
        <w:rPr>
          <w:kern w:val="1"/>
          <w:lang w:val="en-US"/>
        </w:rPr>
      </w:pPr>
    </w:p>
    <w:p w14:paraId="308FCC45" w14:textId="46D2C7FA" w:rsidR="007C6C88" w:rsidRDefault="00EF4D6F" w:rsidP="007C6C88">
      <w:pPr>
        <w:spacing w:line="360" w:lineRule="auto"/>
        <w:ind w:left="680" w:right="231"/>
        <w:rPr>
          <w:kern w:val="1"/>
          <w:lang w:val="en-US"/>
        </w:rPr>
      </w:pPr>
      <w:r w:rsidRPr="00260D1B">
        <w:rPr>
          <w:kern w:val="1"/>
          <w:lang w:val="en-US"/>
        </w:rPr>
        <w:t>(4</w:t>
      </w:r>
      <w:r w:rsidR="00926F58" w:rsidRPr="00260D1B">
        <w:rPr>
          <w:kern w:val="1"/>
          <w:lang w:val="en-US"/>
        </w:rPr>
        <w:t>9</w:t>
      </w:r>
      <w:r w:rsidRPr="00260D1B">
        <w:rPr>
          <w:kern w:val="1"/>
          <w:lang w:val="en-US"/>
        </w:rPr>
        <w:t>)</w:t>
      </w:r>
      <w:r w:rsidR="00DD02FA" w:rsidRPr="00260D1B">
        <w:rPr>
          <w:kern w:val="1"/>
          <w:lang w:val="en-US"/>
        </w:rPr>
        <w:t xml:space="preserve"> </w:t>
      </w:r>
      <w:r w:rsidR="000C451B" w:rsidRPr="00260D1B">
        <w:rPr>
          <w:kern w:val="1"/>
          <w:lang w:val="en-US"/>
        </w:rPr>
        <w:t xml:space="preserve">Here, </w:t>
      </w:r>
      <w:r w:rsidR="000C451B" w:rsidRPr="00260D1B">
        <w:rPr>
          <w:b/>
          <w:bCs/>
          <w:i/>
          <w:iCs/>
          <w:kern w:val="1"/>
          <w:lang w:val="en-US"/>
        </w:rPr>
        <w:t>we</w:t>
      </w:r>
      <w:r w:rsidR="000C451B" w:rsidRPr="00260D1B">
        <w:rPr>
          <w:kern w:val="1"/>
          <w:lang w:val="en-US"/>
        </w:rPr>
        <w:t xml:space="preserve"> stratify the workforce by industry classification so we can quantify the impact of restrictions on businesses. (RH 228)</w:t>
      </w:r>
    </w:p>
    <w:p w14:paraId="1F4E9691" w14:textId="77777777" w:rsidR="00E45045" w:rsidRPr="00260D1B" w:rsidRDefault="00E45045" w:rsidP="007C6C88">
      <w:pPr>
        <w:spacing w:line="360" w:lineRule="auto"/>
        <w:ind w:left="680" w:right="231"/>
        <w:rPr>
          <w:kern w:val="1"/>
          <w:lang w:val="en-US"/>
        </w:rPr>
      </w:pPr>
    </w:p>
    <w:p w14:paraId="5BC5C85D" w14:textId="60461A47" w:rsidR="00C844EA" w:rsidRPr="00260D1B" w:rsidRDefault="00994F54" w:rsidP="005B1B5B">
      <w:pPr>
        <w:spacing w:line="360" w:lineRule="auto"/>
        <w:ind w:right="231"/>
        <w:rPr>
          <w:kern w:val="1"/>
        </w:rPr>
      </w:pPr>
      <w:r w:rsidRPr="00260D1B">
        <w:rPr>
          <w:kern w:val="1"/>
        </w:rPr>
        <w:t xml:space="preserve">These interventions, it should be remembered, occurred in a public health crisis where </w:t>
      </w:r>
      <w:r w:rsidR="009023CF" w:rsidRPr="00260D1B">
        <w:rPr>
          <w:kern w:val="1"/>
        </w:rPr>
        <w:t>crucial</w:t>
      </w:r>
      <w:r w:rsidRPr="00260D1B">
        <w:rPr>
          <w:kern w:val="1"/>
        </w:rPr>
        <w:t xml:space="preserve"> research to </w:t>
      </w:r>
      <w:r w:rsidR="009023CF" w:rsidRPr="00260D1B">
        <w:rPr>
          <w:kern w:val="1"/>
        </w:rPr>
        <w:t xml:space="preserve">better </w:t>
      </w:r>
      <w:r w:rsidRPr="00260D1B">
        <w:rPr>
          <w:kern w:val="1"/>
        </w:rPr>
        <w:t xml:space="preserve">understand the disease, stem the spread of the pandemic and protect populations was an urgent imperative. Self-mention helped </w:t>
      </w:r>
      <w:r w:rsidR="00AC2267" w:rsidRPr="00260D1B">
        <w:rPr>
          <w:kern w:val="1"/>
        </w:rPr>
        <w:t xml:space="preserve">writer’s </w:t>
      </w:r>
      <w:r w:rsidRPr="00260D1B">
        <w:rPr>
          <w:kern w:val="1"/>
        </w:rPr>
        <w:t>to present their research</w:t>
      </w:r>
      <w:r w:rsidR="00AC2267" w:rsidRPr="00260D1B">
        <w:rPr>
          <w:rFonts w:hint="eastAsia"/>
          <w:kern w:val="1"/>
        </w:rPr>
        <w:t xml:space="preserve"> narratives in a personalised manner</w:t>
      </w:r>
      <w:r w:rsidRPr="00260D1B">
        <w:rPr>
          <w:kern w:val="1"/>
        </w:rPr>
        <w:t xml:space="preserve"> to </w:t>
      </w:r>
      <w:r w:rsidR="00AC2267" w:rsidRPr="00260D1B">
        <w:rPr>
          <w:kern w:val="1"/>
        </w:rPr>
        <w:t xml:space="preserve">convey ownership, portray themselves as experts, and </w:t>
      </w:r>
      <w:r w:rsidR="001E0A8B">
        <w:rPr>
          <w:kern w:val="1"/>
        </w:rPr>
        <w:t xml:space="preserve">so </w:t>
      </w:r>
      <w:r w:rsidR="00AC2267" w:rsidRPr="00260D1B">
        <w:rPr>
          <w:kern w:val="1"/>
        </w:rPr>
        <w:t xml:space="preserve">meet the promotional nature of the genre. </w:t>
      </w:r>
      <w:r w:rsidR="009023CF" w:rsidRPr="00260D1B">
        <w:rPr>
          <w:kern w:val="1"/>
        </w:rPr>
        <w:t xml:space="preserve">First person not only claims custody </w:t>
      </w:r>
      <w:r w:rsidR="00AC2267" w:rsidRPr="00260D1B">
        <w:rPr>
          <w:kern w:val="1"/>
        </w:rPr>
        <w:t xml:space="preserve">and personal ownership of </w:t>
      </w:r>
      <w:r w:rsidR="009023CF" w:rsidRPr="00260D1B">
        <w:rPr>
          <w:kern w:val="1"/>
        </w:rPr>
        <w:t xml:space="preserve">the content, but was often combined with strong attitude markers to present not only the work reported, but themselves as scientific </w:t>
      </w:r>
      <w:r w:rsidR="00105767" w:rsidRPr="00260D1B">
        <w:rPr>
          <w:kern w:val="1"/>
        </w:rPr>
        <w:t xml:space="preserve">pioneers: </w:t>
      </w:r>
    </w:p>
    <w:p w14:paraId="5C10492F" w14:textId="5E0A3346" w:rsidR="00105767" w:rsidRPr="00260D1B" w:rsidRDefault="00105767" w:rsidP="005B1B5B">
      <w:pPr>
        <w:spacing w:line="360" w:lineRule="auto"/>
        <w:ind w:left="680" w:right="231"/>
        <w:rPr>
          <w:kern w:val="1"/>
          <w:lang w:val="en-US"/>
        </w:rPr>
      </w:pPr>
      <w:r w:rsidRPr="00260D1B">
        <w:rPr>
          <w:kern w:val="1"/>
          <w:lang w:val="en-US"/>
        </w:rPr>
        <w:t xml:space="preserve">(50) </w:t>
      </w:r>
      <w:r w:rsidRPr="00260D1B">
        <w:rPr>
          <w:b/>
          <w:bCs/>
          <w:i/>
          <w:iCs/>
          <w:kern w:val="1"/>
          <w:lang w:val="en-US"/>
        </w:rPr>
        <w:t xml:space="preserve">We </w:t>
      </w:r>
      <w:r w:rsidRPr="00260D1B">
        <w:rPr>
          <w:kern w:val="1"/>
          <w:lang w:val="en-US"/>
        </w:rPr>
        <w:t xml:space="preserve">describe for </w:t>
      </w:r>
      <w:r w:rsidRPr="00260D1B">
        <w:rPr>
          <w:kern w:val="1"/>
          <w:u w:val="single"/>
          <w:lang w:val="en-US"/>
        </w:rPr>
        <w:t>the first</w:t>
      </w:r>
      <w:r w:rsidRPr="00260D1B">
        <w:rPr>
          <w:kern w:val="1"/>
          <w:lang w:val="en-US"/>
        </w:rPr>
        <w:t xml:space="preserve"> time the demographics, epidemiology and clinical of COVID-19 in Brazil. (</w:t>
      </w:r>
      <w:r w:rsidR="0004231A" w:rsidRPr="00260D1B">
        <w:rPr>
          <w:kern w:val="1"/>
          <w:lang w:val="en-US"/>
        </w:rPr>
        <w:t>CH 1)</w:t>
      </w:r>
    </w:p>
    <w:p w14:paraId="3C0576FA" w14:textId="77D487CE" w:rsidR="00105767" w:rsidRPr="00260D1B" w:rsidRDefault="00105767" w:rsidP="00133210">
      <w:pPr>
        <w:ind w:left="680" w:right="231"/>
        <w:rPr>
          <w:kern w:val="1"/>
          <w:lang w:val="en-US"/>
        </w:rPr>
      </w:pPr>
    </w:p>
    <w:p w14:paraId="1A7027EC" w14:textId="1E7800F0" w:rsidR="00B13CC3" w:rsidRPr="00260D1B" w:rsidRDefault="00105767" w:rsidP="005B1B5B">
      <w:pPr>
        <w:spacing w:line="360" w:lineRule="auto"/>
        <w:ind w:left="680" w:right="231"/>
        <w:rPr>
          <w:kern w:val="1"/>
          <w:lang w:val="en-US"/>
        </w:rPr>
      </w:pPr>
      <w:r w:rsidRPr="00260D1B">
        <w:rPr>
          <w:kern w:val="1"/>
          <w:lang w:val="en-US"/>
        </w:rPr>
        <w:t xml:space="preserve">(51) </w:t>
      </w:r>
      <w:r w:rsidR="0004231A" w:rsidRPr="00260D1B">
        <w:rPr>
          <w:b/>
          <w:bCs/>
          <w:i/>
          <w:iCs/>
          <w:kern w:val="1"/>
          <w:lang w:val="en-US"/>
        </w:rPr>
        <w:t xml:space="preserve">Our </w:t>
      </w:r>
      <w:r w:rsidR="0004231A" w:rsidRPr="00260D1B">
        <w:rPr>
          <w:kern w:val="1"/>
          <w:lang w:val="en-US"/>
        </w:rPr>
        <w:t xml:space="preserve">test offers a </w:t>
      </w:r>
      <w:r w:rsidR="0004231A" w:rsidRPr="00260D1B">
        <w:rPr>
          <w:kern w:val="1"/>
          <w:u w:val="single"/>
          <w:lang w:val="en-US"/>
        </w:rPr>
        <w:t>deep</w:t>
      </w:r>
      <w:r w:rsidR="0004231A" w:rsidRPr="00260D1B">
        <w:rPr>
          <w:kern w:val="1"/>
          <w:lang w:val="en-US"/>
        </w:rPr>
        <w:t xml:space="preserve"> understanding on the relation between data and model accuracy. (CH 235)</w:t>
      </w:r>
    </w:p>
    <w:p w14:paraId="0D56E35C" w14:textId="77777777" w:rsidR="007C6C88" w:rsidRPr="00260D1B" w:rsidRDefault="007C6C88" w:rsidP="001E0A8B">
      <w:pPr>
        <w:spacing w:line="276" w:lineRule="auto"/>
        <w:ind w:left="680" w:right="231"/>
        <w:rPr>
          <w:kern w:val="1"/>
          <w:lang w:val="en-US"/>
        </w:rPr>
      </w:pPr>
    </w:p>
    <w:p w14:paraId="6C1934AF" w14:textId="5FAC1D37" w:rsidR="007C6C88" w:rsidRPr="00260D1B" w:rsidRDefault="007C6C88" w:rsidP="007C6C88">
      <w:pPr>
        <w:spacing w:line="360" w:lineRule="auto"/>
        <w:ind w:left="680" w:right="231"/>
        <w:rPr>
          <w:kern w:val="1"/>
          <w:lang w:val="en-US"/>
        </w:rPr>
      </w:pPr>
      <w:r w:rsidRPr="00260D1B">
        <w:rPr>
          <w:kern w:val="1"/>
          <w:lang w:val="en-US"/>
        </w:rPr>
        <w:t xml:space="preserve">(52) </w:t>
      </w:r>
      <w:r w:rsidRPr="00260D1B">
        <w:rPr>
          <w:rFonts w:eastAsia="SimSun"/>
          <w:b/>
          <w:bCs/>
          <w:i/>
          <w:iCs/>
        </w:rPr>
        <w:t>We</w:t>
      </w:r>
      <w:r w:rsidRPr="00260D1B">
        <w:rPr>
          <w:rFonts w:eastAsia="SimSun"/>
        </w:rPr>
        <w:t xml:space="preserve"> propose an </w:t>
      </w:r>
      <w:r w:rsidRPr="00260D1B">
        <w:rPr>
          <w:rFonts w:eastAsia="SimSun"/>
          <w:u w:val="single"/>
        </w:rPr>
        <w:t>effective</w:t>
      </w:r>
      <w:r w:rsidRPr="00260D1B">
        <w:rPr>
          <w:rFonts w:eastAsia="SimSun"/>
        </w:rPr>
        <w:t xml:space="preserve"> infection segmentation network, called </w:t>
      </w:r>
      <w:proofErr w:type="spellStart"/>
      <w:r w:rsidRPr="00260D1B">
        <w:rPr>
          <w:rFonts w:eastAsia="SimSun"/>
        </w:rPr>
        <w:t>nCoVSegNet</w:t>
      </w:r>
      <w:proofErr w:type="spellEnd"/>
      <w:r w:rsidRPr="00260D1B">
        <w:rPr>
          <w:rFonts w:eastAsia="SimSun"/>
        </w:rPr>
        <w:t xml:space="preserve">, which takes advantage of attention-aware feature fusion and large reception fields for </w:t>
      </w:r>
      <w:r w:rsidRPr="00260D1B">
        <w:rPr>
          <w:rFonts w:eastAsia="SimSun"/>
          <w:u w:val="single"/>
        </w:rPr>
        <w:t>accurate</w:t>
      </w:r>
      <w:r w:rsidRPr="00260D1B">
        <w:rPr>
          <w:rFonts w:eastAsia="SimSun"/>
        </w:rPr>
        <w:t xml:space="preserve"> segmentation of lung infections. (CH 254)</w:t>
      </w:r>
    </w:p>
    <w:p w14:paraId="099BAEBD" w14:textId="77777777" w:rsidR="00C03B92" w:rsidRPr="00260D1B" w:rsidRDefault="00C03B92" w:rsidP="00753B80">
      <w:pPr>
        <w:spacing w:line="360" w:lineRule="auto"/>
        <w:ind w:left="680" w:right="231"/>
        <w:rPr>
          <w:kern w:val="1"/>
        </w:rPr>
      </w:pPr>
    </w:p>
    <w:p w14:paraId="4DD41C5A" w14:textId="4E73D639" w:rsidR="00971A70" w:rsidRPr="001E0A8B" w:rsidRDefault="001E0A8B" w:rsidP="00796209">
      <w:pPr>
        <w:spacing w:line="360" w:lineRule="auto"/>
        <w:ind w:right="231"/>
        <w:rPr>
          <w:rFonts w:eastAsia="SimSun"/>
          <w:bdr w:val="none" w:sz="0" w:space="0" w:color="auto" w:frame="1"/>
        </w:rPr>
      </w:pPr>
      <w:r w:rsidRPr="001E0A8B">
        <w:t>We</w:t>
      </w:r>
      <w:r w:rsidR="009023CF" w:rsidRPr="001E0A8B">
        <w:t xml:space="preserve"> note that in neither corpus did we find any single-author uses of self-mention. Science is now exclusively a multiply researched endeavour</w:t>
      </w:r>
      <w:r w:rsidR="00753B80" w:rsidRPr="001E0A8B">
        <w:t>, partly because of the interdisciplinary and complex nature of research</w:t>
      </w:r>
      <w:r w:rsidR="009023CF" w:rsidRPr="001E0A8B">
        <w:t>.</w:t>
      </w:r>
      <w:r w:rsidR="00753B80" w:rsidRPr="001E0A8B">
        <w:rPr>
          <w:rFonts w:eastAsiaTheme="minorEastAsia"/>
          <w:lang w:eastAsia="zh-TW"/>
        </w:rPr>
        <w:t xml:space="preserve"> Collaboration and teamwork, in fact, are among the most striking features of research today, with a worldwide trend towards more co-authors affiliated to </w:t>
      </w:r>
      <w:r w:rsidR="00753B80" w:rsidRPr="005B40AA">
        <w:rPr>
          <w:rFonts w:eastAsiaTheme="minorEastAsia"/>
          <w:lang w:eastAsia="zh-TW"/>
        </w:rPr>
        <w:t xml:space="preserve">more universities in more countries. A recent study of over 100,000 papers on PubMed, for example, found the </w:t>
      </w:r>
      <w:r w:rsidR="005B40AA" w:rsidRPr="005B40AA">
        <w:rPr>
          <w:rStyle w:val="Strong"/>
          <w:rFonts w:eastAsiaTheme="majorEastAsia"/>
          <w:b w:val="0"/>
          <w:bCs w:val="0"/>
          <w:bdr w:val="none" w:sz="0" w:space="0" w:color="auto" w:frame="1"/>
          <w:shd w:val="clear" w:color="auto" w:fill="FFFFFF"/>
        </w:rPr>
        <w:t>average</w:t>
      </w:r>
      <w:r w:rsidR="00753B80" w:rsidRPr="005B40AA">
        <w:rPr>
          <w:rStyle w:val="Strong"/>
          <w:rFonts w:eastAsiaTheme="majorEastAsia"/>
          <w:b w:val="0"/>
          <w:bCs w:val="0"/>
          <w:bdr w:val="none" w:sz="0" w:space="0" w:color="auto" w:frame="1"/>
          <w:shd w:val="clear" w:color="auto" w:fill="FFFFFF"/>
        </w:rPr>
        <w:t xml:space="preserve"> number of authors increased from 3 to 6 in the past 20 years</w:t>
      </w:r>
      <w:r w:rsidR="00753B80" w:rsidRPr="005B40AA">
        <w:rPr>
          <w:shd w:val="clear" w:color="auto" w:fill="FFFFFF"/>
        </w:rPr>
        <w:t xml:space="preserve"> with the percentage of single-authored papers falling from 33.9% in 2002 to </w:t>
      </w:r>
      <w:r w:rsidR="00753B80" w:rsidRPr="005B40AA">
        <w:rPr>
          <w:shd w:val="clear" w:color="auto" w:fill="FFFFFF"/>
        </w:rPr>
        <w:lastRenderedPageBreak/>
        <w:t>2.1% in 2021</w:t>
      </w:r>
      <w:r w:rsidR="00753B80" w:rsidRPr="005B40AA">
        <w:rPr>
          <w:rStyle w:val="FootnoteReference"/>
          <w:shd w:val="clear" w:color="auto" w:fill="FFFFFF"/>
        </w:rPr>
        <w:footnoteReference w:id="6"/>
      </w:r>
      <w:r w:rsidR="00753B80" w:rsidRPr="005B40AA">
        <w:rPr>
          <w:shd w:val="clear" w:color="auto" w:fill="FFFFFF"/>
        </w:rPr>
        <w:t xml:space="preserve">. </w:t>
      </w:r>
      <w:r w:rsidR="001A6965" w:rsidRPr="005B40AA">
        <w:rPr>
          <w:rFonts w:eastAsia="SimSun"/>
          <w:bdr w:val="none" w:sz="0" w:space="0" w:color="auto" w:frame="1"/>
        </w:rPr>
        <w:t>As a result</w:t>
      </w:r>
      <w:r w:rsidR="001A6965" w:rsidRPr="005B40AA">
        <w:rPr>
          <w:lang w:eastAsia="en-GB"/>
        </w:rPr>
        <w:t xml:space="preserve">, 24% of all articles had international co-authors in 2016 (NSB 2018). </w:t>
      </w:r>
      <w:r w:rsidR="00753B80" w:rsidRPr="005B40AA">
        <w:rPr>
          <w:rFonts w:eastAsiaTheme="minorEastAsia"/>
          <w:lang w:val="en-US" w:eastAsia="zh-TW"/>
        </w:rPr>
        <w:t xml:space="preserve">This development </w:t>
      </w:r>
      <w:r w:rsidR="00753B80" w:rsidRPr="005B40AA">
        <w:t xml:space="preserve">reflects both the globalization of the performance culture and the </w:t>
      </w:r>
      <w:r w:rsidR="00753B80" w:rsidRPr="005B40AA">
        <w:rPr>
          <w:rFonts w:eastAsiaTheme="minorEastAsia"/>
          <w:lang w:eastAsia="zh-TW"/>
        </w:rPr>
        <w:t>ever-growing complexity and expense of conducting modern research</w:t>
      </w:r>
      <w:r w:rsidR="00796209" w:rsidRPr="005B40AA">
        <w:rPr>
          <w:rFonts w:eastAsiaTheme="minorEastAsia"/>
          <w:lang w:eastAsia="zh-TW"/>
        </w:rPr>
        <w:t>,</w:t>
      </w:r>
      <w:r w:rsidR="00796209" w:rsidRPr="005B40AA">
        <w:rPr>
          <w:rFonts w:eastAsia="SimSun"/>
          <w:bdr w:val="none" w:sz="0" w:space="0" w:color="auto" w:frame="1"/>
        </w:rPr>
        <w:t xml:space="preserve"> </w:t>
      </w:r>
      <w:r w:rsidR="00753B80" w:rsidRPr="005B40AA">
        <w:rPr>
          <w:rFonts w:eastAsiaTheme="minorEastAsia"/>
          <w:lang w:eastAsia="zh-TW"/>
        </w:rPr>
        <w:t xml:space="preserve">with </w:t>
      </w:r>
      <w:r w:rsidR="00796209" w:rsidRPr="005B40AA">
        <w:rPr>
          <w:rFonts w:eastAsiaTheme="minorEastAsia"/>
          <w:lang w:eastAsia="zh-TW"/>
        </w:rPr>
        <w:t xml:space="preserve">collaboration </w:t>
      </w:r>
      <w:r w:rsidR="00753B80" w:rsidRPr="005B40AA">
        <w:rPr>
          <w:rStyle w:val="reference-text"/>
        </w:rPr>
        <w:t>a means of sharing technological</w:t>
      </w:r>
      <w:r w:rsidR="00753B80" w:rsidRPr="001E0A8B">
        <w:rPr>
          <w:rStyle w:val="reference-text"/>
        </w:rPr>
        <w:t xml:space="preserve"> apparatus, expertise and access to data.  </w:t>
      </w:r>
    </w:p>
    <w:p w14:paraId="5EA4C36B" w14:textId="6D4E566E" w:rsidR="009023CF" w:rsidRPr="00260D1B" w:rsidRDefault="009023CF" w:rsidP="005B1B5B">
      <w:pPr>
        <w:spacing w:line="360" w:lineRule="auto"/>
        <w:ind w:right="231"/>
      </w:pPr>
    </w:p>
    <w:p w14:paraId="347D6269" w14:textId="63C05401" w:rsidR="00BE3D27" w:rsidRPr="00260D1B" w:rsidRDefault="00796209" w:rsidP="005B1B5B">
      <w:pPr>
        <w:spacing w:line="360" w:lineRule="auto"/>
        <w:ind w:right="231"/>
      </w:pPr>
      <w:r w:rsidRPr="00260D1B">
        <w:t>T</w:t>
      </w:r>
      <w:r w:rsidR="00ED0674" w:rsidRPr="00260D1B">
        <w:t xml:space="preserve">he </w:t>
      </w:r>
      <w:r w:rsidR="00AB1E60" w:rsidRPr="00260D1B">
        <w:t xml:space="preserve">collaborative dynamic </w:t>
      </w:r>
      <w:r w:rsidRPr="00260D1B">
        <w:t xml:space="preserve">is particularly evident </w:t>
      </w:r>
      <w:r w:rsidR="00AB1E60" w:rsidRPr="00260D1B">
        <w:t xml:space="preserve">in </w:t>
      </w:r>
      <w:r w:rsidR="00D94D18" w:rsidRPr="00260D1B">
        <w:t xml:space="preserve">medicine </w:t>
      </w:r>
      <w:r w:rsidR="00AB1E60" w:rsidRPr="00260D1B">
        <w:t>(</w:t>
      </w:r>
      <w:r w:rsidR="00525E9B" w:rsidRPr="00260D1B">
        <w:t xml:space="preserve">e.g., </w:t>
      </w:r>
      <w:r w:rsidR="00AB1E60" w:rsidRPr="00260D1B">
        <w:t>Parish et al., 2018; An et al., 2020)</w:t>
      </w:r>
      <w:r w:rsidR="00BE3D27" w:rsidRPr="00260D1B">
        <w:t xml:space="preserve"> </w:t>
      </w:r>
      <w:r w:rsidR="00FF686C" w:rsidRPr="00260D1B">
        <w:t>but</w:t>
      </w:r>
      <w:r w:rsidR="00BE3D27" w:rsidRPr="00260D1B">
        <w:t xml:space="preserve"> </w:t>
      </w:r>
      <w:r w:rsidR="00FF686C" w:rsidRPr="00260D1B">
        <w:t>our highlights data shows it is exceptionally strong in Covid research. T</w:t>
      </w:r>
      <w:r w:rsidR="00BE3D27" w:rsidRPr="00260D1B">
        <w:t xml:space="preserve">he desire of </w:t>
      </w:r>
      <w:r w:rsidR="00FF686C" w:rsidRPr="00260D1B">
        <w:t xml:space="preserve">these </w:t>
      </w:r>
      <w:r w:rsidR="00BE3D27" w:rsidRPr="00260D1B">
        <w:t xml:space="preserve">Covid authors to align themselves with their contributions with plural first person pronouns is clear evidence of the competitive nature of the topic. </w:t>
      </w:r>
    </w:p>
    <w:p w14:paraId="268B1679" w14:textId="77777777" w:rsidR="007D1A4B" w:rsidRDefault="007D1A4B" w:rsidP="005B1B5B">
      <w:pPr>
        <w:spacing w:line="360" w:lineRule="auto"/>
        <w:ind w:right="231"/>
      </w:pPr>
    </w:p>
    <w:p w14:paraId="3808CF8F" w14:textId="29185BEB" w:rsidR="007743FC" w:rsidRPr="00260D1B" w:rsidRDefault="007743FC" w:rsidP="005B1B5B">
      <w:pPr>
        <w:spacing w:line="360" w:lineRule="auto"/>
        <w:ind w:right="231"/>
        <w:rPr>
          <w:b/>
          <w:bCs/>
          <w:sz w:val="28"/>
          <w:szCs w:val="28"/>
        </w:rPr>
      </w:pPr>
      <w:r w:rsidRPr="00260D1B">
        <w:rPr>
          <w:b/>
          <w:bCs/>
          <w:sz w:val="28"/>
          <w:szCs w:val="28"/>
        </w:rPr>
        <w:t xml:space="preserve">6. Conclusions </w:t>
      </w:r>
    </w:p>
    <w:p w14:paraId="0397844C" w14:textId="5D8627E1" w:rsidR="001F0825" w:rsidRPr="00260D1B" w:rsidRDefault="003F2F05" w:rsidP="005B1B5B">
      <w:pPr>
        <w:spacing w:line="360" w:lineRule="auto"/>
        <w:ind w:right="231"/>
        <w:rPr>
          <w:kern w:val="1"/>
        </w:rPr>
      </w:pPr>
      <w:r w:rsidRPr="00260D1B">
        <w:t>In this paper</w:t>
      </w:r>
      <w:r w:rsidR="004A4036" w:rsidRPr="00260D1B">
        <w:t xml:space="preserve"> we have sought to shed light on how academics make use of article highlights to not just signal the content of the</w:t>
      </w:r>
      <w:r w:rsidR="001E0A8B">
        <w:t>ir</w:t>
      </w:r>
      <w:r w:rsidR="004A4036" w:rsidRPr="00260D1B">
        <w:t xml:space="preserve"> research </w:t>
      </w:r>
      <w:r w:rsidR="001E0A8B">
        <w:t xml:space="preserve">papers </w:t>
      </w:r>
      <w:r w:rsidR="004A4036" w:rsidRPr="00260D1B">
        <w:t xml:space="preserve">but actually promote it through a clear stance. </w:t>
      </w:r>
      <w:r w:rsidR="001B6353" w:rsidRPr="00260D1B">
        <w:t xml:space="preserve">Essentially a cut down abstract, or expanded keywords, highlights are a digital poster, ensuring </w:t>
      </w:r>
      <w:r w:rsidR="001B6353" w:rsidRPr="00260D1B">
        <w:rPr>
          <w:shd w:val="clear" w:color="auto" w:fill="FFFFFF"/>
        </w:rPr>
        <w:t xml:space="preserve">in the online world that search engines pick up a paper and direct readers to it. We have shown that despite its concision, the genre </w:t>
      </w:r>
      <w:r w:rsidR="001B6353" w:rsidRPr="00260D1B">
        <w:t xml:space="preserve">supports writers’ efforts to present a coherent academic stance. At the same time, we hope to have shown that this stance is relatively topic-centred and sensitive to </w:t>
      </w:r>
      <w:r w:rsidR="001F0825" w:rsidRPr="00260D1B">
        <w:t xml:space="preserve">external contextual factors, such as the urgency, and enhanced reward, of a global pandemic. Focusing on </w:t>
      </w:r>
      <w:r w:rsidR="00E67353" w:rsidRPr="00260D1B">
        <w:t>COVID</w:t>
      </w:r>
      <w:r w:rsidR="001F0825" w:rsidRPr="00260D1B">
        <w:t xml:space="preserve"> 19 research in leading biomedical journals</w:t>
      </w:r>
      <w:r w:rsidR="00E67353" w:rsidRPr="00260D1B">
        <w:t xml:space="preserve">, </w:t>
      </w:r>
      <w:r w:rsidRPr="00260D1B">
        <w:t xml:space="preserve">we </w:t>
      </w:r>
      <w:r w:rsidR="001F0825" w:rsidRPr="00260D1B">
        <w:t xml:space="preserve">hope to </w:t>
      </w:r>
      <w:r w:rsidRPr="00260D1B">
        <w:t xml:space="preserve">have </w:t>
      </w:r>
      <w:r w:rsidR="002B1982" w:rsidRPr="00260D1B">
        <w:rPr>
          <w:kern w:val="1"/>
        </w:rPr>
        <w:t xml:space="preserve">added </w:t>
      </w:r>
      <w:r w:rsidR="001F0825" w:rsidRPr="00260D1B">
        <w:rPr>
          <w:kern w:val="1"/>
        </w:rPr>
        <w:t>valuable insights into both academic stance and the promotional character of highlights.</w:t>
      </w:r>
    </w:p>
    <w:p w14:paraId="4FC1C7F0" w14:textId="58202458" w:rsidR="001F0825" w:rsidRPr="00260D1B" w:rsidRDefault="001F0825" w:rsidP="005B1B5B">
      <w:pPr>
        <w:spacing w:line="360" w:lineRule="auto"/>
        <w:ind w:right="231"/>
        <w:rPr>
          <w:kern w:val="1"/>
        </w:rPr>
      </w:pPr>
    </w:p>
    <w:p w14:paraId="0280C452" w14:textId="42F079E7" w:rsidR="005D32EA" w:rsidRPr="00260D1B" w:rsidRDefault="001F0825" w:rsidP="005B1B5B">
      <w:pPr>
        <w:spacing w:line="360" w:lineRule="auto"/>
        <w:ind w:right="231"/>
      </w:pPr>
      <w:r w:rsidRPr="00260D1B">
        <w:rPr>
          <w:kern w:val="1"/>
        </w:rPr>
        <w:t xml:space="preserve">Our results show that </w:t>
      </w:r>
      <w:r w:rsidR="0030701D" w:rsidRPr="00260D1B">
        <w:rPr>
          <w:kern w:val="1"/>
        </w:rPr>
        <w:t xml:space="preserve">stance markers were significantly greater in the Covid highlights than a reference corpus of highlights on non-covid topics in the same journals. Frequencies were </w:t>
      </w:r>
      <w:r w:rsidR="0030701D" w:rsidRPr="00260D1B">
        <w:t xml:space="preserve">higher in all four stance categories of </w:t>
      </w:r>
      <w:r w:rsidR="00454B5F">
        <w:t>Author2</w:t>
      </w:r>
      <w:r w:rsidR="0030701D" w:rsidRPr="00260D1B">
        <w:t xml:space="preserve">’s framework, significantly so in all categories except attitude markers which were the most common feature. </w:t>
      </w:r>
      <w:r w:rsidR="00DA74D9" w:rsidRPr="00260D1B">
        <w:t xml:space="preserve">There was overlap between in the corpora in individual forms, especially among the top hedging devices and attitude markers, which suggests certain disciplinary conventions have evolved in this genre. Overall, however, </w:t>
      </w:r>
      <w:r w:rsidR="00A82F9A" w:rsidRPr="00260D1B">
        <w:t xml:space="preserve">Covid researchers were less reluctant to make plausible interpretations from their data, </w:t>
      </w:r>
      <w:r w:rsidR="005829F9" w:rsidRPr="00260D1B">
        <w:t xml:space="preserve">more likely </w:t>
      </w:r>
      <w:r w:rsidR="00A82F9A" w:rsidRPr="00260D1B">
        <w:t xml:space="preserve">to boost the novelty and significance of their research and to claim personal responsibility for their methods and results. We have argued that the fact that these highlights were concerned with the Covid pandemic is the key </w:t>
      </w:r>
      <w:r w:rsidR="00A82F9A" w:rsidRPr="00260D1B">
        <w:lastRenderedPageBreak/>
        <w:t xml:space="preserve">variable here, encouraging authors to </w:t>
      </w:r>
      <w:r w:rsidR="005829F9" w:rsidRPr="00260D1B">
        <w:t xml:space="preserve">take an unambiguous stance in such a high stakes and frenetically competitive context. The struggle to publish </w:t>
      </w:r>
      <w:r w:rsidR="005D32EA" w:rsidRPr="00260D1B">
        <w:t xml:space="preserve">important work that might influence a global health crisis involved, as an important first step, getting attention for this work by a clear authorial stance in highlights.  </w:t>
      </w:r>
    </w:p>
    <w:p w14:paraId="7312BF2F" w14:textId="77777777" w:rsidR="001F0825" w:rsidRPr="00260D1B" w:rsidRDefault="001F0825" w:rsidP="005B1B5B">
      <w:pPr>
        <w:spacing w:line="360" w:lineRule="auto"/>
        <w:ind w:right="231"/>
      </w:pPr>
    </w:p>
    <w:p w14:paraId="63D0E4F6" w14:textId="24BFA0A9" w:rsidR="00F632AB" w:rsidRPr="00260D1B" w:rsidRDefault="00F632AB" w:rsidP="005B1B5B">
      <w:pPr>
        <w:spacing w:line="360" w:lineRule="auto"/>
        <w:ind w:right="231"/>
        <w:rPr>
          <w:kern w:val="1"/>
        </w:rPr>
      </w:pPr>
      <w:r w:rsidRPr="00260D1B">
        <w:rPr>
          <w:kern w:val="1"/>
        </w:rPr>
        <w:t xml:space="preserve">As a </w:t>
      </w:r>
      <w:r w:rsidR="00CC525D" w:rsidRPr="00260D1B">
        <w:rPr>
          <w:kern w:val="1"/>
        </w:rPr>
        <w:t xml:space="preserve">genre </w:t>
      </w:r>
      <w:r w:rsidRPr="00260D1B">
        <w:rPr>
          <w:kern w:val="1"/>
        </w:rPr>
        <w:t xml:space="preserve">required </w:t>
      </w:r>
      <w:r w:rsidR="00CC525D" w:rsidRPr="00260D1B">
        <w:rPr>
          <w:kern w:val="1"/>
        </w:rPr>
        <w:t>by</w:t>
      </w:r>
      <w:r w:rsidRPr="00260D1B">
        <w:rPr>
          <w:kern w:val="1"/>
        </w:rPr>
        <w:t xml:space="preserve"> many journals to accompany a submitted article</w:t>
      </w:r>
      <w:r w:rsidR="00CC525D" w:rsidRPr="00260D1B">
        <w:rPr>
          <w:kern w:val="1"/>
        </w:rPr>
        <w:t>,</w:t>
      </w:r>
      <w:r w:rsidRPr="00260D1B">
        <w:rPr>
          <w:kern w:val="1"/>
        </w:rPr>
        <w:t xml:space="preserve"> and an increasingly important way </w:t>
      </w:r>
      <w:r w:rsidR="000638B0" w:rsidRPr="00260D1B">
        <w:rPr>
          <w:kern w:val="1"/>
        </w:rPr>
        <w:t xml:space="preserve">for promoting </w:t>
      </w:r>
      <w:r w:rsidRPr="00260D1B">
        <w:rPr>
          <w:kern w:val="1"/>
        </w:rPr>
        <w:t xml:space="preserve">the </w:t>
      </w:r>
      <w:r w:rsidR="000638B0" w:rsidRPr="00260D1B">
        <w:rPr>
          <w:kern w:val="1"/>
        </w:rPr>
        <w:t>research</w:t>
      </w:r>
      <w:r w:rsidRPr="00260D1B">
        <w:rPr>
          <w:kern w:val="1"/>
        </w:rPr>
        <w:t xml:space="preserve"> it contains</w:t>
      </w:r>
      <w:r w:rsidR="000638B0" w:rsidRPr="00260D1B">
        <w:rPr>
          <w:kern w:val="1"/>
        </w:rPr>
        <w:t xml:space="preserve">, highlights have </w:t>
      </w:r>
      <w:r w:rsidRPr="00260D1B">
        <w:rPr>
          <w:kern w:val="1"/>
        </w:rPr>
        <w:t xml:space="preserve">a growing </w:t>
      </w:r>
      <w:r w:rsidR="000638B0" w:rsidRPr="00260D1B">
        <w:rPr>
          <w:kern w:val="1"/>
        </w:rPr>
        <w:t>significan</w:t>
      </w:r>
      <w:r w:rsidRPr="00260D1B">
        <w:rPr>
          <w:kern w:val="1"/>
        </w:rPr>
        <w:t>ce</w:t>
      </w:r>
      <w:r w:rsidR="000638B0" w:rsidRPr="00260D1B">
        <w:rPr>
          <w:kern w:val="1"/>
        </w:rPr>
        <w:t xml:space="preserve"> in the highly competitive world of </w:t>
      </w:r>
      <w:r w:rsidRPr="00260D1B">
        <w:rPr>
          <w:kern w:val="1"/>
        </w:rPr>
        <w:t>scholarly</w:t>
      </w:r>
      <w:r w:rsidR="000638B0" w:rsidRPr="00260D1B">
        <w:rPr>
          <w:kern w:val="1"/>
        </w:rPr>
        <w:t xml:space="preserve"> publishing.</w:t>
      </w:r>
      <w:r w:rsidR="003718D2" w:rsidRPr="00260D1B">
        <w:rPr>
          <w:kern w:val="1"/>
        </w:rPr>
        <w:t xml:space="preserve"> </w:t>
      </w:r>
      <w:r w:rsidR="00133210" w:rsidRPr="00260D1B">
        <w:rPr>
          <w:kern w:val="1"/>
        </w:rPr>
        <w:t>As a result, our study has potential implications for both understanding academic persuasion and those who might wish to put such understanding to practical use.</w:t>
      </w:r>
      <w:r w:rsidR="00A70A19" w:rsidRPr="00260D1B">
        <w:rPr>
          <w:kern w:val="1"/>
        </w:rPr>
        <w:t xml:space="preserve"> For researchers interested in academic discourse we have sought to explore a genre which plays an important role in an age where information in usually discovered through search engines rather than scanning individual journals. We have also tried to show how </w:t>
      </w:r>
      <w:r w:rsidR="004C4E17" w:rsidRPr="00260D1B">
        <w:rPr>
          <w:kern w:val="1"/>
        </w:rPr>
        <w:t xml:space="preserve">a particular social context can impact the rhetorical choices of an entire discipline, with </w:t>
      </w:r>
      <w:r w:rsidR="00A70A19" w:rsidRPr="00260D1B">
        <w:rPr>
          <w:kern w:val="1"/>
        </w:rPr>
        <w:t xml:space="preserve">the </w:t>
      </w:r>
      <w:r w:rsidR="004C4E17" w:rsidRPr="00260D1B">
        <w:rPr>
          <w:kern w:val="1"/>
        </w:rPr>
        <w:t xml:space="preserve">urgent challenges of the global pandemic apparently sparking a significant change in persuasive practices. </w:t>
      </w:r>
      <w:r w:rsidR="00E339BC" w:rsidRPr="00260D1B">
        <w:rPr>
          <w:kern w:val="1"/>
        </w:rPr>
        <w:t xml:space="preserve">The need to address a major public health emergency that has killed millions of people and had significant impacts on the medical, social, economic and political lives of millions more, created an environment of intense competition to publish important research. It also offered scientists an opportunity to both make a difference and a name for themselves. </w:t>
      </w:r>
    </w:p>
    <w:p w14:paraId="163421EA" w14:textId="668342BE" w:rsidR="00F632AB" w:rsidRPr="00260D1B" w:rsidRDefault="00F632AB" w:rsidP="005B1B5B">
      <w:pPr>
        <w:spacing w:line="360" w:lineRule="auto"/>
        <w:ind w:right="231"/>
        <w:rPr>
          <w:kern w:val="1"/>
          <w:highlight w:val="yellow"/>
        </w:rPr>
      </w:pPr>
    </w:p>
    <w:p w14:paraId="6FD12A7C" w14:textId="77777777" w:rsidR="00836070" w:rsidRPr="00260D1B" w:rsidRDefault="00E339BC" w:rsidP="005B1B5B">
      <w:pPr>
        <w:spacing w:line="360" w:lineRule="auto"/>
        <w:ind w:right="231"/>
        <w:rPr>
          <w:kern w:val="1"/>
          <w:highlight w:val="yellow"/>
        </w:rPr>
      </w:pPr>
      <w:r w:rsidRPr="00260D1B">
        <w:rPr>
          <w:kern w:val="1"/>
        </w:rPr>
        <w:t xml:space="preserve">Our study also has implications for novice writers and those who teach and mentor them. It provides a </w:t>
      </w:r>
      <w:r w:rsidR="00F83197" w:rsidRPr="00260D1B">
        <w:rPr>
          <w:kern w:val="1"/>
        </w:rPr>
        <w:t>valuable, and current, case study of the rhetorical options available to writers and acceptable to editorial gatekeepers. Writers wishing to promote their work by taking a clear and positive stance in their highlights have a</w:t>
      </w:r>
      <w:r w:rsidR="00836070" w:rsidRPr="00260D1B">
        <w:rPr>
          <w:kern w:val="1"/>
        </w:rPr>
        <w:t xml:space="preserve">ccess to a model of stance choices with the possibilities open to them. </w:t>
      </w:r>
      <w:r w:rsidR="00BB6907" w:rsidRPr="00260D1B">
        <w:rPr>
          <w:kern w:val="1"/>
        </w:rPr>
        <w:t xml:space="preserve">Such understanding </w:t>
      </w:r>
      <w:r w:rsidR="00836070" w:rsidRPr="00260D1B">
        <w:rPr>
          <w:kern w:val="1"/>
        </w:rPr>
        <w:t>can also assist teachers</w:t>
      </w:r>
      <w:r w:rsidR="00BB6907" w:rsidRPr="00260D1B">
        <w:rPr>
          <w:kern w:val="1"/>
        </w:rPr>
        <w:t xml:space="preserve"> </w:t>
      </w:r>
      <w:r w:rsidR="00836070" w:rsidRPr="00260D1B">
        <w:rPr>
          <w:kern w:val="1"/>
        </w:rPr>
        <w:t>to</w:t>
      </w:r>
      <w:r w:rsidR="00BB6907" w:rsidRPr="00260D1B">
        <w:rPr>
          <w:kern w:val="1"/>
        </w:rPr>
        <w:t xml:space="preserve"> scaffold </w:t>
      </w:r>
      <w:r w:rsidR="00836070" w:rsidRPr="00260D1B">
        <w:rPr>
          <w:kern w:val="1"/>
        </w:rPr>
        <w:t xml:space="preserve">instruction and raise students’ awareness of how they might modify their stance and negotiate their judgements </w:t>
      </w:r>
      <w:r w:rsidR="00BB6907" w:rsidRPr="00260D1B">
        <w:rPr>
          <w:kern w:val="1"/>
        </w:rPr>
        <w:t xml:space="preserve">with </w:t>
      </w:r>
      <w:r w:rsidR="00836070" w:rsidRPr="00260D1B">
        <w:rPr>
          <w:kern w:val="1"/>
        </w:rPr>
        <w:t>an</w:t>
      </w:r>
      <w:r w:rsidR="00BB6907" w:rsidRPr="00260D1B">
        <w:rPr>
          <w:kern w:val="1"/>
        </w:rPr>
        <w:t xml:space="preserve"> audience. </w:t>
      </w:r>
    </w:p>
    <w:p w14:paraId="320765FB" w14:textId="4657D59A" w:rsidR="00E437DE" w:rsidRPr="00260D1B" w:rsidRDefault="00E437DE" w:rsidP="005B1B5B">
      <w:pPr>
        <w:spacing w:line="360" w:lineRule="auto"/>
        <w:ind w:right="231"/>
        <w:rPr>
          <w:kern w:val="1"/>
          <w:highlight w:val="yellow"/>
        </w:rPr>
      </w:pPr>
    </w:p>
    <w:p w14:paraId="623CFF9D" w14:textId="292AEE25" w:rsidR="009A32BF" w:rsidRPr="00260D1B" w:rsidRDefault="00836070" w:rsidP="005B1B5B">
      <w:pPr>
        <w:spacing w:line="360" w:lineRule="auto"/>
        <w:ind w:right="231"/>
        <w:rPr>
          <w:kern w:val="1"/>
        </w:rPr>
      </w:pPr>
      <w:r w:rsidRPr="00260D1B">
        <w:rPr>
          <w:kern w:val="1"/>
        </w:rPr>
        <w:t xml:space="preserve">It is customary to point out the limitations of a study and it will be clear that our research has a relatively narrow scope and a restricted data set. While we have described </w:t>
      </w:r>
      <w:r w:rsidR="006D3659" w:rsidRPr="00260D1B">
        <w:rPr>
          <w:kern w:val="1"/>
        </w:rPr>
        <w:t xml:space="preserve">the expression and role of </w:t>
      </w:r>
      <w:r w:rsidRPr="00260D1B">
        <w:rPr>
          <w:kern w:val="1"/>
        </w:rPr>
        <w:t xml:space="preserve">stance in the relatively understudied genre of article highlights, we have chosen to focus on a particular set of circumstances which </w:t>
      </w:r>
      <w:r w:rsidR="006D3659" w:rsidRPr="00260D1B">
        <w:rPr>
          <w:kern w:val="1"/>
        </w:rPr>
        <w:t xml:space="preserve">cannot be considered normal. Our reference corpus gives a picture of a more everyday use of highlights, but it might be profitable to examine a specific </w:t>
      </w:r>
      <w:r w:rsidR="00F92286" w:rsidRPr="00260D1B">
        <w:rPr>
          <w:kern w:val="1"/>
        </w:rPr>
        <w:t xml:space="preserve">topic in medicine, or in another discipline, to gain </w:t>
      </w:r>
      <w:r w:rsidR="00F92286" w:rsidRPr="00260D1B">
        <w:rPr>
          <w:kern w:val="1"/>
        </w:rPr>
        <w:lastRenderedPageBreak/>
        <w:t xml:space="preserve">a wider understanding of stance in this genre. We also believe that a comparison with abstracts would provide a wider frame for understanding stance in the digitally searchable genres through which scientists increasingly find the papers they wish to read. Another direction for future research is to fill in the gaps left by text analysis by conducting interviews with text users to </w:t>
      </w:r>
      <w:r w:rsidR="002B1982" w:rsidRPr="00260D1B">
        <w:rPr>
          <w:kern w:val="1"/>
        </w:rPr>
        <w:t xml:space="preserve">probe how academics approach </w:t>
      </w:r>
      <w:r w:rsidR="00F92286" w:rsidRPr="00260D1B">
        <w:rPr>
          <w:kern w:val="1"/>
        </w:rPr>
        <w:t>writing</w:t>
      </w:r>
      <w:r w:rsidR="002B1982" w:rsidRPr="00260D1B">
        <w:rPr>
          <w:kern w:val="1"/>
        </w:rPr>
        <w:t xml:space="preserve"> highlights </w:t>
      </w:r>
      <w:r w:rsidR="00F92286" w:rsidRPr="00260D1B">
        <w:rPr>
          <w:kern w:val="1"/>
        </w:rPr>
        <w:t xml:space="preserve">and how readers react to these features. </w:t>
      </w:r>
      <w:r w:rsidR="00CE4941" w:rsidRPr="00260D1B">
        <w:rPr>
          <w:kern w:val="1"/>
        </w:rPr>
        <w:t xml:space="preserve">Finally, future work </w:t>
      </w:r>
      <w:r w:rsidR="00F92286" w:rsidRPr="00260D1B">
        <w:rPr>
          <w:kern w:val="1"/>
        </w:rPr>
        <w:t>might</w:t>
      </w:r>
      <w:r w:rsidR="00CE4941" w:rsidRPr="00260D1B">
        <w:rPr>
          <w:kern w:val="1"/>
        </w:rPr>
        <w:t xml:space="preserve"> expand </w:t>
      </w:r>
      <w:r w:rsidR="00F92286" w:rsidRPr="00260D1B">
        <w:rPr>
          <w:kern w:val="1"/>
        </w:rPr>
        <w:t>our study beyond medicine to inc</w:t>
      </w:r>
      <w:r w:rsidR="00CE4941" w:rsidRPr="00260D1B">
        <w:rPr>
          <w:kern w:val="1"/>
        </w:rPr>
        <w:t xml:space="preserve">lude </w:t>
      </w:r>
      <w:r w:rsidR="00F92286" w:rsidRPr="00260D1B">
        <w:rPr>
          <w:kern w:val="1"/>
        </w:rPr>
        <w:t xml:space="preserve">stance in </w:t>
      </w:r>
      <w:r w:rsidR="00CE4941" w:rsidRPr="00260D1B">
        <w:rPr>
          <w:kern w:val="1"/>
        </w:rPr>
        <w:t xml:space="preserve">highlights </w:t>
      </w:r>
      <w:r w:rsidR="00F92286" w:rsidRPr="00260D1B">
        <w:rPr>
          <w:kern w:val="1"/>
        </w:rPr>
        <w:t xml:space="preserve">in other fields such as business and public health which have had a substantial research interest in </w:t>
      </w:r>
      <w:r w:rsidR="00CE4941" w:rsidRPr="00260D1B">
        <w:rPr>
          <w:kern w:val="1"/>
        </w:rPr>
        <w:t>COVID issue</w:t>
      </w:r>
      <w:r w:rsidR="00F92286" w:rsidRPr="00260D1B">
        <w:rPr>
          <w:kern w:val="1"/>
        </w:rPr>
        <w:t>s.</w:t>
      </w:r>
      <w:r w:rsidR="00CE4941" w:rsidRPr="00260D1B">
        <w:rPr>
          <w:kern w:val="1"/>
        </w:rPr>
        <w:t xml:space="preserve"> </w:t>
      </w:r>
      <w:r w:rsidR="00F92286" w:rsidRPr="00260D1B">
        <w:rPr>
          <w:kern w:val="1"/>
        </w:rPr>
        <w:t xml:space="preserve"> </w:t>
      </w:r>
    </w:p>
    <w:p w14:paraId="2FD0524C" w14:textId="77777777" w:rsidR="007D1A4B" w:rsidRDefault="00F92286" w:rsidP="007D1A4B">
      <w:pPr>
        <w:spacing w:line="360" w:lineRule="auto"/>
        <w:ind w:right="231"/>
        <w:rPr>
          <w:kern w:val="1"/>
        </w:rPr>
      </w:pPr>
      <w:r w:rsidRPr="00260D1B">
        <w:rPr>
          <w:kern w:val="1"/>
        </w:rPr>
        <w:t xml:space="preserve">Overall, however, we believe that our study </w:t>
      </w:r>
      <w:r w:rsidR="001A6965" w:rsidRPr="00260D1B">
        <w:rPr>
          <w:kern w:val="1"/>
        </w:rPr>
        <w:t xml:space="preserve">offers a both a robust description of stance in highlights and an understanding of the potential impact of the intense, high-stakes competition generated by the Covid pandemic in biomedical publishing. </w:t>
      </w:r>
      <w:r w:rsidR="003270D8" w:rsidRPr="00260D1B">
        <w:rPr>
          <w:kern w:val="1"/>
        </w:rPr>
        <w:t xml:space="preserve">This picture of </w:t>
      </w:r>
      <w:r w:rsidR="001A6965" w:rsidRPr="00260D1B">
        <w:rPr>
          <w:kern w:val="1"/>
        </w:rPr>
        <w:t>how writers</w:t>
      </w:r>
      <w:r w:rsidR="003270D8" w:rsidRPr="00260D1B">
        <w:rPr>
          <w:kern w:val="1"/>
        </w:rPr>
        <w:t xml:space="preserve"> orchestrat</w:t>
      </w:r>
      <w:r w:rsidR="001A6965" w:rsidRPr="00260D1B">
        <w:rPr>
          <w:kern w:val="1"/>
        </w:rPr>
        <w:t>e</w:t>
      </w:r>
      <w:r w:rsidR="003270D8" w:rsidRPr="00260D1B">
        <w:rPr>
          <w:kern w:val="1"/>
        </w:rPr>
        <w:t xml:space="preserve"> </w:t>
      </w:r>
      <w:r w:rsidR="001A6965" w:rsidRPr="00260D1B">
        <w:rPr>
          <w:kern w:val="1"/>
        </w:rPr>
        <w:t xml:space="preserve">available </w:t>
      </w:r>
      <w:r w:rsidR="003270D8" w:rsidRPr="00260D1B">
        <w:rPr>
          <w:kern w:val="1"/>
        </w:rPr>
        <w:t xml:space="preserve">rhetorical resources in </w:t>
      </w:r>
      <w:r w:rsidR="001A6965" w:rsidRPr="00260D1B">
        <w:rPr>
          <w:kern w:val="1"/>
        </w:rPr>
        <w:t>this</w:t>
      </w:r>
      <w:r w:rsidR="003270D8" w:rsidRPr="00260D1B">
        <w:rPr>
          <w:kern w:val="1"/>
        </w:rPr>
        <w:t xml:space="preserve"> new academic pro</w:t>
      </w:r>
      <w:r w:rsidR="003270D8" w:rsidRPr="00260D1B">
        <w:rPr>
          <w:kern w:val="1"/>
        </w:rPr>
        <w:softHyphen/>
        <w:t xml:space="preserve">motional genre </w:t>
      </w:r>
      <w:r w:rsidR="001A6965" w:rsidRPr="00260D1B">
        <w:rPr>
          <w:kern w:val="1"/>
        </w:rPr>
        <w:t>makes, we believe, a useful contribution to the literature on stance, academic discourse and rhetorical persuasion. Perhaps most importantly, it shows how</w:t>
      </w:r>
      <w:r w:rsidR="001E0A8B">
        <w:rPr>
          <w:kern w:val="1"/>
        </w:rPr>
        <w:t>,</w:t>
      </w:r>
      <w:r w:rsidR="001A6965" w:rsidRPr="00260D1B">
        <w:rPr>
          <w:kern w:val="1"/>
        </w:rPr>
        <w:t xml:space="preserve"> in these particular </w:t>
      </w:r>
      <w:r w:rsidR="004A4036" w:rsidRPr="00260D1B">
        <w:rPr>
          <w:kern w:val="1"/>
        </w:rPr>
        <w:t xml:space="preserve">circumstances </w:t>
      </w:r>
      <w:r w:rsidR="001A6965" w:rsidRPr="00260D1B">
        <w:rPr>
          <w:kern w:val="1"/>
        </w:rPr>
        <w:t>with</w:t>
      </w:r>
      <w:r w:rsidR="004A4036" w:rsidRPr="00260D1B">
        <w:rPr>
          <w:kern w:val="1"/>
        </w:rPr>
        <w:t xml:space="preserve"> the rush to be first to make an important breakthrough, the desire to take a strong personal stance seem</w:t>
      </w:r>
      <w:r w:rsidR="001A6965" w:rsidRPr="00260D1B">
        <w:rPr>
          <w:kern w:val="1"/>
        </w:rPr>
        <w:t>ed</w:t>
      </w:r>
      <w:r w:rsidR="004A4036" w:rsidRPr="00260D1B">
        <w:rPr>
          <w:kern w:val="1"/>
        </w:rPr>
        <w:t xml:space="preserve"> to be compelling.</w:t>
      </w:r>
    </w:p>
    <w:p w14:paraId="0E96752A" w14:textId="77777777" w:rsidR="007D1A4B" w:rsidRDefault="007D1A4B" w:rsidP="007D1A4B">
      <w:pPr>
        <w:spacing w:line="360" w:lineRule="auto"/>
        <w:ind w:right="231"/>
        <w:rPr>
          <w:kern w:val="1"/>
        </w:rPr>
      </w:pPr>
    </w:p>
    <w:p w14:paraId="5D4BFECC" w14:textId="77777777" w:rsidR="00C007C7" w:rsidRPr="00260D1B" w:rsidRDefault="00C007C7" w:rsidP="00C007C7">
      <w:pPr>
        <w:pStyle w:val="NormalWeb"/>
        <w:snapToGrid w:val="0"/>
        <w:spacing w:before="0" w:beforeAutospacing="0" w:after="0" w:afterAutospacing="0" w:line="360" w:lineRule="auto"/>
        <w:ind w:right="231"/>
        <w:mirrorIndents/>
        <w:rPr>
          <w:rFonts w:eastAsia="TimesNewRomanPSMT"/>
          <w:b/>
          <w:bCs/>
          <w:sz w:val="28"/>
          <w:szCs w:val="28"/>
        </w:rPr>
      </w:pPr>
      <w:r w:rsidRPr="00260D1B">
        <w:rPr>
          <w:rFonts w:eastAsia="TimesNewRomanPSMT"/>
          <w:b/>
          <w:bCs/>
          <w:sz w:val="28"/>
          <w:szCs w:val="28"/>
        </w:rPr>
        <w:t xml:space="preserve">References </w:t>
      </w:r>
    </w:p>
    <w:p w14:paraId="477ACE32" w14:textId="77777777" w:rsidR="00C007C7" w:rsidRPr="00260D1B" w:rsidRDefault="00C007C7" w:rsidP="00C007C7">
      <w:pPr>
        <w:spacing w:line="360" w:lineRule="auto"/>
        <w:ind w:left="567" w:right="231" w:hanging="567"/>
      </w:pPr>
      <w:r w:rsidRPr="00260D1B">
        <w:rPr>
          <w:rFonts w:hint="eastAsia"/>
        </w:rPr>
        <w:t>Allen-Mills, T., &amp; Gregory, A. (2020, July 26). Bit by bit, British scientists are building an anti-</w:t>
      </w:r>
      <w:proofErr w:type="spellStart"/>
      <w:r w:rsidRPr="00260D1B">
        <w:rPr>
          <w:rFonts w:hint="eastAsia"/>
        </w:rPr>
        <w:t>Covid</w:t>
      </w:r>
      <w:proofErr w:type="spellEnd"/>
      <w:r w:rsidRPr="00260D1B">
        <w:rPr>
          <w:rFonts w:hint="eastAsia"/>
        </w:rPr>
        <w:t xml:space="preserve"> arsenal. </w:t>
      </w:r>
      <w:r w:rsidRPr="00260D1B">
        <w:rPr>
          <w:i/>
          <w:iCs/>
        </w:rPr>
        <w:t>Sunday Times</w:t>
      </w:r>
      <w:r w:rsidRPr="00260D1B">
        <w:rPr>
          <w:rFonts w:hint="eastAsia"/>
        </w:rPr>
        <w:t xml:space="preserve">. </w:t>
      </w:r>
      <w:r w:rsidRPr="00260D1B">
        <w:t xml:space="preserve">Retrieved from </w:t>
      </w:r>
      <w:r w:rsidRPr="00260D1B">
        <w:rPr>
          <w:rFonts w:hint="eastAsia"/>
        </w:rPr>
        <w:t xml:space="preserve">https://www.thetimes.co.uk/article/coronavirus-vaccine-bit-by-bit- british-scientists-are-building-an-anti-covid-treatment-arsenal-t5ngcv2w5 </w:t>
      </w:r>
    </w:p>
    <w:p w14:paraId="4D453831" w14:textId="77777777" w:rsidR="00C007C7" w:rsidRPr="00260D1B" w:rsidRDefault="00C007C7" w:rsidP="00C007C7">
      <w:pPr>
        <w:spacing w:line="360" w:lineRule="auto"/>
        <w:ind w:left="567" w:right="231" w:hanging="567"/>
      </w:pPr>
      <w:r w:rsidRPr="00260D1B">
        <w:t xml:space="preserve">An J.Y., </w:t>
      </w:r>
      <w:proofErr w:type="spellStart"/>
      <w:r w:rsidRPr="00260D1B">
        <w:t>Marchalik</w:t>
      </w:r>
      <w:proofErr w:type="spellEnd"/>
      <w:r w:rsidRPr="00260D1B">
        <w:t xml:space="preserve">, R.J., </w:t>
      </w:r>
      <w:proofErr w:type="spellStart"/>
      <w:r w:rsidRPr="00260D1B">
        <w:t>Sherrer</w:t>
      </w:r>
      <w:proofErr w:type="spellEnd"/>
      <w:r w:rsidRPr="00260D1B">
        <w:t xml:space="preserve">, R. L., Baiocco, J. A. &amp; </w:t>
      </w:r>
      <w:proofErr w:type="spellStart"/>
      <w:r w:rsidRPr="00260D1B">
        <w:t>Rais-Bahrami</w:t>
      </w:r>
      <w:proofErr w:type="spellEnd"/>
      <w:r w:rsidRPr="00260D1B">
        <w:t>, S. (2020). Authorship growth in contemporary medical literature. </w:t>
      </w:r>
      <w:r w:rsidRPr="00260D1B">
        <w:rPr>
          <w:i/>
          <w:iCs/>
        </w:rPr>
        <w:t>SAGE Open Medicine</w:t>
      </w:r>
      <w:r w:rsidRPr="00260D1B">
        <w:t xml:space="preserve">, 8((1-10), 1-10. </w:t>
      </w:r>
    </w:p>
    <w:p w14:paraId="73899C72" w14:textId="77777777" w:rsidR="00C007C7" w:rsidRDefault="00C007C7" w:rsidP="00C007C7">
      <w:pPr>
        <w:spacing w:line="360" w:lineRule="auto"/>
        <w:ind w:left="567" w:right="231" w:hanging="567"/>
      </w:pPr>
      <w:r w:rsidRPr="00260D1B">
        <w:t xml:space="preserve">Anthony, L. (2022). </w:t>
      </w:r>
      <w:r w:rsidRPr="00260D1B">
        <w:rPr>
          <w:i/>
          <w:iCs/>
        </w:rPr>
        <w:t>AntConc (Version 4.2) [Computer Software].</w:t>
      </w:r>
      <w:r w:rsidRPr="00260D1B">
        <w:t xml:space="preserve"> Tokyo, Japan: </w:t>
      </w:r>
      <w:proofErr w:type="spellStart"/>
      <w:r w:rsidRPr="00260D1B">
        <w:t>Waseda</w:t>
      </w:r>
      <w:proofErr w:type="spellEnd"/>
      <w:r w:rsidRPr="00260D1B">
        <w:t xml:space="preserve"> University. </w:t>
      </w:r>
    </w:p>
    <w:p w14:paraId="0143A9CB" w14:textId="77777777" w:rsidR="00C007C7" w:rsidRDefault="00C007C7" w:rsidP="00C007C7">
      <w:pPr>
        <w:spacing w:line="360" w:lineRule="auto"/>
        <w:ind w:left="567" w:right="231" w:hanging="567"/>
      </w:pPr>
      <w:r>
        <w:t xml:space="preserve">Author 1. &amp; Author 2. (2022a). </w:t>
      </w:r>
    </w:p>
    <w:p w14:paraId="1BD58546" w14:textId="77777777" w:rsidR="00C007C7" w:rsidRDefault="00C007C7" w:rsidP="00C007C7">
      <w:pPr>
        <w:spacing w:line="360" w:lineRule="auto"/>
        <w:ind w:left="567" w:right="231" w:hanging="567"/>
      </w:pPr>
      <w:r>
        <w:t xml:space="preserve">Author 1. &amp; Author 2. (2022b). </w:t>
      </w:r>
    </w:p>
    <w:p w14:paraId="69668E91" w14:textId="77777777" w:rsidR="00C007C7" w:rsidRDefault="00C007C7" w:rsidP="00C007C7">
      <w:pPr>
        <w:spacing w:line="360" w:lineRule="auto"/>
        <w:ind w:left="567" w:right="231" w:hanging="567"/>
      </w:pPr>
      <w:r>
        <w:t>Author 2. (1996).</w:t>
      </w:r>
    </w:p>
    <w:p w14:paraId="1E78489A" w14:textId="77777777" w:rsidR="00C007C7" w:rsidRDefault="00C007C7" w:rsidP="00C007C7">
      <w:pPr>
        <w:spacing w:line="360" w:lineRule="auto"/>
        <w:ind w:left="567" w:right="231" w:hanging="567"/>
      </w:pPr>
      <w:r>
        <w:t>Author 2. (1998).</w:t>
      </w:r>
    </w:p>
    <w:p w14:paraId="0785F7BE" w14:textId="77777777" w:rsidR="00C007C7" w:rsidRDefault="00C007C7" w:rsidP="00C007C7">
      <w:pPr>
        <w:spacing w:line="360" w:lineRule="auto"/>
        <w:ind w:left="567" w:right="231" w:hanging="567"/>
      </w:pPr>
      <w:r>
        <w:t>Author 2. (1999).</w:t>
      </w:r>
    </w:p>
    <w:p w14:paraId="397DE58D" w14:textId="77777777" w:rsidR="00C007C7" w:rsidRDefault="00C007C7" w:rsidP="00C007C7">
      <w:pPr>
        <w:spacing w:line="360" w:lineRule="auto"/>
        <w:ind w:left="567" w:right="231" w:hanging="567"/>
      </w:pPr>
      <w:r>
        <w:t>Author 2. (2001).</w:t>
      </w:r>
    </w:p>
    <w:p w14:paraId="2DDC2E89" w14:textId="77777777" w:rsidR="00C007C7" w:rsidRDefault="00C007C7" w:rsidP="00C007C7">
      <w:pPr>
        <w:spacing w:line="360" w:lineRule="auto"/>
        <w:ind w:left="567" w:right="231" w:hanging="567"/>
      </w:pPr>
      <w:r>
        <w:lastRenderedPageBreak/>
        <w:t xml:space="preserve">Author 2. (2005). </w:t>
      </w:r>
    </w:p>
    <w:p w14:paraId="72F20F37" w14:textId="77777777" w:rsidR="00C007C7" w:rsidRDefault="00C007C7" w:rsidP="00C007C7">
      <w:pPr>
        <w:spacing w:line="360" w:lineRule="auto"/>
        <w:ind w:left="567" w:right="231" w:hanging="567"/>
      </w:pPr>
      <w:r>
        <w:t xml:space="preserve">Author 2. &amp; Author 1. (2021). </w:t>
      </w:r>
    </w:p>
    <w:p w14:paraId="4B3E9BD4" w14:textId="77777777" w:rsidR="00C007C7" w:rsidRDefault="00C007C7" w:rsidP="00C007C7">
      <w:pPr>
        <w:spacing w:line="360" w:lineRule="auto"/>
        <w:ind w:left="567" w:right="231" w:hanging="567"/>
      </w:pPr>
      <w:r>
        <w:t>Author 2. &amp; Other. (2019).</w:t>
      </w:r>
    </w:p>
    <w:p w14:paraId="3BECEEC1" w14:textId="77777777" w:rsidR="00C007C7" w:rsidRDefault="00C007C7" w:rsidP="00C007C7">
      <w:pPr>
        <w:spacing w:line="360" w:lineRule="auto"/>
        <w:ind w:left="567" w:right="231" w:hanging="567"/>
      </w:pPr>
      <w:r>
        <w:t>Author 2. &amp; Other. (2021).</w:t>
      </w:r>
    </w:p>
    <w:p w14:paraId="0B903AAF" w14:textId="77777777" w:rsidR="00C007C7" w:rsidRPr="00260D1B" w:rsidRDefault="00C007C7" w:rsidP="00C007C7">
      <w:pPr>
        <w:spacing w:line="360" w:lineRule="auto"/>
        <w:ind w:left="567" w:right="231" w:hanging="567"/>
      </w:pPr>
      <w:r w:rsidRPr="00260D1B">
        <w:t xml:space="preserve">Bhatia, V. K. (2005). Generic patterns in promotional discourse. In H. </w:t>
      </w:r>
      <w:proofErr w:type="spellStart"/>
      <w:r w:rsidRPr="00260D1B">
        <w:t>Halmari</w:t>
      </w:r>
      <w:proofErr w:type="spellEnd"/>
      <w:r w:rsidRPr="00260D1B">
        <w:t xml:space="preserve"> &amp; T. Virtanen (Eds.), </w:t>
      </w:r>
      <w:r w:rsidRPr="00260D1B">
        <w:rPr>
          <w:i/>
          <w:iCs/>
        </w:rPr>
        <w:t>Persuasion across genres: A linguistic approach</w:t>
      </w:r>
      <w:r w:rsidRPr="00260D1B">
        <w:t xml:space="preserve"> (pp. 213-225). Amsterdam, Netherlands: John </w:t>
      </w:r>
      <w:proofErr w:type="spellStart"/>
      <w:r w:rsidRPr="00260D1B">
        <w:t>Benjamins</w:t>
      </w:r>
      <w:proofErr w:type="spellEnd"/>
      <w:r w:rsidRPr="00260D1B">
        <w:t xml:space="preserve"> Publishing.</w:t>
      </w:r>
    </w:p>
    <w:p w14:paraId="3727F383" w14:textId="77777777" w:rsidR="00C007C7" w:rsidRPr="009A5508" w:rsidRDefault="00C007C7" w:rsidP="00C007C7">
      <w:pPr>
        <w:spacing w:line="360" w:lineRule="auto"/>
        <w:ind w:left="567" w:right="231" w:hanging="567"/>
      </w:pPr>
      <w:proofErr w:type="spellStart"/>
      <w:r w:rsidRPr="009A5508">
        <w:t>Biber</w:t>
      </w:r>
      <w:proofErr w:type="spellEnd"/>
      <w:r w:rsidRPr="009A5508">
        <w:t>, D. (2006). Stance in spoken and written university registers. </w:t>
      </w:r>
      <w:r w:rsidRPr="009A5508">
        <w:rPr>
          <w:i/>
          <w:iCs/>
        </w:rPr>
        <w:t>Journal of English for Academic Purposes</w:t>
      </w:r>
      <w:r w:rsidRPr="009A5508">
        <w:t>, </w:t>
      </w:r>
      <w:r w:rsidRPr="009A5508">
        <w:rPr>
          <w:i/>
          <w:iCs/>
        </w:rPr>
        <w:t>5</w:t>
      </w:r>
      <w:r w:rsidRPr="009A5508">
        <w:t>(2), 97-116.</w:t>
      </w:r>
    </w:p>
    <w:p w14:paraId="12B5BB50" w14:textId="77777777" w:rsidR="00C007C7" w:rsidRPr="00260D1B" w:rsidRDefault="00C007C7" w:rsidP="00C007C7">
      <w:pPr>
        <w:spacing w:line="360" w:lineRule="auto"/>
        <w:ind w:left="567" w:right="231" w:hanging="567"/>
      </w:pPr>
      <w:proofErr w:type="spellStart"/>
      <w:r w:rsidRPr="00260D1B">
        <w:t>Dueñas</w:t>
      </w:r>
      <w:proofErr w:type="spellEnd"/>
      <w:r w:rsidRPr="00260D1B">
        <w:t xml:space="preserve">, P. M. (2010). Attitude markers in business management research articles: A cross-cultural corpus-driven approach. </w:t>
      </w:r>
      <w:r w:rsidRPr="00260D1B">
        <w:rPr>
          <w:i/>
          <w:iCs/>
        </w:rPr>
        <w:t>International Journal of Applied Linguistics</w:t>
      </w:r>
      <w:r w:rsidRPr="00260D1B">
        <w:t>, 201, 50-72.</w:t>
      </w:r>
    </w:p>
    <w:p w14:paraId="60DFB3EB" w14:textId="77777777" w:rsidR="00C007C7" w:rsidRPr="00260D1B" w:rsidRDefault="00C007C7" w:rsidP="00C007C7">
      <w:pPr>
        <w:spacing w:line="360" w:lineRule="auto"/>
        <w:ind w:left="567" w:right="231" w:hanging="567"/>
      </w:pPr>
      <w:r w:rsidRPr="00260D1B">
        <w:t xml:space="preserve">Fairclough, N. (1995). </w:t>
      </w:r>
      <w:r w:rsidRPr="00260D1B">
        <w:rPr>
          <w:i/>
          <w:iCs/>
        </w:rPr>
        <w:t>Critical discourse analysis: The critical study of language</w:t>
      </w:r>
      <w:r w:rsidRPr="00260D1B">
        <w:t>. London: Longman.</w:t>
      </w:r>
    </w:p>
    <w:p w14:paraId="01061FA2" w14:textId="77777777" w:rsidR="00C007C7" w:rsidRPr="00260D1B" w:rsidRDefault="00C007C7" w:rsidP="00C007C7">
      <w:pPr>
        <w:spacing w:line="360" w:lineRule="auto"/>
        <w:ind w:left="567" w:right="231" w:hanging="567"/>
      </w:pPr>
      <w:r w:rsidRPr="00260D1B">
        <w:t xml:space="preserve">Feng, H., &amp; Shi, L. (2004). Genre analysis of research grant proposals. </w:t>
      </w:r>
      <w:r w:rsidRPr="00260D1B">
        <w:rPr>
          <w:i/>
          <w:iCs/>
        </w:rPr>
        <w:t>LSP &amp; Professional Communication</w:t>
      </w:r>
      <w:r w:rsidRPr="00260D1B">
        <w:t>, 4, 8-32.</w:t>
      </w:r>
    </w:p>
    <w:p w14:paraId="62F8347C" w14:textId="77777777" w:rsidR="00C007C7" w:rsidRPr="00260D1B" w:rsidRDefault="00C007C7" w:rsidP="00C007C7">
      <w:pPr>
        <w:spacing w:line="360" w:lineRule="auto"/>
        <w:ind w:left="567" w:right="231" w:hanging="567"/>
      </w:pPr>
      <w:r w:rsidRPr="00260D1B">
        <w:t xml:space="preserve">Gross, A., &amp; Chesley, P. (2012). Hedging, stance and voice in medical research articles. In </w:t>
      </w:r>
      <w:r>
        <w:t>Author 2</w:t>
      </w:r>
      <w:r w:rsidRPr="00260D1B">
        <w:t xml:space="preserve"> &amp; C. Sancho </w:t>
      </w:r>
      <w:proofErr w:type="spellStart"/>
      <w:r w:rsidRPr="00260D1B">
        <w:t>Guinda</w:t>
      </w:r>
      <w:proofErr w:type="spellEnd"/>
      <w:r w:rsidRPr="00260D1B">
        <w:t xml:space="preserve"> (Eds.), </w:t>
      </w:r>
      <w:r w:rsidRPr="00260D1B">
        <w:rPr>
          <w:i/>
          <w:iCs/>
        </w:rPr>
        <w:t>Stance and voice written in academic genres</w:t>
      </w:r>
      <w:r w:rsidRPr="00260D1B">
        <w:t xml:space="preserve"> (pp. 85-100). Basingstoke, UK: Palgrave Macmillan.</w:t>
      </w:r>
    </w:p>
    <w:p w14:paraId="67026072" w14:textId="77777777" w:rsidR="00C007C7" w:rsidRPr="00260D1B" w:rsidRDefault="00C007C7" w:rsidP="00C007C7">
      <w:pPr>
        <w:spacing w:line="360" w:lineRule="auto"/>
        <w:ind w:left="567" w:right="231" w:hanging="567"/>
      </w:pPr>
      <w:proofErr w:type="spellStart"/>
      <w:r w:rsidRPr="00260D1B">
        <w:t>Hinkel</w:t>
      </w:r>
      <w:proofErr w:type="spellEnd"/>
      <w:r w:rsidRPr="00260D1B">
        <w:t xml:space="preserve">, E. (2005). Hedging, inflating, and persuading in L2 academic writing. </w:t>
      </w:r>
      <w:r w:rsidRPr="00260D1B">
        <w:rPr>
          <w:i/>
          <w:iCs/>
        </w:rPr>
        <w:t>Applied Language Learning</w:t>
      </w:r>
      <w:r w:rsidRPr="00260D1B">
        <w:t>, 14, 29-54.</w:t>
      </w:r>
    </w:p>
    <w:p w14:paraId="613AF431" w14:textId="77777777" w:rsidR="00C007C7" w:rsidRPr="009A5508" w:rsidRDefault="00C007C7" w:rsidP="00C007C7">
      <w:pPr>
        <w:spacing w:line="360" w:lineRule="auto"/>
        <w:ind w:left="567" w:right="231" w:hanging="567"/>
      </w:pPr>
      <w:r w:rsidRPr="009A5508">
        <w:t xml:space="preserve">Johnson, R, Watkinson, A. &amp; </w:t>
      </w:r>
      <w:proofErr w:type="spellStart"/>
      <w:r w:rsidRPr="009A5508">
        <w:t>Mabe</w:t>
      </w:r>
      <w:proofErr w:type="spellEnd"/>
      <w:r w:rsidRPr="009A5508">
        <w:t xml:space="preserve">, M., (2018). </w:t>
      </w:r>
      <w:r w:rsidRPr="009A5508">
        <w:rPr>
          <w:i/>
          <w:iCs/>
        </w:rPr>
        <w:t>The STM Report 5</w:t>
      </w:r>
      <w:r w:rsidRPr="009A5508">
        <w:rPr>
          <w:i/>
          <w:iCs/>
          <w:vertAlign w:val="superscript"/>
        </w:rPr>
        <w:t>th</w:t>
      </w:r>
      <w:r w:rsidRPr="009A5508">
        <w:rPr>
          <w:i/>
          <w:iCs/>
        </w:rPr>
        <w:t xml:space="preserve"> ed.</w:t>
      </w:r>
      <w:r w:rsidRPr="009A5508">
        <w:t xml:space="preserve"> International Association of Scientific, Technical and Medical Publishers, Holland</w:t>
      </w:r>
    </w:p>
    <w:p w14:paraId="2DB6E287" w14:textId="77777777" w:rsidR="00C007C7" w:rsidRPr="00260D1B" w:rsidRDefault="00C007C7" w:rsidP="00C007C7">
      <w:pPr>
        <w:spacing w:line="360" w:lineRule="auto"/>
        <w:ind w:left="567" w:right="231" w:hanging="567"/>
        <w:rPr>
          <w:rFonts w:eastAsiaTheme="minorEastAsia"/>
        </w:rPr>
      </w:pPr>
      <w:r w:rsidRPr="00260D1B">
        <w:rPr>
          <w:rFonts w:eastAsiaTheme="minorEastAsia" w:hint="eastAsia"/>
        </w:rPr>
        <w:t>Liu, S</w:t>
      </w:r>
      <w:r w:rsidRPr="00260D1B">
        <w:rPr>
          <w:rFonts w:eastAsiaTheme="minorEastAsia"/>
        </w:rPr>
        <w:t xml:space="preserve">., &amp; </w:t>
      </w:r>
      <w:r w:rsidRPr="00260D1B">
        <w:rPr>
          <w:rFonts w:eastAsiaTheme="minorEastAsia" w:hint="eastAsia"/>
        </w:rPr>
        <w:t>Zhang, J</w:t>
      </w:r>
      <w:r w:rsidRPr="00260D1B">
        <w:rPr>
          <w:rFonts w:eastAsiaTheme="minorEastAsia"/>
        </w:rPr>
        <w:t>. (</w:t>
      </w:r>
      <w:r w:rsidRPr="00260D1B">
        <w:rPr>
          <w:rFonts w:eastAsiaTheme="minorEastAsia" w:hint="eastAsia"/>
        </w:rPr>
        <w:t>2021</w:t>
      </w:r>
      <w:r w:rsidRPr="00260D1B">
        <w:rPr>
          <w:rFonts w:eastAsiaTheme="minorEastAsia"/>
        </w:rPr>
        <w:t>)</w:t>
      </w:r>
      <w:r w:rsidRPr="00260D1B">
        <w:rPr>
          <w:rFonts w:eastAsiaTheme="minorEastAsia" w:hint="eastAsia"/>
        </w:rPr>
        <w:t xml:space="preserve">. Using Metadiscourse to Enhance Persuasiveness in Corporate Press Releases: A Corpus-Based Study. </w:t>
      </w:r>
      <w:r w:rsidRPr="00260D1B">
        <w:rPr>
          <w:rFonts w:eastAsiaTheme="minorEastAsia"/>
          <w:i/>
          <w:iCs/>
        </w:rPr>
        <w:t>SAGE Open</w:t>
      </w:r>
      <w:r w:rsidRPr="00260D1B">
        <w:rPr>
          <w:rFonts w:eastAsiaTheme="minorEastAsia"/>
        </w:rPr>
        <w:t xml:space="preserve">, </w:t>
      </w:r>
      <w:r w:rsidRPr="00260D1B">
        <w:rPr>
          <w:rFonts w:eastAsiaTheme="minorEastAsia" w:hint="eastAsia"/>
        </w:rPr>
        <w:t>11</w:t>
      </w:r>
      <w:r w:rsidRPr="00260D1B">
        <w:rPr>
          <w:rFonts w:eastAsiaTheme="minorEastAsia"/>
        </w:rPr>
        <w:t>(</w:t>
      </w:r>
      <w:r w:rsidRPr="00260D1B">
        <w:rPr>
          <w:rFonts w:eastAsiaTheme="minorEastAsia" w:hint="eastAsia"/>
        </w:rPr>
        <w:t>3</w:t>
      </w:r>
      <w:r w:rsidRPr="00260D1B">
        <w:rPr>
          <w:rFonts w:eastAsiaTheme="minorEastAsia"/>
        </w:rPr>
        <w:t>)</w:t>
      </w:r>
      <w:r w:rsidRPr="00260D1B">
        <w:rPr>
          <w:rFonts w:eastAsiaTheme="minorEastAsia" w:hint="eastAsia"/>
        </w:rPr>
        <w:t xml:space="preserve">, 1-11. </w:t>
      </w:r>
    </w:p>
    <w:p w14:paraId="5C1D3001" w14:textId="77777777" w:rsidR="00C007C7" w:rsidRPr="00260D1B" w:rsidRDefault="00C007C7" w:rsidP="00C007C7">
      <w:pPr>
        <w:spacing w:line="360" w:lineRule="auto"/>
        <w:ind w:left="567" w:right="231" w:hanging="567"/>
        <w:rPr>
          <w:rFonts w:eastAsiaTheme="minorEastAsia"/>
        </w:rPr>
      </w:pPr>
      <w:r w:rsidRPr="00260D1B">
        <w:rPr>
          <w:rFonts w:eastAsiaTheme="minorEastAsia"/>
        </w:rPr>
        <w:t xml:space="preserve">Marco, M. J. L. (2000). Collocational frameworks in medical research papers: A genre-based study. </w:t>
      </w:r>
      <w:r w:rsidRPr="00260D1B">
        <w:rPr>
          <w:rFonts w:eastAsiaTheme="minorEastAsia"/>
          <w:i/>
          <w:iCs/>
        </w:rPr>
        <w:t>English for Specific Purposes</w:t>
      </w:r>
      <w:r w:rsidRPr="00260D1B">
        <w:rPr>
          <w:rFonts w:eastAsiaTheme="minorEastAsia"/>
        </w:rPr>
        <w:t>, 19(1), 63-86.</w:t>
      </w:r>
    </w:p>
    <w:p w14:paraId="66C783D5" w14:textId="77777777" w:rsidR="00C007C7" w:rsidRPr="00260D1B" w:rsidRDefault="00C007C7" w:rsidP="00C007C7">
      <w:pPr>
        <w:spacing w:line="360" w:lineRule="auto"/>
        <w:ind w:left="567" w:right="231" w:hanging="567"/>
        <w:rPr>
          <w:rFonts w:eastAsiaTheme="minorEastAsia"/>
        </w:rPr>
      </w:pPr>
      <w:r w:rsidRPr="00260D1B">
        <w:rPr>
          <w:rFonts w:eastAsiaTheme="minorEastAsia"/>
        </w:rPr>
        <w:t xml:space="preserve">Martin J., &amp; White, P. (2005). </w:t>
      </w:r>
      <w:r w:rsidRPr="00260D1B">
        <w:rPr>
          <w:rFonts w:eastAsiaTheme="minorEastAsia"/>
          <w:i/>
          <w:iCs/>
        </w:rPr>
        <w:t>The language of evaluation: Appraisal in English</w:t>
      </w:r>
      <w:r w:rsidRPr="00260D1B">
        <w:rPr>
          <w:rFonts w:eastAsiaTheme="minorEastAsia"/>
        </w:rPr>
        <w:t xml:space="preserve">. London: Palgrave/MacMillan. </w:t>
      </w:r>
    </w:p>
    <w:p w14:paraId="0F196AAF" w14:textId="77777777" w:rsidR="00C007C7" w:rsidRPr="00260D1B" w:rsidRDefault="00C007C7" w:rsidP="00C007C7">
      <w:pPr>
        <w:spacing w:line="360" w:lineRule="auto"/>
        <w:ind w:left="567" w:right="231" w:hanging="567"/>
      </w:pPr>
      <w:r w:rsidRPr="00260D1B">
        <w:t xml:space="preserve">McGrath, L., &amp; Kuteeva, M. (2012). Stance and engagement in pure mathematics research articles: Linking discourse features to disciplinary practices. </w:t>
      </w:r>
      <w:r w:rsidRPr="00260D1B">
        <w:rPr>
          <w:i/>
          <w:iCs/>
        </w:rPr>
        <w:t>English for Specific Purposes</w:t>
      </w:r>
      <w:r w:rsidRPr="00260D1B">
        <w:t>, 31, 161-173.</w:t>
      </w:r>
    </w:p>
    <w:p w14:paraId="5D1E690E" w14:textId="77777777" w:rsidR="00C007C7" w:rsidRPr="00260D1B" w:rsidRDefault="00C007C7" w:rsidP="00C007C7">
      <w:pPr>
        <w:spacing w:line="360" w:lineRule="auto"/>
        <w:ind w:left="567" w:right="231" w:hanging="567"/>
      </w:pPr>
      <w:r w:rsidRPr="00260D1B">
        <w:lastRenderedPageBreak/>
        <w:t xml:space="preserve">Millar, N., Salager-Meyer, F., &amp; </w:t>
      </w:r>
      <w:proofErr w:type="spellStart"/>
      <w:r w:rsidRPr="00260D1B">
        <w:t>Budgell</w:t>
      </w:r>
      <w:proofErr w:type="spellEnd"/>
      <w:r w:rsidRPr="00260D1B">
        <w:t xml:space="preserve">, B. (2019). “It is important to reinforce the importance of . . .”: ‘Hype’ in reports of randomized controlled trials. </w:t>
      </w:r>
      <w:r w:rsidRPr="00260D1B">
        <w:rPr>
          <w:i/>
          <w:iCs/>
        </w:rPr>
        <w:t>English for Specific Purposes</w:t>
      </w:r>
      <w:r w:rsidRPr="00260D1B">
        <w:t>, 54, 139-151.</w:t>
      </w:r>
    </w:p>
    <w:p w14:paraId="72B121BD" w14:textId="77777777" w:rsidR="00C007C7" w:rsidRPr="00260D1B" w:rsidRDefault="00C007C7" w:rsidP="00C007C7">
      <w:pPr>
        <w:spacing w:line="360" w:lineRule="auto"/>
        <w:ind w:left="567" w:right="231" w:hanging="567"/>
      </w:pPr>
      <w:r w:rsidRPr="00260D1B">
        <w:t>Müller, M., Bartsch, S., &amp; Zinn, J. O. (2021). Communicating the unknown: An interdisciplinary annotation study of uncertainty in the coronavirus pandemic. </w:t>
      </w:r>
      <w:r w:rsidRPr="00260D1B">
        <w:rPr>
          <w:i/>
          <w:iCs/>
        </w:rPr>
        <w:t>International Journal of Corpus Linguistics</w:t>
      </w:r>
      <w:r w:rsidRPr="00260D1B">
        <w:t>, 26(4), 498-531.</w:t>
      </w:r>
    </w:p>
    <w:p w14:paraId="10683FD5" w14:textId="77777777" w:rsidR="00C007C7" w:rsidRPr="00260D1B" w:rsidRDefault="00C007C7" w:rsidP="00C007C7">
      <w:pPr>
        <w:spacing w:line="360" w:lineRule="auto"/>
        <w:ind w:left="567" w:right="231" w:hanging="567"/>
      </w:pPr>
      <w:r w:rsidRPr="00260D1B">
        <w:t xml:space="preserve">Parish, A.J., </w:t>
      </w:r>
      <w:proofErr w:type="spellStart"/>
      <w:r w:rsidRPr="00260D1B">
        <w:t>Boyack</w:t>
      </w:r>
      <w:proofErr w:type="spellEnd"/>
      <w:r w:rsidRPr="00260D1B">
        <w:t xml:space="preserve">, K.W., Ioannidis, J.P.A. (2018). Dynamics of co-authorship and productivity across different fields of scientific research. </w:t>
      </w:r>
      <w:proofErr w:type="spellStart"/>
      <w:r w:rsidRPr="00260D1B">
        <w:rPr>
          <w:i/>
          <w:iCs/>
        </w:rPr>
        <w:t>PLoS</w:t>
      </w:r>
      <w:proofErr w:type="spellEnd"/>
      <w:r w:rsidRPr="00260D1B">
        <w:rPr>
          <w:i/>
          <w:iCs/>
        </w:rPr>
        <w:t xml:space="preserve"> ONE</w:t>
      </w:r>
      <w:r w:rsidRPr="00260D1B">
        <w:t>, 13, e0189742.</w:t>
      </w:r>
    </w:p>
    <w:p w14:paraId="0A657EB6" w14:textId="77777777" w:rsidR="00C007C7" w:rsidRPr="00260D1B" w:rsidRDefault="00C007C7" w:rsidP="00C007C7">
      <w:pPr>
        <w:spacing w:line="360" w:lineRule="auto"/>
        <w:ind w:left="567" w:right="231" w:hanging="567"/>
      </w:pPr>
      <w:r w:rsidRPr="00260D1B">
        <w:t xml:space="preserve">Prince, E. F., </w:t>
      </w:r>
      <w:proofErr w:type="spellStart"/>
      <w:r w:rsidRPr="00260D1B">
        <w:t>Frader</w:t>
      </w:r>
      <w:proofErr w:type="spellEnd"/>
      <w:r w:rsidRPr="00260D1B">
        <w:t xml:space="preserve">, J., &amp; Bosk, C. (1982). On hedging in physician-physician discourse. In R. J. Di Pietro (Eds.), </w:t>
      </w:r>
      <w:r w:rsidRPr="00260D1B">
        <w:rPr>
          <w:i/>
          <w:iCs/>
        </w:rPr>
        <w:t>Linguistics and the professions</w:t>
      </w:r>
      <w:r w:rsidRPr="00260D1B">
        <w:t xml:space="preserve"> (pp. 83-97). Hillsdale, NJ: </w:t>
      </w:r>
      <w:proofErr w:type="spellStart"/>
      <w:r w:rsidRPr="00260D1B">
        <w:t>Ablex</w:t>
      </w:r>
      <w:proofErr w:type="spellEnd"/>
      <w:r w:rsidRPr="00260D1B">
        <w:t>.</w:t>
      </w:r>
    </w:p>
    <w:p w14:paraId="72BAC5A9" w14:textId="77777777" w:rsidR="00C007C7" w:rsidRPr="00260D1B" w:rsidRDefault="00C007C7" w:rsidP="00C007C7">
      <w:pPr>
        <w:spacing w:line="360" w:lineRule="auto"/>
        <w:ind w:left="567" w:right="231" w:hanging="567"/>
      </w:pPr>
      <w:r w:rsidRPr="00260D1B">
        <w:t xml:space="preserve">Rutter, H., Wolpert, M., Greenhalgh, T. (2020). Managing uncertainty in the covid-19 era. </w:t>
      </w:r>
      <w:r w:rsidRPr="00260D1B">
        <w:rPr>
          <w:i/>
          <w:iCs/>
        </w:rPr>
        <w:t>BMJ: British Medical Journal</w:t>
      </w:r>
      <w:r w:rsidRPr="00260D1B">
        <w:t xml:space="preserve">, 370, </w:t>
      </w:r>
      <w:r w:rsidRPr="00260D1B">
        <w:rPr>
          <w:rFonts w:hint="eastAsia"/>
        </w:rPr>
        <w:t xml:space="preserve">m3349. https://doi.org/10.1136/bmj.m3349 </w:t>
      </w:r>
    </w:p>
    <w:p w14:paraId="023DD16B" w14:textId="77777777" w:rsidR="00C007C7" w:rsidRPr="00260D1B" w:rsidRDefault="00C007C7" w:rsidP="00C007C7">
      <w:pPr>
        <w:spacing w:line="360" w:lineRule="auto"/>
        <w:ind w:left="567" w:right="231" w:hanging="567"/>
      </w:pPr>
      <w:r w:rsidRPr="00260D1B">
        <w:t xml:space="preserve">Salager-Meyer, F. (1994). Hedges and textual communicative function in medical English written discourse. </w:t>
      </w:r>
      <w:r w:rsidRPr="00260D1B">
        <w:rPr>
          <w:i/>
          <w:iCs/>
        </w:rPr>
        <w:t>English for Specific Purposes</w:t>
      </w:r>
      <w:r w:rsidRPr="00260D1B">
        <w:t>, 13(2), 149-170.</w:t>
      </w:r>
    </w:p>
    <w:p w14:paraId="1897B470" w14:textId="77777777" w:rsidR="00C007C7" w:rsidRPr="009A5508" w:rsidRDefault="00C007C7" w:rsidP="00C007C7">
      <w:pPr>
        <w:spacing w:line="360" w:lineRule="auto"/>
        <w:ind w:left="567" w:right="231" w:hanging="567"/>
        <w:rPr>
          <w:bCs/>
        </w:rPr>
      </w:pPr>
      <w:proofErr w:type="spellStart"/>
      <w:r w:rsidRPr="009A5508">
        <w:rPr>
          <w:bCs/>
        </w:rPr>
        <w:t>Scheegans</w:t>
      </w:r>
      <w:proofErr w:type="spellEnd"/>
      <w:r w:rsidRPr="009A5508">
        <w:rPr>
          <w:bCs/>
        </w:rPr>
        <w:t xml:space="preserve">, S., Lewis, J &amp; </w:t>
      </w:r>
      <w:proofErr w:type="spellStart"/>
      <w:r w:rsidRPr="009A5508">
        <w:rPr>
          <w:bCs/>
        </w:rPr>
        <w:t>Straza</w:t>
      </w:r>
      <w:proofErr w:type="spellEnd"/>
      <w:r w:rsidRPr="009A5508">
        <w:rPr>
          <w:bCs/>
        </w:rPr>
        <w:t xml:space="preserve">, T. (es) (2021). </w:t>
      </w:r>
      <w:r w:rsidRPr="009A5508">
        <w:rPr>
          <w:bCs/>
          <w:i/>
          <w:iCs/>
        </w:rPr>
        <w:t>UNESCO Science Report: the race against time for smarter development</w:t>
      </w:r>
      <w:r w:rsidRPr="009A5508">
        <w:rPr>
          <w:bCs/>
        </w:rPr>
        <w:t>. Paris: UNESCO</w:t>
      </w:r>
    </w:p>
    <w:p w14:paraId="0EF1F9DF" w14:textId="77777777" w:rsidR="00C007C7" w:rsidRPr="00260D1B" w:rsidRDefault="00C007C7" w:rsidP="00C007C7">
      <w:pPr>
        <w:spacing w:line="360" w:lineRule="auto"/>
        <w:ind w:left="567" w:right="231" w:hanging="567"/>
      </w:pPr>
      <w:r w:rsidRPr="00260D1B">
        <w:t xml:space="preserve">Scotto di Carlo, G. (2014). The role of proximity in online popularizations: The case of TED talks. </w:t>
      </w:r>
      <w:r w:rsidRPr="00260D1B">
        <w:rPr>
          <w:i/>
          <w:iCs/>
        </w:rPr>
        <w:t>Discourse Studies</w:t>
      </w:r>
      <w:r w:rsidRPr="00260D1B">
        <w:t>, 165, 591-606.</w:t>
      </w:r>
    </w:p>
    <w:p w14:paraId="740B8792" w14:textId="77777777" w:rsidR="00C007C7" w:rsidRPr="00260D1B" w:rsidRDefault="00C007C7" w:rsidP="00C007C7">
      <w:pPr>
        <w:spacing w:line="360" w:lineRule="auto"/>
        <w:ind w:left="567" w:right="231" w:hanging="567"/>
      </w:pPr>
      <w:r w:rsidRPr="00260D1B">
        <w:t xml:space="preserve">Shaw, P., Kuteeva, M., &amp; Okamura, A. (2014). Submission letters for academic publication: Disciplinary differences and promotional language. </w:t>
      </w:r>
      <w:r w:rsidRPr="00260D1B">
        <w:rPr>
          <w:i/>
          <w:iCs/>
        </w:rPr>
        <w:t>Journal of English for Academic Purposes</w:t>
      </w:r>
      <w:r w:rsidRPr="00260D1B">
        <w:t>, 14, 106-117.</w:t>
      </w:r>
    </w:p>
    <w:p w14:paraId="795CE8A4" w14:textId="77777777" w:rsidR="00C007C7" w:rsidRPr="00260D1B" w:rsidRDefault="00C007C7" w:rsidP="00C007C7">
      <w:pPr>
        <w:spacing w:line="360" w:lineRule="auto"/>
        <w:ind w:left="567" w:right="231" w:hanging="567"/>
      </w:pPr>
      <w:r w:rsidRPr="00260D1B">
        <w:t xml:space="preserve">Shen, Q., &amp; Tao, Y. (2021). Stance markers in English medical research articles and newspaper opinion columns: A comparative corpus-based study. </w:t>
      </w:r>
      <w:proofErr w:type="spellStart"/>
      <w:r w:rsidRPr="00260D1B">
        <w:rPr>
          <w:i/>
          <w:iCs/>
        </w:rPr>
        <w:t>PLoS</w:t>
      </w:r>
      <w:proofErr w:type="spellEnd"/>
      <w:r w:rsidRPr="00260D1B">
        <w:rPr>
          <w:i/>
          <w:iCs/>
        </w:rPr>
        <w:t xml:space="preserve"> ONE</w:t>
      </w:r>
      <w:r w:rsidRPr="00260D1B">
        <w:t xml:space="preserve"> 16(3), e0247981.</w:t>
      </w:r>
    </w:p>
    <w:p w14:paraId="7C55DE79" w14:textId="77777777" w:rsidR="00C007C7" w:rsidRPr="009A5508" w:rsidRDefault="00C007C7" w:rsidP="00C007C7">
      <w:pPr>
        <w:spacing w:line="360" w:lineRule="auto"/>
        <w:ind w:left="567" w:right="231" w:hanging="567"/>
      </w:pPr>
      <w:r w:rsidRPr="009A5508">
        <w:t xml:space="preserve">Tingley, K. (2020). Coronavirus is forcing medical research to speed up. </w:t>
      </w:r>
      <w:r w:rsidRPr="009A5508">
        <w:rPr>
          <w:i/>
          <w:iCs/>
        </w:rPr>
        <w:t>New York Times Magazine</w:t>
      </w:r>
      <w:r w:rsidRPr="009A5508">
        <w:t>.  April 21, 2020.</w:t>
      </w:r>
    </w:p>
    <w:p w14:paraId="0544D4C0" w14:textId="77777777" w:rsidR="00C007C7" w:rsidRPr="009A5508" w:rsidRDefault="00C007C7" w:rsidP="00C007C7">
      <w:pPr>
        <w:spacing w:line="360" w:lineRule="auto"/>
        <w:ind w:left="567" w:right="231" w:hanging="567"/>
      </w:pPr>
      <w:proofErr w:type="spellStart"/>
      <w:r w:rsidRPr="009A5508">
        <w:t>Vinkers</w:t>
      </w:r>
      <w:proofErr w:type="spellEnd"/>
      <w:r w:rsidRPr="009A5508">
        <w:t xml:space="preserve">, C. H., </w:t>
      </w:r>
      <w:proofErr w:type="spellStart"/>
      <w:r w:rsidRPr="009A5508">
        <w:t>Tijdink</w:t>
      </w:r>
      <w:proofErr w:type="spellEnd"/>
      <w:r w:rsidRPr="009A5508">
        <w:t xml:space="preserve">, J. K., &amp; </w:t>
      </w:r>
      <w:proofErr w:type="spellStart"/>
      <w:r w:rsidRPr="009A5508">
        <w:t>Otte</w:t>
      </w:r>
      <w:proofErr w:type="spellEnd"/>
      <w:r w:rsidRPr="009A5508">
        <w:t xml:space="preserve">, W. M. (2015). Use of positive and negative words in scientific PubMed abstracts between 1974 and 2014: Retrospective analysis. </w:t>
      </w:r>
      <w:r w:rsidRPr="009A5508">
        <w:rPr>
          <w:i/>
          <w:iCs/>
        </w:rPr>
        <w:t>British Medical Journal,</w:t>
      </w:r>
      <w:r w:rsidRPr="009A5508">
        <w:t xml:space="preserve"> 351, h6467.</w:t>
      </w:r>
    </w:p>
    <w:p w14:paraId="3CA288EA" w14:textId="77777777" w:rsidR="00C007C7" w:rsidRPr="009A5508" w:rsidRDefault="00C007C7" w:rsidP="00C007C7">
      <w:pPr>
        <w:spacing w:line="360" w:lineRule="auto"/>
        <w:ind w:left="567" w:right="231" w:hanging="567"/>
      </w:pPr>
      <w:proofErr w:type="spellStart"/>
      <w:r w:rsidRPr="009A5508">
        <w:t>Wellcome</w:t>
      </w:r>
      <w:proofErr w:type="spellEnd"/>
      <w:r w:rsidRPr="009A5508">
        <w:t xml:space="preserve"> Trust (2020). Publishers make coronavirus (COVID-19) content freely available and reusable. </w:t>
      </w:r>
      <w:r w:rsidRPr="009A5508">
        <w:rPr>
          <w:i/>
          <w:iCs/>
        </w:rPr>
        <w:t>Welcome Trust</w:t>
      </w:r>
      <w:r w:rsidRPr="009A5508">
        <w:t xml:space="preserve">.  https://wellcome.ac.uk/press-release/publishers-make-coronavirus-covid-19-content-freely-available-and-reusable </w:t>
      </w:r>
    </w:p>
    <w:p w14:paraId="426B5791" w14:textId="77777777" w:rsidR="00C007C7" w:rsidRPr="009A5508" w:rsidRDefault="00C007C7" w:rsidP="00C007C7">
      <w:pPr>
        <w:spacing w:line="360" w:lineRule="auto"/>
        <w:ind w:left="567" w:right="231" w:hanging="567"/>
        <w:rPr>
          <w:lang w:val="en-US"/>
        </w:rPr>
      </w:pPr>
      <w:r w:rsidRPr="009A5508">
        <w:rPr>
          <w:lang w:val="en-US"/>
        </w:rPr>
        <w:t xml:space="preserve">Wheatley, D. (2014). Drama in research papers. </w:t>
      </w:r>
      <w:r w:rsidRPr="009A5508">
        <w:rPr>
          <w:i/>
          <w:iCs/>
          <w:lang w:val="en-US"/>
        </w:rPr>
        <w:t>European Science Editing</w:t>
      </w:r>
      <w:r w:rsidRPr="009A5508">
        <w:rPr>
          <w:lang w:val="en-US"/>
        </w:rPr>
        <w:t>, 40(1), 14-16.</w:t>
      </w:r>
    </w:p>
    <w:p w14:paraId="2B0B385C" w14:textId="77777777" w:rsidR="00C007C7" w:rsidRPr="00260D1B" w:rsidRDefault="00C007C7" w:rsidP="00C007C7">
      <w:pPr>
        <w:spacing w:line="360" w:lineRule="auto"/>
        <w:ind w:left="567" w:right="231" w:hanging="567"/>
      </w:pPr>
      <w:r w:rsidRPr="00260D1B">
        <w:rPr>
          <w:rFonts w:cs="Garamond"/>
        </w:rPr>
        <w:lastRenderedPageBreak/>
        <w:t xml:space="preserve">Yang, W. (2016). Evaluative language and interactive discourse in journal article highlights. </w:t>
      </w:r>
      <w:r w:rsidRPr="00260D1B">
        <w:rPr>
          <w:rFonts w:cs="Garamond"/>
          <w:i/>
          <w:iCs/>
        </w:rPr>
        <w:t>English for Specific Purposes</w:t>
      </w:r>
      <w:r w:rsidRPr="00260D1B">
        <w:rPr>
          <w:rFonts w:cs="Garamond"/>
        </w:rPr>
        <w:t>, 42, 89-103.</w:t>
      </w:r>
    </w:p>
    <w:p w14:paraId="687DDD5D" w14:textId="77777777" w:rsidR="00C007C7" w:rsidRPr="00260D1B" w:rsidRDefault="00C007C7" w:rsidP="00C007C7">
      <w:pPr>
        <w:spacing w:line="360" w:lineRule="auto"/>
        <w:ind w:left="567" w:right="231" w:hanging="567"/>
        <w:rPr>
          <w:rFonts w:cs="Garamond"/>
        </w:rPr>
      </w:pPr>
      <w:proofErr w:type="spellStart"/>
      <w:r w:rsidRPr="00260D1B">
        <w:rPr>
          <w:rFonts w:cs="Garamond"/>
        </w:rPr>
        <w:t>Zulkipli</w:t>
      </w:r>
      <w:proofErr w:type="spellEnd"/>
      <w:r w:rsidRPr="00260D1B">
        <w:rPr>
          <w:rFonts w:cs="Garamond"/>
        </w:rPr>
        <w:t xml:space="preserve">, M. F., &amp; </w:t>
      </w:r>
      <w:proofErr w:type="spellStart"/>
      <w:r w:rsidRPr="00260D1B">
        <w:rPr>
          <w:rFonts w:cs="Garamond"/>
        </w:rPr>
        <w:t>Ariffin</w:t>
      </w:r>
      <w:proofErr w:type="spellEnd"/>
      <w:r w:rsidRPr="00260D1B">
        <w:rPr>
          <w:rFonts w:cs="Garamond"/>
        </w:rPr>
        <w:t xml:space="preserve">, A. (2019). Understanding the roles of rhetorical devices and intertextuality in promotional discourse. </w:t>
      </w:r>
      <w:r w:rsidRPr="00260D1B">
        <w:rPr>
          <w:rFonts w:cs="Garamond"/>
          <w:i/>
          <w:iCs/>
        </w:rPr>
        <w:t>International Journal of Heritage, Art and Multimedia</w:t>
      </w:r>
      <w:r w:rsidRPr="00260D1B">
        <w:rPr>
          <w:rFonts w:cs="Garamond"/>
        </w:rPr>
        <w:t>, 2 (5), 90- 107.</w:t>
      </w:r>
    </w:p>
    <w:p w14:paraId="3FA21E9D" w14:textId="77777777" w:rsidR="00C007C7" w:rsidRPr="009A5508" w:rsidRDefault="00C007C7" w:rsidP="00C007C7">
      <w:pPr>
        <w:spacing w:line="360" w:lineRule="auto"/>
        <w:ind w:left="567" w:right="231" w:hanging="567"/>
      </w:pPr>
    </w:p>
    <w:p w14:paraId="497D411B" w14:textId="77777777" w:rsidR="00C007C7" w:rsidRPr="00260D1B" w:rsidRDefault="00C007C7" w:rsidP="00C007C7">
      <w:pPr>
        <w:spacing w:line="360" w:lineRule="auto"/>
        <w:ind w:right="232"/>
        <w:rPr>
          <w:b/>
          <w:bCs/>
        </w:rPr>
      </w:pPr>
      <w:r w:rsidRPr="00260D1B">
        <w:rPr>
          <w:b/>
          <w:bCs/>
        </w:rPr>
        <w:t xml:space="preserve">Appendix. Source of journals for the highlights </w:t>
      </w:r>
    </w:p>
    <w:p w14:paraId="65377B01" w14:textId="77777777" w:rsidR="00C007C7" w:rsidRPr="00260D1B" w:rsidRDefault="00C007C7" w:rsidP="00C007C7">
      <w:pPr>
        <w:spacing w:line="360" w:lineRule="auto"/>
        <w:ind w:right="232"/>
      </w:pPr>
      <w:r w:rsidRPr="00260D1B">
        <w:t>Annals of Epidemiology</w:t>
      </w:r>
    </w:p>
    <w:p w14:paraId="1C76B92C" w14:textId="77777777" w:rsidR="00C007C7" w:rsidRPr="00260D1B" w:rsidRDefault="00C007C7" w:rsidP="00C007C7">
      <w:pPr>
        <w:spacing w:line="360" w:lineRule="auto"/>
        <w:ind w:right="232"/>
      </w:pPr>
      <w:r w:rsidRPr="00260D1B">
        <w:t>Archives of Gerontology and Geriatrics</w:t>
      </w:r>
    </w:p>
    <w:p w14:paraId="11AA7E5E" w14:textId="77777777" w:rsidR="00C007C7" w:rsidRPr="00260D1B" w:rsidRDefault="00C007C7" w:rsidP="00C007C7">
      <w:pPr>
        <w:spacing w:line="360" w:lineRule="auto"/>
        <w:ind w:right="232"/>
      </w:pPr>
      <w:r w:rsidRPr="00260D1B">
        <w:t>Biomedicine &amp; Pharmacotherapy</w:t>
      </w:r>
    </w:p>
    <w:p w14:paraId="54BE8429" w14:textId="77777777" w:rsidR="00C007C7" w:rsidRPr="00260D1B" w:rsidRDefault="00C007C7" w:rsidP="00C007C7">
      <w:pPr>
        <w:spacing w:line="360" w:lineRule="auto"/>
        <w:ind w:right="232"/>
      </w:pPr>
      <w:r w:rsidRPr="00260D1B">
        <w:t>Cell</w:t>
      </w:r>
    </w:p>
    <w:p w14:paraId="2BE0F296" w14:textId="77777777" w:rsidR="00C007C7" w:rsidRPr="00260D1B" w:rsidRDefault="00C007C7" w:rsidP="00C007C7">
      <w:pPr>
        <w:spacing w:line="360" w:lineRule="auto"/>
        <w:ind w:right="232"/>
      </w:pPr>
      <w:r w:rsidRPr="00260D1B">
        <w:t>Cell Stem Cell</w:t>
      </w:r>
    </w:p>
    <w:p w14:paraId="6FC7283A" w14:textId="77777777" w:rsidR="00C007C7" w:rsidRPr="00260D1B" w:rsidRDefault="00C007C7" w:rsidP="00C007C7">
      <w:pPr>
        <w:spacing w:line="360" w:lineRule="auto"/>
        <w:ind w:right="232"/>
      </w:pPr>
      <w:r w:rsidRPr="00260D1B">
        <w:t>Epidemics</w:t>
      </w:r>
    </w:p>
    <w:p w14:paraId="465F1AB4" w14:textId="77777777" w:rsidR="00C007C7" w:rsidRPr="00260D1B" w:rsidRDefault="00C007C7" w:rsidP="00C007C7">
      <w:pPr>
        <w:spacing w:line="360" w:lineRule="auto"/>
        <w:ind w:right="232"/>
      </w:pPr>
      <w:r w:rsidRPr="00260D1B">
        <w:t>Gene</w:t>
      </w:r>
    </w:p>
    <w:p w14:paraId="499038F1" w14:textId="77777777" w:rsidR="00C007C7" w:rsidRPr="00260D1B" w:rsidRDefault="00C007C7" w:rsidP="00C007C7">
      <w:pPr>
        <w:spacing w:line="360" w:lineRule="auto"/>
        <w:ind w:right="232"/>
      </w:pPr>
      <w:r w:rsidRPr="00260D1B">
        <w:t>Heart &amp; Lung</w:t>
      </w:r>
    </w:p>
    <w:p w14:paraId="3CE54F51" w14:textId="77777777" w:rsidR="00C007C7" w:rsidRPr="00260D1B" w:rsidRDefault="00C007C7" w:rsidP="00C007C7">
      <w:pPr>
        <w:spacing w:line="360" w:lineRule="auto"/>
        <w:ind w:right="232"/>
      </w:pPr>
      <w:r w:rsidRPr="00260D1B">
        <w:t>International Immunopharmacology</w:t>
      </w:r>
    </w:p>
    <w:p w14:paraId="4420A121" w14:textId="77777777" w:rsidR="00C007C7" w:rsidRPr="00260D1B" w:rsidRDefault="00C007C7" w:rsidP="00C007C7">
      <w:pPr>
        <w:spacing w:line="360" w:lineRule="auto"/>
        <w:ind w:right="232"/>
      </w:pPr>
      <w:r w:rsidRPr="00260D1B">
        <w:t>International Journal of Infectious Diseases</w:t>
      </w:r>
    </w:p>
    <w:p w14:paraId="32D24C80" w14:textId="77777777" w:rsidR="00C007C7" w:rsidRPr="00260D1B" w:rsidRDefault="00C007C7" w:rsidP="00C007C7">
      <w:pPr>
        <w:spacing w:line="360" w:lineRule="auto"/>
        <w:ind w:right="232"/>
      </w:pPr>
      <w:r w:rsidRPr="00260D1B">
        <w:t>Immunity</w:t>
      </w:r>
    </w:p>
    <w:p w14:paraId="48CD985A" w14:textId="77777777" w:rsidR="00C007C7" w:rsidRPr="00260D1B" w:rsidRDefault="00C007C7" w:rsidP="00C007C7">
      <w:pPr>
        <w:spacing w:line="360" w:lineRule="auto"/>
        <w:ind w:right="232"/>
      </w:pPr>
      <w:r w:rsidRPr="00260D1B">
        <w:t>Immunology Letters</w:t>
      </w:r>
    </w:p>
    <w:p w14:paraId="125A83F9" w14:textId="77777777" w:rsidR="00C007C7" w:rsidRPr="00260D1B" w:rsidRDefault="00C007C7" w:rsidP="00C007C7">
      <w:pPr>
        <w:spacing w:line="360" w:lineRule="auto"/>
        <w:ind w:right="232"/>
      </w:pPr>
      <w:r w:rsidRPr="00260D1B">
        <w:t>Journal of Psychiatric Research</w:t>
      </w:r>
    </w:p>
    <w:p w14:paraId="3585A1AD" w14:textId="77777777" w:rsidR="00C007C7" w:rsidRPr="00260D1B" w:rsidRDefault="00C007C7" w:rsidP="00C007C7">
      <w:pPr>
        <w:spacing w:line="360" w:lineRule="auto"/>
        <w:ind w:right="232"/>
      </w:pPr>
      <w:r w:rsidRPr="00260D1B">
        <w:t>Medical Image Analysis</w:t>
      </w:r>
    </w:p>
    <w:p w14:paraId="629848DB" w14:textId="77777777" w:rsidR="00C007C7" w:rsidRPr="00260D1B" w:rsidRDefault="00C007C7" w:rsidP="00C007C7">
      <w:pPr>
        <w:spacing w:line="360" w:lineRule="auto"/>
        <w:ind w:right="232"/>
      </w:pPr>
      <w:r w:rsidRPr="00260D1B">
        <w:t>Psychiatry Research</w:t>
      </w:r>
    </w:p>
    <w:p w14:paraId="072FDFB1" w14:textId="77777777" w:rsidR="00C007C7" w:rsidRPr="00260D1B" w:rsidRDefault="00C007C7" w:rsidP="00C007C7">
      <w:pPr>
        <w:spacing w:line="360" w:lineRule="auto"/>
        <w:ind w:right="232"/>
      </w:pPr>
      <w:r w:rsidRPr="00260D1B">
        <w:t>Travel Medicine and Infectious Disease</w:t>
      </w:r>
    </w:p>
    <w:p w14:paraId="1554ABD6" w14:textId="77777777" w:rsidR="007D1A4B" w:rsidRDefault="007D1A4B" w:rsidP="007D1A4B">
      <w:pPr>
        <w:spacing w:line="360" w:lineRule="auto"/>
        <w:ind w:right="231"/>
        <w:rPr>
          <w:kern w:val="1"/>
        </w:rPr>
      </w:pPr>
    </w:p>
    <w:p w14:paraId="0D2DBA4F" w14:textId="4CE013A8" w:rsidR="001A6965" w:rsidRPr="00260D1B" w:rsidRDefault="001A6965" w:rsidP="009A5508">
      <w:pPr>
        <w:spacing w:line="360" w:lineRule="auto"/>
        <w:ind w:right="232"/>
      </w:pPr>
    </w:p>
    <w:sectPr w:rsidR="001A6965" w:rsidRPr="00260D1B" w:rsidSect="001D0FD7">
      <w:footerReference w:type="even"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6B6BE" w14:textId="77777777" w:rsidR="00E322EC" w:rsidRDefault="00E322EC" w:rsidP="00126F86">
      <w:r>
        <w:separator/>
      </w:r>
    </w:p>
  </w:endnote>
  <w:endnote w:type="continuationSeparator" w:id="0">
    <w:p w14:paraId="109A96D6" w14:textId="77777777" w:rsidR="00E322EC" w:rsidRDefault="00E322EC" w:rsidP="0012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altName w:val="Garamond Premier Pro"/>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Hiragino Mincho ProN W3"/>
    <w:panose1 w:val="020B0604020202020204"/>
    <w:charset w:val="80"/>
    <w:family w:val="roman"/>
    <w:pitch w:val="default"/>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4133510"/>
      <w:docPartObj>
        <w:docPartGallery w:val="Page Numbers (Bottom of Page)"/>
        <w:docPartUnique/>
      </w:docPartObj>
    </w:sdtPr>
    <w:sdtContent>
      <w:p w14:paraId="32090F3E" w14:textId="612A1072" w:rsidR="001840CF" w:rsidRDefault="001840CF" w:rsidP="00140E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FF450E" w14:textId="77777777" w:rsidR="001840CF" w:rsidRDefault="001840CF" w:rsidP="00126F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6921033"/>
      <w:docPartObj>
        <w:docPartGallery w:val="Page Numbers (Bottom of Page)"/>
        <w:docPartUnique/>
      </w:docPartObj>
    </w:sdtPr>
    <w:sdtContent>
      <w:p w14:paraId="298697D4" w14:textId="7744A1C2" w:rsidR="001840CF" w:rsidRDefault="001840CF" w:rsidP="00140E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371DFF" w14:textId="77777777" w:rsidR="001840CF" w:rsidRDefault="001840CF" w:rsidP="00126F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C1DE9" w14:textId="77777777" w:rsidR="00E322EC" w:rsidRDefault="00E322EC" w:rsidP="00126F86">
      <w:r>
        <w:separator/>
      </w:r>
    </w:p>
  </w:footnote>
  <w:footnote w:type="continuationSeparator" w:id="0">
    <w:p w14:paraId="3A7BDBEE" w14:textId="77777777" w:rsidR="00E322EC" w:rsidRDefault="00E322EC" w:rsidP="00126F86">
      <w:r>
        <w:continuationSeparator/>
      </w:r>
    </w:p>
  </w:footnote>
  <w:footnote w:id="1">
    <w:p w14:paraId="7424FA6C" w14:textId="0D620AAE" w:rsidR="001840CF" w:rsidRPr="00CE467D" w:rsidRDefault="001840CF">
      <w:pPr>
        <w:pStyle w:val="FootnoteText"/>
        <w:rPr>
          <w:lang w:val="en-GB"/>
        </w:rPr>
      </w:pPr>
      <w:r>
        <w:rPr>
          <w:rStyle w:val="FootnoteReference"/>
        </w:rPr>
        <w:footnoteRef/>
      </w:r>
      <w:r>
        <w:t xml:space="preserve"> </w:t>
      </w:r>
      <w:r>
        <w:rPr>
          <w:lang w:val="en-GB"/>
        </w:rPr>
        <w:t xml:space="preserve">WHO Covid dashboard  </w:t>
      </w:r>
      <w:r w:rsidRPr="00CE467D">
        <w:rPr>
          <w:lang w:val="en-GB"/>
        </w:rPr>
        <w:t>https://covid19.who.int/</w:t>
      </w:r>
    </w:p>
  </w:footnote>
  <w:footnote w:id="2">
    <w:p w14:paraId="736346FF" w14:textId="56B31DDD" w:rsidR="001840CF" w:rsidRPr="00602525" w:rsidRDefault="001840CF">
      <w:pPr>
        <w:pStyle w:val="FootnoteText"/>
        <w:rPr>
          <w:lang w:val="en-GB"/>
        </w:rPr>
      </w:pPr>
      <w:r>
        <w:rPr>
          <w:rStyle w:val="FootnoteReference"/>
        </w:rPr>
        <w:footnoteRef/>
      </w:r>
      <w:r>
        <w:t xml:space="preserve"> </w:t>
      </w:r>
      <w:r w:rsidRPr="00602525">
        <w:t>https://retractionwatch.com/retracted-coronavirus-covid-19-papers/</w:t>
      </w:r>
    </w:p>
  </w:footnote>
  <w:footnote w:id="3">
    <w:p w14:paraId="0A121E4F" w14:textId="5355D072" w:rsidR="001840CF" w:rsidRPr="00BE7B5D" w:rsidRDefault="001840CF">
      <w:pPr>
        <w:pStyle w:val="FootnoteText"/>
        <w:rPr>
          <w:lang w:val="en-GB"/>
        </w:rPr>
      </w:pPr>
      <w:r>
        <w:rPr>
          <w:rStyle w:val="FootnoteReference"/>
        </w:rPr>
        <w:footnoteRef/>
      </w:r>
      <w:r>
        <w:t xml:space="preserve"> </w:t>
      </w:r>
      <w:r w:rsidRPr="00BE7B5D">
        <w:t>https://www.nytimes.com/2020/06/14/health/virus-journals.html</w:t>
      </w:r>
    </w:p>
  </w:footnote>
  <w:footnote w:id="4">
    <w:p w14:paraId="3339C02E" w14:textId="77777777" w:rsidR="001840CF" w:rsidRPr="00FD7C54" w:rsidRDefault="001840CF" w:rsidP="009A5508">
      <w:pPr>
        <w:pStyle w:val="FootnoteText"/>
        <w:rPr>
          <w:lang w:val="en-GB"/>
        </w:rPr>
      </w:pPr>
      <w:r>
        <w:rPr>
          <w:rStyle w:val="FootnoteReference"/>
        </w:rPr>
        <w:footnoteRef/>
      </w:r>
      <w:r>
        <w:t xml:space="preserve"> </w:t>
      </w:r>
      <w:r w:rsidRPr="00FD7C54">
        <w:t>https://www.elsevier.com/authors/tools-and-resources/highlights</w:t>
      </w:r>
    </w:p>
  </w:footnote>
  <w:footnote w:id="5">
    <w:p w14:paraId="39051BB9" w14:textId="504B758E" w:rsidR="001840CF" w:rsidRDefault="001840CF" w:rsidP="006B31E5">
      <w:pPr>
        <w:pStyle w:val="FootnoteText"/>
      </w:pPr>
      <w:r>
        <w:rPr>
          <w:rStyle w:val="FootnoteReference"/>
          <w:color w:val="000000"/>
          <w:sz w:val="18"/>
          <w:szCs w:val="18"/>
        </w:rPr>
        <w:footnoteRef/>
      </w:r>
      <w:r>
        <w:rPr>
          <w:color w:val="000000"/>
          <w:sz w:val="18"/>
          <w:szCs w:val="18"/>
        </w:rPr>
        <w:t xml:space="preserve"> </w:t>
      </w:r>
      <w:r>
        <w:rPr>
          <w:szCs w:val="21"/>
        </w:rPr>
        <w:t xml:space="preserve">CH refers to the Covid-19 journal article highlight corpus and RH to the reference corpus. The number identifies the text. </w:t>
      </w:r>
    </w:p>
    <w:p w14:paraId="14055769" w14:textId="77777777" w:rsidR="001840CF" w:rsidRDefault="001840CF" w:rsidP="006B31E5">
      <w:pPr>
        <w:pStyle w:val="FootnoteText"/>
        <w:rPr>
          <w:sz w:val="24"/>
          <w:szCs w:val="24"/>
        </w:rPr>
      </w:pPr>
    </w:p>
  </w:footnote>
  <w:footnote w:id="6">
    <w:p w14:paraId="0DB69032" w14:textId="77777777" w:rsidR="001840CF" w:rsidRDefault="001840CF" w:rsidP="00753B80">
      <w:pPr>
        <w:pStyle w:val="FootnoteText"/>
      </w:pPr>
      <w:r>
        <w:rPr>
          <w:rStyle w:val="FootnoteReference"/>
        </w:rPr>
        <w:footnoteRef/>
      </w:r>
      <w:r>
        <w:t xml:space="preserve"> </w:t>
      </w:r>
      <w:r w:rsidRPr="003C73DE">
        <w:t>https://quantifyinghealth.com/number-of-authors-of-research-papers/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1653"/>
    <w:multiLevelType w:val="multilevel"/>
    <w:tmpl w:val="3C5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D0CDE"/>
    <w:multiLevelType w:val="hybridMultilevel"/>
    <w:tmpl w:val="BDF286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81048"/>
    <w:multiLevelType w:val="hybridMultilevel"/>
    <w:tmpl w:val="BF14EC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D69B3"/>
    <w:multiLevelType w:val="hybridMultilevel"/>
    <w:tmpl w:val="C70CBF26"/>
    <w:lvl w:ilvl="0" w:tplc="CBB2F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706B49"/>
    <w:multiLevelType w:val="hybridMultilevel"/>
    <w:tmpl w:val="38F2FC06"/>
    <w:name w:val="Numbered list 2"/>
    <w:lvl w:ilvl="0" w:tplc="3482E474">
      <w:numFmt w:val="bullet"/>
      <w:lvlText w:val=""/>
      <w:lvlJc w:val="left"/>
      <w:pPr>
        <w:ind w:left="360" w:firstLine="0"/>
      </w:pPr>
      <w:rPr>
        <w:rFonts w:ascii="Symbol" w:hAnsi="Symbol"/>
      </w:rPr>
    </w:lvl>
    <w:lvl w:ilvl="1" w:tplc="F7B21824">
      <w:numFmt w:val="bullet"/>
      <w:lvlText w:val="o"/>
      <w:lvlJc w:val="left"/>
      <w:pPr>
        <w:ind w:left="1080" w:firstLine="0"/>
      </w:pPr>
      <w:rPr>
        <w:rFonts w:ascii="Courier New" w:hAnsi="Courier New" w:cs="Courier New"/>
      </w:rPr>
    </w:lvl>
    <w:lvl w:ilvl="2" w:tplc="772A2116">
      <w:numFmt w:val="bullet"/>
      <w:lvlText w:val=""/>
      <w:lvlJc w:val="left"/>
      <w:pPr>
        <w:ind w:left="1800" w:firstLine="0"/>
      </w:pPr>
      <w:rPr>
        <w:rFonts w:ascii="Wingdings" w:eastAsia="Wingdings" w:hAnsi="Wingdings" w:cs="Wingdings"/>
      </w:rPr>
    </w:lvl>
    <w:lvl w:ilvl="3" w:tplc="9EBC29B4">
      <w:numFmt w:val="bullet"/>
      <w:lvlText w:val=""/>
      <w:lvlJc w:val="left"/>
      <w:pPr>
        <w:ind w:left="2520" w:firstLine="0"/>
      </w:pPr>
      <w:rPr>
        <w:rFonts w:ascii="Symbol" w:hAnsi="Symbol"/>
      </w:rPr>
    </w:lvl>
    <w:lvl w:ilvl="4" w:tplc="58FC4BD0">
      <w:numFmt w:val="bullet"/>
      <w:lvlText w:val="o"/>
      <w:lvlJc w:val="left"/>
      <w:pPr>
        <w:ind w:left="3240" w:firstLine="0"/>
      </w:pPr>
      <w:rPr>
        <w:rFonts w:ascii="Courier New" w:hAnsi="Courier New" w:cs="Courier New"/>
      </w:rPr>
    </w:lvl>
    <w:lvl w:ilvl="5" w:tplc="0322A3A6">
      <w:numFmt w:val="bullet"/>
      <w:lvlText w:val=""/>
      <w:lvlJc w:val="left"/>
      <w:pPr>
        <w:ind w:left="3960" w:firstLine="0"/>
      </w:pPr>
      <w:rPr>
        <w:rFonts w:ascii="Wingdings" w:eastAsia="Wingdings" w:hAnsi="Wingdings" w:cs="Wingdings"/>
      </w:rPr>
    </w:lvl>
    <w:lvl w:ilvl="6" w:tplc="9B8E1FA0">
      <w:numFmt w:val="bullet"/>
      <w:lvlText w:val=""/>
      <w:lvlJc w:val="left"/>
      <w:pPr>
        <w:ind w:left="4680" w:firstLine="0"/>
      </w:pPr>
      <w:rPr>
        <w:rFonts w:ascii="Symbol" w:hAnsi="Symbol"/>
      </w:rPr>
    </w:lvl>
    <w:lvl w:ilvl="7" w:tplc="A5EA75F6">
      <w:numFmt w:val="bullet"/>
      <w:lvlText w:val="o"/>
      <w:lvlJc w:val="left"/>
      <w:pPr>
        <w:ind w:left="5400" w:firstLine="0"/>
      </w:pPr>
      <w:rPr>
        <w:rFonts w:ascii="Courier New" w:hAnsi="Courier New" w:cs="Courier New"/>
      </w:rPr>
    </w:lvl>
    <w:lvl w:ilvl="8" w:tplc="E7FE937E">
      <w:numFmt w:val="bullet"/>
      <w:lvlText w:val=""/>
      <w:lvlJc w:val="left"/>
      <w:pPr>
        <w:ind w:left="6120" w:firstLine="0"/>
      </w:pPr>
      <w:rPr>
        <w:rFonts w:ascii="Wingdings" w:eastAsia="Wingdings" w:hAnsi="Wingdings" w:cs="Wingdings"/>
      </w:rPr>
    </w:lvl>
  </w:abstractNum>
  <w:abstractNum w:abstractNumId="5" w15:restartNumberingAfterBreak="0">
    <w:nsid w:val="45D66075"/>
    <w:multiLevelType w:val="multilevel"/>
    <w:tmpl w:val="480E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74882"/>
    <w:multiLevelType w:val="hybridMultilevel"/>
    <w:tmpl w:val="B86A3A92"/>
    <w:name w:val="Numbered list 1"/>
    <w:lvl w:ilvl="0" w:tplc="75B29518">
      <w:numFmt w:val="bullet"/>
      <w:lvlText w:val=""/>
      <w:lvlJc w:val="left"/>
      <w:pPr>
        <w:ind w:left="360" w:firstLine="0"/>
      </w:pPr>
      <w:rPr>
        <w:rFonts w:ascii="Symbol" w:hAnsi="Symbol"/>
      </w:rPr>
    </w:lvl>
    <w:lvl w:ilvl="1" w:tplc="31086C96">
      <w:numFmt w:val="bullet"/>
      <w:lvlText w:val="o"/>
      <w:lvlJc w:val="left"/>
      <w:pPr>
        <w:ind w:left="1080" w:firstLine="0"/>
      </w:pPr>
      <w:rPr>
        <w:rFonts w:ascii="Courier New" w:hAnsi="Courier New" w:cs="Courier New"/>
      </w:rPr>
    </w:lvl>
    <w:lvl w:ilvl="2" w:tplc="1CB4A676">
      <w:numFmt w:val="bullet"/>
      <w:lvlText w:val=""/>
      <w:lvlJc w:val="left"/>
      <w:pPr>
        <w:ind w:left="1800" w:firstLine="0"/>
      </w:pPr>
      <w:rPr>
        <w:rFonts w:ascii="Wingdings" w:eastAsia="Wingdings" w:hAnsi="Wingdings" w:cs="Wingdings"/>
      </w:rPr>
    </w:lvl>
    <w:lvl w:ilvl="3" w:tplc="890E62D6">
      <w:numFmt w:val="bullet"/>
      <w:lvlText w:val=""/>
      <w:lvlJc w:val="left"/>
      <w:pPr>
        <w:ind w:left="2520" w:firstLine="0"/>
      </w:pPr>
      <w:rPr>
        <w:rFonts w:ascii="Symbol" w:hAnsi="Symbol"/>
      </w:rPr>
    </w:lvl>
    <w:lvl w:ilvl="4" w:tplc="198EBA2C">
      <w:numFmt w:val="bullet"/>
      <w:lvlText w:val="o"/>
      <w:lvlJc w:val="left"/>
      <w:pPr>
        <w:ind w:left="3240" w:firstLine="0"/>
      </w:pPr>
      <w:rPr>
        <w:rFonts w:ascii="Courier New" w:hAnsi="Courier New" w:cs="Courier New"/>
      </w:rPr>
    </w:lvl>
    <w:lvl w:ilvl="5" w:tplc="AEDE09C2">
      <w:numFmt w:val="bullet"/>
      <w:lvlText w:val=""/>
      <w:lvlJc w:val="left"/>
      <w:pPr>
        <w:ind w:left="3960" w:firstLine="0"/>
      </w:pPr>
      <w:rPr>
        <w:rFonts w:ascii="Wingdings" w:eastAsia="Wingdings" w:hAnsi="Wingdings" w:cs="Wingdings"/>
      </w:rPr>
    </w:lvl>
    <w:lvl w:ilvl="6" w:tplc="CADAA0DE">
      <w:numFmt w:val="bullet"/>
      <w:lvlText w:val=""/>
      <w:lvlJc w:val="left"/>
      <w:pPr>
        <w:ind w:left="4680" w:firstLine="0"/>
      </w:pPr>
      <w:rPr>
        <w:rFonts w:ascii="Symbol" w:hAnsi="Symbol"/>
      </w:rPr>
    </w:lvl>
    <w:lvl w:ilvl="7" w:tplc="06462A44">
      <w:numFmt w:val="bullet"/>
      <w:lvlText w:val="o"/>
      <w:lvlJc w:val="left"/>
      <w:pPr>
        <w:ind w:left="5400" w:firstLine="0"/>
      </w:pPr>
      <w:rPr>
        <w:rFonts w:ascii="Courier New" w:hAnsi="Courier New" w:cs="Courier New"/>
      </w:rPr>
    </w:lvl>
    <w:lvl w:ilvl="8" w:tplc="E0A816C0">
      <w:numFmt w:val="bullet"/>
      <w:lvlText w:val=""/>
      <w:lvlJc w:val="left"/>
      <w:pPr>
        <w:ind w:left="6120" w:firstLine="0"/>
      </w:pPr>
      <w:rPr>
        <w:rFonts w:ascii="Wingdings" w:eastAsia="Wingdings" w:hAnsi="Wingdings" w:cs="Wingdings"/>
      </w:rPr>
    </w:lvl>
  </w:abstractNum>
  <w:abstractNum w:abstractNumId="7" w15:restartNumberingAfterBreak="0">
    <w:nsid w:val="54E75707"/>
    <w:multiLevelType w:val="multilevel"/>
    <w:tmpl w:val="C96E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72F6F"/>
    <w:multiLevelType w:val="multilevel"/>
    <w:tmpl w:val="06B8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E7E5F"/>
    <w:multiLevelType w:val="hybridMultilevel"/>
    <w:tmpl w:val="A2A2A25E"/>
    <w:name w:val="Numbered list 3"/>
    <w:lvl w:ilvl="0" w:tplc="95D8F472">
      <w:numFmt w:val="bullet"/>
      <w:lvlText w:val=""/>
      <w:lvlJc w:val="left"/>
      <w:pPr>
        <w:ind w:left="360" w:firstLine="0"/>
      </w:pPr>
      <w:rPr>
        <w:rFonts w:ascii="Symbol" w:hAnsi="Symbol"/>
      </w:rPr>
    </w:lvl>
    <w:lvl w:ilvl="1" w:tplc="5F3CF372">
      <w:numFmt w:val="bullet"/>
      <w:lvlText w:val="o"/>
      <w:lvlJc w:val="left"/>
      <w:pPr>
        <w:ind w:left="1080" w:firstLine="0"/>
      </w:pPr>
      <w:rPr>
        <w:rFonts w:ascii="Courier New" w:hAnsi="Courier New" w:cs="Courier New"/>
      </w:rPr>
    </w:lvl>
    <w:lvl w:ilvl="2" w:tplc="1096989C">
      <w:numFmt w:val="bullet"/>
      <w:lvlText w:val=""/>
      <w:lvlJc w:val="left"/>
      <w:pPr>
        <w:ind w:left="1800" w:firstLine="0"/>
      </w:pPr>
      <w:rPr>
        <w:rFonts w:ascii="Wingdings" w:eastAsia="Wingdings" w:hAnsi="Wingdings" w:cs="Wingdings"/>
      </w:rPr>
    </w:lvl>
    <w:lvl w:ilvl="3" w:tplc="33665D94">
      <w:numFmt w:val="bullet"/>
      <w:lvlText w:val=""/>
      <w:lvlJc w:val="left"/>
      <w:pPr>
        <w:ind w:left="2520" w:firstLine="0"/>
      </w:pPr>
      <w:rPr>
        <w:rFonts w:ascii="Symbol" w:hAnsi="Symbol"/>
      </w:rPr>
    </w:lvl>
    <w:lvl w:ilvl="4" w:tplc="75DC154E">
      <w:numFmt w:val="bullet"/>
      <w:lvlText w:val="o"/>
      <w:lvlJc w:val="left"/>
      <w:pPr>
        <w:ind w:left="3240" w:firstLine="0"/>
      </w:pPr>
      <w:rPr>
        <w:rFonts w:ascii="Courier New" w:hAnsi="Courier New" w:cs="Courier New"/>
      </w:rPr>
    </w:lvl>
    <w:lvl w:ilvl="5" w:tplc="97C04B16">
      <w:numFmt w:val="bullet"/>
      <w:lvlText w:val=""/>
      <w:lvlJc w:val="left"/>
      <w:pPr>
        <w:ind w:left="3960" w:firstLine="0"/>
      </w:pPr>
      <w:rPr>
        <w:rFonts w:ascii="Wingdings" w:eastAsia="Wingdings" w:hAnsi="Wingdings" w:cs="Wingdings"/>
      </w:rPr>
    </w:lvl>
    <w:lvl w:ilvl="6" w:tplc="FA3A3D10">
      <w:numFmt w:val="bullet"/>
      <w:lvlText w:val=""/>
      <w:lvlJc w:val="left"/>
      <w:pPr>
        <w:ind w:left="4680" w:firstLine="0"/>
      </w:pPr>
      <w:rPr>
        <w:rFonts w:ascii="Symbol" w:hAnsi="Symbol"/>
      </w:rPr>
    </w:lvl>
    <w:lvl w:ilvl="7" w:tplc="039A8390">
      <w:numFmt w:val="bullet"/>
      <w:lvlText w:val="o"/>
      <w:lvlJc w:val="left"/>
      <w:pPr>
        <w:ind w:left="5400" w:firstLine="0"/>
      </w:pPr>
      <w:rPr>
        <w:rFonts w:ascii="Courier New" w:hAnsi="Courier New" w:cs="Courier New"/>
      </w:rPr>
    </w:lvl>
    <w:lvl w:ilvl="8" w:tplc="D0A4BC84">
      <w:numFmt w:val="bullet"/>
      <w:lvlText w:val=""/>
      <w:lvlJc w:val="left"/>
      <w:pPr>
        <w:ind w:left="6120" w:firstLine="0"/>
      </w:pPr>
      <w:rPr>
        <w:rFonts w:ascii="Wingdings" w:eastAsia="Wingdings" w:hAnsi="Wingdings" w:cs="Wingdings"/>
      </w:rPr>
    </w:lvl>
  </w:abstractNum>
  <w:abstractNum w:abstractNumId="10" w15:restartNumberingAfterBreak="0">
    <w:nsid w:val="5B1D2B02"/>
    <w:multiLevelType w:val="hybridMultilevel"/>
    <w:tmpl w:val="A3EC1EC6"/>
    <w:lvl w:ilvl="0" w:tplc="ECA62F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FB07BE"/>
    <w:multiLevelType w:val="multilevel"/>
    <w:tmpl w:val="64FC9F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BD1BB2"/>
    <w:multiLevelType w:val="multilevel"/>
    <w:tmpl w:val="5290C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0"/>
  </w:num>
  <w:num w:numId="4">
    <w:abstractNumId w:val="7"/>
  </w:num>
  <w:num w:numId="5">
    <w:abstractNumId w:val="2"/>
  </w:num>
  <w:num w:numId="6">
    <w:abstractNumId w:val="12"/>
  </w:num>
  <w:num w:numId="7">
    <w:abstractNumId w:val="8"/>
  </w:num>
  <w:num w:numId="8">
    <w:abstractNumId w:val="1"/>
  </w:num>
  <w:num w:numId="9">
    <w:abstractNumId w:val="6"/>
  </w:num>
  <w:num w:numId="10">
    <w:abstractNumId w:val="9"/>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4A"/>
    <w:rsid w:val="00001102"/>
    <w:rsid w:val="0000428F"/>
    <w:rsid w:val="00005F52"/>
    <w:rsid w:val="00010395"/>
    <w:rsid w:val="00014E46"/>
    <w:rsid w:val="00016819"/>
    <w:rsid w:val="00020B4E"/>
    <w:rsid w:val="00023FE0"/>
    <w:rsid w:val="00024076"/>
    <w:rsid w:val="000249AB"/>
    <w:rsid w:val="0002796D"/>
    <w:rsid w:val="00027D52"/>
    <w:rsid w:val="00030477"/>
    <w:rsid w:val="000320F0"/>
    <w:rsid w:val="00037D6C"/>
    <w:rsid w:val="0004231A"/>
    <w:rsid w:val="0004272C"/>
    <w:rsid w:val="00046D10"/>
    <w:rsid w:val="00047D59"/>
    <w:rsid w:val="00052331"/>
    <w:rsid w:val="000523A5"/>
    <w:rsid w:val="000638B0"/>
    <w:rsid w:val="00066937"/>
    <w:rsid w:val="00070C44"/>
    <w:rsid w:val="00072AB5"/>
    <w:rsid w:val="00076AD9"/>
    <w:rsid w:val="00082168"/>
    <w:rsid w:val="00083677"/>
    <w:rsid w:val="000848D0"/>
    <w:rsid w:val="000856EF"/>
    <w:rsid w:val="00093FCE"/>
    <w:rsid w:val="000A03C9"/>
    <w:rsid w:val="000A3E3F"/>
    <w:rsid w:val="000B2C2C"/>
    <w:rsid w:val="000B65DC"/>
    <w:rsid w:val="000C0E9C"/>
    <w:rsid w:val="000C2DEC"/>
    <w:rsid w:val="000C3303"/>
    <w:rsid w:val="000C451B"/>
    <w:rsid w:val="000C49DB"/>
    <w:rsid w:val="000C5364"/>
    <w:rsid w:val="000D22A6"/>
    <w:rsid w:val="000D470D"/>
    <w:rsid w:val="000E6885"/>
    <w:rsid w:val="000F1EC6"/>
    <w:rsid w:val="000F42DA"/>
    <w:rsid w:val="000F748C"/>
    <w:rsid w:val="000F7F58"/>
    <w:rsid w:val="00102522"/>
    <w:rsid w:val="00105767"/>
    <w:rsid w:val="00112512"/>
    <w:rsid w:val="00115210"/>
    <w:rsid w:val="00117FC4"/>
    <w:rsid w:val="00120090"/>
    <w:rsid w:val="001252B4"/>
    <w:rsid w:val="00126F86"/>
    <w:rsid w:val="00127257"/>
    <w:rsid w:val="00127E0F"/>
    <w:rsid w:val="00132145"/>
    <w:rsid w:val="00133210"/>
    <w:rsid w:val="00137E7F"/>
    <w:rsid w:val="00140E8C"/>
    <w:rsid w:val="00142291"/>
    <w:rsid w:val="001459D0"/>
    <w:rsid w:val="00147565"/>
    <w:rsid w:val="001479F3"/>
    <w:rsid w:val="0015012B"/>
    <w:rsid w:val="001539AA"/>
    <w:rsid w:val="00160B82"/>
    <w:rsid w:val="00164D68"/>
    <w:rsid w:val="00165569"/>
    <w:rsid w:val="00166229"/>
    <w:rsid w:val="001778F8"/>
    <w:rsid w:val="00180C33"/>
    <w:rsid w:val="001840CF"/>
    <w:rsid w:val="0019344A"/>
    <w:rsid w:val="0019393E"/>
    <w:rsid w:val="00195FD7"/>
    <w:rsid w:val="001A10E8"/>
    <w:rsid w:val="001A260C"/>
    <w:rsid w:val="001A3358"/>
    <w:rsid w:val="001A6965"/>
    <w:rsid w:val="001A7296"/>
    <w:rsid w:val="001A7BF4"/>
    <w:rsid w:val="001B0048"/>
    <w:rsid w:val="001B1282"/>
    <w:rsid w:val="001B4ED4"/>
    <w:rsid w:val="001B6353"/>
    <w:rsid w:val="001C0D4F"/>
    <w:rsid w:val="001C2205"/>
    <w:rsid w:val="001C445D"/>
    <w:rsid w:val="001D0FD7"/>
    <w:rsid w:val="001E0599"/>
    <w:rsid w:val="001E0A8B"/>
    <w:rsid w:val="001E0E6D"/>
    <w:rsid w:val="001E724E"/>
    <w:rsid w:val="001F0825"/>
    <w:rsid w:val="001F0B67"/>
    <w:rsid w:val="001F2147"/>
    <w:rsid w:val="001F25FD"/>
    <w:rsid w:val="001F67B9"/>
    <w:rsid w:val="00202880"/>
    <w:rsid w:val="0021341C"/>
    <w:rsid w:val="002151CD"/>
    <w:rsid w:val="002245AA"/>
    <w:rsid w:val="002354F5"/>
    <w:rsid w:val="00243091"/>
    <w:rsid w:val="00243DD0"/>
    <w:rsid w:val="0024420D"/>
    <w:rsid w:val="002454C5"/>
    <w:rsid w:val="00246DDE"/>
    <w:rsid w:val="00251D09"/>
    <w:rsid w:val="002562A2"/>
    <w:rsid w:val="00256D3E"/>
    <w:rsid w:val="00260D1B"/>
    <w:rsid w:val="00261845"/>
    <w:rsid w:val="00264946"/>
    <w:rsid w:val="002667D7"/>
    <w:rsid w:val="002706D7"/>
    <w:rsid w:val="00273B0D"/>
    <w:rsid w:val="00281D46"/>
    <w:rsid w:val="00292692"/>
    <w:rsid w:val="002933E1"/>
    <w:rsid w:val="002942C9"/>
    <w:rsid w:val="002A3052"/>
    <w:rsid w:val="002A541A"/>
    <w:rsid w:val="002B1982"/>
    <w:rsid w:val="002B1E91"/>
    <w:rsid w:val="002B201C"/>
    <w:rsid w:val="002B2FCE"/>
    <w:rsid w:val="002B3B2A"/>
    <w:rsid w:val="002B5141"/>
    <w:rsid w:val="002C2917"/>
    <w:rsid w:val="002D125D"/>
    <w:rsid w:val="002D18DA"/>
    <w:rsid w:val="002D4F9E"/>
    <w:rsid w:val="002E3EE4"/>
    <w:rsid w:val="002E69D1"/>
    <w:rsid w:val="002F3C60"/>
    <w:rsid w:val="002F41FB"/>
    <w:rsid w:val="002F5A79"/>
    <w:rsid w:val="002F5CA0"/>
    <w:rsid w:val="002F6C1C"/>
    <w:rsid w:val="002F7D43"/>
    <w:rsid w:val="003019D9"/>
    <w:rsid w:val="003049E1"/>
    <w:rsid w:val="003049E4"/>
    <w:rsid w:val="00304A2B"/>
    <w:rsid w:val="003057C4"/>
    <w:rsid w:val="0030701D"/>
    <w:rsid w:val="00307796"/>
    <w:rsid w:val="00310388"/>
    <w:rsid w:val="00312043"/>
    <w:rsid w:val="00314214"/>
    <w:rsid w:val="00316269"/>
    <w:rsid w:val="00316F38"/>
    <w:rsid w:val="00321E65"/>
    <w:rsid w:val="00323E5C"/>
    <w:rsid w:val="00325353"/>
    <w:rsid w:val="003270D8"/>
    <w:rsid w:val="00327B35"/>
    <w:rsid w:val="003315E8"/>
    <w:rsid w:val="00335EA6"/>
    <w:rsid w:val="00337378"/>
    <w:rsid w:val="003426CD"/>
    <w:rsid w:val="00344148"/>
    <w:rsid w:val="003447CF"/>
    <w:rsid w:val="00344844"/>
    <w:rsid w:val="00344AFB"/>
    <w:rsid w:val="003546D6"/>
    <w:rsid w:val="00355E63"/>
    <w:rsid w:val="00356562"/>
    <w:rsid w:val="00357041"/>
    <w:rsid w:val="003573FE"/>
    <w:rsid w:val="00361D92"/>
    <w:rsid w:val="00362203"/>
    <w:rsid w:val="00367846"/>
    <w:rsid w:val="003707BA"/>
    <w:rsid w:val="003718D2"/>
    <w:rsid w:val="00373497"/>
    <w:rsid w:val="003765D9"/>
    <w:rsid w:val="0039324F"/>
    <w:rsid w:val="0039596D"/>
    <w:rsid w:val="003A0C8F"/>
    <w:rsid w:val="003A33C3"/>
    <w:rsid w:val="003A6205"/>
    <w:rsid w:val="003A7C39"/>
    <w:rsid w:val="003B3412"/>
    <w:rsid w:val="003C6FE4"/>
    <w:rsid w:val="003D1293"/>
    <w:rsid w:val="003D16A2"/>
    <w:rsid w:val="003D36D3"/>
    <w:rsid w:val="003D76B5"/>
    <w:rsid w:val="003E0836"/>
    <w:rsid w:val="003E180D"/>
    <w:rsid w:val="003E23E0"/>
    <w:rsid w:val="003E45CA"/>
    <w:rsid w:val="003E705E"/>
    <w:rsid w:val="003E73E2"/>
    <w:rsid w:val="003F0D40"/>
    <w:rsid w:val="003F2531"/>
    <w:rsid w:val="003F25E8"/>
    <w:rsid w:val="003F2F05"/>
    <w:rsid w:val="003F47A1"/>
    <w:rsid w:val="00400E05"/>
    <w:rsid w:val="004011B0"/>
    <w:rsid w:val="00401CE7"/>
    <w:rsid w:val="00406ABB"/>
    <w:rsid w:val="0040764F"/>
    <w:rsid w:val="004101F5"/>
    <w:rsid w:val="00413A09"/>
    <w:rsid w:val="00415B8E"/>
    <w:rsid w:val="00415DB7"/>
    <w:rsid w:val="0042130B"/>
    <w:rsid w:val="0043090A"/>
    <w:rsid w:val="004309F3"/>
    <w:rsid w:val="00430E01"/>
    <w:rsid w:val="00432906"/>
    <w:rsid w:val="004330B9"/>
    <w:rsid w:val="00434707"/>
    <w:rsid w:val="00435855"/>
    <w:rsid w:val="00440769"/>
    <w:rsid w:val="00440A4A"/>
    <w:rsid w:val="00441CD1"/>
    <w:rsid w:val="00443470"/>
    <w:rsid w:val="00444401"/>
    <w:rsid w:val="00446797"/>
    <w:rsid w:val="00447A16"/>
    <w:rsid w:val="00452FCB"/>
    <w:rsid w:val="00453138"/>
    <w:rsid w:val="00453E54"/>
    <w:rsid w:val="00454B5F"/>
    <w:rsid w:val="00454BFB"/>
    <w:rsid w:val="00456B80"/>
    <w:rsid w:val="00481565"/>
    <w:rsid w:val="00484F37"/>
    <w:rsid w:val="0048624B"/>
    <w:rsid w:val="00490231"/>
    <w:rsid w:val="00497630"/>
    <w:rsid w:val="00497966"/>
    <w:rsid w:val="004A1165"/>
    <w:rsid w:val="004A4036"/>
    <w:rsid w:val="004A5415"/>
    <w:rsid w:val="004A600B"/>
    <w:rsid w:val="004A6275"/>
    <w:rsid w:val="004A627F"/>
    <w:rsid w:val="004B0268"/>
    <w:rsid w:val="004B0EE9"/>
    <w:rsid w:val="004B7D21"/>
    <w:rsid w:val="004C49E0"/>
    <w:rsid w:val="004C4E17"/>
    <w:rsid w:val="004C50F3"/>
    <w:rsid w:val="004C740C"/>
    <w:rsid w:val="004C7657"/>
    <w:rsid w:val="004D032D"/>
    <w:rsid w:val="004D23A3"/>
    <w:rsid w:val="004D25DE"/>
    <w:rsid w:val="004D3B38"/>
    <w:rsid w:val="004D7382"/>
    <w:rsid w:val="004F077F"/>
    <w:rsid w:val="004F455D"/>
    <w:rsid w:val="004F5888"/>
    <w:rsid w:val="004F7B7C"/>
    <w:rsid w:val="005044D9"/>
    <w:rsid w:val="00504ECB"/>
    <w:rsid w:val="005071B2"/>
    <w:rsid w:val="005165D5"/>
    <w:rsid w:val="00523676"/>
    <w:rsid w:val="0052495F"/>
    <w:rsid w:val="00525E9B"/>
    <w:rsid w:val="00527EF5"/>
    <w:rsid w:val="00531EF6"/>
    <w:rsid w:val="00532E39"/>
    <w:rsid w:val="00534434"/>
    <w:rsid w:val="005354A8"/>
    <w:rsid w:val="005361F2"/>
    <w:rsid w:val="00536D73"/>
    <w:rsid w:val="00540EE0"/>
    <w:rsid w:val="005410A5"/>
    <w:rsid w:val="005471BF"/>
    <w:rsid w:val="00553AA7"/>
    <w:rsid w:val="005561A1"/>
    <w:rsid w:val="0055631E"/>
    <w:rsid w:val="00565C53"/>
    <w:rsid w:val="00567641"/>
    <w:rsid w:val="005768FB"/>
    <w:rsid w:val="00577349"/>
    <w:rsid w:val="00577454"/>
    <w:rsid w:val="005820F7"/>
    <w:rsid w:val="005829F9"/>
    <w:rsid w:val="00584EC5"/>
    <w:rsid w:val="00590524"/>
    <w:rsid w:val="00590E7C"/>
    <w:rsid w:val="005916F2"/>
    <w:rsid w:val="00594687"/>
    <w:rsid w:val="005951B7"/>
    <w:rsid w:val="005A07FE"/>
    <w:rsid w:val="005A4351"/>
    <w:rsid w:val="005A7643"/>
    <w:rsid w:val="005B1B5B"/>
    <w:rsid w:val="005B244B"/>
    <w:rsid w:val="005B40AA"/>
    <w:rsid w:val="005B5FDB"/>
    <w:rsid w:val="005B7443"/>
    <w:rsid w:val="005B78A8"/>
    <w:rsid w:val="005C03D5"/>
    <w:rsid w:val="005C3603"/>
    <w:rsid w:val="005C3D6E"/>
    <w:rsid w:val="005C7079"/>
    <w:rsid w:val="005D0A19"/>
    <w:rsid w:val="005D32EA"/>
    <w:rsid w:val="005D33FE"/>
    <w:rsid w:val="005E1D57"/>
    <w:rsid w:val="005E2BE9"/>
    <w:rsid w:val="005E56AB"/>
    <w:rsid w:val="005F6E8B"/>
    <w:rsid w:val="0060049D"/>
    <w:rsid w:val="0060067E"/>
    <w:rsid w:val="00601044"/>
    <w:rsid w:val="00601DF9"/>
    <w:rsid w:val="00602525"/>
    <w:rsid w:val="006051B1"/>
    <w:rsid w:val="00607341"/>
    <w:rsid w:val="0060782E"/>
    <w:rsid w:val="00610174"/>
    <w:rsid w:val="0061110C"/>
    <w:rsid w:val="006124E2"/>
    <w:rsid w:val="00620705"/>
    <w:rsid w:val="006219B0"/>
    <w:rsid w:val="00624FC4"/>
    <w:rsid w:val="00625989"/>
    <w:rsid w:val="00626E71"/>
    <w:rsid w:val="00634F4E"/>
    <w:rsid w:val="00637B4B"/>
    <w:rsid w:val="00637D62"/>
    <w:rsid w:val="006430D7"/>
    <w:rsid w:val="0064668F"/>
    <w:rsid w:val="00647B9D"/>
    <w:rsid w:val="00651DB9"/>
    <w:rsid w:val="00656245"/>
    <w:rsid w:val="00656285"/>
    <w:rsid w:val="0066567B"/>
    <w:rsid w:val="00670AFA"/>
    <w:rsid w:val="00674362"/>
    <w:rsid w:val="0068045F"/>
    <w:rsid w:val="006821AF"/>
    <w:rsid w:val="00687B50"/>
    <w:rsid w:val="00694439"/>
    <w:rsid w:val="006955DA"/>
    <w:rsid w:val="006A464C"/>
    <w:rsid w:val="006B0A2B"/>
    <w:rsid w:val="006B31E5"/>
    <w:rsid w:val="006B7E93"/>
    <w:rsid w:val="006C58AE"/>
    <w:rsid w:val="006C67A6"/>
    <w:rsid w:val="006D05DA"/>
    <w:rsid w:val="006D31F4"/>
    <w:rsid w:val="006D3659"/>
    <w:rsid w:val="006D3A39"/>
    <w:rsid w:val="006E1577"/>
    <w:rsid w:val="006E6256"/>
    <w:rsid w:val="006E647C"/>
    <w:rsid w:val="006F3B26"/>
    <w:rsid w:val="00705809"/>
    <w:rsid w:val="00711DA3"/>
    <w:rsid w:val="007138DC"/>
    <w:rsid w:val="00723B51"/>
    <w:rsid w:val="007247A7"/>
    <w:rsid w:val="00725457"/>
    <w:rsid w:val="00726E98"/>
    <w:rsid w:val="00731200"/>
    <w:rsid w:val="00732A2B"/>
    <w:rsid w:val="00732B39"/>
    <w:rsid w:val="0073318E"/>
    <w:rsid w:val="00733FEB"/>
    <w:rsid w:val="00734E61"/>
    <w:rsid w:val="0073515B"/>
    <w:rsid w:val="00736E6F"/>
    <w:rsid w:val="0074265E"/>
    <w:rsid w:val="007428B5"/>
    <w:rsid w:val="00746A27"/>
    <w:rsid w:val="00747578"/>
    <w:rsid w:val="00753B80"/>
    <w:rsid w:val="00753F44"/>
    <w:rsid w:val="00754EFC"/>
    <w:rsid w:val="0075589F"/>
    <w:rsid w:val="0075691A"/>
    <w:rsid w:val="00757001"/>
    <w:rsid w:val="00757292"/>
    <w:rsid w:val="00764B80"/>
    <w:rsid w:val="007659B0"/>
    <w:rsid w:val="007702A3"/>
    <w:rsid w:val="007737CF"/>
    <w:rsid w:val="007743FC"/>
    <w:rsid w:val="00777A48"/>
    <w:rsid w:val="00780670"/>
    <w:rsid w:val="0078132F"/>
    <w:rsid w:val="00783F38"/>
    <w:rsid w:val="00796209"/>
    <w:rsid w:val="007A2130"/>
    <w:rsid w:val="007A3946"/>
    <w:rsid w:val="007A5EC0"/>
    <w:rsid w:val="007B1F0C"/>
    <w:rsid w:val="007B2A9E"/>
    <w:rsid w:val="007B43EB"/>
    <w:rsid w:val="007B487C"/>
    <w:rsid w:val="007B50C7"/>
    <w:rsid w:val="007C0057"/>
    <w:rsid w:val="007C1D0E"/>
    <w:rsid w:val="007C49D3"/>
    <w:rsid w:val="007C5847"/>
    <w:rsid w:val="007C6C88"/>
    <w:rsid w:val="007C6F74"/>
    <w:rsid w:val="007C7F76"/>
    <w:rsid w:val="007D0260"/>
    <w:rsid w:val="007D0EDF"/>
    <w:rsid w:val="007D1A4B"/>
    <w:rsid w:val="007D40D0"/>
    <w:rsid w:val="007D6020"/>
    <w:rsid w:val="007D7513"/>
    <w:rsid w:val="007D7D1B"/>
    <w:rsid w:val="007E169A"/>
    <w:rsid w:val="007E2679"/>
    <w:rsid w:val="007E6F51"/>
    <w:rsid w:val="007E7066"/>
    <w:rsid w:val="007F271D"/>
    <w:rsid w:val="007F4D64"/>
    <w:rsid w:val="00800567"/>
    <w:rsid w:val="0080739D"/>
    <w:rsid w:val="00811FA2"/>
    <w:rsid w:val="008125F0"/>
    <w:rsid w:val="00813CCD"/>
    <w:rsid w:val="0081411B"/>
    <w:rsid w:val="008155F0"/>
    <w:rsid w:val="0081738E"/>
    <w:rsid w:val="00820CE5"/>
    <w:rsid w:val="00822811"/>
    <w:rsid w:val="00826FD4"/>
    <w:rsid w:val="00830087"/>
    <w:rsid w:val="008312A0"/>
    <w:rsid w:val="00834179"/>
    <w:rsid w:val="00836070"/>
    <w:rsid w:val="008365FE"/>
    <w:rsid w:val="00837533"/>
    <w:rsid w:val="00840070"/>
    <w:rsid w:val="00840739"/>
    <w:rsid w:val="00840CE1"/>
    <w:rsid w:val="00842BCC"/>
    <w:rsid w:val="00844BC8"/>
    <w:rsid w:val="0084502A"/>
    <w:rsid w:val="0084536D"/>
    <w:rsid w:val="00845804"/>
    <w:rsid w:val="0084654C"/>
    <w:rsid w:val="008514B2"/>
    <w:rsid w:val="0085214E"/>
    <w:rsid w:val="008542F8"/>
    <w:rsid w:val="0085524B"/>
    <w:rsid w:val="00870013"/>
    <w:rsid w:val="00871AF3"/>
    <w:rsid w:val="00885FD8"/>
    <w:rsid w:val="008865DD"/>
    <w:rsid w:val="00890DB6"/>
    <w:rsid w:val="008911AF"/>
    <w:rsid w:val="008918B7"/>
    <w:rsid w:val="00892CAD"/>
    <w:rsid w:val="008953E1"/>
    <w:rsid w:val="0089700B"/>
    <w:rsid w:val="008A0BE8"/>
    <w:rsid w:val="008A3887"/>
    <w:rsid w:val="008A4073"/>
    <w:rsid w:val="008A4B03"/>
    <w:rsid w:val="008B0ADB"/>
    <w:rsid w:val="008B1BFA"/>
    <w:rsid w:val="008B5339"/>
    <w:rsid w:val="008C5792"/>
    <w:rsid w:val="008C5B09"/>
    <w:rsid w:val="008C6481"/>
    <w:rsid w:val="008D0820"/>
    <w:rsid w:val="008D1319"/>
    <w:rsid w:val="008D19BC"/>
    <w:rsid w:val="008D1DFC"/>
    <w:rsid w:val="008D4103"/>
    <w:rsid w:val="008E4F0D"/>
    <w:rsid w:val="008E7075"/>
    <w:rsid w:val="008E78BF"/>
    <w:rsid w:val="008F129D"/>
    <w:rsid w:val="008F2EBA"/>
    <w:rsid w:val="008F3303"/>
    <w:rsid w:val="008F5D5E"/>
    <w:rsid w:val="00901BC5"/>
    <w:rsid w:val="009023CF"/>
    <w:rsid w:val="009149B5"/>
    <w:rsid w:val="00916CFF"/>
    <w:rsid w:val="00921D2B"/>
    <w:rsid w:val="00923550"/>
    <w:rsid w:val="00926180"/>
    <w:rsid w:val="00926F58"/>
    <w:rsid w:val="009323A0"/>
    <w:rsid w:val="009329E9"/>
    <w:rsid w:val="00935013"/>
    <w:rsid w:val="00935058"/>
    <w:rsid w:val="0094061A"/>
    <w:rsid w:val="00940EAB"/>
    <w:rsid w:val="0094546B"/>
    <w:rsid w:val="00950601"/>
    <w:rsid w:val="00950AB6"/>
    <w:rsid w:val="00952C8E"/>
    <w:rsid w:val="0095460F"/>
    <w:rsid w:val="0095519F"/>
    <w:rsid w:val="009560B3"/>
    <w:rsid w:val="00962464"/>
    <w:rsid w:val="0096626C"/>
    <w:rsid w:val="00967D93"/>
    <w:rsid w:val="00971A70"/>
    <w:rsid w:val="00973687"/>
    <w:rsid w:val="00984E01"/>
    <w:rsid w:val="00985A01"/>
    <w:rsid w:val="00986391"/>
    <w:rsid w:val="00994F54"/>
    <w:rsid w:val="0099675A"/>
    <w:rsid w:val="009A32BF"/>
    <w:rsid w:val="009A5508"/>
    <w:rsid w:val="009B0A64"/>
    <w:rsid w:val="009B6BEF"/>
    <w:rsid w:val="009B7E1E"/>
    <w:rsid w:val="009C027F"/>
    <w:rsid w:val="009C34F4"/>
    <w:rsid w:val="009C5E12"/>
    <w:rsid w:val="009C6F70"/>
    <w:rsid w:val="009D0EDD"/>
    <w:rsid w:val="009D30BB"/>
    <w:rsid w:val="009D4C1A"/>
    <w:rsid w:val="009D5CA3"/>
    <w:rsid w:val="009E6600"/>
    <w:rsid w:val="009F0948"/>
    <w:rsid w:val="009F1918"/>
    <w:rsid w:val="009F3C10"/>
    <w:rsid w:val="009F6D7A"/>
    <w:rsid w:val="00A02A02"/>
    <w:rsid w:val="00A05FF7"/>
    <w:rsid w:val="00A07BFA"/>
    <w:rsid w:val="00A07CA7"/>
    <w:rsid w:val="00A124D2"/>
    <w:rsid w:val="00A17319"/>
    <w:rsid w:val="00A2147D"/>
    <w:rsid w:val="00A2283A"/>
    <w:rsid w:val="00A24961"/>
    <w:rsid w:val="00A26939"/>
    <w:rsid w:val="00A30546"/>
    <w:rsid w:val="00A30664"/>
    <w:rsid w:val="00A355BC"/>
    <w:rsid w:val="00A37BE0"/>
    <w:rsid w:val="00A42B07"/>
    <w:rsid w:val="00A45717"/>
    <w:rsid w:val="00A46DA3"/>
    <w:rsid w:val="00A51810"/>
    <w:rsid w:val="00A5476B"/>
    <w:rsid w:val="00A57300"/>
    <w:rsid w:val="00A61BAA"/>
    <w:rsid w:val="00A671CC"/>
    <w:rsid w:val="00A70A19"/>
    <w:rsid w:val="00A72A6E"/>
    <w:rsid w:val="00A73387"/>
    <w:rsid w:val="00A74EAE"/>
    <w:rsid w:val="00A8025A"/>
    <w:rsid w:val="00A81635"/>
    <w:rsid w:val="00A81C02"/>
    <w:rsid w:val="00A82F9A"/>
    <w:rsid w:val="00A84629"/>
    <w:rsid w:val="00A85C57"/>
    <w:rsid w:val="00A86A01"/>
    <w:rsid w:val="00A91B29"/>
    <w:rsid w:val="00AA1142"/>
    <w:rsid w:val="00AA1E78"/>
    <w:rsid w:val="00AA7605"/>
    <w:rsid w:val="00AB1074"/>
    <w:rsid w:val="00AB11B9"/>
    <w:rsid w:val="00AB1E60"/>
    <w:rsid w:val="00AB56DC"/>
    <w:rsid w:val="00AB757D"/>
    <w:rsid w:val="00AC02FB"/>
    <w:rsid w:val="00AC174A"/>
    <w:rsid w:val="00AC2267"/>
    <w:rsid w:val="00AC488F"/>
    <w:rsid w:val="00AC4AF2"/>
    <w:rsid w:val="00AC67A3"/>
    <w:rsid w:val="00AD052F"/>
    <w:rsid w:val="00AD17A3"/>
    <w:rsid w:val="00AD1FD4"/>
    <w:rsid w:val="00AD23A3"/>
    <w:rsid w:val="00AD3B90"/>
    <w:rsid w:val="00AE2BDE"/>
    <w:rsid w:val="00AE4AB4"/>
    <w:rsid w:val="00AE5739"/>
    <w:rsid w:val="00AF5C52"/>
    <w:rsid w:val="00B032C6"/>
    <w:rsid w:val="00B03A47"/>
    <w:rsid w:val="00B10E83"/>
    <w:rsid w:val="00B13CC3"/>
    <w:rsid w:val="00B14C26"/>
    <w:rsid w:val="00B178D1"/>
    <w:rsid w:val="00B25DD5"/>
    <w:rsid w:val="00B2751B"/>
    <w:rsid w:val="00B3202D"/>
    <w:rsid w:val="00B33559"/>
    <w:rsid w:val="00B44FEC"/>
    <w:rsid w:val="00B536CA"/>
    <w:rsid w:val="00B562CD"/>
    <w:rsid w:val="00B6413E"/>
    <w:rsid w:val="00B76AAE"/>
    <w:rsid w:val="00B805F0"/>
    <w:rsid w:val="00B808D5"/>
    <w:rsid w:val="00B80F16"/>
    <w:rsid w:val="00B843E1"/>
    <w:rsid w:val="00B92BDD"/>
    <w:rsid w:val="00BA0650"/>
    <w:rsid w:val="00BA6C6F"/>
    <w:rsid w:val="00BB6907"/>
    <w:rsid w:val="00BD4FE9"/>
    <w:rsid w:val="00BD4FFB"/>
    <w:rsid w:val="00BD6094"/>
    <w:rsid w:val="00BE24E4"/>
    <w:rsid w:val="00BE30F0"/>
    <w:rsid w:val="00BE3D27"/>
    <w:rsid w:val="00BE4C1C"/>
    <w:rsid w:val="00BE4D47"/>
    <w:rsid w:val="00BE59C9"/>
    <w:rsid w:val="00BE78B4"/>
    <w:rsid w:val="00BE7B5D"/>
    <w:rsid w:val="00BF0920"/>
    <w:rsid w:val="00BF1357"/>
    <w:rsid w:val="00BF1B24"/>
    <w:rsid w:val="00BF2E2A"/>
    <w:rsid w:val="00BF3D5B"/>
    <w:rsid w:val="00BF66F3"/>
    <w:rsid w:val="00C007C7"/>
    <w:rsid w:val="00C03B92"/>
    <w:rsid w:val="00C07968"/>
    <w:rsid w:val="00C117B8"/>
    <w:rsid w:val="00C15F47"/>
    <w:rsid w:val="00C21F71"/>
    <w:rsid w:val="00C26341"/>
    <w:rsid w:val="00C2737F"/>
    <w:rsid w:val="00C27CCF"/>
    <w:rsid w:val="00C318EF"/>
    <w:rsid w:val="00C31D23"/>
    <w:rsid w:val="00C45FE3"/>
    <w:rsid w:val="00C52B61"/>
    <w:rsid w:val="00C54782"/>
    <w:rsid w:val="00C55030"/>
    <w:rsid w:val="00C56ADE"/>
    <w:rsid w:val="00C57DFE"/>
    <w:rsid w:val="00C6037C"/>
    <w:rsid w:val="00C619C1"/>
    <w:rsid w:val="00C62298"/>
    <w:rsid w:val="00C65B1B"/>
    <w:rsid w:val="00C65E01"/>
    <w:rsid w:val="00C66410"/>
    <w:rsid w:val="00C671E5"/>
    <w:rsid w:val="00C74112"/>
    <w:rsid w:val="00C7731F"/>
    <w:rsid w:val="00C77B57"/>
    <w:rsid w:val="00C81D8A"/>
    <w:rsid w:val="00C843B7"/>
    <w:rsid w:val="00C844EA"/>
    <w:rsid w:val="00C84C37"/>
    <w:rsid w:val="00C85677"/>
    <w:rsid w:val="00C9097E"/>
    <w:rsid w:val="00C90CE3"/>
    <w:rsid w:val="00C9117D"/>
    <w:rsid w:val="00C96170"/>
    <w:rsid w:val="00C96A8F"/>
    <w:rsid w:val="00CA0782"/>
    <w:rsid w:val="00CA0AE7"/>
    <w:rsid w:val="00CA1EF0"/>
    <w:rsid w:val="00CA75FF"/>
    <w:rsid w:val="00CB0A1F"/>
    <w:rsid w:val="00CB37A5"/>
    <w:rsid w:val="00CB46CF"/>
    <w:rsid w:val="00CC3FE7"/>
    <w:rsid w:val="00CC525D"/>
    <w:rsid w:val="00CD03B2"/>
    <w:rsid w:val="00CD1EA4"/>
    <w:rsid w:val="00CD2BC8"/>
    <w:rsid w:val="00CD5FF3"/>
    <w:rsid w:val="00CE467D"/>
    <w:rsid w:val="00CE4941"/>
    <w:rsid w:val="00CE7371"/>
    <w:rsid w:val="00D03302"/>
    <w:rsid w:val="00D03D4B"/>
    <w:rsid w:val="00D0411C"/>
    <w:rsid w:val="00D07A50"/>
    <w:rsid w:val="00D13C6A"/>
    <w:rsid w:val="00D1702A"/>
    <w:rsid w:val="00D210A3"/>
    <w:rsid w:val="00D229C1"/>
    <w:rsid w:val="00D24C5E"/>
    <w:rsid w:val="00D24E6D"/>
    <w:rsid w:val="00D25E58"/>
    <w:rsid w:val="00D31017"/>
    <w:rsid w:val="00D5041C"/>
    <w:rsid w:val="00D54B8B"/>
    <w:rsid w:val="00D6037E"/>
    <w:rsid w:val="00D660FA"/>
    <w:rsid w:val="00D708CC"/>
    <w:rsid w:val="00D73752"/>
    <w:rsid w:val="00D76673"/>
    <w:rsid w:val="00D830BC"/>
    <w:rsid w:val="00D86963"/>
    <w:rsid w:val="00D90349"/>
    <w:rsid w:val="00D91A61"/>
    <w:rsid w:val="00D91B2E"/>
    <w:rsid w:val="00D94D18"/>
    <w:rsid w:val="00D96F93"/>
    <w:rsid w:val="00DA0BED"/>
    <w:rsid w:val="00DA4354"/>
    <w:rsid w:val="00DA5014"/>
    <w:rsid w:val="00DA7480"/>
    <w:rsid w:val="00DA74D9"/>
    <w:rsid w:val="00DA7FFB"/>
    <w:rsid w:val="00DB1C2C"/>
    <w:rsid w:val="00DC1E60"/>
    <w:rsid w:val="00DC3B6F"/>
    <w:rsid w:val="00DC570A"/>
    <w:rsid w:val="00DC74BD"/>
    <w:rsid w:val="00DD02FA"/>
    <w:rsid w:val="00DD2148"/>
    <w:rsid w:val="00DD3EF2"/>
    <w:rsid w:val="00DD49CD"/>
    <w:rsid w:val="00DD5C4F"/>
    <w:rsid w:val="00DD6ACB"/>
    <w:rsid w:val="00DE71F8"/>
    <w:rsid w:val="00DF0BA7"/>
    <w:rsid w:val="00DF46C1"/>
    <w:rsid w:val="00DF4F15"/>
    <w:rsid w:val="00E00974"/>
    <w:rsid w:val="00E04D78"/>
    <w:rsid w:val="00E0608D"/>
    <w:rsid w:val="00E06FD4"/>
    <w:rsid w:val="00E07A90"/>
    <w:rsid w:val="00E102A6"/>
    <w:rsid w:val="00E124C3"/>
    <w:rsid w:val="00E12FBE"/>
    <w:rsid w:val="00E13801"/>
    <w:rsid w:val="00E13CE4"/>
    <w:rsid w:val="00E140D7"/>
    <w:rsid w:val="00E14F5B"/>
    <w:rsid w:val="00E177B5"/>
    <w:rsid w:val="00E300DB"/>
    <w:rsid w:val="00E322EC"/>
    <w:rsid w:val="00E339BC"/>
    <w:rsid w:val="00E41559"/>
    <w:rsid w:val="00E417B8"/>
    <w:rsid w:val="00E437DE"/>
    <w:rsid w:val="00E45045"/>
    <w:rsid w:val="00E5427D"/>
    <w:rsid w:val="00E547E7"/>
    <w:rsid w:val="00E56E6A"/>
    <w:rsid w:val="00E63C3B"/>
    <w:rsid w:val="00E64868"/>
    <w:rsid w:val="00E66F72"/>
    <w:rsid w:val="00E67353"/>
    <w:rsid w:val="00E74417"/>
    <w:rsid w:val="00E76B85"/>
    <w:rsid w:val="00E775B3"/>
    <w:rsid w:val="00E80D40"/>
    <w:rsid w:val="00E84C40"/>
    <w:rsid w:val="00E90728"/>
    <w:rsid w:val="00E90CE2"/>
    <w:rsid w:val="00E91E45"/>
    <w:rsid w:val="00E94144"/>
    <w:rsid w:val="00E96785"/>
    <w:rsid w:val="00E97A5D"/>
    <w:rsid w:val="00EA0AD6"/>
    <w:rsid w:val="00EA0F80"/>
    <w:rsid w:val="00EA19D8"/>
    <w:rsid w:val="00EA3C4A"/>
    <w:rsid w:val="00EA6541"/>
    <w:rsid w:val="00EB05AB"/>
    <w:rsid w:val="00EB06F9"/>
    <w:rsid w:val="00EB2044"/>
    <w:rsid w:val="00EB349E"/>
    <w:rsid w:val="00EB5BBC"/>
    <w:rsid w:val="00EC4454"/>
    <w:rsid w:val="00ED0674"/>
    <w:rsid w:val="00EE0197"/>
    <w:rsid w:val="00EE5FF2"/>
    <w:rsid w:val="00EE6004"/>
    <w:rsid w:val="00EE67EB"/>
    <w:rsid w:val="00EE7953"/>
    <w:rsid w:val="00EF193B"/>
    <w:rsid w:val="00EF1AEC"/>
    <w:rsid w:val="00EF344C"/>
    <w:rsid w:val="00EF4692"/>
    <w:rsid w:val="00EF4D6F"/>
    <w:rsid w:val="00EF7324"/>
    <w:rsid w:val="00F002DA"/>
    <w:rsid w:val="00F025F7"/>
    <w:rsid w:val="00F0344B"/>
    <w:rsid w:val="00F036A7"/>
    <w:rsid w:val="00F0589E"/>
    <w:rsid w:val="00F06490"/>
    <w:rsid w:val="00F1501D"/>
    <w:rsid w:val="00F200CF"/>
    <w:rsid w:val="00F22A30"/>
    <w:rsid w:val="00F25DFD"/>
    <w:rsid w:val="00F323CD"/>
    <w:rsid w:val="00F33E83"/>
    <w:rsid w:val="00F35949"/>
    <w:rsid w:val="00F42F64"/>
    <w:rsid w:val="00F50293"/>
    <w:rsid w:val="00F56A9A"/>
    <w:rsid w:val="00F56EF4"/>
    <w:rsid w:val="00F57D56"/>
    <w:rsid w:val="00F616FB"/>
    <w:rsid w:val="00F62667"/>
    <w:rsid w:val="00F632AB"/>
    <w:rsid w:val="00F63C8F"/>
    <w:rsid w:val="00F64F36"/>
    <w:rsid w:val="00F73A1E"/>
    <w:rsid w:val="00F779BE"/>
    <w:rsid w:val="00F816CF"/>
    <w:rsid w:val="00F83197"/>
    <w:rsid w:val="00F85BE8"/>
    <w:rsid w:val="00F87DEA"/>
    <w:rsid w:val="00F90DE6"/>
    <w:rsid w:val="00F90E95"/>
    <w:rsid w:val="00F91981"/>
    <w:rsid w:val="00F92286"/>
    <w:rsid w:val="00F92979"/>
    <w:rsid w:val="00F92F60"/>
    <w:rsid w:val="00F951FD"/>
    <w:rsid w:val="00F971A2"/>
    <w:rsid w:val="00FA14C0"/>
    <w:rsid w:val="00FA2ACF"/>
    <w:rsid w:val="00FA476D"/>
    <w:rsid w:val="00FB01B7"/>
    <w:rsid w:val="00FB28B0"/>
    <w:rsid w:val="00FB4DDC"/>
    <w:rsid w:val="00FB5730"/>
    <w:rsid w:val="00FC0572"/>
    <w:rsid w:val="00FC0B0C"/>
    <w:rsid w:val="00FC356A"/>
    <w:rsid w:val="00FC3840"/>
    <w:rsid w:val="00FD26FD"/>
    <w:rsid w:val="00FD401E"/>
    <w:rsid w:val="00FD5BCE"/>
    <w:rsid w:val="00FD6472"/>
    <w:rsid w:val="00FD7C54"/>
    <w:rsid w:val="00FE5158"/>
    <w:rsid w:val="00FE742E"/>
    <w:rsid w:val="00FF274A"/>
    <w:rsid w:val="00FF5734"/>
    <w:rsid w:val="00FF686C"/>
    <w:rsid w:val="00FF79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5990"/>
  <w15:chartTrackingRefBased/>
  <w15:docId w15:val="{ED567CCB-EC88-8F4B-BDFC-103AE4E1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20"/>
    <w:rPr>
      <w:rFonts w:ascii="Times New Roman" w:eastAsia="Times New Roman" w:hAnsi="Times New Roman" w:cs="Times New Roman"/>
    </w:rPr>
  </w:style>
  <w:style w:type="paragraph" w:styleId="Heading1">
    <w:name w:val="heading 1"/>
    <w:basedOn w:val="Normal"/>
    <w:next w:val="Normal"/>
    <w:link w:val="Heading1Char"/>
    <w:uiPriority w:val="9"/>
    <w:qFormat/>
    <w:rsid w:val="00020B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5656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2667D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656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56562"/>
    <w:rPr>
      <w:color w:val="0000FF"/>
      <w:u w:val="single"/>
    </w:rPr>
  </w:style>
  <w:style w:type="character" w:styleId="FollowedHyperlink">
    <w:name w:val="FollowedHyperlink"/>
    <w:basedOn w:val="DefaultParagraphFont"/>
    <w:uiPriority w:val="99"/>
    <w:semiHidden/>
    <w:unhideWhenUsed/>
    <w:rsid w:val="00356562"/>
    <w:rPr>
      <w:color w:val="954F72" w:themeColor="followedHyperlink"/>
      <w:u w:val="single"/>
    </w:rPr>
  </w:style>
  <w:style w:type="paragraph" w:styleId="NormalWeb">
    <w:name w:val="Normal (Web)"/>
    <w:basedOn w:val="Normal"/>
    <w:uiPriority w:val="99"/>
    <w:unhideWhenUsed/>
    <w:qFormat/>
    <w:rsid w:val="001A7296"/>
    <w:pPr>
      <w:spacing w:before="100" w:beforeAutospacing="1" w:after="100" w:afterAutospacing="1"/>
    </w:pPr>
  </w:style>
  <w:style w:type="paragraph" w:styleId="ListParagraph">
    <w:name w:val="List Paragraph"/>
    <w:basedOn w:val="Normal"/>
    <w:qFormat/>
    <w:rsid w:val="004B0268"/>
    <w:pPr>
      <w:ind w:left="720"/>
      <w:contextualSpacing/>
    </w:pPr>
  </w:style>
  <w:style w:type="character" w:customStyle="1" w:styleId="apple-converted-space">
    <w:name w:val="apple-converted-space"/>
    <w:basedOn w:val="DefaultParagraphFont"/>
    <w:rsid w:val="002667D7"/>
  </w:style>
  <w:style w:type="character" w:customStyle="1" w:styleId="Heading3Char">
    <w:name w:val="Heading 3 Char"/>
    <w:basedOn w:val="DefaultParagraphFont"/>
    <w:link w:val="Heading3"/>
    <w:uiPriority w:val="9"/>
    <w:rsid w:val="002667D7"/>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99675A"/>
    <w:rPr>
      <w:color w:val="605E5C"/>
      <w:shd w:val="clear" w:color="auto" w:fill="E1DFDD"/>
    </w:rPr>
  </w:style>
  <w:style w:type="paragraph" w:styleId="Footer">
    <w:name w:val="footer"/>
    <w:basedOn w:val="Normal"/>
    <w:link w:val="FooterChar"/>
    <w:uiPriority w:val="99"/>
    <w:unhideWhenUsed/>
    <w:rsid w:val="00126F86"/>
    <w:pPr>
      <w:tabs>
        <w:tab w:val="center" w:pos="4513"/>
        <w:tab w:val="right" w:pos="9026"/>
      </w:tabs>
    </w:pPr>
  </w:style>
  <w:style w:type="character" w:customStyle="1" w:styleId="FooterChar">
    <w:name w:val="Footer Char"/>
    <w:basedOn w:val="DefaultParagraphFont"/>
    <w:link w:val="Footer"/>
    <w:uiPriority w:val="99"/>
    <w:rsid w:val="00126F86"/>
    <w:rPr>
      <w:rFonts w:ascii="Times New Roman" w:eastAsia="Times New Roman" w:hAnsi="Times New Roman" w:cs="Times New Roman"/>
    </w:rPr>
  </w:style>
  <w:style w:type="character" w:styleId="PageNumber">
    <w:name w:val="page number"/>
    <w:basedOn w:val="DefaultParagraphFont"/>
    <w:uiPriority w:val="99"/>
    <w:semiHidden/>
    <w:unhideWhenUsed/>
    <w:rsid w:val="00126F86"/>
  </w:style>
  <w:style w:type="character" w:customStyle="1" w:styleId="ref-journal">
    <w:name w:val="ref-journal"/>
    <w:basedOn w:val="DefaultParagraphFont"/>
    <w:rsid w:val="007E169A"/>
  </w:style>
  <w:style w:type="character" w:styleId="Emphasis">
    <w:name w:val="Emphasis"/>
    <w:basedOn w:val="DefaultParagraphFont"/>
    <w:uiPriority w:val="20"/>
    <w:qFormat/>
    <w:rsid w:val="00926180"/>
    <w:rPr>
      <w:i/>
      <w:iCs/>
    </w:rPr>
  </w:style>
  <w:style w:type="paragraph" w:customStyle="1" w:styleId="padding-3">
    <w:name w:val="padding-3"/>
    <w:basedOn w:val="Normal"/>
    <w:rsid w:val="00926180"/>
    <w:pPr>
      <w:spacing w:before="100" w:beforeAutospacing="1" w:after="100" w:afterAutospacing="1"/>
    </w:pPr>
  </w:style>
  <w:style w:type="character" w:customStyle="1" w:styleId="Heading1Char">
    <w:name w:val="Heading 1 Char"/>
    <w:basedOn w:val="DefaultParagraphFont"/>
    <w:link w:val="Heading1"/>
    <w:uiPriority w:val="9"/>
    <w:rsid w:val="00020B4E"/>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020B4E"/>
  </w:style>
  <w:style w:type="paragraph" w:customStyle="1" w:styleId="Pa12">
    <w:name w:val="Pa12"/>
    <w:basedOn w:val="Normal"/>
    <w:next w:val="Normal"/>
    <w:uiPriority w:val="99"/>
    <w:rsid w:val="006D05DA"/>
    <w:pPr>
      <w:autoSpaceDE w:val="0"/>
      <w:autoSpaceDN w:val="0"/>
      <w:adjustRightInd w:val="0"/>
      <w:spacing w:line="201" w:lineRule="atLeast"/>
    </w:pPr>
    <w:rPr>
      <w:rFonts w:ascii="Garamond" w:eastAsiaTheme="minorEastAsia" w:hAnsi="Garamond" w:cstheme="minorBidi"/>
    </w:rPr>
  </w:style>
  <w:style w:type="paragraph" w:styleId="FootnoteText">
    <w:name w:val="footnote text"/>
    <w:basedOn w:val="Normal"/>
    <w:link w:val="FootnoteTextChar"/>
    <w:uiPriority w:val="99"/>
    <w:qFormat/>
    <w:rsid w:val="0039324F"/>
    <w:pPr>
      <w:widowControl w:val="0"/>
      <w:jc w:val="both"/>
    </w:pPr>
    <w:rPr>
      <w:kern w:val="1"/>
      <w:sz w:val="20"/>
      <w:szCs w:val="20"/>
      <w:lang w:val="en-US"/>
    </w:rPr>
  </w:style>
  <w:style w:type="character" w:customStyle="1" w:styleId="FootnoteTextChar">
    <w:name w:val="Footnote Text Char"/>
    <w:basedOn w:val="DefaultParagraphFont"/>
    <w:link w:val="FootnoteText"/>
    <w:uiPriority w:val="99"/>
    <w:rsid w:val="0039324F"/>
    <w:rPr>
      <w:rFonts w:ascii="Times New Roman" w:eastAsia="Times New Roman" w:hAnsi="Times New Roman" w:cs="Times New Roman"/>
      <w:kern w:val="1"/>
      <w:sz w:val="20"/>
      <w:szCs w:val="20"/>
      <w:lang w:val="en-US"/>
    </w:rPr>
  </w:style>
  <w:style w:type="character" w:styleId="FootnoteReference">
    <w:name w:val="footnote reference"/>
    <w:basedOn w:val="DefaultParagraphFont"/>
    <w:uiPriority w:val="99"/>
    <w:rsid w:val="0039324F"/>
    <w:rPr>
      <w:vertAlign w:val="superscript"/>
    </w:rPr>
  </w:style>
  <w:style w:type="character" w:customStyle="1" w:styleId="hlfld-contribauthor">
    <w:name w:val="hlfld-contribauthor"/>
    <w:basedOn w:val="DefaultParagraphFont"/>
    <w:rsid w:val="00AC174A"/>
  </w:style>
  <w:style w:type="character" w:customStyle="1" w:styleId="nlmgiven-names">
    <w:name w:val="nlm_given-names"/>
    <w:basedOn w:val="DefaultParagraphFont"/>
    <w:rsid w:val="00AC174A"/>
  </w:style>
  <w:style w:type="character" w:customStyle="1" w:styleId="nlmyear">
    <w:name w:val="nlm_year"/>
    <w:basedOn w:val="DefaultParagraphFont"/>
    <w:rsid w:val="00AC174A"/>
  </w:style>
  <w:style w:type="character" w:customStyle="1" w:styleId="nlmarticle-title">
    <w:name w:val="nlm_article-title"/>
    <w:basedOn w:val="DefaultParagraphFont"/>
    <w:rsid w:val="00AC174A"/>
  </w:style>
  <w:style w:type="character" w:customStyle="1" w:styleId="nlmfpage">
    <w:name w:val="nlm_fpage"/>
    <w:basedOn w:val="DefaultParagraphFont"/>
    <w:rsid w:val="00AC174A"/>
  </w:style>
  <w:style w:type="character" w:customStyle="1" w:styleId="nlmlpage">
    <w:name w:val="nlm_lpage"/>
    <w:basedOn w:val="DefaultParagraphFont"/>
    <w:rsid w:val="00AC174A"/>
  </w:style>
  <w:style w:type="paragraph" w:styleId="BalloonText">
    <w:name w:val="Balloon Text"/>
    <w:basedOn w:val="Normal"/>
    <w:link w:val="BalloonTextChar"/>
    <w:uiPriority w:val="99"/>
    <w:semiHidden/>
    <w:unhideWhenUsed/>
    <w:rsid w:val="0043090A"/>
    <w:rPr>
      <w:sz w:val="18"/>
      <w:szCs w:val="18"/>
    </w:rPr>
  </w:style>
  <w:style w:type="character" w:customStyle="1" w:styleId="BalloonTextChar">
    <w:name w:val="Balloon Text Char"/>
    <w:basedOn w:val="DefaultParagraphFont"/>
    <w:link w:val="BalloonText"/>
    <w:uiPriority w:val="99"/>
    <w:semiHidden/>
    <w:rsid w:val="0043090A"/>
    <w:rPr>
      <w:rFonts w:ascii="Times New Roman" w:eastAsia="Times New Roman" w:hAnsi="Times New Roman" w:cs="Times New Roman"/>
      <w:sz w:val="18"/>
      <w:szCs w:val="18"/>
    </w:rPr>
  </w:style>
  <w:style w:type="character" w:customStyle="1" w:styleId="ref-vol">
    <w:name w:val="ref-vol"/>
    <w:basedOn w:val="DefaultParagraphFont"/>
    <w:rsid w:val="00AB1E60"/>
  </w:style>
  <w:style w:type="paragraph" w:customStyle="1" w:styleId="Pa8">
    <w:name w:val="Pa8"/>
    <w:basedOn w:val="Normal"/>
    <w:next w:val="Normal"/>
    <w:uiPriority w:val="99"/>
    <w:rsid w:val="00BF0920"/>
    <w:pPr>
      <w:autoSpaceDE w:val="0"/>
      <w:autoSpaceDN w:val="0"/>
      <w:adjustRightInd w:val="0"/>
      <w:spacing w:line="231" w:lineRule="atLeast"/>
    </w:pPr>
    <w:rPr>
      <w:rFonts w:ascii="Garamond" w:eastAsiaTheme="minorEastAsia" w:hAnsi="Garamond" w:cstheme="minorBidi"/>
    </w:rPr>
  </w:style>
  <w:style w:type="character" w:customStyle="1" w:styleId="sdzsvb">
    <w:name w:val="sdzsvb"/>
    <w:basedOn w:val="DefaultParagraphFont"/>
    <w:rsid w:val="00443470"/>
  </w:style>
  <w:style w:type="character" w:styleId="Strong">
    <w:name w:val="Strong"/>
    <w:basedOn w:val="DefaultParagraphFont"/>
    <w:uiPriority w:val="22"/>
    <w:qFormat/>
    <w:rsid w:val="00971A70"/>
    <w:rPr>
      <w:b/>
      <w:bCs/>
    </w:rPr>
  </w:style>
  <w:style w:type="character" w:customStyle="1" w:styleId="reference-text">
    <w:name w:val="reference-text"/>
    <w:basedOn w:val="DefaultParagraphFont"/>
    <w:rsid w:val="007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9926">
      <w:bodyDiv w:val="1"/>
      <w:marLeft w:val="0"/>
      <w:marRight w:val="0"/>
      <w:marTop w:val="0"/>
      <w:marBottom w:val="0"/>
      <w:divBdr>
        <w:top w:val="none" w:sz="0" w:space="0" w:color="auto"/>
        <w:left w:val="none" w:sz="0" w:space="0" w:color="auto"/>
        <w:bottom w:val="none" w:sz="0" w:space="0" w:color="auto"/>
        <w:right w:val="none" w:sz="0" w:space="0" w:color="auto"/>
      </w:divBdr>
      <w:divsChild>
        <w:div w:id="1152523179">
          <w:marLeft w:val="0"/>
          <w:marRight w:val="0"/>
          <w:marTop w:val="0"/>
          <w:marBottom w:val="0"/>
          <w:divBdr>
            <w:top w:val="none" w:sz="0" w:space="0" w:color="auto"/>
            <w:left w:val="none" w:sz="0" w:space="0" w:color="auto"/>
            <w:bottom w:val="none" w:sz="0" w:space="0" w:color="auto"/>
            <w:right w:val="none" w:sz="0" w:space="0" w:color="auto"/>
          </w:divBdr>
          <w:divsChild>
            <w:div w:id="809322086">
              <w:marLeft w:val="0"/>
              <w:marRight w:val="0"/>
              <w:marTop w:val="0"/>
              <w:marBottom w:val="0"/>
              <w:divBdr>
                <w:top w:val="none" w:sz="0" w:space="0" w:color="auto"/>
                <w:left w:val="none" w:sz="0" w:space="0" w:color="auto"/>
                <w:bottom w:val="none" w:sz="0" w:space="0" w:color="auto"/>
                <w:right w:val="none" w:sz="0" w:space="0" w:color="auto"/>
              </w:divBdr>
              <w:divsChild>
                <w:div w:id="933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3956">
      <w:bodyDiv w:val="1"/>
      <w:marLeft w:val="0"/>
      <w:marRight w:val="0"/>
      <w:marTop w:val="0"/>
      <w:marBottom w:val="0"/>
      <w:divBdr>
        <w:top w:val="none" w:sz="0" w:space="0" w:color="auto"/>
        <w:left w:val="none" w:sz="0" w:space="0" w:color="auto"/>
        <w:bottom w:val="none" w:sz="0" w:space="0" w:color="auto"/>
        <w:right w:val="none" w:sz="0" w:space="0" w:color="auto"/>
      </w:divBdr>
    </w:div>
    <w:div w:id="42801762">
      <w:bodyDiv w:val="1"/>
      <w:marLeft w:val="0"/>
      <w:marRight w:val="0"/>
      <w:marTop w:val="0"/>
      <w:marBottom w:val="0"/>
      <w:divBdr>
        <w:top w:val="none" w:sz="0" w:space="0" w:color="auto"/>
        <w:left w:val="none" w:sz="0" w:space="0" w:color="auto"/>
        <w:bottom w:val="none" w:sz="0" w:space="0" w:color="auto"/>
        <w:right w:val="none" w:sz="0" w:space="0" w:color="auto"/>
      </w:divBdr>
    </w:div>
    <w:div w:id="60293898">
      <w:bodyDiv w:val="1"/>
      <w:marLeft w:val="0"/>
      <w:marRight w:val="0"/>
      <w:marTop w:val="0"/>
      <w:marBottom w:val="0"/>
      <w:divBdr>
        <w:top w:val="none" w:sz="0" w:space="0" w:color="auto"/>
        <w:left w:val="none" w:sz="0" w:space="0" w:color="auto"/>
        <w:bottom w:val="none" w:sz="0" w:space="0" w:color="auto"/>
        <w:right w:val="none" w:sz="0" w:space="0" w:color="auto"/>
      </w:divBdr>
    </w:div>
    <w:div w:id="61761499">
      <w:bodyDiv w:val="1"/>
      <w:marLeft w:val="0"/>
      <w:marRight w:val="0"/>
      <w:marTop w:val="0"/>
      <w:marBottom w:val="0"/>
      <w:divBdr>
        <w:top w:val="none" w:sz="0" w:space="0" w:color="auto"/>
        <w:left w:val="none" w:sz="0" w:space="0" w:color="auto"/>
        <w:bottom w:val="none" w:sz="0" w:space="0" w:color="auto"/>
        <w:right w:val="none" w:sz="0" w:space="0" w:color="auto"/>
      </w:divBdr>
      <w:divsChild>
        <w:div w:id="632248063">
          <w:marLeft w:val="0"/>
          <w:marRight w:val="0"/>
          <w:marTop w:val="0"/>
          <w:marBottom w:val="0"/>
          <w:divBdr>
            <w:top w:val="none" w:sz="0" w:space="0" w:color="auto"/>
            <w:left w:val="none" w:sz="0" w:space="0" w:color="auto"/>
            <w:bottom w:val="none" w:sz="0" w:space="0" w:color="auto"/>
            <w:right w:val="none" w:sz="0" w:space="0" w:color="auto"/>
          </w:divBdr>
          <w:divsChild>
            <w:div w:id="312608492">
              <w:marLeft w:val="0"/>
              <w:marRight w:val="0"/>
              <w:marTop w:val="0"/>
              <w:marBottom w:val="0"/>
              <w:divBdr>
                <w:top w:val="none" w:sz="0" w:space="0" w:color="auto"/>
                <w:left w:val="none" w:sz="0" w:space="0" w:color="auto"/>
                <w:bottom w:val="none" w:sz="0" w:space="0" w:color="auto"/>
                <w:right w:val="none" w:sz="0" w:space="0" w:color="auto"/>
              </w:divBdr>
              <w:divsChild>
                <w:div w:id="17393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6560">
      <w:bodyDiv w:val="1"/>
      <w:marLeft w:val="0"/>
      <w:marRight w:val="0"/>
      <w:marTop w:val="0"/>
      <w:marBottom w:val="0"/>
      <w:divBdr>
        <w:top w:val="none" w:sz="0" w:space="0" w:color="auto"/>
        <w:left w:val="none" w:sz="0" w:space="0" w:color="auto"/>
        <w:bottom w:val="none" w:sz="0" w:space="0" w:color="auto"/>
        <w:right w:val="none" w:sz="0" w:space="0" w:color="auto"/>
      </w:divBdr>
      <w:divsChild>
        <w:div w:id="9720541">
          <w:marLeft w:val="0"/>
          <w:marRight w:val="0"/>
          <w:marTop w:val="0"/>
          <w:marBottom w:val="0"/>
          <w:divBdr>
            <w:top w:val="none" w:sz="0" w:space="0" w:color="auto"/>
            <w:left w:val="none" w:sz="0" w:space="0" w:color="auto"/>
            <w:bottom w:val="none" w:sz="0" w:space="0" w:color="auto"/>
            <w:right w:val="none" w:sz="0" w:space="0" w:color="auto"/>
          </w:divBdr>
          <w:divsChild>
            <w:div w:id="753430652">
              <w:marLeft w:val="0"/>
              <w:marRight w:val="0"/>
              <w:marTop w:val="0"/>
              <w:marBottom w:val="0"/>
              <w:divBdr>
                <w:top w:val="none" w:sz="0" w:space="0" w:color="auto"/>
                <w:left w:val="none" w:sz="0" w:space="0" w:color="auto"/>
                <w:bottom w:val="none" w:sz="0" w:space="0" w:color="auto"/>
                <w:right w:val="none" w:sz="0" w:space="0" w:color="auto"/>
              </w:divBdr>
              <w:divsChild>
                <w:div w:id="15954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0576">
      <w:bodyDiv w:val="1"/>
      <w:marLeft w:val="0"/>
      <w:marRight w:val="0"/>
      <w:marTop w:val="0"/>
      <w:marBottom w:val="0"/>
      <w:divBdr>
        <w:top w:val="none" w:sz="0" w:space="0" w:color="auto"/>
        <w:left w:val="none" w:sz="0" w:space="0" w:color="auto"/>
        <w:bottom w:val="none" w:sz="0" w:space="0" w:color="auto"/>
        <w:right w:val="none" w:sz="0" w:space="0" w:color="auto"/>
      </w:divBdr>
      <w:divsChild>
        <w:div w:id="49038614">
          <w:marLeft w:val="0"/>
          <w:marRight w:val="0"/>
          <w:marTop w:val="0"/>
          <w:marBottom w:val="0"/>
          <w:divBdr>
            <w:top w:val="none" w:sz="0" w:space="0" w:color="auto"/>
            <w:left w:val="none" w:sz="0" w:space="0" w:color="auto"/>
            <w:bottom w:val="none" w:sz="0" w:space="0" w:color="auto"/>
            <w:right w:val="none" w:sz="0" w:space="0" w:color="auto"/>
          </w:divBdr>
          <w:divsChild>
            <w:div w:id="500656926">
              <w:marLeft w:val="0"/>
              <w:marRight w:val="0"/>
              <w:marTop w:val="0"/>
              <w:marBottom w:val="0"/>
              <w:divBdr>
                <w:top w:val="none" w:sz="0" w:space="0" w:color="auto"/>
                <w:left w:val="none" w:sz="0" w:space="0" w:color="auto"/>
                <w:bottom w:val="none" w:sz="0" w:space="0" w:color="auto"/>
                <w:right w:val="none" w:sz="0" w:space="0" w:color="auto"/>
              </w:divBdr>
              <w:divsChild>
                <w:div w:id="825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5879">
      <w:bodyDiv w:val="1"/>
      <w:marLeft w:val="0"/>
      <w:marRight w:val="0"/>
      <w:marTop w:val="0"/>
      <w:marBottom w:val="0"/>
      <w:divBdr>
        <w:top w:val="none" w:sz="0" w:space="0" w:color="auto"/>
        <w:left w:val="none" w:sz="0" w:space="0" w:color="auto"/>
        <w:bottom w:val="none" w:sz="0" w:space="0" w:color="auto"/>
        <w:right w:val="none" w:sz="0" w:space="0" w:color="auto"/>
      </w:divBdr>
      <w:divsChild>
        <w:div w:id="995038650">
          <w:marLeft w:val="0"/>
          <w:marRight w:val="0"/>
          <w:marTop w:val="0"/>
          <w:marBottom w:val="0"/>
          <w:divBdr>
            <w:top w:val="none" w:sz="0" w:space="0" w:color="auto"/>
            <w:left w:val="none" w:sz="0" w:space="0" w:color="auto"/>
            <w:bottom w:val="none" w:sz="0" w:space="0" w:color="auto"/>
            <w:right w:val="none" w:sz="0" w:space="0" w:color="auto"/>
          </w:divBdr>
          <w:divsChild>
            <w:div w:id="1867986289">
              <w:marLeft w:val="0"/>
              <w:marRight w:val="0"/>
              <w:marTop w:val="0"/>
              <w:marBottom w:val="0"/>
              <w:divBdr>
                <w:top w:val="none" w:sz="0" w:space="0" w:color="auto"/>
                <w:left w:val="none" w:sz="0" w:space="0" w:color="auto"/>
                <w:bottom w:val="none" w:sz="0" w:space="0" w:color="auto"/>
                <w:right w:val="none" w:sz="0" w:space="0" w:color="auto"/>
              </w:divBdr>
              <w:divsChild>
                <w:div w:id="13617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945">
      <w:bodyDiv w:val="1"/>
      <w:marLeft w:val="0"/>
      <w:marRight w:val="0"/>
      <w:marTop w:val="0"/>
      <w:marBottom w:val="0"/>
      <w:divBdr>
        <w:top w:val="none" w:sz="0" w:space="0" w:color="auto"/>
        <w:left w:val="none" w:sz="0" w:space="0" w:color="auto"/>
        <w:bottom w:val="none" w:sz="0" w:space="0" w:color="auto"/>
        <w:right w:val="none" w:sz="0" w:space="0" w:color="auto"/>
      </w:divBdr>
      <w:divsChild>
        <w:div w:id="346517005">
          <w:marLeft w:val="0"/>
          <w:marRight w:val="0"/>
          <w:marTop w:val="0"/>
          <w:marBottom w:val="0"/>
          <w:divBdr>
            <w:top w:val="none" w:sz="0" w:space="0" w:color="auto"/>
            <w:left w:val="none" w:sz="0" w:space="0" w:color="auto"/>
            <w:bottom w:val="none" w:sz="0" w:space="0" w:color="auto"/>
            <w:right w:val="none" w:sz="0" w:space="0" w:color="auto"/>
          </w:divBdr>
          <w:divsChild>
            <w:div w:id="37511005">
              <w:marLeft w:val="0"/>
              <w:marRight w:val="0"/>
              <w:marTop w:val="0"/>
              <w:marBottom w:val="0"/>
              <w:divBdr>
                <w:top w:val="none" w:sz="0" w:space="0" w:color="auto"/>
                <w:left w:val="none" w:sz="0" w:space="0" w:color="auto"/>
                <w:bottom w:val="none" w:sz="0" w:space="0" w:color="auto"/>
                <w:right w:val="none" w:sz="0" w:space="0" w:color="auto"/>
              </w:divBdr>
              <w:divsChild>
                <w:div w:id="5327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458">
      <w:bodyDiv w:val="1"/>
      <w:marLeft w:val="0"/>
      <w:marRight w:val="0"/>
      <w:marTop w:val="0"/>
      <w:marBottom w:val="0"/>
      <w:divBdr>
        <w:top w:val="none" w:sz="0" w:space="0" w:color="auto"/>
        <w:left w:val="none" w:sz="0" w:space="0" w:color="auto"/>
        <w:bottom w:val="none" w:sz="0" w:space="0" w:color="auto"/>
        <w:right w:val="none" w:sz="0" w:space="0" w:color="auto"/>
      </w:divBdr>
      <w:divsChild>
        <w:div w:id="505049490">
          <w:marLeft w:val="0"/>
          <w:marRight w:val="0"/>
          <w:marTop w:val="0"/>
          <w:marBottom w:val="0"/>
          <w:divBdr>
            <w:top w:val="none" w:sz="0" w:space="0" w:color="auto"/>
            <w:left w:val="none" w:sz="0" w:space="0" w:color="auto"/>
            <w:bottom w:val="none" w:sz="0" w:space="0" w:color="auto"/>
            <w:right w:val="none" w:sz="0" w:space="0" w:color="auto"/>
          </w:divBdr>
          <w:divsChild>
            <w:div w:id="1335374715">
              <w:marLeft w:val="0"/>
              <w:marRight w:val="0"/>
              <w:marTop w:val="0"/>
              <w:marBottom w:val="0"/>
              <w:divBdr>
                <w:top w:val="none" w:sz="0" w:space="0" w:color="auto"/>
                <w:left w:val="none" w:sz="0" w:space="0" w:color="auto"/>
                <w:bottom w:val="none" w:sz="0" w:space="0" w:color="auto"/>
                <w:right w:val="none" w:sz="0" w:space="0" w:color="auto"/>
              </w:divBdr>
              <w:divsChild>
                <w:div w:id="9142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3957">
      <w:bodyDiv w:val="1"/>
      <w:marLeft w:val="0"/>
      <w:marRight w:val="0"/>
      <w:marTop w:val="0"/>
      <w:marBottom w:val="0"/>
      <w:divBdr>
        <w:top w:val="none" w:sz="0" w:space="0" w:color="auto"/>
        <w:left w:val="none" w:sz="0" w:space="0" w:color="auto"/>
        <w:bottom w:val="none" w:sz="0" w:space="0" w:color="auto"/>
        <w:right w:val="none" w:sz="0" w:space="0" w:color="auto"/>
      </w:divBdr>
      <w:divsChild>
        <w:div w:id="1562712183">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sChild>
                <w:div w:id="12910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446">
      <w:bodyDiv w:val="1"/>
      <w:marLeft w:val="0"/>
      <w:marRight w:val="0"/>
      <w:marTop w:val="0"/>
      <w:marBottom w:val="0"/>
      <w:divBdr>
        <w:top w:val="none" w:sz="0" w:space="0" w:color="auto"/>
        <w:left w:val="none" w:sz="0" w:space="0" w:color="auto"/>
        <w:bottom w:val="none" w:sz="0" w:space="0" w:color="auto"/>
        <w:right w:val="none" w:sz="0" w:space="0" w:color="auto"/>
      </w:divBdr>
    </w:div>
    <w:div w:id="191000742">
      <w:bodyDiv w:val="1"/>
      <w:marLeft w:val="0"/>
      <w:marRight w:val="0"/>
      <w:marTop w:val="0"/>
      <w:marBottom w:val="0"/>
      <w:divBdr>
        <w:top w:val="none" w:sz="0" w:space="0" w:color="auto"/>
        <w:left w:val="none" w:sz="0" w:space="0" w:color="auto"/>
        <w:bottom w:val="none" w:sz="0" w:space="0" w:color="auto"/>
        <w:right w:val="none" w:sz="0" w:space="0" w:color="auto"/>
      </w:divBdr>
    </w:div>
    <w:div w:id="207569790">
      <w:bodyDiv w:val="1"/>
      <w:marLeft w:val="0"/>
      <w:marRight w:val="0"/>
      <w:marTop w:val="0"/>
      <w:marBottom w:val="0"/>
      <w:divBdr>
        <w:top w:val="none" w:sz="0" w:space="0" w:color="auto"/>
        <w:left w:val="none" w:sz="0" w:space="0" w:color="auto"/>
        <w:bottom w:val="none" w:sz="0" w:space="0" w:color="auto"/>
        <w:right w:val="none" w:sz="0" w:space="0" w:color="auto"/>
      </w:divBdr>
    </w:div>
    <w:div w:id="221716985">
      <w:bodyDiv w:val="1"/>
      <w:marLeft w:val="0"/>
      <w:marRight w:val="0"/>
      <w:marTop w:val="0"/>
      <w:marBottom w:val="0"/>
      <w:divBdr>
        <w:top w:val="none" w:sz="0" w:space="0" w:color="auto"/>
        <w:left w:val="none" w:sz="0" w:space="0" w:color="auto"/>
        <w:bottom w:val="none" w:sz="0" w:space="0" w:color="auto"/>
        <w:right w:val="none" w:sz="0" w:space="0" w:color="auto"/>
      </w:divBdr>
      <w:divsChild>
        <w:div w:id="1304581380">
          <w:marLeft w:val="0"/>
          <w:marRight w:val="0"/>
          <w:marTop w:val="0"/>
          <w:marBottom w:val="0"/>
          <w:divBdr>
            <w:top w:val="none" w:sz="0" w:space="0" w:color="auto"/>
            <w:left w:val="none" w:sz="0" w:space="0" w:color="auto"/>
            <w:bottom w:val="none" w:sz="0" w:space="0" w:color="auto"/>
            <w:right w:val="none" w:sz="0" w:space="0" w:color="auto"/>
          </w:divBdr>
          <w:divsChild>
            <w:div w:id="1308974282">
              <w:marLeft w:val="0"/>
              <w:marRight w:val="0"/>
              <w:marTop w:val="0"/>
              <w:marBottom w:val="0"/>
              <w:divBdr>
                <w:top w:val="none" w:sz="0" w:space="0" w:color="auto"/>
                <w:left w:val="none" w:sz="0" w:space="0" w:color="auto"/>
                <w:bottom w:val="none" w:sz="0" w:space="0" w:color="auto"/>
                <w:right w:val="none" w:sz="0" w:space="0" w:color="auto"/>
              </w:divBdr>
              <w:divsChild>
                <w:div w:id="9963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3895">
      <w:bodyDiv w:val="1"/>
      <w:marLeft w:val="0"/>
      <w:marRight w:val="0"/>
      <w:marTop w:val="0"/>
      <w:marBottom w:val="0"/>
      <w:divBdr>
        <w:top w:val="none" w:sz="0" w:space="0" w:color="auto"/>
        <w:left w:val="none" w:sz="0" w:space="0" w:color="auto"/>
        <w:bottom w:val="none" w:sz="0" w:space="0" w:color="auto"/>
        <w:right w:val="none" w:sz="0" w:space="0" w:color="auto"/>
      </w:divBdr>
      <w:divsChild>
        <w:div w:id="832642417">
          <w:marLeft w:val="0"/>
          <w:marRight w:val="0"/>
          <w:marTop w:val="0"/>
          <w:marBottom w:val="0"/>
          <w:divBdr>
            <w:top w:val="none" w:sz="0" w:space="0" w:color="auto"/>
            <w:left w:val="none" w:sz="0" w:space="0" w:color="auto"/>
            <w:bottom w:val="none" w:sz="0" w:space="0" w:color="auto"/>
            <w:right w:val="none" w:sz="0" w:space="0" w:color="auto"/>
          </w:divBdr>
          <w:divsChild>
            <w:div w:id="168837679">
              <w:marLeft w:val="0"/>
              <w:marRight w:val="0"/>
              <w:marTop w:val="0"/>
              <w:marBottom w:val="0"/>
              <w:divBdr>
                <w:top w:val="none" w:sz="0" w:space="0" w:color="auto"/>
                <w:left w:val="none" w:sz="0" w:space="0" w:color="auto"/>
                <w:bottom w:val="none" w:sz="0" w:space="0" w:color="auto"/>
                <w:right w:val="none" w:sz="0" w:space="0" w:color="auto"/>
              </w:divBdr>
              <w:divsChild>
                <w:div w:id="970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22043">
      <w:bodyDiv w:val="1"/>
      <w:marLeft w:val="0"/>
      <w:marRight w:val="0"/>
      <w:marTop w:val="0"/>
      <w:marBottom w:val="0"/>
      <w:divBdr>
        <w:top w:val="none" w:sz="0" w:space="0" w:color="auto"/>
        <w:left w:val="none" w:sz="0" w:space="0" w:color="auto"/>
        <w:bottom w:val="none" w:sz="0" w:space="0" w:color="auto"/>
        <w:right w:val="none" w:sz="0" w:space="0" w:color="auto"/>
      </w:divBdr>
    </w:div>
    <w:div w:id="247885930">
      <w:bodyDiv w:val="1"/>
      <w:marLeft w:val="0"/>
      <w:marRight w:val="0"/>
      <w:marTop w:val="0"/>
      <w:marBottom w:val="0"/>
      <w:divBdr>
        <w:top w:val="none" w:sz="0" w:space="0" w:color="auto"/>
        <w:left w:val="none" w:sz="0" w:space="0" w:color="auto"/>
        <w:bottom w:val="none" w:sz="0" w:space="0" w:color="auto"/>
        <w:right w:val="none" w:sz="0" w:space="0" w:color="auto"/>
      </w:divBdr>
    </w:div>
    <w:div w:id="297806432">
      <w:bodyDiv w:val="1"/>
      <w:marLeft w:val="0"/>
      <w:marRight w:val="0"/>
      <w:marTop w:val="0"/>
      <w:marBottom w:val="0"/>
      <w:divBdr>
        <w:top w:val="none" w:sz="0" w:space="0" w:color="auto"/>
        <w:left w:val="none" w:sz="0" w:space="0" w:color="auto"/>
        <w:bottom w:val="none" w:sz="0" w:space="0" w:color="auto"/>
        <w:right w:val="none" w:sz="0" w:space="0" w:color="auto"/>
      </w:divBdr>
      <w:divsChild>
        <w:div w:id="60175824">
          <w:marLeft w:val="0"/>
          <w:marRight w:val="0"/>
          <w:marTop w:val="0"/>
          <w:marBottom w:val="0"/>
          <w:divBdr>
            <w:top w:val="none" w:sz="0" w:space="0" w:color="auto"/>
            <w:left w:val="none" w:sz="0" w:space="0" w:color="auto"/>
            <w:bottom w:val="none" w:sz="0" w:space="0" w:color="auto"/>
            <w:right w:val="none" w:sz="0" w:space="0" w:color="auto"/>
          </w:divBdr>
          <w:divsChild>
            <w:div w:id="66342270">
              <w:marLeft w:val="0"/>
              <w:marRight w:val="0"/>
              <w:marTop w:val="0"/>
              <w:marBottom w:val="0"/>
              <w:divBdr>
                <w:top w:val="none" w:sz="0" w:space="0" w:color="auto"/>
                <w:left w:val="none" w:sz="0" w:space="0" w:color="auto"/>
                <w:bottom w:val="none" w:sz="0" w:space="0" w:color="auto"/>
                <w:right w:val="none" w:sz="0" w:space="0" w:color="auto"/>
              </w:divBdr>
              <w:divsChild>
                <w:div w:id="5379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8117">
      <w:bodyDiv w:val="1"/>
      <w:marLeft w:val="0"/>
      <w:marRight w:val="0"/>
      <w:marTop w:val="0"/>
      <w:marBottom w:val="0"/>
      <w:divBdr>
        <w:top w:val="none" w:sz="0" w:space="0" w:color="auto"/>
        <w:left w:val="none" w:sz="0" w:space="0" w:color="auto"/>
        <w:bottom w:val="none" w:sz="0" w:space="0" w:color="auto"/>
        <w:right w:val="none" w:sz="0" w:space="0" w:color="auto"/>
      </w:divBdr>
      <w:divsChild>
        <w:div w:id="1522739677">
          <w:marLeft w:val="0"/>
          <w:marRight w:val="0"/>
          <w:marTop w:val="0"/>
          <w:marBottom w:val="0"/>
          <w:divBdr>
            <w:top w:val="none" w:sz="0" w:space="0" w:color="auto"/>
            <w:left w:val="none" w:sz="0" w:space="0" w:color="auto"/>
            <w:bottom w:val="none" w:sz="0" w:space="0" w:color="auto"/>
            <w:right w:val="none" w:sz="0" w:space="0" w:color="auto"/>
          </w:divBdr>
          <w:divsChild>
            <w:div w:id="1617830316">
              <w:marLeft w:val="0"/>
              <w:marRight w:val="0"/>
              <w:marTop w:val="0"/>
              <w:marBottom w:val="0"/>
              <w:divBdr>
                <w:top w:val="none" w:sz="0" w:space="0" w:color="auto"/>
                <w:left w:val="none" w:sz="0" w:space="0" w:color="auto"/>
                <w:bottom w:val="none" w:sz="0" w:space="0" w:color="auto"/>
                <w:right w:val="none" w:sz="0" w:space="0" w:color="auto"/>
              </w:divBdr>
              <w:divsChild>
                <w:div w:id="3336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49504">
      <w:bodyDiv w:val="1"/>
      <w:marLeft w:val="0"/>
      <w:marRight w:val="0"/>
      <w:marTop w:val="0"/>
      <w:marBottom w:val="0"/>
      <w:divBdr>
        <w:top w:val="none" w:sz="0" w:space="0" w:color="auto"/>
        <w:left w:val="none" w:sz="0" w:space="0" w:color="auto"/>
        <w:bottom w:val="none" w:sz="0" w:space="0" w:color="auto"/>
        <w:right w:val="none" w:sz="0" w:space="0" w:color="auto"/>
      </w:divBdr>
    </w:div>
    <w:div w:id="351303798">
      <w:bodyDiv w:val="1"/>
      <w:marLeft w:val="0"/>
      <w:marRight w:val="0"/>
      <w:marTop w:val="0"/>
      <w:marBottom w:val="0"/>
      <w:divBdr>
        <w:top w:val="none" w:sz="0" w:space="0" w:color="auto"/>
        <w:left w:val="none" w:sz="0" w:space="0" w:color="auto"/>
        <w:bottom w:val="none" w:sz="0" w:space="0" w:color="auto"/>
        <w:right w:val="none" w:sz="0" w:space="0" w:color="auto"/>
      </w:divBdr>
      <w:divsChild>
        <w:div w:id="604918577">
          <w:marLeft w:val="0"/>
          <w:marRight w:val="0"/>
          <w:marTop w:val="0"/>
          <w:marBottom w:val="0"/>
          <w:divBdr>
            <w:top w:val="none" w:sz="0" w:space="0" w:color="auto"/>
            <w:left w:val="none" w:sz="0" w:space="0" w:color="auto"/>
            <w:bottom w:val="none" w:sz="0" w:space="0" w:color="auto"/>
            <w:right w:val="none" w:sz="0" w:space="0" w:color="auto"/>
          </w:divBdr>
          <w:divsChild>
            <w:div w:id="1945527484">
              <w:marLeft w:val="0"/>
              <w:marRight w:val="0"/>
              <w:marTop w:val="0"/>
              <w:marBottom w:val="0"/>
              <w:divBdr>
                <w:top w:val="none" w:sz="0" w:space="0" w:color="auto"/>
                <w:left w:val="none" w:sz="0" w:space="0" w:color="auto"/>
                <w:bottom w:val="none" w:sz="0" w:space="0" w:color="auto"/>
                <w:right w:val="none" w:sz="0" w:space="0" w:color="auto"/>
              </w:divBdr>
              <w:divsChild>
                <w:div w:id="10493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68197">
      <w:bodyDiv w:val="1"/>
      <w:marLeft w:val="0"/>
      <w:marRight w:val="0"/>
      <w:marTop w:val="0"/>
      <w:marBottom w:val="0"/>
      <w:divBdr>
        <w:top w:val="none" w:sz="0" w:space="0" w:color="auto"/>
        <w:left w:val="none" w:sz="0" w:space="0" w:color="auto"/>
        <w:bottom w:val="none" w:sz="0" w:space="0" w:color="auto"/>
        <w:right w:val="none" w:sz="0" w:space="0" w:color="auto"/>
      </w:divBdr>
      <w:divsChild>
        <w:div w:id="835387960">
          <w:marLeft w:val="0"/>
          <w:marRight w:val="0"/>
          <w:marTop w:val="0"/>
          <w:marBottom w:val="0"/>
          <w:divBdr>
            <w:top w:val="none" w:sz="0" w:space="0" w:color="auto"/>
            <w:left w:val="none" w:sz="0" w:space="0" w:color="auto"/>
            <w:bottom w:val="none" w:sz="0" w:space="0" w:color="auto"/>
            <w:right w:val="none" w:sz="0" w:space="0" w:color="auto"/>
          </w:divBdr>
          <w:divsChild>
            <w:div w:id="859900113">
              <w:marLeft w:val="0"/>
              <w:marRight w:val="0"/>
              <w:marTop w:val="0"/>
              <w:marBottom w:val="0"/>
              <w:divBdr>
                <w:top w:val="none" w:sz="0" w:space="0" w:color="auto"/>
                <w:left w:val="none" w:sz="0" w:space="0" w:color="auto"/>
                <w:bottom w:val="none" w:sz="0" w:space="0" w:color="auto"/>
                <w:right w:val="none" w:sz="0" w:space="0" w:color="auto"/>
              </w:divBdr>
              <w:divsChild>
                <w:div w:id="12052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0200">
      <w:bodyDiv w:val="1"/>
      <w:marLeft w:val="0"/>
      <w:marRight w:val="0"/>
      <w:marTop w:val="0"/>
      <w:marBottom w:val="0"/>
      <w:divBdr>
        <w:top w:val="none" w:sz="0" w:space="0" w:color="auto"/>
        <w:left w:val="none" w:sz="0" w:space="0" w:color="auto"/>
        <w:bottom w:val="none" w:sz="0" w:space="0" w:color="auto"/>
        <w:right w:val="none" w:sz="0" w:space="0" w:color="auto"/>
      </w:divBdr>
      <w:divsChild>
        <w:div w:id="571086560">
          <w:marLeft w:val="0"/>
          <w:marRight w:val="0"/>
          <w:marTop w:val="0"/>
          <w:marBottom w:val="0"/>
          <w:divBdr>
            <w:top w:val="none" w:sz="0" w:space="0" w:color="auto"/>
            <w:left w:val="none" w:sz="0" w:space="0" w:color="auto"/>
            <w:bottom w:val="none" w:sz="0" w:space="0" w:color="auto"/>
            <w:right w:val="none" w:sz="0" w:space="0" w:color="auto"/>
          </w:divBdr>
          <w:divsChild>
            <w:div w:id="1065643517">
              <w:marLeft w:val="0"/>
              <w:marRight w:val="0"/>
              <w:marTop w:val="0"/>
              <w:marBottom w:val="0"/>
              <w:divBdr>
                <w:top w:val="none" w:sz="0" w:space="0" w:color="auto"/>
                <w:left w:val="none" w:sz="0" w:space="0" w:color="auto"/>
                <w:bottom w:val="none" w:sz="0" w:space="0" w:color="auto"/>
                <w:right w:val="none" w:sz="0" w:space="0" w:color="auto"/>
              </w:divBdr>
              <w:divsChild>
                <w:div w:id="2746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89744">
      <w:bodyDiv w:val="1"/>
      <w:marLeft w:val="0"/>
      <w:marRight w:val="0"/>
      <w:marTop w:val="0"/>
      <w:marBottom w:val="0"/>
      <w:divBdr>
        <w:top w:val="none" w:sz="0" w:space="0" w:color="auto"/>
        <w:left w:val="none" w:sz="0" w:space="0" w:color="auto"/>
        <w:bottom w:val="none" w:sz="0" w:space="0" w:color="auto"/>
        <w:right w:val="none" w:sz="0" w:space="0" w:color="auto"/>
      </w:divBdr>
    </w:div>
    <w:div w:id="425612002">
      <w:bodyDiv w:val="1"/>
      <w:marLeft w:val="0"/>
      <w:marRight w:val="0"/>
      <w:marTop w:val="0"/>
      <w:marBottom w:val="0"/>
      <w:divBdr>
        <w:top w:val="none" w:sz="0" w:space="0" w:color="auto"/>
        <w:left w:val="none" w:sz="0" w:space="0" w:color="auto"/>
        <w:bottom w:val="none" w:sz="0" w:space="0" w:color="auto"/>
        <w:right w:val="none" w:sz="0" w:space="0" w:color="auto"/>
      </w:divBdr>
    </w:div>
    <w:div w:id="432019472">
      <w:bodyDiv w:val="1"/>
      <w:marLeft w:val="0"/>
      <w:marRight w:val="0"/>
      <w:marTop w:val="0"/>
      <w:marBottom w:val="0"/>
      <w:divBdr>
        <w:top w:val="none" w:sz="0" w:space="0" w:color="auto"/>
        <w:left w:val="none" w:sz="0" w:space="0" w:color="auto"/>
        <w:bottom w:val="none" w:sz="0" w:space="0" w:color="auto"/>
        <w:right w:val="none" w:sz="0" w:space="0" w:color="auto"/>
      </w:divBdr>
    </w:div>
    <w:div w:id="488639322">
      <w:bodyDiv w:val="1"/>
      <w:marLeft w:val="0"/>
      <w:marRight w:val="0"/>
      <w:marTop w:val="0"/>
      <w:marBottom w:val="0"/>
      <w:divBdr>
        <w:top w:val="none" w:sz="0" w:space="0" w:color="auto"/>
        <w:left w:val="none" w:sz="0" w:space="0" w:color="auto"/>
        <w:bottom w:val="none" w:sz="0" w:space="0" w:color="auto"/>
        <w:right w:val="none" w:sz="0" w:space="0" w:color="auto"/>
      </w:divBdr>
      <w:divsChild>
        <w:div w:id="938374076">
          <w:marLeft w:val="0"/>
          <w:marRight w:val="0"/>
          <w:marTop w:val="0"/>
          <w:marBottom w:val="0"/>
          <w:divBdr>
            <w:top w:val="none" w:sz="0" w:space="0" w:color="auto"/>
            <w:left w:val="none" w:sz="0" w:space="0" w:color="auto"/>
            <w:bottom w:val="none" w:sz="0" w:space="0" w:color="auto"/>
            <w:right w:val="none" w:sz="0" w:space="0" w:color="auto"/>
          </w:divBdr>
          <w:divsChild>
            <w:div w:id="686517747">
              <w:marLeft w:val="0"/>
              <w:marRight w:val="0"/>
              <w:marTop w:val="0"/>
              <w:marBottom w:val="0"/>
              <w:divBdr>
                <w:top w:val="none" w:sz="0" w:space="0" w:color="auto"/>
                <w:left w:val="none" w:sz="0" w:space="0" w:color="auto"/>
                <w:bottom w:val="none" w:sz="0" w:space="0" w:color="auto"/>
                <w:right w:val="none" w:sz="0" w:space="0" w:color="auto"/>
              </w:divBdr>
              <w:divsChild>
                <w:div w:id="2028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9120">
      <w:bodyDiv w:val="1"/>
      <w:marLeft w:val="0"/>
      <w:marRight w:val="0"/>
      <w:marTop w:val="0"/>
      <w:marBottom w:val="0"/>
      <w:divBdr>
        <w:top w:val="none" w:sz="0" w:space="0" w:color="auto"/>
        <w:left w:val="none" w:sz="0" w:space="0" w:color="auto"/>
        <w:bottom w:val="none" w:sz="0" w:space="0" w:color="auto"/>
        <w:right w:val="none" w:sz="0" w:space="0" w:color="auto"/>
      </w:divBdr>
      <w:divsChild>
        <w:div w:id="1395279481">
          <w:marLeft w:val="0"/>
          <w:marRight w:val="0"/>
          <w:marTop w:val="0"/>
          <w:marBottom w:val="0"/>
          <w:divBdr>
            <w:top w:val="none" w:sz="0" w:space="0" w:color="auto"/>
            <w:left w:val="none" w:sz="0" w:space="0" w:color="auto"/>
            <w:bottom w:val="none" w:sz="0" w:space="0" w:color="auto"/>
            <w:right w:val="none" w:sz="0" w:space="0" w:color="auto"/>
          </w:divBdr>
          <w:divsChild>
            <w:div w:id="590239082">
              <w:marLeft w:val="0"/>
              <w:marRight w:val="0"/>
              <w:marTop w:val="0"/>
              <w:marBottom w:val="0"/>
              <w:divBdr>
                <w:top w:val="none" w:sz="0" w:space="0" w:color="auto"/>
                <w:left w:val="none" w:sz="0" w:space="0" w:color="auto"/>
                <w:bottom w:val="none" w:sz="0" w:space="0" w:color="auto"/>
                <w:right w:val="none" w:sz="0" w:space="0" w:color="auto"/>
              </w:divBdr>
              <w:divsChild>
                <w:div w:id="1192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4057">
      <w:bodyDiv w:val="1"/>
      <w:marLeft w:val="0"/>
      <w:marRight w:val="0"/>
      <w:marTop w:val="0"/>
      <w:marBottom w:val="0"/>
      <w:divBdr>
        <w:top w:val="none" w:sz="0" w:space="0" w:color="auto"/>
        <w:left w:val="none" w:sz="0" w:space="0" w:color="auto"/>
        <w:bottom w:val="none" w:sz="0" w:space="0" w:color="auto"/>
        <w:right w:val="none" w:sz="0" w:space="0" w:color="auto"/>
      </w:divBdr>
      <w:divsChild>
        <w:div w:id="570165693">
          <w:marLeft w:val="0"/>
          <w:marRight w:val="0"/>
          <w:marTop w:val="0"/>
          <w:marBottom w:val="0"/>
          <w:divBdr>
            <w:top w:val="none" w:sz="0" w:space="0" w:color="auto"/>
            <w:left w:val="none" w:sz="0" w:space="0" w:color="auto"/>
            <w:bottom w:val="none" w:sz="0" w:space="0" w:color="auto"/>
            <w:right w:val="none" w:sz="0" w:space="0" w:color="auto"/>
          </w:divBdr>
          <w:divsChild>
            <w:div w:id="172038433">
              <w:marLeft w:val="0"/>
              <w:marRight w:val="0"/>
              <w:marTop w:val="0"/>
              <w:marBottom w:val="0"/>
              <w:divBdr>
                <w:top w:val="none" w:sz="0" w:space="0" w:color="auto"/>
                <w:left w:val="none" w:sz="0" w:space="0" w:color="auto"/>
                <w:bottom w:val="none" w:sz="0" w:space="0" w:color="auto"/>
                <w:right w:val="none" w:sz="0" w:space="0" w:color="auto"/>
              </w:divBdr>
              <w:divsChild>
                <w:div w:id="6231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03060">
      <w:bodyDiv w:val="1"/>
      <w:marLeft w:val="0"/>
      <w:marRight w:val="0"/>
      <w:marTop w:val="0"/>
      <w:marBottom w:val="0"/>
      <w:divBdr>
        <w:top w:val="none" w:sz="0" w:space="0" w:color="auto"/>
        <w:left w:val="none" w:sz="0" w:space="0" w:color="auto"/>
        <w:bottom w:val="none" w:sz="0" w:space="0" w:color="auto"/>
        <w:right w:val="none" w:sz="0" w:space="0" w:color="auto"/>
      </w:divBdr>
      <w:divsChild>
        <w:div w:id="1652372551">
          <w:marLeft w:val="0"/>
          <w:marRight w:val="0"/>
          <w:marTop w:val="0"/>
          <w:marBottom w:val="0"/>
          <w:divBdr>
            <w:top w:val="none" w:sz="0" w:space="0" w:color="auto"/>
            <w:left w:val="none" w:sz="0" w:space="0" w:color="auto"/>
            <w:bottom w:val="none" w:sz="0" w:space="0" w:color="auto"/>
            <w:right w:val="none" w:sz="0" w:space="0" w:color="auto"/>
          </w:divBdr>
          <w:divsChild>
            <w:div w:id="1292246114">
              <w:marLeft w:val="0"/>
              <w:marRight w:val="0"/>
              <w:marTop w:val="0"/>
              <w:marBottom w:val="0"/>
              <w:divBdr>
                <w:top w:val="none" w:sz="0" w:space="0" w:color="auto"/>
                <w:left w:val="none" w:sz="0" w:space="0" w:color="auto"/>
                <w:bottom w:val="none" w:sz="0" w:space="0" w:color="auto"/>
                <w:right w:val="none" w:sz="0" w:space="0" w:color="auto"/>
              </w:divBdr>
              <w:divsChild>
                <w:div w:id="8458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67651">
      <w:bodyDiv w:val="1"/>
      <w:marLeft w:val="0"/>
      <w:marRight w:val="0"/>
      <w:marTop w:val="0"/>
      <w:marBottom w:val="0"/>
      <w:divBdr>
        <w:top w:val="none" w:sz="0" w:space="0" w:color="auto"/>
        <w:left w:val="none" w:sz="0" w:space="0" w:color="auto"/>
        <w:bottom w:val="none" w:sz="0" w:space="0" w:color="auto"/>
        <w:right w:val="none" w:sz="0" w:space="0" w:color="auto"/>
      </w:divBdr>
      <w:divsChild>
        <w:div w:id="1422410264">
          <w:marLeft w:val="0"/>
          <w:marRight w:val="0"/>
          <w:marTop w:val="0"/>
          <w:marBottom w:val="0"/>
          <w:divBdr>
            <w:top w:val="none" w:sz="0" w:space="0" w:color="auto"/>
            <w:left w:val="none" w:sz="0" w:space="0" w:color="auto"/>
            <w:bottom w:val="none" w:sz="0" w:space="0" w:color="auto"/>
            <w:right w:val="none" w:sz="0" w:space="0" w:color="auto"/>
          </w:divBdr>
          <w:divsChild>
            <w:div w:id="2055960573">
              <w:marLeft w:val="0"/>
              <w:marRight w:val="0"/>
              <w:marTop w:val="0"/>
              <w:marBottom w:val="0"/>
              <w:divBdr>
                <w:top w:val="none" w:sz="0" w:space="0" w:color="auto"/>
                <w:left w:val="none" w:sz="0" w:space="0" w:color="auto"/>
                <w:bottom w:val="none" w:sz="0" w:space="0" w:color="auto"/>
                <w:right w:val="none" w:sz="0" w:space="0" w:color="auto"/>
              </w:divBdr>
              <w:divsChild>
                <w:div w:id="8185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037990">
      <w:bodyDiv w:val="1"/>
      <w:marLeft w:val="0"/>
      <w:marRight w:val="0"/>
      <w:marTop w:val="0"/>
      <w:marBottom w:val="0"/>
      <w:divBdr>
        <w:top w:val="none" w:sz="0" w:space="0" w:color="auto"/>
        <w:left w:val="none" w:sz="0" w:space="0" w:color="auto"/>
        <w:bottom w:val="none" w:sz="0" w:space="0" w:color="auto"/>
        <w:right w:val="none" w:sz="0" w:space="0" w:color="auto"/>
      </w:divBdr>
      <w:divsChild>
        <w:div w:id="1517500190">
          <w:marLeft w:val="0"/>
          <w:marRight w:val="0"/>
          <w:marTop w:val="0"/>
          <w:marBottom w:val="0"/>
          <w:divBdr>
            <w:top w:val="none" w:sz="0" w:space="0" w:color="auto"/>
            <w:left w:val="none" w:sz="0" w:space="0" w:color="auto"/>
            <w:bottom w:val="none" w:sz="0" w:space="0" w:color="auto"/>
            <w:right w:val="none" w:sz="0" w:space="0" w:color="auto"/>
          </w:divBdr>
          <w:divsChild>
            <w:div w:id="1826126125">
              <w:marLeft w:val="0"/>
              <w:marRight w:val="0"/>
              <w:marTop w:val="0"/>
              <w:marBottom w:val="0"/>
              <w:divBdr>
                <w:top w:val="none" w:sz="0" w:space="0" w:color="auto"/>
                <w:left w:val="none" w:sz="0" w:space="0" w:color="auto"/>
                <w:bottom w:val="none" w:sz="0" w:space="0" w:color="auto"/>
                <w:right w:val="none" w:sz="0" w:space="0" w:color="auto"/>
              </w:divBdr>
              <w:divsChild>
                <w:div w:id="8515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94170">
      <w:bodyDiv w:val="1"/>
      <w:marLeft w:val="0"/>
      <w:marRight w:val="0"/>
      <w:marTop w:val="0"/>
      <w:marBottom w:val="0"/>
      <w:divBdr>
        <w:top w:val="none" w:sz="0" w:space="0" w:color="auto"/>
        <w:left w:val="none" w:sz="0" w:space="0" w:color="auto"/>
        <w:bottom w:val="none" w:sz="0" w:space="0" w:color="auto"/>
        <w:right w:val="none" w:sz="0" w:space="0" w:color="auto"/>
      </w:divBdr>
      <w:divsChild>
        <w:div w:id="1339577224">
          <w:marLeft w:val="0"/>
          <w:marRight w:val="0"/>
          <w:marTop w:val="0"/>
          <w:marBottom w:val="0"/>
          <w:divBdr>
            <w:top w:val="none" w:sz="0" w:space="0" w:color="auto"/>
            <w:left w:val="none" w:sz="0" w:space="0" w:color="auto"/>
            <w:bottom w:val="none" w:sz="0" w:space="0" w:color="auto"/>
            <w:right w:val="none" w:sz="0" w:space="0" w:color="auto"/>
          </w:divBdr>
          <w:divsChild>
            <w:div w:id="1787772898">
              <w:marLeft w:val="0"/>
              <w:marRight w:val="0"/>
              <w:marTop w:val="0"/>
              <w:marBottom w:val="0"/>
              <w:divBdr>
                <w:top w:val="none" w:sz="0" w:space="0" w:color="auto"/>
                <w:left w:val="none" w:sz="0" w:space="0" w:color="auto"/>
                <w:bottom w:val="none" w:sz="0" w:space="0" w:color="auto"/>
                <w:right w:val="none" w:sz="0" w:space="0" w:color="auto"/>
              </w:divBdr>
              <w:divsChild>
                <w:div w:id="9502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42163">
      <w:bodyDiv w:val="1"/>
      <w:marLeft w:val="0"/>
      <w:marRight w:val="0"/>
      <w:marTop w:val="0"/>
      <w:marBottom w:val="0"/>
      <w:divBdr>
        <w:top w:val="none" w:sz="0" w:space="0" w:color="auto"/>
        <w:left w:val="none" w:sz="0" w:space="0" w:color="auto"/>
        <w:bottom w:val="none" w:sz="0" w:space="0" w:color="auto"/>
        <w:right w:val="none" w:sz="0" w:space="0" w:color="auto"/>
      </w:divBdr>
    </w:div>
    <w:div w:id="619923193">
      <w:bodyDiv w:val="1"/>
      <w:marLeft w:val="0"/>
      <w:marRight w:val="0"/>
      <w:marTop w:val="0"/>
      <w:marBottom w:val="0"/>
      <w:divBdr>
        <w:top w:val="none" w:sz="0" w:space="0" w:color="auto"/>
        <w:left w:val="none" w:sz="0" w:space="0" w:color="auto"/>
        <w:bottom w:val="none" w:sz="0" w:space="0" w:color="auto"/>
        <w:right w:val="none" w:sz="0" w:space="0" w:color="auto"/>
      </w:divBdr>
      <w:divsChild>
        <w:div w:id="462844817">
          <w:marLeft w:val="0"/>
          <w:marRight w:val="0"/>
          <w:marTop w:val="0"/>
          <w:marBottom w:val="0"/>
          <w:divBdr>
            <w:top w:val="none" w:sz="0" w:space="0" w:color="auto"/>
            <w:left w:val="none" w:sz="0" w:space="0" w:color="auto"/>
            <w:bottom w:val="none" w:sz="0" w:space="0" w:color="auto"/>
            <w:right w:val="none" w:sz="0" w:space="0" w:color="auto"/>
          </w:divBdr>
          <w:divsChild>
            <w:div w:id="635834400">
              <w:marLeft w:val="0"/>
              <w:marRight w:val="0"/>
              <w:marTop w:val="0"/>
              <w:marBottom w:val="0"/>
              <w:divBdr>
                <w:top w:val="none" w:sz="0" w:space="0" w:color="auto"/>
                <w:left w:val="none" w:sz="0" w:space="0" w:color="auto"/>
                <w:bottom w:val="none" w:sz="0" w:space="0" w:color="auto"/>
                <w:right w:val="none" w:sz="0" w:space="0" w:color="auto"/>
              </w:divBdr>
              <w:divsChild>
                <w:div w:id="920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4269">
      <w:bodyDiv w:val="1"/>
      <w:marLeft w:val="0"/>
      <w:marRight w:val="0"/>
      <w:marTop w:val="0"/>
      <w:marBottom w:val="0"/>
      <w:divBdr>
        <w:top w:val="none" w:sz="0" w:space="0" w:color="auto"/>
        <w:left w:val="none" w:sz="0" w:space="0" w:color="auto"/>
        <w:bottom w:val="none" w:sz="0" w:space="0" w:color="auto"/>
        <w:right w:val="none" w:sz="0" w:space="0" w:color="auto"/>
      </w:divBdr>
      <w:divsChild>
        <w:div w:id="2026322972">
          <w:marLeft w:val="0"/>
          <w:marRight w:val="0"/>
          <w:marTop w:val="0"/>
          <w:marBottom w:val="0"/>
          <w:divBdr>
            <w:top w:val="none" w:sz="0" w:space="0" w:color="auto"/>
            <w:left w:val="none" w:sz="0" w:space="0" w:color="auto"/>
            <w:bottom w:val="none" w:sz="0" w:space="0" w:color="auto"/>
            <w:right w:val="none" w:sz="0" w:space="0" w:color="auto"/>
          </w:divBdr>
          <w:divsChild>
            <w:div w:id="1222445196">
              <w:marLeft w:val="0"/>
              <w:marRight w:val="0"/>
              <w:marTop w:val="0"/>
              <w:marBottom w:val="0"/>
              <w:divBdr>
                <w:top w:val="none" w:sz="0" w:space="0" w:color="auto"/>
                <w:left w:val="none" w:sz="0" w:space="0" w:color="auto"/>
                <w:bottom w:val="none" w:sz="0" w:space="0" w:color="auto"/>
                <w:right w:val="none" w:sz="0" w:space="0" w:color="auto"/>
              </w:divBdr>
              <w:divsChild>
                <w:div w:id="5725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7585">
      <w:bodyDiv w:val="1"/>
      <w:marLeft w:val="0"/>
      <w:marRight w:val="0"/>
      <w:marTop w:val="0"/>
      <w:marBottom w:val="0"/>
      <w:divBdr>
        <w:top w:val="none" w:sz="0" w:space="0" w:color="auto"/>
        <w:left w:val="none" w:sz="0" w:space="0" w:color="auto"/>
        <w:bottom w:val="none" w:sz="0" w:space="0" w:color="auto"/>
        <w:right w:val="none" w:sz="0" w:space="0" w:color="auto"/>
      </w:divBdr>
    </w:div>
    <w:div w:id="686443894">
      <w:bodyDiv w:val="1"/>
      <w:marLeft w:val="0"/>
      <w:marRight w:val="0"/>
      <w:marTop w:val="0"/>
      <w:marBottom w:val="0"/>
      <w:divBdr>
        <w:top w:val="none" w:sz="0" w:space="0" w:color="auto"/>
        <w:left w:val="none" w:sz="0" w:space="0" w:color="auto"/>
        <w:bottom w:val="none" w:sz="0" w:space="0" w:color="auto"/>
        <w:right w:val="none" w:sz="0" w:space="0" w:color="auto"/>
      </w:divBdr>
    </w:div>
    <w:div w:id="705058297">
      <w:bodyDiv w:val="1"/>
      <w:marLeft w:val="0"/>
      <w:marRight w:val="0"/>
      <w:marTop w:val="0"/>
      <w:marBottom w:val="0"/>
      <w:divBdr>
        <w:top w:val="none" w:sz="0" w:space="0" w:color="auto"/>
        <w:left w:val="none" w:sz="0" w:space="0" w:color="auto"/>
        <w:bottom w:val="none" w:sz="0" w:space="0" w:color="auto"/>
        <w:right w:val="none" w:sz="0" w:space="0" w:color="auto"/>
      </w:divBdr>
      <w:divsChild>
        <w:div w:id="132793180">
          <w:marLeft w:val="0"/>
          <w:marRight w:val="0"/>
          <w:marTop w:val="0"/>
          <w:marBottom w:val="0"/>
          <w:divBdr>
            <w:top w:val="none" w:sz="0" w:space="0" w:color="auto"/>
            <w:left w:val="none" w:sz="0" w:space="0" w:color="auto"/>
            <w:bottom w:val="none" w:sz="0" w:space="0" w:color="auto"/>
            <w:right w:val="none" w:sz="0" w:space="0" w:color="auto"/>
          </w:divBdr>
          <w:divsChild>
            <w:div w:id="193539272">
              <w:marLeft w:val="0"/>
              <w:marRight w:val="0"/>
              <w:marTop w:val="0"/>
              <w:marBottom w:val="0"/>
              <w:divBdr>
                <w:top w:val="none" w:sz="0" w:space="0" w:color="auto"/>
                <w:left w:val="none" w:sz="0" w:space="0" w:color="auto"/>
                <w:bottom w:val="none" w:sz="0" w:space="0" w:color="auto"/>
                <w:right w:val="none" w:sz="0" w:space="0" w:color="auto"/>
              </w:divBdr>
              <w:divsChild>
                <w:div w:id="1536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91844">
      <w:bodyDiv w:val="1"/>
      <w:marLeft w:val="0"/>
      <w:marRight w:val="0"/>
      <w:marTop w:val="0"/>
      <w:marBottom w:val="0"/>
      <w:divBdr>
        <w:top w:val="none" w:sz="0" w:space="0" w:color="auto"/>
        <w:left w:val="none" w:sz="0" w:space="0" w:color="auto"/>
        <w:bottom w:val="none" w:sz="0" w:space="0" w:color="auto"/>
        <w:right w:val="none" w:sz="0" w:space="0" w:color="auto"/>
      </w:divBdr>
    </w:div>
    <w:div w:id="749885245">
      <w:bodyDiv w:val="1"/>
      <w:marLeft w:val="0"/>
      <w:marRight w:val="0"/>
      <w:marTop w:val="0"/>
      <w:marBottom w:val="0"/>
      <w:divBdr>
        <w:top w:val="none" w:sz="0" w:space="0" w:color="auto"/>
        <w:left w:val="none" w:sz="0" w:space="0" w:color="auto"/>
        <w:bottom w:val="none" w:sz="0" w:space="0" w:color="auto"/>
        <w:right w:val="none" w:sz="0" w:space="0" w:color="auto"/>
      </w:divBdr>
    </w:div>
    <w:div w:id="754589238">
      <w:bodyDiv w:val="1"/>
      <w:marLeft w:val="0"/>
      <w:marRight w:val="0"/>
      <w:marTop w:val="0"/>
      <w:marBottom w:val="0"/>
      <w:divBdr>
        <w:top w:val="none" w:sz="0" w:space="0" w:color="auto"/>
        <w:left w:val="none" w:sz="0" w:space="0" w:color="auto"/>
        <w:bottom w:val="none" w:sz="0" w:space="0" w:color="auto"/>
        <w:right w:val="none" w:sz="0" w:space="0" w:color="auto"/>
      </w:divBdr>
      <w:divsChild>
        <w:div w:id="1714697037">
          <w:marLeft w:val="0"/>
          <w:marRight w:val="0"/>
          <w:marTop w:val="0"/>
          <w:marBottom w:val="0"/>
          <w:divBdr>
            <w:top w:val="none" w:sz="0" w:space="0" w:color="auto"/>
            <w:left w:val="none" w:sz="0" w:space="0" w:color="auto"/>
            <w:bottom w:val="none" w:sz="0" w:space="0" w:color="auto"/>
            <w:right w:val="none" w:sz="0" w:space="0" w:color="auto"/>
          </w:divBdr>
          <w:divsChild>
            <w:div w:id="1219513672">
              <w:marLeft w:val="0"/>
              <w:marRight w:val="0"/>
              <w:marTop w:val="0"/>
              <w:marBottom w:val="0"/>
              <w:divBdr>
                <w:top w:val="none" w:sz="0" w:space="0" w:color="auto"/>
                <w:left w:val="none" w:sz="0" w:space="0" w:color="auto"/>
                <w:bottom w:val="none" w:sz="0" w:space="0" w:color="auto"/>
                <w:right w:val="none" w:sz="0" w:space="0" w:color="auto"/>
              </w:divBdr>
              <w:divsChild>
                <w:div w:id="1205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2107">
      <w:bodyDiv w:val="1"/>
      <w:marLeft w:val="0"/>
      <w:marRight w:val="0"/>
      <w:marTop w:val="0"/>
      <w:marBottom w:val="0"/>
      <w:divBdr>
        <w:top w:val="none" w:sz="0" w:space="0" w:color="auto"/>
        <w:left w:val="none" w:sz="0" w:space="0" w:color="auto"/>
        <w:bottom w:val="none" w:sz="0" w:space="0" w:color="auto"/>
        <w:right w:val="none" w:sz="0" w:space="0" w:color="auto"/>
      </w:divBdr>
    </w:div>
    <w:div w:id="812991509">
      <w:bodyDiv w:val="1"/>
      <w:marLeft w:val="0"/>
      <w:marRight w:val="0"/>
      <w:marTop w:val="0"/>
      <w:marBottom w:val="0"/>
      <w:divBdr>
        <w:top w:val="none" w:sz="0" w:space="0" w:color="auto"/>
        <w:left w:val="none" w:sz="0" w:space="0" w:color="auto"/>
        <w:bottom w:val="none" w:sz="0" w:space="0" w:color="auto"/>
        <w:right w:val="none" w:sz="0" w:space="0" w:color="auto"/>
      </w:divBdr>
    </w:div>
    <w:div w:id="908539851">
      <w:bodyDiv w:val="1"/>
      <w:marLeft w:val="0"/>
      <w:marRight w:val="0"/>
      <w:marTop w:val="0"/>
      <w:marBottom w:val="0"/>
      <w:divBdr>
        <w:top w:val="none" w:sz="0" w:space="0" w:color="auto"/>
        <w:left w:val="none" w:sz="0" w:space="0" w:color="auto"/>
        <w:bottom w:val="none" w:sz="0" w:space="0" w:color="auto"/>
        <w:right w:val="none" w:sz="0" w:space="0" w:color="auto"/>
      </w:divBdr>
    </w:div>
    <w:div w:id="930700162">
      <w:bodyDiv w:val="1"/>
      <w:marLeft w:val="0"/>
      <w:marRight w:val="0"/>
      <w:marTop w:val="0"/>
      <w:marBottom w:val="0"/>
      <w:divBdr>
        <w:top w:val="none" w:sz="0" w:space="0" w:color="auto"/>
        <w:left w:val="none" w:sz="0" w:space="0" w:color="auto"/>
        <w:bottom w:val="none" w:sz="0" w:space="0" w:color="auto"/>
        <w:right w:val="none" w:sz="0" w:space="0" w:color="auto"/>
      </w:divBdr>
      <w:divsChild>
        <w:div w:id="988821950">
          <w:marLeft w:val="0"/>
          <w:marRight w:val="0"/>
          <w:marTop w:val="0"/>
          <w:marBottom w:val="0"/>
          <w:divBdr>
            <w:top w:val="none" w:sz="0" w:space="0" w:color="auto"/>
            <w:left w:val="none" w:sz="0" w:space="0" w:color="auto"/>
            <w:bottom w:val="none" w:sz="0" w:space="0" w:color="auto"/>
            <w:right w:val="none" w:sz="0" w:space="0" w:color="auto"/>
          </w:divBdr>
          <w:divsChild>
            <w:div w:id="602688659">
              <w:marLeft w:val="0"/>
              <w:marRight w:val="0"/>
              <w:marTop w:val="0"/>
              <w:marBottom w:val="0"/>
              <w:divBdr>
                <w:top w:val="none" w:sz="0" w:space="0" w:color="auto"/>
                <w:left w:val="none" w:sz="0" w:space="0" w:color="auto"/>
                <w:bottom w:val="none" w:sz="0" w:space="0" w:color="auto"/>
                <w:right w:val="none" w:sz="0" w:space="0" w:color="auto"/>
              </w:divBdr>
              <w:divsChild>
                <w:div w:id="21144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98442">
      <w:bodyDiv w:val="1"/>
      <w:marLeft w:val="0"/>
      <w:marRight w:val="0"/>
      <w:marTop w:val="0"/>
      <w:marBottom w:val="0"/>
      <w:divBdr>
        <w:top w:val="none" w:sz="0" w:space="0" w:color="auto"/>
        <w:left w:val="none" w:sz="0" w:space="0" w:color="auto"/>
        <w:bottom w:val="none" w:sz="0" w:space="0" w:color="auto"/>
        <w:right w:val="none" w:sz="0" w:space="0" w:color="auto"/>
      </w:divBdr>
      <w:divsChild>
        <w:div w:id="2106536495">
          <w:marLeft w:val="0"/>
          <w:marRight w:val="0"/>
          <w:marTop w:val="0"/>
          <w:marBottom w:val="0"/>
          <w:divBdr>
            <w:top w:val="none" w:sz="0" w:space="0" w:color="auto"/>
            <w:left w:val="none" w:sz="0" w:space="0" w:color="auto"/>
            <w:bottom w:val="none" w:sz="0" w:space="0" w:color="auto"/>
            <w:right w:val="none" w:sz="0" w:space="0" w:color="auto"/>
          </w:divBdr>
          <w:divsChild>
            <w:div w:id="303320446">
              <w:marLeft w:val="0"/>
              <w:marRight w:val="0"/>
              <w:marTop w:val="0"/>
              <w:marBottom w:val="0"/>
              <w:divBdr>
                <w:top w:val="none" w:sz="0" w:space="0" w:color="auto"/>
                <w:left w:val="none" w:sz="0" w:space="0" w:color="auto"/>
                <w:bottom w:val="none" w:sz="0" w:space="0" w:color="auto"/>
                <w:right w:val="none" w:sz="0" w:space="0" w:color="auto"/>
              </w:divBdr>
              <w:divsChild>
                <w:div w:id="10710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625">
      <w:bodyDiv w:val="1"/>
      <w:marLeft w:val="0"/>
      <w:marRight w:val="0"/>
      <w:marTop w:val="0"/>
      <w:marBottom w:val="0"/>
      <w:divBdr>
        <w:top w:val="none" w:sz="0" w:space="0" w:color="auto"/>
        <w:left w:val="none" w:sz="0" w:space="0" w:color="auto"/>
        <w:bottom w:val="none" w:sz="0" w:space="0" w:color="auto"/>
        <w:right w:val="none" w:sz="0" w:space="0" w:color="auto"/>
      </w:divBdr>
      <w:divsChild>
        <w:div w:id="1924728173">
          <w:marLeft w:val="0"/>
          <w:marRight w:val="0"/>
          <w:marTop w:val="0"/>
          <w:marBottom w:val="0"/>
          <w:divBdr>
            <w:top w:val="none" w:sz="0" w:space="0" w:color="auto"/>
            <w:left w:val="none" w:sz="0" w:space="0" w:color="auto"/>
            <w:bottom w:val="none" w:sz="0" w:space="0" w:color="auto"/>
            <w:right w:val="none" w:sz="0" w:space="0" w:color="auto"/>
          </w:divBdr>
          <w:divsChild>
            <w:div w:id="1849907499">
              <w:marLeft w:val="0"/>
              <w:marRight w:val="0"/>
              <w:marTop w:val="0"/>
              <w:marBottom w:val="0"/>
              <w:divBdr>
                <w:top w:val="none" w:sz="0" w:space="0" w:color="auto"/>
                <w:left w:val="none" w:sz="0" w:space="0" w:color="auto"/>
                <w:bottom w:val="none" w:sz="0" w:space="0" w:color="auto"/>
                <w:right w:val="none" w:sz="0" w:space="0" w:color="auto"/>
              </w:divBdr>
              <w:divsChild>
                <w:div w:id="18088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2226">
      <w:bodyDiv w:val="1"/>
      <w:marLeft w:val="0"/>
      <w:marRight w:val="0"/>
      <w:marTop w:val="0"/>
      <w:marBottom w:val="0"/>
      <w:divBdr>
        <w:top w:val="none" w:sz="0" w:space="0" w:color="auto"/>
        <w:left w:val="none" w:sz="0" w:space="0" w:color="auto"/>
        <w:bottom w:val="none" w:sz="0" w:space="0" w:color="auto"/>
        <w:right w:val="none" w:sz="0" w:space="0" w:color="auto"/>
      </w:divBdr>
    </w:div>
    <w:div w:id="1165434272">
      <w:bodyDiv w:val="1"/>
      <w:marLeft w:val="0"/>
      <w:marRight w:val="0"/>
      <w:marTop w:val="0"/>
      <w:marBottom w:val="0"/>
      <w:divBdr>
        <w:top w:val="none" w:sz="0" w:space="0" w:color="auto"/>
        <w:left w:val="none" w:sz="0" w:space="0" w:color="auto"/>
        <w:bottom w:val="none" w:sz="0" w:space="0" w:color="auto"/>
        <w:right w:val="none" w:sz="0" w:space="0" w:color="auto"/>
      </w:divBdr>
    </w:div>
    <w:div w:id="1169178194">
      <w:bodyDiv w:val="1"/>
      <w:marLeft w:val="0"/>
      <w:marRight w:val="0"/>
      <w:marTop w:val="0"/>
      <w:marBottom w:val="0"/>
      <w:divBdr>
        <w:top w:val="none" w:sz="0" w:space="0" w:color="auto"/>
        <w:left w:val="none" w:sz="0" w:space="0" w:color="auto"/>
        <w:bottom w:val="none" w:sz="0" w:space="0" w:color="auto"/>
        <w:right w:val="none" w:sz="0" w:space="0" w:color="auto"/>
      </w:divBdr>
    </w:div>
    <w:div w:id="1205825096">
      <w:bodyDiv w:val="1"/>
      <w:marLeft w:val="0"/>
      <w:marRight w:val="0"/>
      <w:marTop w:val="0"/>
      <w:marBottom w:val="0"/>
      <w:divBdr>
        <w:top w:val="none" w:sz="0" w:space="0" w:color="auto"/>
        <w:left w:val="none" w:sz="0" w:space="0" w:color="auto"/>
        <w:bottom w:val="none" w:sz="0" w:space="0" w:color="auto"/>
        <w:right w:val="none" w:sz="0" w:space="0" w:color="auto"/>
      </w:divBdr>
      <w:divsChild>
        <w:div w:id="417485838">
          <w:marLeft w:val="0"/>
          <w:marRight w:val="0"/>
          <w:marTop w:val="0"/>
          <w:marBottom w:val="0"/>
          <w:divBdr>
            <w:top w:val="none" w:sz="0" w:space="0" w:color="auto"/>
            <w:left w:val="none" w:sz="0" w:space="0" w:color="auto"/>
            <w:bottom w:val="none" w:sz="0" w:space="0" w:color="auto"/>
            <w:right w:val="none" w:sz="0" w:space="0" w:color="auto"/>
          </w:divBdr>
          <w:divsChild>
            <w:div w:id="1824614882">
              <w:marLeft w:val="0"/>
              <w:marRight w:val="0"/>
              <w:marTop w:val="0"/>
              <w:marBottom w:val="0"/>
              <w:divBdr>
                <w:top w:val="none" w:sz="0" w:space="0" w:color="auto"/>
                <w:left w:val="none" w:sz="0" w:space="0" w:color="auto"/>
                <w:bottom w:val="none" w:sz="0" w:space="0" w:color="auto"/>
                <w:right w:val="none" w:sz="0" w:space="0" w:color="auto"/>
              </w:divBdr>
              <w:divsChild>
                <w:div w:id="18874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17134">
      <w:bodyDiv w:val="1"/>
      <w:marLeft w:val="0"/>
      <w:marRight w:val="0"/>
      <w:marTop w:val="0"/>
      <w:marBottom w:val="0"/>
      <w:divBdr>
        <w:top w:val="none" w:sz="0" w:space="0" w:color="auto"/>
        <w:left w:val="none" w:sz="0" w:space="0" w:color="auto"/>
        <w:bottom w:val="none" w:sz="0" w:space="0" w:color="auto"/>
        <w:right w:val="none" w:sz="0" w:space="0" w:color="auto"/>
      </w:divBdr>
    </w:div>
    <w:div w:id="1213035662">
      <w:bodyDiv w:val="1"/>
      <w:marLeft w:val="0"/>
      <w:marRight w:val="0"/>
      <w:marTop w:val="0"/>
      <w:marBottom w:val="0"/>
      <w:divBdr>
        <w:top w:val="none" w:sz="0" w:space="0" w:color="auto"/>
        <w:left w:val="none" w:sz="0" w:space="0" w:color="auto"/>
        <w:bottom w:val="none" w:sz="0" w:space="0" w:color="auto"/>
        <w:right w:val="none" w:sz="0" w:space="0" w:color="auto"/>
      </w:divBdr>
      <w:divsChild>
        <w:div w:id="156768533">
          <w:marLeft w:val="0"/>
          <w:marRight w:val="0"/>
          <w:marTop w:val="0"/>
          <w:marBottom w:val="0"/>
          <w:divBdr>
            <w:top w:val="none" w:sz="0" w:space="0" w:color="auto"/>
            <w:left w:val="none" w:sz="0" w:space="0" w:color="auto"/>
            <w:bottom w:val="none" w:sz="0" w:space="0" w:color="auto"/>
            <w:right w:val="none" w:sz="0" w:space="0" w:color="auto"/>
          </w:divBdr>
          <w:divsChild>
            <w:div w:id="1148206665">
              <w:marLeft w:val="0"/>
              <w:marRight w:val="0"/>
              <w:marTop w:val="0"/>
              <w:marBottom w:val="0"/>
              <w:divBdr>
                <w:top w:val="none" w:sz="0" w:space="0" w:color="auto"/>
                <w:left w:val="none" w:sz="0" w:space="0" w:color="auto"/>
                <w:bottom w:val="none" w:sz="0" w:space="0" w:color="auto"/>
                <w:right w:val="none" w:sz="0" w:space="0" w:color="auto"/>
              </w:divBdr>
              <w:divsChild>
                <w:div w:id="17245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9132">
      <w:bodyDiv w:val="1"/>
      <w:marLeft w:val="0"/>
      <w:marRight w:val="0"/>
      <w:marTop w:val="0"/>
      <w:marBottom w:val="0"/>
      <w:divBdr>
        <w:top w:val="none" w:sz="0" w:space="0" w:color="auto"/>
        <w:left w:val="none" w:sz="0" w:space="0" w:color="auto"/>
        <w:bottom w:val="none" w:sz="0" w:space="0" w:color="auto"/>
        <w:right w:val="none" w:sz="0" w:space="0" w:color="auto"/>
      </w:divBdr>
    </w:div>
    <w:div w:id="1215771441">
      <w:bodyDiv w:val="1"/>
      <w:marLeft w:val="0"/>
      <w:marRight w:val="0"/>
      <w:marTop w:val="0"/>
      <w:marBottom w:val="0"/>
      <w:divBdr>
        <w:top w:val="none" w:sz="0" w:space="0" w:color="auto"/>
        <w:left w:val="none" w:sz="0" w:space="0" w:color="auto"/>
        <w:bottom w:val="none" w:sz="0" w:space="0" w:color="auto"/>
        <w:right w:val="none" w:sz="0" w:space="0" w:color="auto"/>
      </w:divBdr>
    </w:div>
    <w:div w:id="1258947724">
      <w:bodyDiv w:val="1"/>
      <w:marLeft w:val="0"/>
      <w:marRight w:val="0"/>
      <w:marTop w:val="0"/>
      <w:marBottom w:val="0"/>
      <w:divBdr>
        <w:top w:val="none" w:sz="0" w:space="0" w:color="auto"/>
        <w:left w:val="none" w:sz="0" w:space="0" w:color="auto"/>
        <w:bottom w:val="none" w:sz="0" w:space="0" w:color="auto"/>
        <w:right w:val="none" w:sz="0" w:space="0" w:color="auto"/>
      </w:divBdr>
      <w:divsChild>
        <w:div w:id="912931599">
          <w:marLeft w:val="0"/>
          <w:marRight w:val="0"/>
          <w:marTop w:val="0"/>
          <w:marBottom w:val="0"/>
          <w:divBdr>
            <w:top w:val="none" w:sz="0" w:space="0" w:color="auto"/>
            <w:left w:val="none" w:sz="0" w:space="0" w:color="auto"/>
            <w:bottom w:val="none" w:sz="0" w:space="0" w:color="auto"/>
            <w:right w:val="none" w:sz="0" w:space="0" w:color="auto"/>
          </w:divBdr>
          <w:divsChild>
            <w:div w:id="1490634298">
              <w:marLeft w:val="0"/>
              <w:marRight w:val="0"/>
              <w:marTop w:val="0"/>
              <w:marBottom w:val="0"/>
              <w:divBdr>
                <w:top w:val="none" w:sz="0" w:space="0" w:color="auto"/>
                <w:left w:val="none" w:sz="0" w:space="0" w:color="auto"/>
                <w:bottom w:val="none" w:sz="0" w:space="0" w:color="auto"/>
                <w:right w:val="none" w:sz="0" w:space="0" w:color="auto"/>
              </w:divBdr>
              <w:divsChild>
                <w:div w:id="11915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1680">
      <w:bodyDiv w:val="1"/>
      <w:marLeft w:val="0"/>
      <w:marRight w:val="0"/>
      <w:marTop w:val="0"/>
      <w:marBottom w:val="0"/>
      <w:divBdr>
        <w:top w:val="none" w:sz="0" w:space="0" w:color="auto"/>
        <w:left w:val="none" w:sz="0" w:space="0" w:color="auto"/>
        <w:bottom w:val="none" w:sz="0" w:space="0" w:color="auto"/>
        <w:right w:val="none" w:sz="0" w:space="0" w:color="auto"/>
      </w:divBdr>
      <w:divsChild>
        <w:div w:id="1289897170">
          <w:marLeft w:val="0"/>
          <w:marRight w:val="0"/>
          <w:marTop w:val="0"/>
          <w:marBottom w:val="0"/>
          <w:divBdr>
            <w:top w:val="none" w:sz="0" w:space="0" w:color="auto"/>
            <w:left w:val="none" w:sz="0" w:space="0" w:color="auto"/>
            <w:bottom w:val="none" w:sz="0" w:space="0" w:color="auto"/>
            <w:right w:val="none" w:sz="0" w:space="0" w:color="auto"/>
          </w:divBdr>
          <w:divsChild>
            <w:div w:id="1904173722">
              <w:marLeft w:val="0"/>
              <w:marRight w:val="0"/>
              <w:marTop w:val="0"/>
              <w:marBottom w:val="0"/>
              <w:divBdr>
                <w:top w:val="none" w:sz="0" w:space="0" w:color="auto"/>
                <w:left w:val="none" w:sz="0" w:space="0" w:color="auto"/>
                <w:bottom w:val="none" w:sz="0" w:space="0" w:color="auto"/>
                <w:right w:val="none" w:sz="0" w:space="0" w:color="auto"/>
              </w:divBdr>
              <w:divsChild>
                <w:div w:id="18324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2935">
      <w:bodyDiv w:val="1"/>
      <w:marLeft w:val="0"/>
      <w:marRight w:val="0"/>
      <w:marTop w:val="0"/>
      <w:marBottom w:val="0"/>
      <w:divBdr>
        <w:top w:val="none" w:sz="0" w:space="0" w:color="auto"/>
        <w:left w:val="none" w:sz="0" w:space="0" w:color="auto"/>
        <w:bottom w:val="none" w:sz="0" w:space="0" w:color="auto"/>
        <w:right w:val="none" w:sz="0" w:space="0" w:color="auto"/>
      </w:divBdr>
      <w:divsChild>
        <w:div w:id="1873035524">
          <w:marLeft w:val="0"/>
          <w:marRight w:val="0"/>
          <w:marTop w:val="0"/>
          <w:marBottom w:val="0"/>
          <w:divBdr>
            <w:top w:val="none" w:sz="0" w:space="0" w:color="auto"/>
            <w:left w:val="none" w:sz="0" w:space="0" w:color="auto"/>
            <w:bottom w:val="none" w:sz="0" w:space="0" w:color="auto"/>
            <w:right w:val="none" w:sz="0" w:space="0" w:color="auto"/>
          </w:divBdr>
          <w:divsChild>
            <w:div w:id="115955958">
              <w:marLeft w:val="0"/>
              <w:marRight w:val="0"/>
              <w:marTop w:val="0"/>
              <w:marBottom w:val="0"/>
              <w:divBdr>
                <w:top w:val="none" w:sz="0" w:space="0" w:color="auto"/>
                <w:left w:val="none" w:sz="0" w:space="0" w:color="auto"/>
                <w:bottom w:val="none" w:sz="0" w:space="0" w:color="auto"/>
                <w:right w:val="none" w:sz="0" w:space="0" w:color="auto"/>
              </w:divBdr>
              <w:divsChild>
                <w:div w:id="14564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9044">
      <w:bodyDiv w:val="1"/>
      <w:marLeft w:val="0"/>
      <w:marRight w:val="0"/>
      <w:marTop w:val="0"/>
      <w:marBottom w:val="0"/>
      <w:divBdr>
        <w:top w:val="none" w:sz="0" w:space="0" w:color="auto"/>
        <w:left w:val="none" w:sz="0" w:space="0" w:color="auto"/>
        <w:bottom w:val="none" w:sz="0" w:space="0" w:color="auto"/>
        <w:right w:val="none" w:sz="0" w:space="0" w:color="auto"/>
      </w:divBdr>
      <w:divsChild>
        <w:div w:id="327905446">
          <w:marLeft w:val="0"/>
          <w:marRight w:val="0"/>
          <w:marTop w:val="0"/>
          <w:marBottom w:val="0"/>
          <w:divBdr>
            <w:top w:val="none" w:sz="0" w:space="0" w:color="auto"/>
            <w:left w:val="none" w:sz="0" w:space="0" w:color="auto"/>
            <w:bottom w:val="none" w:sz="0" w:space="0" w:color="auto"/>
            <w:right w:val="none" w:sz="0" w:space="0" w:color="auto"/>
          </w:divBdr>
          <w:divsChild>
            <w:div w:id="161749481">
              <w:marLeft w:val="0"/>
              <w:marRight w:val="0"/>
              <w:marTop w:val="0"/>
              <w:marBottom w:val="0"/>
              <w:divBdr>
                <w:top w:val="none" w:sz="0" w:space="0" w:color="auto"/>
                <w:left w:val="none" w:sz="0" w:space="0" w:color="auto"/>
                <w:bottom w:val="none" w:sz="0" w:space="0" w:color="auto"/>
                <w:right w:val="none" w:sz="0" w:space="0" w:color="auto"/>
              </w:divBdr>
              <w:divsChild>
                <w:div w:id="10311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0819">
      <w:bodyDiv w:val="1"/>
      <w:marLeft w:val="0"/>
      <w:marRight w:val="0"/>
      <w:marTop w:val="0"/>
      <w:marBottom w:val="0"/>
      <w:divBdr>
        <w:top w:val="none" w:sz="0" w:space="0" w:color="auto"/>
        <w:left w:val="none" w:sz="0" w:space="0" w:color="auto"/>
        <w:bottom w:val="none" w:sz="0" w:space="0" w:color="auto"/>
        <w:right w:val="none" w:sz="0" w:space="0" w:color="auto"/>
      </w:divBdr>
      <w:divsChild>
        <w:div w:id="1429765658">
          <w:marLeft w:val="0"/>
          <w:marRight w:val="0"/>
          <w:marTop w:val="0"/>
          <w:marBottom w:val="0"/>
          <w:divBdr>
            <w:top w:val="none" w:sz="0" w:space="0" w:color="auto"/>
            <w:left w:val="none" w:sz="0" w:space="0" w:color="auto"/>
            <w:bottom w:val="none" w:sz="0" w:space="0" w:color="auto"/>
            <w:right w:val="none" w:sz="0" w:space="0" w:color="auto"/>
          </w:divBdr>
          <w:divsChild>
            <w:div w:id="896012178">
              <w:marLeft w:val="0"/>
              <w:marRight w:val="0"/>
              <w:marTop w:val="0"/>
              <w:marBottom w:val="0"/>
              <w:divBdr>
                <w:top w:val="none" w:sz="0" w:space="0" w:color="auto"/>
                <w:left w:val="none" w:sz="0" w:space="0" w:color="auto"/>
                <w:bottom w:val="none" w:sz="0" w:space="0" w:color="auto"/>
                <w:right w:val="none" w:sz="0" w:space="0" w:color="auto"/>
              </w:divBdr>
              <w:divsChild>
                <w:div w:id="5653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20098">
      <w:bodyDiv w:val="1"/>
      <w:marLeft w:val="0"/>
      <w:marRight w:val="0"/>
      <w:marTop w:val="0"/>
      <w:marBottom w:val="0"/>
      <w:divBdr>
        <w:top w:val="none" w:sz="0" w:space="0" w:color="auto"/>
        <w:left w:val="none" w:sz="0" w:space="0" w:color="auto"/>
        <w:bottom w:val="none" w:sz="0" w:space="0" w:color="auto"/>
        <w:right w:val="none" w:sz="0" w:space="0" w:color="auto"/>
      </w:divBdr>
    </w:div>
    <w:div w:id="1343899894">
      <w:bodyDiv w:val="1"/>
      <w:marLeft w:val="0"/>
      <w:marRight w:val="0"/>
      <w:marTop w:val="0"/>
      <w:marBottom w:val="0"/>
      <w:divBdr>
        <w:top w:val="none" w:sz="0" w:space="0" w:color="auto"/>
        <w:left w:val="none" w:sz="0" w:space="0" w:color="auto"/>
        <w:bottom w:val="none" w:sz="0" w:space="0" w:color="auto"/>
        <w:right w:val="none" w:sz="0" w:space="0" w:color="auto"/>
      </w:divBdr>
      <w:divsChild>
        <w:div w:id="689189180">
          <w:marLeft w:val="0"/>
          <w:marRight w:val="0"/>
          <w:marTop w:val="0"/>
          <w:marBottom w:val="0"/>
          <w:divBdr>
            <w:top w:val="none" w:sz="0" w:space="0" w:color="auto"/>
            <w:left w:val="none" w:sz="0" w:space="0" w:color="auto"/>
            <w:bottom w:val="none" w:sz="0" w:space="0" w:color="auto"/>
            <w:right w:val="none" w:sz="0" w:space="0" w:color="auto"/>
          </w:divBdr>
          <w:divsChild>
            <w:div w:id="642007025">
              <w:marLeft w:val="0"/>
              <w:marRight w:val="0"/>
              <w:marTop w:val="0"/>
              <w:marBottom w:val="0"/>
              <w:divBdr>
                <w:top w:val="none" w:sz="0" w:space="0" w:color="auto"/>
                <w:left w:val="none" w:sz="0" w:space="0" w:color="auto"/>
                <w:bottom w:val="none" w:sz="0" w:space="0" w:color="auto"/>
                <w:right w:val="none" w:sz="0" w:space="0" w:color="auto"/>
              </w:divBdr>
              <w:divsChild>
                <w:div w:id="4205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02063">
      <w:bodyDiv w:val="1"/>
      <w:marLeft w:val="0"/>
      <w:marRight w:val="0"/>
      <w:marTop w:val="0"/>
      <w:marBottom w:val="0"/>
      <w:divBdr>
        <w:top w:val="none" w:sz="0" w:space="0" w:color="auto"/>
        <w:left w:val="none" w:sz="0" w:space="0" w:color="auto"/>
        <w:bottom w:val="none" w:sz="0" w:space="0" w:color="auto"/>
        <w:right w:val="none" w:sz="0" w:space="0" w:color="auto"/>
      </w:divBdr>
      <w:divsChild>
        <w:div w:id="1911118379">
          <w:marLeft w:val="0"/>
          <w:marRight w:val="0"/>
          <w:marTop w:val="0"/>
          <w:marBottom w:val="0"/>
          <w:divBdr>
            <w:top w:val="none" w:sz="0" w:space="0" w:color="auto"/>
            <w:left w:val="none" w:sz="0" w:space="0" w:color="auto"/>
            <w:bottom w:val="none" w:sz="0" w:space="0" w:color="auto"/>
            <w:right w:val="none" w:sz="0" w:space="0" w:color="auto"/>
          </w:divBdr>
          <w:divsChild>
            <w:div w:id="1900483184">
              <w:marLeft w:val="0"/>
              <w:marRight w:val="0"/>
              <w:marTop w:val="0"/>
              <w:marBottom w:val="0"/>
              <w:divBdr>
                <w:top w:val="none" w:sz="0" w:space="0" w:color="auto"/>
                <w:left w:val="none" w:sz="0" w:space="0" w:color="auto"/>
                <w:bottom w:val="none" w:sz="0" w:space="0" w:color="auto"/>
                <w:right w:val="none" w:sz="0" w:space="0" w:color="auto"/>
              </w:divBdr>
              <w:divsChild>
                <w:div w:id="212094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7560">
      <w:bodyDiv w:val="1"/>
      <w:marLeft w:val="0"/>
      <w:marRight w:val="0"/>
      <w:marTop w:val="0"/>
      <w:marBottom w:val="0"/>
      <w:divBdr>
        <w:top w:val="none" w:sz="0" w:space="0" w:color="auto"/>
        <w:left w:val="none" w:sz="0" w:space="0" w:color="auto"/>
        <w:bottom w:val="none" w:sz="0" w:space="0" w:color="auto"/>
        <w:right w:val="none" w:sz="0" w:space="0" w:color="auto"/>
      </w:divBdr>
      <w:divsChild>
        <w:div w:id="2004778071">
          <w:marLeft w:val="0"/>
          <w:marRight w:val="0"/>
          <w:marTop w:val="0"/>
          <w:marBottom w:val="0"/>
          <w:divBdr>
            <w:top w:val="none" w:sz="0" w:space="0" w:color="auto"/>
            <w:left w:val="none" w:sz="0" w:space="0" w:color="auto"/>
            <w:bottom w:val="none" w:sz="0" w:space="0" w:color="auto"/>
            <w:right w:val="none" w:sz="0" w:space="0" w:color="auto"/>
          </w:divBdr>
          <w:divsChild>
            <w:div w:id="1109281920">
              <w:marLeft w:val="0"/>
              <w:marRight w:val="0"/>
              <w:marTop w:val="0"/>
              <w:marBottom w:val="0"/>
              <w:divBdr>
                <w:top w:val="none" w:sz="0" w:space="0" w:color="auto"/>
                <w:left w:val="none" w:sz="0" w:space="0" w:color="auto"/>
                <w:bottom w:val="none" w:sz="0" w:space="0" w:color="auto"/>
                <w:right w:val="none" w:sz="0" w:space="0" w:color="auto"/>
              </w:divBdr>
              <w:divsChild>
                <w:div w:id="5084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0089">
      <w:bodyDiv w:val="1"/>
      <w:marLeft w:val="0"/>
      <w:marRight w:val="0"/>
      <w:marTop w:val="0"/>
      <w:marBottom w:val="0"/>
      <w:divBdr>
        <w:top w:val="none" w:sz="0" w:space="0" w:color="auto"/>
        <w:left w:val="none" w:sz="0" w:space="0" w:color="auto"/>
        <w:bottom w:val="none" w:sz="0" w:space="0" w:color="auto"/>
        <w:right w:val="none" w:sz="0" w:space="0" w:color="auto"/>
      </w:divBdr>
      <w:divsChild>
        <w:div w:id="2082948513">
          <w:marLeft w:val="0"/>
          <w:marRight w:val="0"/>
          <w:marTop w:val="0"/>
          <w:marBottom w:val="0"/>
          <w:divBdr>
            <w:top w:val="none" w:sz="0" w:space="0" w:color="auto"/>
            <w:left w:val="none" w:sz="0" w:space="0" w:color="auto"/>
            <w:bottom w:val="none" w:sz="0" w:space="0" w:color="auto"/>
            <w:right w:val="none" w:sz="0" w:space="0" w:color="auto"/>
          </w:divBdr>
          <w:divsChild>
            <w:div w:id="2021470708">
              <w:marLeft w:val="0"/>
              <w:marRight w:val="0"/>
              <w:marTop w:val="0"/>
              <w:marBottom w:val="0"/>
              <w:divBdr>
                <w:top w:val="none" w:sz="0" w:space="0" w:color="auto"/>
                <w:left w:val="none" w:sz="0" w:space="0" w:color="auto"/>
                <w:bottom w:val="none" w:sz="0" w:space="0" w:color="auto"/>
                <w:right w:val="none" w:sz="0" w:space="0" w:color="auto"/>
              </w:divBdr>
              <w:divsChild>
                <w:div w:id="20193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62727">
      <w:bodyDiv w:val="1"/>
      <w:marLeft w:val="0"/>
      <w:marRight w:val="0"/>
      <w:marTop w:val="0"/>
      <w:marBottom w:val="0"/>
      <w:divBdr>
        <w:top w:val="none" w:sz="0" w:space="0" w:color="auto"/>
        <w:left w:val="none" w:sz="0" w:space="0" w:color="auto"/>
        <w:bottom w:val="none" w:sz="0" w:space="0" w:color="auto"/>
        <w:right w:val="none" w:sz="0" w:space="0" w:color="auto"/>
      </w:divBdr>
    </w:div>
    <w:div w:id="1539780795">
      <w:bodyDiv w:val="1"/>
      <w:marLeft w:val="0"/>
      <w:marRight w:val="0"/>
      <w:marTop w:val="0"/>
      <w:marBottom w:val="0"/>
      <w:divBdr>
        <w:top w:val="none" w:sz="0" w:space="0" w:color="auto"/>
        <w:left w:val="none" w:sz="0" w:space="0" w:color="auto"/>
        <w:bottom w:val="none" w:sz="0" w:space="0" w:color="auto"/>
        <w:right w:val="none" w:sz="0" w:space="0" w:color="auto"/>
      </w:divBdr>
    </w:div>
    <w:div w:id="1541044334">
      <w:bodyDiv w:val="1"/>
      <w:marLeft w:val="0"/>
      <w:marRight w:val="0"/>
      <w:marTop w:val="0"/>
      <w:marBottom w:val="0"/>
      <w:divBdr>
        <w:top w:val="none" w:sz="0" w:space="0" w:color="auto"/>
        <w:left w:val="none" w:sz="0" w:space="0" w:color="auto"/>
        <w:bottom w:val="none" w:sz="0" w:space="0" w:color="auto"/>
        <w:right w:val="none" w:sz="0" w:space="0" w:color="auto"/>
      </w:divBdr>
      <w:divsChild>
        <w:div w:id="1188330153">
          <w:marLeft w:val="0"/>
          <w:marRight w:val="0"/>
          <w:marTop w:val="0"/>
          <w:marBottom w:val="0"/>
          <w:divBdr>
            <w:top w:val="none" w:sz="0" w:space="0" w:color="auto"/>
            <w:left w:val="none" w:sz="0" w:space="0" w:color="auto"/>
            <w:bottom w:val="none" w:sz="0" w:space="0" w:color="auto"/>
            <w:right w:val="none" w:sz="0" w:space="0" w:color="auto"/>
          </w:divBdr>
          <w:divsChild>
            <w:div w:id="1313212125">
              <w:marLeft w:val="0"/>
              <w:marRight w:val="0"/>
              <w:marTop w:val="0"/>
              <w:marBottom w:val="0"/>
              <w:divBdr>
                <w:top w:val="none" w:sz="0" w:space="0" w:color="auto"/>
                <w:left w:val="none" w:sz="0" w:space="0" w:color="auto"/>
                <w:bottom w:val="none" w:sz="0" w:space="0" w:color="auto"/>
                <w:right w:val="none" w:sz="0" w:space="0" w:color="auto"/>
              </w:divBdr>
              <w:divsChild>
                <w:div w:id="15058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4512">
      <w:bodyDiv w:val="1"/>
      <w:marLeft w:val="0"/>
      <w:marRight w:val="0"/>
      <w:marTop w:val="0"/>
      <w:marBottom w:val="0"/>
      <w:divBdr>
        <w:top w:val="none" w:sz="0" w:space="0" w:color="auto"/>
        <w:left w:val="none" w:sz="0" w:space="0" w:color="auto"/>
        <w:bottom w:val="none" w:sz="0" w:space="0" w:color="auto"/>
        <w:right w:val="none" w:sz="0" w:space="0" w:color="auto"/>
      </w:divBdr>
    </w:div>
    <w:div w:id="1597250644">
      <w:bodyDiv w:val="1"/>
      <w:marLeft w:val="0"/>
      <w:marRight w:val="0"/>
      <w:marTop w:val="0"/>
      <w:marBottom w:val="0"/>
      <w:divBdr>
        <w:top w:val="none" w:sz="0" w:space="0" w:color="auto"/>
        <w:left w:val="none" w:sz="0" w:space="0" w:color="auto"/>
        <w:bottom w:val="none" w:sz="0" w:space="0" w:color="auto"/>
        <w:right w:val="none" w:sz="0" w:space="0" w:color="auto"/>
      </w:divBdr>
      <w:divsChild>
        <w:div w:id="1985961109">
          <w:marLeft w:val="0"/>
          <w:marRight w:val="0"/>
          <w:marTop w:val="0"/>
          <w:marBottom w:val="0"/>
          <w:divBdr>
            <w:top w:val="none" w:sz="0" w:space="0" w:color="auto"/>
            <w:left w:val="none" w:sz="0" w:space="0" w:color="auto"/>
            <w:bottom w:val="none" w:sz="0" w:space="0" w:color="auto"/>
            <w:right w:val="none" w:sz="0" w:space="0" w:color="auto"/>
          </w:divBdr>
          <w:divsChild>
            <w:div w:id="1516575675">
              <w:marLeft w:val="0"/>
              <w:marRight w:val="0"/>
              <w:marTop w:val="0"/>
              <w:marBottom w:val="0"/>
              <w:divBdr>
                <w:top w:val="none" w:sz="0" w:space="0" w:color="auto"/>
                <w:left w:val="none" w:sz="0" w:space="0" w:color="auto"/>
                <w:bottom w:val="none" w:sz="0" w:space="0" w:color="auto"/>
                <w:right w:val="none" w:sz="0" w:space="0" w:color="auto"/>
              </w:divBdr>
              <w:divsChild>
                <w:div w:id="19950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76935">
      <w:bodyDiv w:val="1"/>
      <w:marLeft w:val="0"/>
      <w:marRight w:val="0"/>
      <w:marTop w:val="0"/>
      <w:marBottom w:val="0"/>
      <w:divBdr>
        <w:top w:val="none" w:sz="0" w:space="0" w:color="auto"/>
        <w:left w:val="none" w:sz="0" w:space="0" w:color="auto"/>
        <w:bottom w:val="none" w:sz="0" w:space="0" w:color="auto"/>
        <w:right w:val="none" w:sz="0" w:space="0" w:color="auto"/>
      </w:divBdr>
    </w:div>
    <w:div w:id="1622999669">
      <w:bodyDiv w:val="1"/>
      <w:marLeft w:val="0"/>
      <w:marRight w:val="0"/>
      <w:marTop w:val="0"/>
      <w:marBottom w:val="0"/>
      <w:divBdr>
        <w:top w:val="none" w:sz="0" w:space="0" w:color="auto"/>
        <w:left w:val="none" w:sz="0" w:space="0" w:color="auto"/>
        <w:bottom w:val="none" w:sz="0" w:space="0" w:color="auto"/>
        <w:right w:val="none" w:sz="0" w:space="0" w:color="auto"/>
      </w:divBdr>
      <w:divsChild>
        <w:div w:id="619067989">
          <w:marLeft w:val="0"/>
          <w:marRight w:val="0"/>
          <w:marTop w:val="0"/>
          <w:marBottom w:val="0"/>
          <w:divBdr>
            <w:top w:val="none" w:sz="0" w:space="0" w:color="auto"/>
            <w:left w:val="none" w:sz="0" w:space="0" w:color="auto"/>
            <w:bottom w:val="none" w:sz="0" w:space="0" w:color="auto"/>
            <w:right w:val="none" w:sz="0" w:space="0" w:color="auto"/>
          </w:divBdr>
          <w:divsChild>
            <w:div w:id="1861356352">
              <w:marLeft w:val="0"/>
              <w:marRight w:val="0"/>
              <w:marTop w:val="0"/>
              <w:marBottom w:val="0"/>
              <w:divBdr>
                <w:top w:val="none" w:sz="0" w:space="0" w:color="auto"/>
                <w:left w:val="none" w:sz="0" w:space="0" w:color="auto"/>
                <w:bottom w:val="none" w:sz="0" w:space="0" w:color="auto"/>
                <w:right w:val="none" w:sz="0" w:space="0" w:color="auto"/>
              </w:divBdr>
              <w:divsChild>
                <w:div w:id="17658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19606">
      <w:bodyDiv w:val="1"/>
      <w:marLeft w:val="0"/>
      <w:marRight w:val="0"/>
      <w:marTop w:val="0"/>
      <w:marBottom w:val="0"/>
      <w:divBdr>
        <w:top w:val="none" w:sz="0" w:space="0" w:color="auto"/>
        <w:left w:val="none" w:sz="0" w:space="0" w:color="auto"/>
        <w:bottom w:val="none" w:sz="0" w:space="0" w:color="auto"/>
        <w:right w:val="none" w:sz="0" w:space="0" w:color="auto"/>
      </w:divBdr>
      <w:divsChild>
        <w:div w:id="928807894">
          <w:marLeft w:val="0"/>
          <w:marRight w:val="0"/>
          <w:marTop w:val="0"/>
          <w:marBottom w:val="0"/>
          <w:divBdr>
            <w:top w:val="none" w:sz="0" w:space="0" w:color="auto"/>
            <w:left w:val="none" w:sz="0" w:space="0" w:color="auto"/>
            <w:bottom w:val="none" w:sz="0" w:space="0" w:color="auto"/>
            <w:right w:val="none" w:sz="0" w:space="0" w:color="auto"/>
          </w:divBdr>
          <w:divsChild>
            <w:div w:id="1500658507">
              <w:marLeft w:val="0"/>
              <w:marRight w:val="0"/>
              <w:marTop w:val="0"/>
              <w:marBottom w:val="0"/>
              <w:divBdr>
                <w:top w:val="none" w:sz="0" w:space="0" w:color="auto"/>
                <w:left w:val="none" w:sz="0" w:space="0" w:color="auto"/>
                <w:bottom w:val="none" w:sz="0" w:space="0" w:color="auto"/>
                <w:right w:val="none" w:sz="0" w:space="0" w:color="auto"/>
              </w:divBdr>
              <w:divsChild>
                <w:div w:id="18177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4541">
      <w:bodyDiv w:val="1"/>
      <w:marLeft w:val="0"/>
      <w:marRight w:val="0"/>
      <w:marTop w:val="0"/>
      <w:marBottom w:val="0"/>
      <w:divBdr>
        <w:top w:val="none" w:sz="0" w:space="0" w:color="auto"/>
        <w:left w:val="none" w:sz="0" w:space="0" w:color="auto"/>
        <w:bottom w:val="none" w:sz="0" w:space="0" w:color="auto"/>
        <w:right w:val="none" w:sz="0" w:space="0" w:color="auto"/>
      </w:divBdr>
    </w:div>
    <w:div w:id="1704790689">
      <w:bodyDiv w:val="1"/>
      <w:marLeft w:val="0"/>
      <w:marRight w:val="0"/>
      <w:marTop w:val="0"/>
      <w:marBottom w:val="0"/>
      <w:divBdr>
        <w:top w:val="none" w:sz="0" w:space="0" w:color="auto"/>
        <w:left w:val="none" w:sz="0" w:space="0" w:color="auto"/>
        <w:bottom w:val="none" w:sz="0" w:space="0" w:color="auto"/>
        <w:right w:val="none" w:sz="0" w:space="0" w:color="auto"/>
      </w:divBdr>
      <w:divsChild>
        <w:div w:id="1471627701">
          <w:marLeft w:val="0"/>
          <w:marRight w:val="0"/>
          <w:marTop w:val="0"/>
          <w:marBottom w:val="0"/>
          <w:divBdr>
            <w:top w:val="none" w:sz="0" w:space="0" w:color="auto"/>
            <w:left w:val="none" w:sz="0" w:space="0" w:color="auto"/>
            <w:bottom w:val="none" w:sz="0" w:space="0" w:color="auto"/>
            <w:right w:val="none" w:sz="0" w:space="0" w:color="auto"/>
          </w:divBdr>
          <w:divsChild>
            <w:div w:id="476529941">
              <w:marLeft w:val="0"/>
              <w:marRight w:val="0"/>
              <w:marTop w:val="0"/>
              <w:marBottom w:val="0"/>
              <w:divBdr>
                <w:top w:val="none" w:sz="0" w:space="0" w:color="auto"/>
                <w:left w:val="none" w:sz="0" w:space="0" w:color="auto"/>
                <w:bottom w:val="none" w:sz="0" w:space="0" w:color="auto"/>
                <w:right w:val="none" w:sz="0" w:space="0" w:color="auto"/>
              </w:divBdr>
              <w:divsChild>
                <w:div w:id="981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6736">
      <w:bodyDiv w:val="1"/>
      <w:marLeft w:val="0"/>
      <w:marRight w:val="0"/>
      <w:marTop w:val="0"/>
      <w:marBottom w:val="0"/>
      <w:divBdr>
        <w:top w:val="none" w:sz="0" w:space="0" w:color="auto"/>
        <w:left w:val="none" w:sz="0" w:space="0" w:color="auto"/>
        <w:bottom w:val="none" w:sz="0" w:space="0" w:color="auto"/>
        <w:right w:val="none" w:sz="0" w:space="0" w:color="auto"/>
      </w:divBdr>
      <w:divsChild>
        <w:div w:id="189299723">
          <w:marLeft w:val="0"/>
          <w:marRight w:val="0"/>
          <w:marTop w:val="0"/>
          <w:marBottom w:val="0"/>
          <w:divBdr>
            <w:top w:val="none" w:sz="0" w:space="0" w:color="auto"/>
            <w:left w:val="none" w:sz="0" w:space="0" w:color="auto"/>
            <w:bottom w:val="none" w:sz="0" w:space="0" w:color="auto"/>
            <w:right w:val="none" w:sz="0" w:space="0" w:color="auto"/>
          </w:divBdr>
          <w:divsChild>
            <w:div w:id="515926564">
              <w:marLeft w:val="0"/>
              <w:marRight w:val="0"/>
              <w:marTop w:val="0"/>
              <w:marBottom w:val="0"/>
              <w:divBdr>
                <w:top w:val="none" w:sz="0" w:space="0" w:color="auto"/>
                <w:left w:val="none" w:sz="0" w:space="0" w:color="auto"/>
                <w:bottom w:val="none" w:sz="0" w:space="0" w:color="auto"/>
                <w:right w:val="none" w:sz="0" w:space="0" w:color="auto"/>
              </w:divBdr>
              <w:divsChild>
                <w:div w:id="733967879">
                  <w:marLeft w:val="0"/>
                  <w:marRight w:val="0"/>
                  <w:marTop w:val="0"/>
                  <w:marBottom w:val="0"/>
                  <w:divBdr>
                    <w:top w:val="none" w:sz="0" w:space="0" w:color="auto"/>
                    <w:left w:val="none" w:sz="0" w:space="0" w:color="auto"/>
                    <w:bottom w:val="none" w:sz="0" w:space="0" w:color="auto"/>
                    <w:right w:val="none" w:sz="0" w:space="0" w:color="auto"/>
                  </w:divBdr>
                  <w:divsChild>
                    <w:div w:id="13492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782">
      <w:bodyDiv w:val="1"/>
      <w:marLeft w:val="0"/>
      <w:marRight w:val="0"/>
      <w:marTop w:val="0"/>
      <w:marBottom w:val="0"/>
      <w:divBdr>
        <w:top w:val="none" w:sz="0" w:space="0" w:color="auto"/>
        <w:left w:val="none" w:sz="0" w:space="0" w:color="auto"/>
        <w:bottom w:val="none" w:sz="0" w:space="0" w:color="auto"/>
        <w:right w:val="none" w:sz="0" w:space="0" w:color="auto"/>
      </w:divBdr>
      <w:divsChild>
        <w:div w:id="248080974">
          <w:marLeft w:val="0"/>
          <w:marRight w:val="0"/>
          <w:marTop w:val="0"/>
          <w:marBottom w:val="0"/>
          <w:divBdr>
            <w:top w:val="none" w:sz="0" w:space="0" w:color="auto"/>
            <w:left w:val="none" w:sz="0" w:space="0" w:color="auto"/>
            <w:bottom w:val="none" w:sz="0" w:space="0" w:color="auto"/>
            <w:right w:val="none" w:sz="0" w:space="0" w:color="auto"/>
          </w:divBdr>
          <w:divsChild>
            <w:div w:id="52166960">
              <w:marLeft w:val="0"/>
              <w:marRight w:val="0"/>
              <w:marTop w:val="0"/>
              <w:marBottom w:val="0"/>
              <w:divBdr>
                <w:top w:val="none" w:sz="0" w:space="0" w:color="auto"/>
                <w:left w:val="none" w:sz="0" w:space="0" w:color="auto"/>
                <w:bottom w:val="none" w:sz="0" w:space="0" w:color="auto"/>
                <w:right w:val="none" w:sz="0" w:space="0" w:color="auto"/>
              </w:divBdr>
              <w:divsChild>
                <w:div w:id="2022848866">
                  <w:marLeft w:val="0"/>
                  <w:marRight w:val="0"/>
                  <w:marTop w:val="0"/>
                  <w:marBottom w:val="0"/>
                  <w:divBdr>
                    <w:top w:val="none" w:sz="0" w:space="0" w:color="auto"/>
                    <w:left w:val="none" w:sz="0" w:space="0" w:color="auto"/>
                    <w:bottom w:val="none" w:sz="0" w:space="0" w:color="auto"/>
                    <w:right w:val="none" w:sz="0" w:space="0" w:color="auto"/>
                  </w:divBdr>
                  <w:divsChild>
                    <w:div w:id="9846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9938">
      <w:bodyDiv w:val="1"/>
      <w:marLeft w:val="0"/>
      <w:marRight w:val="0"/>
      <w:marTop w:val="0"/>
      <w:marBottom w:val="0"/>
      <w:divBdr>
        <w:top w:val="none" w:sz="0" w:space="0" w:color="auto"/>
        <w:left w:val="none" w:sz="0" w:space="0" w:color="auto"/>
        <w:bottom w:val="none" w:sz="0" w:space="0" w:color="auto"/>
        <w:right w:val="none" w:sz="0" w:space="0" w:color="auto"/>
      </w:divBdr>
    </w:div>
    <w:div w:id="1748461073">
      <w:bodyDiv w:val="1"/>
      <w:marLeft w:val="0"/>
      <w:marRight w:val="0"/>
      <w:marTop w:val="0"/>
      <w:marBottom w:val="0"/>
      <w:divBdr>
        <w:top w:val="none" w:sz="0" w:space="0" w:color="auto"/>
        <w:left w:val="none" w:sz="0" w:space="0" w:color="auto"/>
        <w:bottom w:val="none" w:sz="0" w:space="0" w:color="auto"/>
        <w:right w:val="none" w:sz="0" w:space="0" w:color="auto"/>
      </w:divBdr>
      <w:divsChild>
        <w:div w:id="2783663">
          <w:marLeft w:val="0"/>
          <w:marRight w:val="0"/>
          <w:marTop w:val="0"/>
          <w:marBottom w:val="0"/>
          <w:divBdr>
            <w:top w:val="none" w:sz="0" w:space="0" w:color="auto"/>
            <w:left w:val="none" w:sz="0" w:space="0" w:color="auto"/>
            <w:bottom w:val="none" w:sz="0" w:space="0" w:color="auto"/>
            <w:right w:val="none" w:sz="0" w:space="0" w:color="auto"/>
          </w:divBdr>
          <w:divsChild>
            <w:div w:id="22444761">
              <w:marLeft w:val="0"/>
              <w:marRight w:val="0"/>
              <w:marTop w:val="0"/>
              <w:marBottom w:val="0"/>
              <w:divBdr>
                <w:top w:val="none" w:sz="0" w:space="0" w:color="auto"/>
                <w:left w:val="none" w:sz="0" w:space="0" w:color="auto"/>
                <w:bottom w:val="none" w:sz="0" w:space="0" w:color="auto"/>
                <w:right w:val="none" w:sz="0" w:space="0" w:color="auto"/>
              </w:divBdr>
              <w:divsChild>
                <w:div w:id="15526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3579">
      <w:bodyDiv w:val="1"/>
      <w:marLeft w:val="0"/>
      <w:marRight w:val="0"/>
      <w:marTop w:val="0"/>
      <w:marBottom w:val="0"/>
      <w:divBdr>
        <w:top w:val="none" w:sz="0" w:space="0" w:color="auto"/>
        <w:left w:val="none" w:sz="0" w:space="0" w:color="auto"/>
        <w:bottom w:val="none" w:sz="0" w:space="0" w:color="auto"/>
        <w:right w:val="none" w:sz="0" w:space="0" w:color="auto"/>
      </w:divBdr>
      <w:divsChild>
        <w:div w:id="459766365">
          <w:marLeft w:val="0"/>
          <w:marRight w:val="0"/>
          <w:marTop w:val="0"/>
          <w:marBottom w:val="0"/>
          <w:divBdr>
            <w:top w:val="none" w:sz="0" w:space="0" w:color="auto"/>
            <w:left w:val="none" w:sz="0" w:space="0" w:color="auto"/>
            <w:bottom w:val="none" w:sz="0" w:space="0" w:color="auto"/>
            <w:right w:val="none" w:sz="0" w:space="0" w:color="auto"/>
          </w:divBdr>
          <w:divsChild>
            <w:div w:id="341904412">
              <w:marLeft w:val="0"/>
              <w:marRight w:val="0"/>
              <w:marTop w:val="0"/>
              <w:marBottom w:val="0"/>
              <w:divBdr>
                <w:top w:val="none" w:sz="0" w:space="0" w:color="auto"/>
                <w:left w:val="none" w:sz="0" w:space="0" w:color="auto"/>
                <w:bottom w:val="none" w:sz="0" w:space="0" w:color="auto"/>
                <w:right w:val="none" w:sz="0" w:space="0" w:color="auto"/>
              </w:divBdr>
              <w:divsChild>
                <w:div w:id="762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83025">
      <w:bodyDiv w:val="1"/>
      <w:marLeft w:val="0"/>
      <w:marRight w:val="0"/>
      <w:marTop w:val="0"/>
      <w:marBottom w:val="0"/>
      <w:divBdr>
        <w:top w:val="none" w:sz="0" w:space="0" w:color="auto"/>
        <w:left w:val="none" w:sz="0" w:space="0" w:color="auto"/>
        <w:bottom w:val="none" w:sz="0" w:space="0" w:color="auto"/>
        <w:right w:val="none" w:sz="0" w:space="0" w:color="auto"/>
      </w:divBdr>
    </w:div>
    <w:div w:id="1822235361">
      <w:bodyDiv w:val="1"/>
      <w:marLeft w:val="0"/>
      <w:marRight w:val="0"/>
      <w:marTop w:val="0"/>
      <w:marBottom w:val="0"/>
      <w:divBdr>
        <w:top w:val="none" w:sz="0" w:space="0" w:color="auto"/>
        <w:left w:val="none" w:sz="0" w:space="0" w:color="auto"/>
        <w:bottom w:val="none" w:sz="0" w:space="0" w:color="auto"/>
        <w:right w:val="none" w:sz="0" w:space="0" w:color="auto"/>
      </w:divBdr>
    </w:div>
    <w:div w:id="1837377563">
      <w:bodyDiv w:val="1"/>
      <w:marLeft w:val="0"/>
      <w:marRight w:val="0"/>
      <w:marTop w:val="0"/>
      <w:marBottom w:val="0"/>
      <w:divBdr>
        <w:top w:val="none" w:sz="0" w:space="0" w:color="auto"/>
        <w:left w:val="none" w:sz="0" w:space="0" w:color="auto"/>
        <w:bottom w:val="none" w:sz="0" w:space="0" w:color="auto"/>
        <w:right w:val="none" w:sz="0" w:space="0" w:color="auto"/>
      </w:divBdr>
      <w:divsChild>
        <w:div w:id="679164891">
          <w:marLeft w:val="0"/>
          <w:marRight w:val="0"/>
          <w:marTop w:val="0"/>
          <w:marBottom w:val="0"/>
          <w:divBdr>
            <w:top w:val="none" w:sz="0" w:space="0" w:color="auto"/>
            <w:left w:val="none" w:sz="0" w:space="0" w:color="auto"/>
            <w:bottom w:val="none" w:sz="0" w:space="0" w:color="auto"/>
            <w:right w:val="none" w:sz="0" w:space="0" w:color="auto"/>
          </w:divBdr>
          <w:divsChild>
            <w:div w:id="22052036">
              <w:marLeft w:val="0"/>
              <w:marRight w:val="0"/>
              <w:marTop w:val="0"/>
              <w:marBottom w:val="0"/>
              <w:divBdr>
                <w:top w:val="none" w:sz="0" w:space="0" w:color="auto"/>
                <w:left w:val="none" w:sz="0" w:space="0" w:color="auto"/>
                <w:bottom w:val="none" w:sz="0" w:space="0" w:color="auto"/>
                <w:right w:val="none" w:sz="0" w:space="0" w:color="auto"/>
              </w:divBdr>
              <w:divsChild>
                <w:div w:id="15262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7891">
      <w:bodyDiv w:val="1"/>
      <w:marLeft w:val="0"/>
      <w:marRight w:val="0"/>
      <w:marTop w:val="0"/>
      <w:marBottom w:val="0"/>
      <w:divBdr>
        <w:top w:val="none" w:sz="0" w:space="0" w:color="auto"/>
        <w:left w:val="none" w:sz="0" w:space="0" w:color="auto"/>
        <w:bottom w:val="none" w:sz="0" w:space="0" w:color="auto"/>
        <w:right w:val="none" w:sz="0" w:space="0" w:color="auto"/>
      </w:divBdr>
    </w:div>
    <w:div w:id="1920361772">
      <w:bodyDiv w:val="1"/>
      <w:marLeft w:val="0"/>
      <w:marRight w:val="0"/>
      <w:marTop w:val="0"/>
      <w:marBottom w:val="0"/>
      <w:divBdr>
        <w:top w:val="none" w:sz="0" w:space="0" w:color="auto"/>
        <w:left w:val="none" w:sz="0" w:space="0" w:color="auto"/>
        <w:bottom w:val="none" w:sz="0" w:space="0" w:color="auto"/>
        <w:right w:val="none" w:sz="0" w:space="0" w:color="auto"/>
      </w:divBdr>
    </w:div>
    <w:div w:id="1928418932">
      <w:bodyDiv w:val="1"/>
      <w:marLeft w:val="0"/>
      <w:marRight w:val="0"/>
      <w:marTop w:val="0"/>
      <w:marBottom w:val="0"/>
      <w:divBdr>
        <w:top w:val="none" w:sz="0" w:space="0" w:color="auto"/>
        <w:left w:val="none" w:sz="0" w:space="0" w:color="auto"/>
        <w:bottom w:val="none" w:sz="0" w:space="0" w:color="auto"/>
        <w:right w:val="none" w:sz="0" w:space="0" w:color="auto"/>
      </w:divBdr>
      <w:divsChild>
        <w:div w:id="719134979">
          <w:marLeft w:val="0"/>
          <w:marRight w:val="0"/>
          <w:marTop w:val="0"/>
          <w:marBottom w:val="0"/>
          <w:divBdr>
            <w:top w:val="none" w:sz="0" w:space="0" w:color="auto"/>
            <w:left w:val="none" w:sz="0" w:space="0" w:color="auto"/>
            <w:bottom w:val="none" w:sz="0" w:space="0" w:color="auto"/>
            <w:right w:val="none" w:sz="0" w:space="0" w:color="auto"/>
          </w:divBdr>
          <w:divsChild>
            <w:div w:id="619919448">
              <w:marLeft w:val="0"/>
              <w:marRight w:val="0"/>
              <w:marTop w:val="0"/>
              <w:marBottom w:val="0"/>
              <w:divBdr>
                <w:top w:val="none" w:sz="0" w:space="0" w:color="auto"/>
                <w:left w:val="none" w:sz="0" w:space="0" w:color="auto"/>
                <w:bottom w:val="none" w:sz="0" w:space="0" w:color="auto"/>
                <w:right w:val="none" w:sz="0" w:space="0" w:color="auto"/>
              </w:divBdr>
              <w:divsChild>
                <w:div w:id="14560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139">
      <w:bodyDiv w:val="1"/>
      <w:marLeft w:val="0"/>
      <w:marRight w:val="0"/>
      <w:marTop w:val="0"/>
      <w:marBottom w:val="0"/>
      <w:divBdr>
        <w:top w:val="none" w:sz="0" w:space="0" w:color="auto"/>
        <w:left w:val="none" w:sz="0" w:space="0" w:color="auto"/>
        <w:bottom w:val="none" w:sz="0" w:space="0" w:color="auto"/>
        <w:right w:val="none" w:sz="0" w:space="0" w:color="auto"/>
      </w:divBdr>
    </w:div>
    <w:div w:id="1950811725">
      <w:bodyDiv w:val="1"/>
      <w:marLeft w:val="0"/>
      <w:marRight w:val="0"/>
      <w:marTop w:val="0"/>
      <w:marBottom w:val="0"/>
      <w:divBdr>
        <w:top w:val="none" w:sz="0" w:space="0" w:color="auto"/>
        <w:left w:val="none" w:sz="0" w:space="0" w:color="auto"/>
        <w:bottom w:val="none" w:sz="0" w:space="0" w:color="auto"/>
        <w:right w:val="none" w:sz="0" w:space="0" w:color="auto"/>
      </w:divBdr>
      <w:divsChild>
        <w:div w:id="635792645">
          <w:marLeft w:val="0"/>
          <w:marRight w:val="0"/>
          <w:marTop w:val="0"/>
          <w:marBottom w:val="0"/>
          <w:divBdr>
            <w:top w:val="none" w:sz="0" w:space="0" w:color="auto"/>
            <w:left w:val="none" w:sz="0" w:space="0" w:color="auto"/>
            <w:bottom w:val="none" w:sz="0" w:space="0" w:color="auto"/>
            <w:right w:val="none" w:sz="0" w:space="0" w:color="auto"/>
          </w:divBdr>
          <w:divsChild>
            <w:div w:id="1439787667">
              <w:marLeft w:val="0"/>
              <w:marRight w:val="0"/>
              <w:marTop w:val="0"/>
              <w:marBottom w:val="0"/>
              <w:divBdr>
                <w:top w:val="none" w:sz="0" w:space="0" w:color="auto"/>
                <w:left w:val="none" w:sz="0" w:space="0" w:color="auto"/>
                <w:bottom w:val="none" w:sz="0" w:space="0" w:color="auto"/>
                <w:right w:val="none" w:sz="0" w:space="0" w:color="auto"/>
              </w:divBdr>
              <w:divsChild>
                <w:div w:id="18061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81452">
      <w:bodyDiv w:val="1"/>
      <w:marLeft w:val="0"/>
      <w:marRight w:val="0"/>
      <w:marTop w:val="0"/>
      <w:marBottom w:val="0"/>
      <w:divBdr>
        <w:top w:val="none" w:sz="0" w:space="0" w:color="auto"/>
        <w:left w:val="none" w:sz="0" w:space="0" w:color="auto"/>
        <w:bottom w:val="none" w:sz="0" w:space="0" w:color="auto"/>
        <w:right w:val="none" w:sz="0" w:space="0" w:color="auto"/>
      </w:divBdr>
    </w:div>
    <w:div w:id="2033454765">
      <w:bodyDiv w:val="1"/>
      <w:marLeft w:val="0"/>
      <w:marRight w:val="0"/>
      <w:marTop w:val="0"/>
      <w:marBottom w:val="0"/>
      <w:divBdr>
        <w:top w:val="none" w:sz="0" w:space="0" w:color="auto"/>
        <w:left w:val="none" w:sz="0" w:space="0" w:color="auto"/>
        <w:bottom w:val="none" w:sz="0" w:space="0" w:color="auto"/>
        <w:right w:val="none" w:sz="0" w:space="0" w:color="auto"/>
      </w:divBdr>
    </w:div>
    <w:div w:id="213131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sciencedirect.com/topics/medicine-and-dentistry/neutrophi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sciencedirect.com/topics/medicine-and-dentistry/c-reactive-pro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C7327-3D24-4F02-8863-94E1DF60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2842</TotalTime>
  <Pages>27</Pages>
  <Words>8287</Words>
  <Characters>47241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130</cp:revision>
  <dcterms:created xsi:type="dcterms:W3CDTF">2023-03-04T20:09:00Z</dcterms:created>
  <dcterms:modified xsi:type="dcterms:W3CDTF">2023-03-15T11:28:00Z</dcterms:modified>
</cp:coreProperties>
</file>