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0169" w14:textId="77777777" w:rsidR="00987FCF" w:rsidRDefault="00987FCF" w:rsidP="00987FCF">
      <w:pPr>
        <w:spacing w:line="480" w:lineRule="auto"/>
        <w:jc w:val="both"/>
        <w:rPr>
          <w:b/>
          <w:iCs/>
          <w:color w:val="000000" w:themeColor="text1"/>
        </w:rPr>
      </w:pPr>
    </w:p>
    <w:p w14:paraId="729C1154" w14:textId="77777777" w:rsidR="00987FCF" w:rsidRPr="00E975C6" w:rsidRDefault="00987FCF" w:rsidP="00987FCF">
      <w:r w:rsidRPr="00E975C6">
        <w:fldChar w:fldCharType="begin"/>
      </w:r>
      <w:r w:rsidRPr="00E975C6">
        <w:instrText xml:space="preserve"> INCLUDEPICTURE "https://economist-findercms-files.s3.us-west-1.amazonaws.com/2018-09/norwichlg-1.jpg" \* MERGEFORMATINET </w:instrText>
      </w:r>
      <w:r w:rsidRPr="00E975C6">
        <w:fldChar w:fldCharType="end"/>
      </w:r>
    </w:p>
    <w:p w14:paraId="6851AAD7" w14:textId="77777777" w:rsidR="00987FCF" w:rsidRDefault="00987FCF" w:rsidP="00987FCF">
      <w:pPr>
        <w:spacing w:line="480" w:lineRule="auto"/>
        <w:jc w:val="center"/>
        <w:rPr>
          <w:b/>
          <w:sz w:val="31"/>
          <w:szCs w:val="31"/>
        </w:rPr>
      </w:pPr>
      <w:r>
        <w:rPr>
          <w:b/>
          <w:sz w:val="31"/>
          <w:szCs w:val="31"/>
        </w:rPr>
        <w:t xml:space="preserve">Voluntary gender diversity targets and their impact </w:t>
      </w:r>
    </w:p>
    <w:p w14:paraId="2013E687" w14:textId="77777777" w:rsidR="00987FCF" w:rsidRDefault="00987FCF" w:rsidP="00987FCF">
      <w:pPr>
        <w:spacing w:line="480" w:lineRule="auto"/>
        <w:jc w:val="center"/>
        <w:rPr>
          <w:b/>
          <w:sz w:val="31"/>
          <w:szCs w:val="31"/>
        </w:rPr>
      </w:pPr>
      <w:r>
        <w:rPr>
          <w:b/>
          <w:sz w:val="31"/>
          <w:szCs w:val="31"/>
        </w:rPr>
        <w:t>on firm performance and firm value</w:t>
      </w:r>
    </w:p>
    <w:p w14:paraId="367F9C84" w14:textId="77777777" w:rsidR="00987FCF" w:rsidRDefault="00987FCF" w:rsidP="00987FCF">
      <w:pPr>
        <w:spacing w:line="480" w:lineRule="auto"/>
        <w:jc w:val="center"/>
        <w:rPr>
          <w:b/>
          <w:sz w:val="31"/>
          <w:szCs w:val="31"/>
        </w:rPr>
      </w:pPr>
    </w:p>
    <w:p w14:paraId="58A434C4" w14:textId="77777777" w:rsidR="00987FCF" w:rsidRPr="00AB2EF3" w:rsidRDefault="00987FCF" w:rsidP="00987FCF">
      <w:pPr>
        <w:spacing w:line="480" w:lineRule="auto"/>
        <w:jc w:val="center"/>
        <w:rPr>
          <w:rFonts w:ascii="Calibri" w:hAnsi="Calibri" w:cs="Calibri"/>
          <w:color w:val="000000"/>
        </w:rPr>
      </w:pPr>
      <w:r w:rsidRPr="00AB2EF3">
        <w:rPr>
          <w:b/>
          <w:bCs/>
          <w:color w:val="000000"/>
        </w:rPr>
        <w:t>Ana Marques</w:t>
      </w:r>
    </w:p>
    <w:p w14:paraId="2E89219D" w14:textId="77777777" w:rsidR="00987FCF" w:rsidRDefault="00987FCF" w:rsidP="00987FCF">
      <w:pPr>
        <w:spacing w:line="480" w:lineRule="auto"/>
        <w:jc w:val="center"/>
        <w:rPr>
          <w:color w:val="000000"/>
        </w:rPr>
      </w:pPr>
      <w:r w:rsidRPr="004D3E68">
        <w:rPr>
          <w:color w:val="000000"/>
        </w:rPr>
        <w:t>Norwich Business School – University of East Anglia</w:t>
      </w:r>
    </w:p>
    <w:p w14:paraId="5DDB58C7" w14:textId="77777777" w:rsidR="00987FCF" w:rsidRPr="004D3E68" w:rsidRDefault="00987FCF" w:rsidP="00987FCF">
      <w:pPr>
        <w:spacing w:line="480" w:lineRule="auto"/>
        <w:jc w:val="center"/>
        <w:rPr>
          <w:rFonts w:ascii="Calibri" w:hAnsi="Calibri" w:cs="Calibri"/>
          <w:color w:val="000000"/>
        </w:rPr>
      </w:pPr>
      <w:r>
        <w:rPr>
          <w:color w:val="000000"/>
        </w:rPr>
        <w:t>Norwich, United Kingdom</w:t>
      </w:r>
    </w:p>
    <w:p w14:paraId="42E9B4D7" w14:textId="77777777" w:rsidR="00987FCF" w:rsidRPr="00AB2EF3" w:rsidRDefault="00987FCF" w:rsidP="00987FCF">
      <w:pPr>
        <w:spacing w:line="480" w:lineRule="auto"/>
        <w:jc w:val="center"/>
        <w:rPr>
          <w:rFonts w:ascii="Calibri" w:hAnsi="Calibri" w:cs="Calibri"/>
          <w:color w:val="000000"/>
        </w:rPr>
      </w:pPr>
      <w:r w:rsidRPr="004D3E68">
        <w:rPr>
          <w:color w:val="000000"/>
        </w:rPr>
        <w:t>ana.marques@uea.ac.uk</w:t>
      </w:r>
    </w:p>
    <w:p w14:paraId="1ACB8130" w14:textId="77777777" w:rsidR="00987FCF" w:rsidRPr="007B7062" w:rsidRDefault="00987FCF" w:rsidP="00987FCF">
      <w:pPr>
        <w:spacing w:line="480" w:lineRule="auto"/>
        <w:jc w:val="both"/>
        <w:rPr>
          <w:iCs/>
        </w:rPr>
      </w:pPr>
    </w:p>
    <w:p w14:paraId="0C27C331" w14:textId="77777777" w:rsidR="00987FCF" w:rsidRDefault="00987FCF" w:rsidP="00987FCF">
      <w:pPr>
        <w:spacing w:line="480" w:lineRule="auto"/>
        <w:jc w:val="center"/>
        <w:rPr>
          <w:b/>
          <w:bCs/>
          <w:color w:val="000000"/>
        </w:rPr>
      </w:pPr>
      <w:r w:rsidRPr="00AB78E0">
        <w:rPr>
          <w:b/>
          <w:bCs/>
          <w:color w:val="000000"/>
        </w:rPr>
        <w:t>Olga Pascaru</w:t>
      </w:r>
    </w:p>
    <w:p w14:paraId="6C77DD7B" w14:textId="77777777" w:rsidR="00987FCF" w:rsidRDefault="00987FCF" w:rsidP="00987FCF">
      <w:pPr>
        <w:spacing w:line="480" w:lineRule="auto"/>
        <w:jc w:val="center"/>
        <w:rPr>
          <w:color w:val="000000"/>
        </w:rPr>
      </w:pPr>
      <w:r w:rsidRPr="004D3E68">
        <w:rPr>
          <w:color w:val="000000"/>
        </w:rPr>
        <w:t>Norwich Business School – University of East Anglia</w:t>
      </w:r>
    </w:p>
    <w:p w14:paraId="4D7897BE" w14:textId="77777777" w:rsidR="00987FCF" w:rsidRPr="004D3E68" w:rsidRDefault="00987FCF" w:rsidP="00987FCF">
      <w:pPr>
        <w:spacing w:line="480" w:lineRule="auto"/>
        <w:jc w:val="center"/>
        <w:rPr>
          <w:rFonts w:ascii="Calibri" w:hAnsi="Calibri" w:cs="Calibri"/>
          <w:color w:val="000000"/>
        </w:rPr>
      </w:pPr>
      <w:r>
        <w:rPr>
          <w:color w:val="000000"/>
        </w:rPr>
        <w:t>Norwich, United Kingdom</w:t>
      </w:r>
    </w:p>
    <w:p w14:paraId="266228C5" w14:textId="10634A1C" w:rsidR="00987FCF" w:rsidRDefault="00987FCF" w:rsidP="00987FCF">
      <w:pPr>
        <w:spacing w:line="480" w:lineRule="auto"/>
        <w:jc w:val="center"/>
        <w:rPr>
          <w:color w:val="000000"/>
        </w:rPr>
      </w:pPr>
      <w:r w:rsidRPr="00987FCF">
        <w:rPr>
          <w:color w:val="000000"/>
        </w:rPr>
        <w:t>olga.pascaru@mail.com</w:t>
      </w:r>
    </w:p>
    <w:p w14:paraId="28275A9F" w14:textId="3D3FFD59" w:rsidR="00987FCF" w:rsidRDefault="00987FCF" w:rsidP="00987FCF">
      <w:pPr>
        <w:spacing w:line="480" w:lineRule="auto"/>
        <w:jc w:val="center"/>
        <w:rPr>
          <w:color w:val="000000"/>
        </w:rPr>
      </w:pPr>
    </w:p>
    <w:p w14:paraId="5AE71546" w14:textId="0B25FED5" w:rsidR="00987FCF" w:rsidRPr="00987FCF" w:rsidRDefault="00987FCF" w:rsidP="00987FCF">
      <w:pPr>
        <w:spacing w:line="480" w:lineRule="auto"/>
        <w:jc w:val="center"/>
        <w:rPr>
          <w:color w:val="000000"/>
          <w:u w:val="single"/>
        </w:rPr>
      </w:pPr>
      <w:r w:rsidRPr="00987FCF">
        <w:rPr>
          <w:color w:val="000000"/>
          <w:u w:val="single"/>
        </w:rPr>
        <w:t>Forthcoming in Journal of International Accounting Research</w:t>
      </w:r>
    </w:p>
    <w:p w14:paraId="1EC2D1C1" w14:textId="6A76A3D4" w:rsidR="00987FCF" w:rsidRDefault="00987FCF" w:rsidP="00987FCF">
      <w:pPr>
        <w:spacing w:line="480" w:lineRule="auto"/>
        <w:jc w:val="center"/>
        <w:rPr>
          <w:b/>
          <w:bCs/>
          <w:color w:val="000000"/>
        </w:rPr>
      </w:pPr>
    </w:p>
    <w:p w14:paraId="6477EFC7" w14:textId="77777777" w:rsidR="00987FCF" w:rsidRPr="00AB78E0" w:rsidRDefault="00987FCF" w:rsidP="00987FCF">
      <w:pPr>
        <w:spacing w:line="480" w:lineRule="auto"/>
        <w:jc w:val="center"/>
        <w:rPr>
          <w:b/>
          <w:bCs/>
          <w:color w:val="000000"/>
        </w:rPr>
      </w:pPr>
    </w:p>
    <w:p w14:paraId="12CE7B22" w14:textId="77777777" w:rsidR="00987FCF" w:rsidRPr="00987FCF" w:rsidRDefault="00987FCF" w:rsidP="00987FCF">
      <w:pPr>
        <w:spacing w:line="480" w:lineRule="auto"/>
        <w:rPr>
          <w:color w:val="000000"/>
        </w:rPr>
      </w:pPr>
      <w:r w:rsidRPr="00987FCF">
        <w:rPr>
          <w:color w:val="000000"/>
        </w:rPr>
        <w:t>Data Availability: Data are available from the public sources cited in the text.</w:t>
      </w:r>
    </w:p>
    <w:p w14:paraId="16567609" w14:textId="77777777" w:rsidR="00987FCF" w:rsidRPr="00987FCF" w:rsidRDefault="00987FCF" w:rsidP="00987FCF">
      <w:pPr>
        <w:spacing w:line="480" w:lineRule="auto"/>
        <w:rPr>
          <w:color w:val="000000"/>
        </w:rPr>
      </w:pPr>
      <w:r w:rsidRPr="00987FCF">
        <w:rPr>
          <w:color w:val="000000"/>
        </w:rPr>
        <w:t>JEL Classifications: G30; G38; M41.</w:t>
      </w:r>
    </w:p>
    <w:p w14:paraId="0DFAF0F8" w14:textId="77777777" w:rsidR="00987FCF" w:rsidRPr="00DA5720" w:rsidRDefault="00987FCF" w:rsidP="00987FCF">
      <w:pPr>
        <w:spacing w:line="480" w:lineRule="auto"/>
        <w:rPr>
          <w:color w:val="000000"/>
        </w:rPr>
      </w:pPr>
      <w:r w:rsidRPr="00987FCF">
        <w:rPr>
          <w:color w:val="000000"/>
        </w:rPr>
        <w:t>Keywords: Gender quotas;</w:t>
      </w:r>
      <w:r w:rsidRPr="00DA5720">
        <w:rPr>
          <w:color w:val="000000"/>
        </w:rPr>
        <w:t xml:space="preserve"> Davies Report; FTSE 350; Executive directors.</w:t>
      </w:r>
    </w:p>
    <w:p w14:paraId="6EFB0852" w14:textId="77777777" w:rsidR="00987FCF" w:rsidRDefault="00987FCF" w:rsidP="00987FCF">
      <w:pPr>
        <w:spacing w:line="480" w:lineRule="auto"/>
        <w:jc w:val="both"/>
        <w:rPr>
          <w:iCs/>
        </w:rPr>
      </w:pPr>
    </w:p>
    <w:p w14:paraId="2F7B34C4" w14:textId="77777777" w:rsidR="00987FCF" w:rsidRPr="00ED6281" w:rsidRDefault="00987FCF" w:rsidP="00987FCF">
      <w:pPr>
        <w:rPr>
          <w:iCs/>
        </w:rPr>
      </w:pPr>
    </w:p>
    <w:p w14:paraId="13A9F4D5" w14:textId="77777777" w:rsidR="00987FCF" w:rsidRDefault="00987FCF" w:rsidP="00395731">
      <w:pPr>
        <w:spacing w:line="480" w:lineRule="auto"/>
        <w:jc w:val="center"/>
        <w:rPr>
          <w:b/>
          <w:sz w:val="31"/>
          <w:szCs w:val="31"/>
        </w:rPr>
      </w:pPr>
    </w:p>
    <w:p w14:paraId="1276A88E" w14:textId="77777777" w:rsidR="00987FCF" w:rsidRDefault="00987FCF" w:rsidP="00395731">
      <w:pPr>
        <w:spacing w:line="480" w:lineRule="auto"/>
        <w:jc w:val="center"/>
        <w:rPr>
          <w:b/>
          <w:sz w:val="31"/>
          <w:szCs w:val="31"/>
        </w:rPr>
      </w:pPr>
    </w:p>
    <w:p w14:paraId="5FCC86B1" w14:textId="7A225729" w:rsidR="000776B9" w:rsidRPr="00416C4A" w:rsidRDefault="00D96DFB" w:rsidP="00395731">
      <w:pPr>
        <w:spacing w:line="480" w:lineRule="auto"/>
        <w:jc w:val="center"/>
        <w:rPr>
          <w:b/>
          <w:sz w:val="31"/>
          <w:szCs w:val="31"/>
        </w:rPr>
      </w:pPr>
      <w:r w:rsidRPr="00416C4A">
        <w:rPr>
          <w:b/>
          <w:sz w:val="31"/>
          <w:szCs w:val="31"/>
        </w:rPr>
        <w:lastRenderedPageBreak/>
        <w:t xml:space="preserve">Voluntary </w:t>
      </w:r>
      <w:r w:rsidR="005932DB" w:rsidRPr="00416C4A">
        <w:rPr>
          <w:b/>
          <w:sz w:val="31"/>
          <w:szCs w:val="31"/>
        </w:rPr>
        <w:t xml:space="preserve">gender diversity targets and their </w:t>
      </w:r>
      <w:r w:rsidR="00BD56B3" w:rsidRPr="00416C4A">
        <w:rPr>
          <w:b/>
          <w:sz w:val="31"/>
          <w:szCs w:val="31"/>
        </w:rPr>
        <w:t>association</w:t>
      </w:r>
      <w:r w:rsidR="007D1AA2">
        <w:rPr>
          <w:b/>
          <w:sz w:val="31"/>
          <w:szCs w:val="31"/>
        </w:rPr>
        <w:t>s</w:t>
      </w:r>
      <w:r w:rsidR="00BD56B3" w:rsidRPr="00416C4A">
        <w:rPr>
          <w:b/>
          <w:sz w:val="31"/>
          <w:szCs w:val="31"/>
        </w:rPr>
        <w:t xml:space="preserve"> </w:t>
      </w:r>
    </w:p>
    <w:p w14:paraId="4A5ED23B" w14:textId="7710044D" w:rsidR="005932DB" w:rsidRPr="00416C4A" w:rsidRDefault="00D96DFB" w:rsidP="005932DB">
      <w:pPr>
        <w:spacing w:line="480" w:lineRule="auto"/>
        <w:jc w:val="center"/>
        <w:rPr>
          <w:b/>
          <w:sz w:val="31"/>
          <w:szCs w:val="31"/>
        </w:rPr>
      </w:pPr>
      <w:r w:rsidRPr="00416C4A">
        <w:rPr>
          <w:b/>
          <w:sz w:val="31"/>
          <w:szCs w:val="31"/>
        </w:rPr>
        <w:t>w</w:t>
      </w:r>
      <w:r w:rsidR="00BD56B3" w:rsidRPr="00416C4A">
        <w:rPr>
          <w:b/>
          <w:sz w:val="31"/>
          <w:szCs w:val="31"/>
        </w:rPr>
        <w:t>ith</w:t>
      </w:r>
      <w:r w:rsidRPr="00416C4A">
        <w:rPr>
          <w:b/>
          <w:sz w:val="31"/>
          <w:szCs w:val="31"/>
        </w:rPr>
        <w:t xml:space="preserve"> firm performance and firm value</w:t>
      </w:r>
    </w:p>
    <w:p w14:paraId="0B7471B6" w14:textId="1E0A1B58" w:rsidR="00680637" w:rsidRPr="00416C4A" w:rsidRDefault="00D96DFB" w:rsidP="00713B69">
      <w:pPr>
        <w:spacing w:line="480" w:lineRule="auto"/>
        <w:jc w:val="center"/>
        <w:rPr>
          <w:b/>
          <w:sz w:val="31"/>
          <w:szCs w:val="31"/>
        </w:rPr>
      </w:pPr>
      <w:r w:rsidRPr="00416C4A">
        <w:rPr>
          <w:b/>
          <w:sz w:val="31"/>
          <w:szCs w:val="31"/>
        </w:rPr>
        <w:t xml:space="preserve"> </w:t>
      </w:r>
    </w:p>
    <w:p w14:paraId="6BF8EA8C" w14:textId="12612A86" w:rsidR="008F0901" w:rsidRPr="00416C4A" w:rsidRDefault="00D96DFB" w:rsidP="00B41FEC">
      <w:pPr>
        <w:pStyle w:val="Heading1"/>
        <w:spacing w:line="480" w:lineRule="auto"/>
        <w:ind w:firstLine="720"/>
        <w:rPr>
          <w:rFonts w:ascii="Times New Roman" w:eastAsia="Times New Roman" w:hAnsi="Times New Roman" w:cs="Times New Roman"/>
          <w:b/>
          <w:bCs/>
          <w:i/>
          <w:iCs/>
          <w:noProof/>
          <w:color w:val="auto"/>
          <w:sz w:val="24"/>
          <w:szCs w:val="24"/>
        </w:rPr>
      </w:pPr>
      <w:bookmarkStart w:id="0" w:name="_Toc49414740"/>
      <w:r w:rsidRPr="00416C4A">
        <w:rPr>
          <w:rFonts w:ascii="Times New Roman" w:eastAsia="Times New Roman" w:hAnsi="Times New Roman" w:cs="Times New Roman"/>
          <w:b/>
          <w:bCs/>
          <w:i/>
          <w:iCs/>
          <w:noProof/>
          <w:color w:val="auto"/>
          <w:sz w:val="24"/>
          <w:szCs w:val="24"/>
        </w:rPr>
        <w:t>Abstract</w:t>
      </w:r>
      <w:bookmarkEnd w:id="0"/>
    </w:p>
    <w:p w14:paraId="5AF48B52" w14:textId="1BDFDB56" w:rsidR="008F0901" w:rsidRPr="00416C4A" w:rsidRDefault="00D96DFB" w:rsidP="008F0901">
      <w:pPr>
        <w:spacing w:line="480" w:lineRule="auto"/>
        <w:ind w:firstLine="720"/>
        <w:jc w:val="both"/>
      </w:pPr>
      <w:r w:rsidRPr="00416C4A">
        <w:t>R</w:t>
      </w:r>
      <w:r w:rsidR="006E4290" w:rsidRPr="00416C4A">
        <w:t xml:space="preserve">egulators in the </w:t>
      </w:r>
      <w:r w:rsidRPr="00416C4A">
        <w:t>U</w:t>
      </w:r>
      <w:r w:rsidR="005A6D39" w:rsidRPr="00416C4A">
        <w:t xml:space="preserve">nited </w:t>
      </w:r>
      <w:r w:rsidRPr="00416C4A">
        <w:t>K</w:t>
      </w:r>
      <w:r w:rsidR="005A6D39" w:rsidRPr="00416C4A">
        <w:t>ingdom</w:t>
      </w:r>
      <w:r w:rsidRPr="00416C4A">
        <w:t xml:space="preserve"> </w:t>
      </w:r>
      <w:r w:rsidR="00A12856" w:rsidRPr="00416C4A">
        <w:t xml:space="preserve">(UK) </w:t>
      </w:r>
      <w:r w:rsidR="004E17D0">
        <w:t>recommend</w:t>
      </w:r>
      <w:r w:rsidRPr="00416C4A">
        <w:t xml:space="preserve"> that 33 percent of board </w:t>
      </w:r>
      <w:r w:rsidR="004E17D0">
        <w:t xml:space="preserve">members </w:t>
      </w:r>
      <w:r w:rsidR="000C546D">
        <w:t xml:space="preserve">of </w:t>
      </w:r>
      <w:r w:rsidRPr="00416C4A">
        <w:t>large UK firms be female</w:t>
      </w:r>
      <w:r w:rsidR="005D3859" w:rsidRPr="00416C4A">
        <w:t xml:space="preserve"> by 2020</w:t>
      </w:r>
      <w:r w:rsidR="006E4290" w:rsidRPr="00416C4A">
        <w:t>.</w:t>
      </w:r>
      <w:r w:rsidR="00D44A15" w:rsidRPr="00416C4A">
        <w:t xml:space="preserve"> </w:t>
      </w:r>
      <w:r w:rsidR="00A83D36" w:rsidRPr="00416C4A">
        <w:t xml:space="preserve">We use this setting to investigate whether </w:t>
      </w:r>
      <w:r w:rsidR="004E17D0">
        <w:t>greater female representation</w:t>
      </w:r>
      <w:r w:rsidR="00A83D36" w:rsidRPr="00416C4A">
        <w:t xml:space="preserve"> and </w:t>
      </w:r>
      <w:r w:rsidR="004E17D0">
        <w:t xml:space="preserve">any </w:t>
      </w:r>
      <w:r w:rsidR="0025469A" w:rsidRPr="00416C4A">
        <w:t>associated</w:t>
      </w:r>
      <w:r w:rsidR="00A83D36" w:rsidRPr="00416C4A">
        <w:t xml:space="preserve"> financial benefits can be achieved without establishing quotas.</w:t>
      </w:r>
      <w:r w:rsidR="000056A8" w:rsidRPr="00416C4A">
        <w:t xml:space="preserve"> </w:t>
      </w:r>
      <w:r w:rsidR="004E17D0">
        <w:t>Using</w:t>
      </w:r>
      <w:r w:rsidRPr="00416C4A">
        <w:t xml:space="preserve"> data </w:t>
      </w:r>
      <w:r w:rsidR="00B91CD8">
        <w:t>between</w:t>
      </w:r>
      <w:r w:rsidR="004E17D0">
        <w:t xml:space="preserve"> </w:t>
      </w:r>
      <w:r w:rsidR="00B91CD8">
        <w:t xml:space="preserve">2012 and 2018 </w:t>
      </w:r>
      <w:r w:rsidR="0013125F" w:rsidRPr="00416C4A">
        <w:t xml:space="preserve">for </w:t>
      </w:r>
      <w:r w:rsidR="00B91CD8">
        <w:t xml:space="preserve">the </w:t>
      </w:r>
      <w:r w:rsidRPr="00416C4A">
        <w:t xml:space="preserve">FTSE </w:t>
      </w:r>
      <w:r w:rsidR="00395BAB" w:rsidRPr="00416C4A">
        <w:t>350</w:t>
      </w:r>
      <w:r w:rsidRPr="00416C4A">
        <w:t xml:space="preserve"> firms</w:t>
      </w:r>
      <w:r w:rsidR="0013125F" w:rsidRPr="00416C4A">
        <w:t xml:space="preserve">, we find a significant increase in </w:t>
      </w:r>
      <w:r w:rsidRPr="00416C4A">
        <w:t xml:space="preserve">female representation on boards </w:t>
      </w:r>
      <w:r w:rsidR="005D3859" w:rsidRPr="00416C4A">
        <w:t>in recent years</w:t>
      </w:r>
      <w:r w:rsidRPr="00416C4A">
        <w:t xml:space="preserve">, </w:t>
      </w:r>
      <w:r w:rsidR="00CF7866" w:rsidRPr="00416C4A">
        <w:t xml:space="preserve">and that the rate of increase in gender diversity is higher </w:t>
      </w:r>
      <w:r w:rsidR="005D3859" w:rsidRPr="00416C4A">
        <w:t>in these years</w:t>
      </w:r>
      <w:r w:rsidR="008C0CD0" w:rsidRPr="00416C4A">
        <w:t xml:space="preserve">. </w:t>
      </w:r>
      <w:r w:rsidR="0028660C" w:rsidRPr="00416C4A">
        <w:t>Our</w:t>
      </w:r>
      <w:r w:rsidRPr="00416C4A">
        <w:t xml:space="preserve"> </w:t>
      </w:r>
      <w:r w:rsidR="005156C4" w:rsidRPr="00416C4A">
        <w:t>r</w:t>
      </w:r>
      <w:r w:rsidR="00733126" w:rsidRPr="00416C4A">
        <w:t xml:space="preserve">esults </w:t>
      </w:r>
      <w:r w:rsidR="005156C4" w:rsidRPr="00416C4A">
        <w:t xml:space="preserve">also </w:t>
      </w:r>
      <w:r w:rsidR="00733126" w:rsidRPr="00416C4A">
        <w:t>indicate th</w:t>
      </w:r>
      <w:r w:rsidR="00FE0AB1" w:rsidRPr="00416C4A">
        <w:t xml:space="preserve">at </w:t>
      </w:r>
      <w:r w:rsidRPr="00416C4A">
        <w:t xml:space="preserve">board gender diversity </w:t>
      </w:r>
      <w:r w:rsidR="00733126" w:rsidRPr="00416C4A">
        <w:t xml:space="preserve">is </w:t>
      </w:r>
      <w:r w:rsidR="00FE0AB1" w:rsidRPr="00416C4A">
        <w:t xml:space="preserve">positively </w:t>
      </w:r>
      <w:r w:rsidR="00733126" w:rsidRPr="00416C4A">
        <w:t xml:space="preserve">associated with both </w:t>
      </w:r>
      <w:r w:rsidR="000B2014" w:rsidRPr="00416C4A">
        <w:t>financial performance and firm value</w:t>
      </w:r>
      <w:r w:rsidR="00943236" w:rsidRPr="00416C4A">
        <w:t xml:space="preserve">. </w:t>
      </w:r>
      <w:r w:rsidR="00705BA7" w:rsidRPr="00416C4A">
        <w:t>Howe</w:t>
      </w:r>
      <w:r w:rsidR="00401F18" w:rsidRPr="00416C4A">
        <w:t>ver, t</w:t>
      </w:r>
      <w:r w:rsidR="00943236" w:rsidRPr="00416C4A">
        <w:t xml:space="preserve">his association </w:t>
      </w:r>
      <w:r w:rsidR="004E17D0">
        <w:t>exists only</w:t>
      </w:r>
      <w:r w:rsidR="00943236" w:rsidRPr="00416C4A">
        <w:t xml:space="preserve"> </w:t>
      </w:r>
      <w:r w:rsidR="003E4135" w:rsidRPr="00416C4A">
        <w:t>in recent</w:t>
      </w:r>
      <w:r w:rsidRPr="00416C4A">
        <w:t xml:space="preserve"> </w:t>
      </w:r>
      <w:r w:rsidR="003E4135" w:rsidRPr="00416C4A">
        <w:t>years</w:t>
      </w:r>
      <w:r w:rsidR="00401F18" w:rsidRPr="00416C4A">
        <w:t>.</w:t>
      </w:r>
      <w:r w:rsidR="007A1510" w:rsidRPr="00416C4A">
        <w:t xml:space="preserve"> </w:t>
      </w:r>
      <w:r w:rsidR="000204B4" w:rsidRPr="00416C4A">
        <w:t>Finally, capital market</w:t>
      </w:r>
      <w:r w:rsidR="004E17D0">
        <w:t xml:space="preserve"> participant</w:t>
      </w:r>
      <w:r w:rsidR="000204B4" w:rsidRPr="00416C4A">
        <w:t xml:space="preserve">s </w:t>
      </w:r>
      <w:r w:rsidR="00566B6A" w:rsidRPr="00416C4A">
        <w:t>value</w:t>
      </w:r>
      <w:r w:rsidR="000204B4" w:rsidRPr="00416C4A">
        <w:t xml:space="preserve"> non-executive </w:t>
      </w:r>
      <w:r w:rsidR="00566B6A" w:rsidRPr="00416C4A">
        <w:t xml:space="preserve">female </w:t>
      </w:r>
      <w:r w:rsidR="006E273C" w:rsidRPr="00416C4A">
        <w:t xml:space="preserve">board </w:t>
      </w:r>
      <w:r w:rsidR="004E17D0">
        <w:t>members</w:t>
      </w:r>
      <w:r w:rsidR="00566B6A" w:rsidRPr="00416C4A">
        <w:t xml:space="preserve"> more</w:t>
      </w:r>
      <w:r w:rsidR="005664A9" w:rsidRPr="00416C4A">
        <w:t xml:space="preserve"> than executive female </w:t>
      </w:r>
      <w:r w:rsidR="006E273C" w:rsidRPr="00416C4A">
        <w:t xml:space="preserve">board </w:t>
      </w:r>
      <w:r w:rsidR="004E17D0">
        <w:t>members</w:t>
      </w:r>
      <w:r w:rsidR="000204B4" w:rsidRPr="00416C4A">
        <w:t>.</w:t>
      </w:r>
      <w:r w:rsidR="00304173" w:rsidRPr="00416C4A">
        <w:t xml:space="preserve"> </w:t>
      </w:r>
    </w:p>
    <w:p w14:paraId="3EB4994B" w14:textId="12753FC7" w:rsidR="00733514" w:rsidRPr="00416C4A" w:rsidRDefault="00733514"/>
    <w:p w14:paraId="695C1471" w14:textId="0C892253" w:rsidR="00072B41" w:rsidRPr="00416C4A" w:rsidRDefault="00072B41" w:rsidP="008F0901">
      <w:pPr>
        <w:spacing w:line="480" w:lineRule="auto"/>
        <w:ind w:firstLine="720"/>
        <w:jc w:val="both"/>
      </w:pPr>
    </w:p>
    <w:p w14:paraId="1234B097" w14:textId="6AA3F0E1" w:rsidR="008F0901" w:rsidRPr="00416C4A" w:rsidRDefault="008F0901" w:rsidP="008F0901">
      <w:pPr>
        <w:spacing w:line="480" w:lineRule="auto"/>
        <w:ind w:firstLine="720"/>
        <w:rPr>
          <w:noProof/>
        </w:rPr>
      </w:pPr>
    </w:p>
    <w:p w14:paraId="1276FCE6" w14:textId="0A5DEA08" w:rsidR="008F0901" w:rsidRPr="00416C4A" w:rsidRDefault="00D96DFB">
      <w:pPr>
        <w:rPr>
          <w:noProof/>
        </w:rPr>
      </w:pPr>
      <w:r w:rsidRPr="00416C4A">
        <w:rPr>
          <w:noProof/>
          <w:lang w:val="en-US" w:eastAsia="en-US"/>
        </w:rPr>
        <mc:AlternateContent>
          <mc:Choice Requires="wps">
            <w:drawing>
              <wp:anchor distT="0" distB="0" distL="114300" distR="114300" simplePos="0" relativeHeight="251664384" behindDoc="0" locked="0" layoutInCell="1" allowOverlap="1" wp14:anchorId="58A4DFBB" wp14:editId="4827DCEE">
                <wp:simplePos x="0" y="0"/>
                <wp:positionH relativeFrom="column">
                  <wp:posOffset>5486400</wp:posOffset>
                </wp:positionH>
                <wp:positionV relativeFrom="paragraph">
                  <wp:posOffset>4126523</wp:posOffset>
                </wp:positionV>
                <wp:extent cx="363415" cy="363416"/>
                <wp:effectExtent l="0" t="0" r="5080" b="5080"/>
                <wp:wrapNone/>
                <wp:docPr id="14" name="Rectangle 14"/>
                <wp:cNvGraphicFramePr/>
                <a:graphic xmlns:a="http://schemas.openxmlformats.org/drawingml/2006/main">
                  <a:graphicData uri="http://schemas.microsoft.com/office/word/2010/wordprocessingShape">
                    <wps:wsp>
                      <wps:cNvSpPr/>
                      <wps:spPr>
                        <a:xfrm>
                          <a:off x="0" y="0"/>
                          <a:ext cx="363415" cy="36341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7F50B79C" id="Rectangle 14" o:spid="_x0000_s1026" style="position:absolute;margin-left:6in;margin-top:324.9pt;width:28.6pt;height:28.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" fillcolor="white [3212]" stroked="f" strokeweight="1pt"/>
            </w:pict>
          </mc:Fallback>
        </mc:AlternateContent>
      </w:r>
      <w:r w:rsidRPr="00416C4A">
        <w:rPr>
          <w:noProof/>
        </w:rPr>
        <w:br w:type="page"/>
      </w:r>
    </w:p>
    <w:p w14:paraId="0611F13F" w14:textId="77777777" w:rsidR="008F0901" w:rsidRPr="00416C4A" w:rsidRDefault="00D96DFB" w:rsidP="007E5FF2">
      <w:pPr>
        <w:pStyle w:val="Heading1"/>
        <w:numPr>
          <w:ilvl w:val="0"/>
          <w:numId w:val="1"/>
        </w:numPr>
        <w:spacing w:line="480" w:lineRule="auto"/>
        <w:jc w:val="center"/>
        <w:rPr>
          <w:rFonts w:ascii="Times New Roman" w:eastAsia="Times New Roman" w:hAnsi="Times New Roman" w:cs="Times New Roman"/>
          <w:b/>
          <w:bCs/>
          <w:caps/>
          <w:color w:val="auto"/>
          <w:sz w:val="24"/>
          <w:szCs w:val="24"/>
        </w:rPr>
      </w:pPr>
      <w:bookmarkStart w:id="1" w:name="_Toc49414741"/>
      <w:r w:rsidRPr="00416C4A">
        <w:rPr>
          <w:rFonts w:ascii="Times New Roman" w:eastAsia="Times New Roman" w:hAnsi="Times New Roman" w:cs="Times New Roman"/>
          <w:b/>
          <w:bCs/>
          <w:caps/>
          <w:color w:val="auto"/>
          <w:sz w:val="24"/>
          <w:szCs w:val="24"/>
        </w:rPr>
        <w:lastRenderedPageBreak/>
        <w:t>Introduction</w:t>
      </w:r>
      <w:bookmarkEnd w:id="1"/>
    </w:p>
    <w:p w14:paraId="5899581B" w14:textId="62E34977" w:rsidR="00AF69A7" w:rsidRPr="00416C4A" w:rsidRDefault="00D96DFB" w:rsidP="009C4A1D">
      <w:pPr>
        <w:pStyle w:val="NormalWeb"/>
        <w:spacing w:before="0" w:beforeAutospacing="0" w:after="0" w:afterAutospacing="0" w:line="480" w:lineRule="auto"/>
        <w:ind w:firstLine="720"/>
        <w:jc w:val="both"/>
      </w:pPr>
      <w:r w:rsidRPr="00416C4A">
        <w:t>Many</w:t>
      </w:r>
      <w:r w:rsidR="00561D01" w:rsidRPr="00416C4A">
        <w:t xml:space="preserve"> European c</w:t>
      </w:r>
      <w:r w:rsidR="003D13A9" w:rsidRPr="00416C4A">
        <w:t xml:space="preserve">ountries have </w:t>
      </w:r>
      <w:r w:rsidRPr="00416C4A">
        <w:t xml:space="preserve">imposed </w:t>
      </w:r>
      <w:r w:rsidR="003D13A9" w:rsidRPr="00416C4A">
        <w:t xml:space="preserve">mandatory quotas for </w:t>
      </w:r>
      <w:r w:rsidR="004E17D0">
        <w:t>female representation</w:t>
      </w:r>
      <w:r w:rsidR="003D13A9" w:rsidRPr="00416C4A">
        <w:t xml:space="preserve"> on boards of directors (Bertrand</w:t>
      </w:r>
      <w:r w:rsidR="00F50AC1" w:rsidRPr="00416C4A">
        <w:t>, Bla</w:t>
      </w:r>
      <w:r w:rsidR="00282E5F" w:rsidRPr="00416C4A">
        <w:t xml:space="preserve">ck, Jensen, and </w:t>
      </w:r>
      <w:proofErr w:type="spellStart"/>
      <w:r w:rsidR="00AC5F34" w:rsidRPr="00416C4A">
        <w:t>L</w:t>
      </w:r>
      <w:r w:rsidR="00171131" w:rsidRPr="00416C4A">
        <w:t>leras-Muney</w:t>
      </w:r>
      <w:proofErr w:type="spellEnd"/>
      <w:r w:rsidR="00F97FC2" w:rsidRPr="00416C4A">
        <w:t xml:space="preserve"> </w:t>
      </w:r>
      <w:r w:rsidR="003D13A9" w:rsidRPr="00416C4A">
        <w:t>201</w:t>
      </w:r>
      <w:r w:rsidR="00DE17F5" w:rsidRPr="00416C4A">
        <w:t>9</w:t>
      </w:r>
      <w:r w:rsidR="003D13A9" w:rsidRPr="00416C4A">
        <w:t>)</w:t>
      </w:r>
      <w:r w:rsidR="009138E5" w:rsidRPr="00416C4A">
        <w:t>,</w:t>
      </w:r>
      <w:r w:rsidR="00A72453" w:rsidRPr="00416C4A">
        <w:t xml:space="preserve"> in</w:t>
      </w:r>
      <w:r w:rsidR="003C55B9" w:rsidRPr="00416C4A">
        <w:t>creas</w:t>
      </w:r>
      <w:r w:rsidR="009138E5" w:rsidRPr="00416C4A">
        <w:t>ing</w:t>
      </w:r>
      <w:r w:rsidR="003C55B9" w:rsidRPr="00416C4A">
        <w:t xml:space="preserve"> </w:t>
      </w:r>
      <w:r w:rsidR="00A732EC">
        <w:t>female</w:t>
      </w:r>
      <w:r w:rsidR="003C55B9" w:rsidRPr="00416C4A">
        <w:t xml:space="preserve"> representation in corporate leadership</w:t>
      </w:r>
      <w:r w:rsidR="003D13A9" w:rsidRPr="00416C4A">
        <w:t xml:space="preserve">. </w:t>
      </w:r>
      <w:r w:rsidR="00421AF9" w:rsidRPr="00416C4A">
        <w:t>I</w:t>
      </w:r>
      <w:r w:rsidR="00D66F01" w:rsidRPr="00416C4A">
        <w:t xml:space="preserve">n Italy, where a mandatory gender quota of </w:t>
      </w:r>
      <w:r w:rsidR="00EB711B" w:rsidRPr="00416C4A">
        <w:t>33 percent was passed in 2012,</w:t>
      </w:r>
      <w:r w:rsidR="00CF78EA" w:rsidRPr="00416C4A">
        <w:t xml:space="preserve"> </w:t>
      </w:r>
      <w:proofErr w:type="spellStart"/>
      <w:r w:rsidR="0045730B" w:rsidRPr="00416C4A">
        <w:t>Magnanelli</w:t>
      </w:r>
      <w:proofErr w:type="spellEnd"/>
      <w:r w:rsidR="00DA4092" w:rsidRPr="00416C4A">
        <w:t xml:space="preserve">, </w:t>
      </w:r>
      <w:proofErr w:type="spellStart"/>
      <w:r w:rsidR="00DA4092" w:rsidRPr="00416C4A">
        <w:t>Nasta</w:t>
      </w:r>
      <w:proofErr w:type="spellEnd"/>
      <w:r w:rsidR="00DA4092" w:rsidRPr="00416C4A">
        <w:t xml:space="preserve">, and </w:t>
      </w:r>
      <w:proofErr w:type="spellStart"/>
      <w:r w:rsidR="005C31C6" w:rsidRPr="00416C4A">
        <w:t>Raoli</w:t>
      </w:r>
      <w:proofErr w:type="spellEnd"/>
      <w:r w:rsidR="0045730B" w:rsidRPr="00416C4A">
        <w:t xml:space="preserve"> (2020) </w:t>
      </w:r>
      <w:r w:rsidR="001D0280" w:rsidRPr="00416C4A">
        <w:t>find</w:t>
      </w:r>
      <w:r w:rsidR="004E17D0">
        <w:t>s</w:t>
      </w:r>
      <w:r w:rsidR="001D0280" w:rsidRPr="00416C4A">
        <w:t xml:space="preserve"> a positive relation</w:t>
      </w:r>
      <w:r w:rsidR="0045730B" w:rsidRPr="00416C4A">
        <w:t xml:space="preserve"> between female director</w:t>
      </w:r>
      <w:r w:rsidR="001D0280" w:rsidRPr="00416C4A">
        <w:t xml:space="preserve"> presence </w:t>
      </w:r>
      <w:r w:rsidR="00FC59E1" w:rsidRPr="00416C4A">
        <w:t xml:space="preserve">on boards </w:t>
      </w:r>
      <w:r w:rsidR="0045730B" w:rsidRPr="00416C4A">
        <w:t>and firm performance</w:t>
      </w:r>
      <w:r w:rsidR="00A43279" w:rsidRPr="00416C4A">
        <w:t xml:space="preserve">. </w:t>
      </w:r>
      <w:r w:rsidR="009B5606" w:rsidRPr="00416C4A">
        <w:t xml:space="preserve">Other countries have </w:t>
      </w:r>
      <w:r w:rsidR="005930D1" w:rsidRPr="00416C4A">
        <w:t xml:space="preserve">followed a different path to increasing </w:t>
      </w:r>
      <w:r w:rsidR="004E17D0">
        <w:t xml:space="preserve">female </w:t>
      </w:r>
      <w:r w:rsidR="005930D1" w:rsidRPr="00416C4A">
        <w:t>representation on boards</w:t>
      </w:r>
      <w:r w:rsidR="004E17D0">
        <w:t xml:space="preserve"> by</w:t>
      </w:r>
      <w:r w:rsidR="00075D29" w:rsidRPr="00416C4A">
        <w:t xml:space="preserve"> setting voluntary targets </w:t>
      </w:r>
      <w:r w:rsidR="004E17D0">
        <w:t>for</w:t>
      </w:r>
      <w:r w:rsidR="004E17D0" w:rsidRPr="00416C4A">
        <w:t xml:space="preserve"> </w:t>
      </w:r>
      <w:r w:rsidR="00075D29" w:rsidRPr="00416C4A">
        <w:t xml:space="preserve">gender diversity. </w:t>
      </w:r>
      <w:r w:rsidR="00040610" w:rsidRPr="00416C4A">
        <w:t xml:space="preserve">We focus on this </w:t>
      </w:r>
      <w:r w:rsidR="001B7BD2" w:rsidRPr="00416C4A">
        <w:t>alternative path</w:t>
      </w:r>
      <w:r w:rsidR="003052E5" w:rsidRPr="00416C4A">
        <w:t xml:space="preserve"> to </w:t>
      </w:r>
      <w:r w:rsidR="004E17D0">
        <w:t xml:space="preserve">assess </w:t>
      </w:r>
      <w:r w:rsidR="003052E5" w:rsidRPr="00416C4A">
        <w:t xml:space="preserve">whether </w:t>
      </w:r>
      <w:r w:rsidR="00040F4F" w:rsidRPr="00416C4A">
        <w:t xml:space="preserve">mandatory quotas </w:t>
      </w:r>
      <w:r w:rsidR="004E17D0">
        <w:t xml:space="preserve">are necessary </w:t>
      </w:r>
      <w:r w:rsidR="005C31C6" w:rsidRPr="00416C4A">
        <w:t>to</w:t>
      </w:r>
      <w:r w:rsidR="009F4223" w:rsidRPr="00416C4A">
        <w:t xml:space="preserve"> increase the </w:t>
      </w:r>
      <w:r w:rsidR="004E17D0">
        <w:t>representation</w:t>
      </w:r>
      <w:r w:rsidR="004E17D0" w:rsidRPr="00416C4A">
        <w:t xml:space="preserve"> </w:t>
      </w:r>
      <w:r w:rsidR="009F4223" w:rsidRPr="00416C4A">
        <w:t xml:space="preserve">of women on boards of directors and </w:t>
      </w:r>
      <w:r w:rsidR="004E17D0">
        <w:t xml:space="preserve">to </w:t>
      </w:r>
      <w:r w:rsidR="00825AAA" w:rsidRPr="00416C4A">
        <w:t xml:space="preserve">observe </w:t>
      </w:r>
      <w:r w:rsidR="004E17D0">
        <w:t>any</w:t>
      </w:r>
      <w:r w:rsidR="009F4223" w:rsidRPr="00416C4A">
        <w:t xml:space="preserve"> </w:t>
      </w:r>
      <w:r w:rsidR="001B7BD2" w:rsidRPr="00416C4A">
        <w:t xml:space="preserve">benefits </w:t>
      </w:r>
      <w:r w:rsidR="00825AAA" w:rsidRPr="00416C4A">
        <w:t xml:space="preserve">associated with </w:t>
      </w:r>
      <w:r w:rsidR="0063571B" w:rsidRPr="00416C4A">
        <w:t>gender diversity</w:t>
      </w:r>
      <w:r w:rsidR="001B7BD2" w:rsidRPr="00416C4A">
        <w:t>.</w:t>
      </w:r>
      <w:r w:rsidR="009F66A3" w:rsidRPr="00416C4A">
        <w:t xml:space="preserve"> </w:t>
      </w:r>
    </w:p>
    <w:p w14:paraId="408799C4" w14:textId="54585432" w:rsidR="009B5606" w:rsidRPr="00416C4A" w:rsidRDefault="004E17D0" w:rsidP="009C4A1D">
      <w:pPr>
        <w:pStyle w:val="NormalWeb"/>
        <w:spacing w:before="0" w:beforeAutospacing="0" w:after="0" w:afterAutospacing="0" w:line="480" w:lineRule="auto"/>
        <w:ind w:firstLine="720"/>
        <w:jc w:val="both"/>
      </w:pPr>
      <w:r>
        <w:t xml:space="preserve">Using data from </w:t>
      </w:r>
      <w:r w:rsidRPr="00416C4A">
        <w:t>the United Kingdom (UK)</w:t>
      </w:r>
      <w:r>
        <w:t>, which</w:t>
      </w:r>
      <w:r w:rsidRPr="00416C4A">
        <w:t xml:space="preserve"> established a voluntary target of 33 percent </w:t>
      </w:r>
      <w:r>
        <w:t>female representation on</w:t>
      </w:r>
      <w:r w:rsidRPr="00416C4A">
        <w:t xml:space="preserve"> boards of directors by 2020 for its largest firms, we </w:t>
      </w:r>
      <w:r w:rsidR="00B3789A" w:rsidRPr="00416C4A">
        <w:t xml:space="preserve">provide evidence on </w:t>
      </w:r>
      <w:r w:rsidR="009F66A3" w:rsidRPr="00416C4A">
        <w:t>two issues: (</w:t>
      </w:r>
      <w:proofErr w:type="spellStart"/>
      <w:r w:rsidR="009F66A3" w:rsidRPr="00416C4A">
        <w:t>i</w:t>
      </w:r>
      <w:proofErr w:type="spellEnd"/>
      <w:r w:rsidR="009F66A3" w:rsidRPr="00416C4A">
        <w:t xml:space="preserve">) </w:t>
      </w:r>
      <w:r w:rsidR="00165D77" w:rsidRPr="00416C4A">
        <w:t xml:space="preserve">whether </w:t>
      </w:r>
      <w:r w:rsidR="003761AD" w:rsidRPr="00416C4A">
        <w:t xml:space="preserve">firms reach </w:t>
      </w:r>
      <w:r w:rsidR="00165D77" w:rsidRPr="00416C4A">
        <w:t>these voluntary targets</w:t>
      </w:r>
      <w:r w:rsidR="00A75002" w:rsidRPr="00416C4A">
        <w:t>, i.e., whether quotas need not be mandatory for countries to reach gender diversity</w:t>
      </w:r>
      <w:r w:rsidR="00E04D5F" w:rsidRPr="00416C4A">
        <w:t xml:space="preserve"> on boards</w:t>
      </w:r>
      <w:r w:rsidR="000F13B6" w:rsidRPr="00416C4A">
        <w:t xml:space="preserve">, and (ii) whether </w:t>
      </w:r>
      <w:r w:rsidR="00D96DFB" w:rsidRPr="00416C4A">
        <w:t>th</w:t>
      </w:r>
      <w:r w:rsidR="00605EFD" w:rsidRPr="00416C4A">
        <w:t xml:space="preserve">e presence of women on boards of directors </w:t>
      </w:r>
      <w:r>
        <w:t xml:space="preserve">is associated with improved </w:t>
      </w:r>
      <w:r w:rsidR="00E04D5F" w:rsidRPr="00416C4A">
        <w:t xml:space="preserve">financial </w:t>
      </w:r>
      <w:r w:rsidR="00763712" w:rsidRPr="00416C4A">
        <w:t xml:space="preserve">performance and </w:t>
      </w:r>
      <w:r>
        <w:t xml:space="preserve">firm </w:t>
      </w:r>
      <w:r w:rsidR="00763712" w:rsidRPr="00416C4A">
        <w:t xml:space="preserve">value in </w:t>
      </w:r>
      <w:r>
        <w:t xml:space="preserve">a </w:t>
      </w:r>
      <w:r w:rsidR="00763712" w:rsidRPr="00416C4A">
        <w:t>setting</w:t>
      </w:r>
      <w:r w:rsidR="000F13B6" w:rsidRPr="00416C4A">
        <w:t xml:space="preserve"> with voluntary </w:t>
      </w:r>
      <w:r w:rsidR="006C7C18" w:rsidRPr="00416C4A">
        <w:t>targets</w:t>
      </w:r>
      <w:r w:rsidR="00763712" w:rsidRPr="00416C4A">
        <w:t xml:space="preserve">. </w:t>
      </w:r>
    </w:p>
    <w:p w14:paraId="6D1D9BE8" w14:textId="6F52129D" w:rsidR="00280AB0" w:rsidRPr="00416C4A" w:rsidRDefault="00D96DFB" w:rsidP="00F63CF8">
      <w:pPr>
        <w:pStyle w:val="NormalWeb"/>
        <w:spacing w:before="0" w:beforeAutospacing="0" w:after="0" w:afterAutospacing="0" w:line="480" w:lineRule="auto"/>
        <w:ind w:firstLine="720"/>
        <w:jc w:val="both"/>
      </w:pPr>
      <w:r w:rsidRPr="00416C4A">
        <w:t>Both mandatory quotas and voluntary targets</w:t>
      </w:r>
      <w:r w:rsidR="00770C8F" w:rsidRPr="00416C4A">
        <w:t xml:space="preserve"> </w:t>
      </w:r>
      <w:r w:rsidR="00EE60A9" w:rsidRPr="00416C4A">
        <w:t xml:space="preserve">aim to reduce the under-representation of women on boards of directors. </w:t>
      </w:r>
      <w:r w:rsidR="008951ED" w:rsidRPr="00416C4A">
        <w:t xml:space="preserve">A recent report by Deloitte (2019), covering 49 countries, finds that although </w:t>
      </w:r>
      <w:r w:rsidR="0045053D" w:rsidRPr="00416C4A">
        <w:t xml:space="preserve">the percentage of women on </w:t>
      </w:r>
      <w:r w:rsidR="00E60683" w:rsidRPr="00416C4A">
        <w:t xml:space="preserve">boards </w:t>
      </w:r>
      <w:r w:rsidR="004E17D0">
        <w:t>increased slightly</w:t>
      </w:r>
      <w:r w:rsidR="00E60683" w:rsidRPr="00416C4A">
        <w:t xml:space="preserve"> from 2016 </w:t>
      </w:r>
      <w:r w:rsidR="004E17D0">
        <w:t>through</w:t>
      </w:r>
      <w:r w:rsidR="00E60683" w:rsidRPr="00416C4A">
        <w:t xml:space="preserve"> 2019, the average in 2019 was only about </w:t>
      </w:r>
      <w:r w:rsidR="006A284B" w:rsidRPr="00416C4A">
        <w:t xml:space="preserve">17 percent, </w:t>
      </w:r>
      <w:r w:rsidR="000C10C2" w:rsidRPr="00416C4A">
        <w:t xml:space="preserve">and that </w:t>
      </w:r>
      <w:r w:rsidR="006A284B" w:rsidRPr="00416C4A">
        <w:t xml:space="preserve">only </w:t>
      </w:r>
      <w:r w:rsidR="000C10C2" w:rsidRPr="00416C4A">
        <w:t>a few countries (</w:t>
      </w:r>
      <w:r w:rsidR="004E17D0">
        <w:t xml:space="preserve">specifically, </w:t>
      </w:r>
      <w:r w:rsidR="006A284B" w:rsidRPr="00416C4A">
        <w:t>Norway, France, Sweden,</w:t>
      </w:r>
      <w:r w:rsidR="000C10C2" w:rsidRPr="00416C4A">
        <w:t xml:space="preserve"> </w:t>
      </w:r>
      <w:r w:rsidR="006A284B" w:rsidRPr="00416C4A">
        <w:t>Finland, New Zealand, and Belgium</w:t>
      </w:r>
      <w:r w:rsidR="000C10C2" w:rsidRPr="00416C4A">
        <w:t xml:space="preserve">) had values above </w:t>
      </w:r>
      <w:r w:rsidR="006A284B" w:rsidRPr="00416C4A">
        <w:t xml:space="preserve">30 percent. </w:t>
      </w:r>
      <w:r w:rsidRPr="00416C4A">
        <w:t xml:space="preserve">There are </w:t>
      </w:r>
      <w:r w:rsidR="00935A06" w:rsidRPr="00416C4A">
        <w:t xml:space="preserve">several </w:t>
      </w:r>
      <w:r w:rsidR="00953E75" w:rsidRPr="00416C4A">
        <w:t>explanations for</w:t>
      </w:r>
      <w:r w:rsidR="004107BA" w:rsidRPr="00416C4A">
        <w:t xml:space="preserve"> this lack of gender diversity on boards. </w:t>
      </w:r>
      <w:r w:rsidR="004E17D0">
        <w:t>As w</w:t>
      </w:r>
      <w:r w:rsidR="004107BA" w:rsidRPr="00416C4A">
        <w:t xml:space="preserve">e discuss </w:t>
      </w:r>
      <w:r w:rsidR="004E17D0">
        <w:t xml:space="preserve">below, </w:t>
      </w:r>
      <w:r w:rsidRPr="00416C4A">
        <w:t>the</w:t>
      </w:r>
      <w:r w:rsidR="004E17D0">
        <w:t>se include</w:t>
      </w:r>
      <w:r w:rsidRPr="00416C4A">
        <w:t xml:space="preserve"> </w:t>
      </w:r>
      <w:r w:rsidR="00B252F9" w:rsidRPr="00416C4A">
        <w:t xml:space="preserve">social identity theory, </w:t>
      </w:r>
      <w:r w:rsidR="00953E75" w:rsidRPr="00416C4A">
        <w:t xml:space="preserve">the existence of a glass </w:t>
      </w:r>
      <w:r w:rsidR="00CC779F" w:rsidRPr="00416C4A">
        <w:t xml:space="preserve">ceiling, </w:t>
      </w:r>
      <w:r w:rsidR="00FE34E8" w:rsidRPr="00416C4A">
        <w:t>personality traits</w:t>
      </w:r>
      <w:r w:rsidR="009F1CC0" w:rsidRPr="00416C4A">
        <w:t xml:space="preserve">, and tokenism. </w:t>
      </w:r>
    </w:p>
    <w:p w14:paraId="3EFBE5B4" w14:textId="2688C04D" w:rsidR="00BE2C92" w:rsidRPr="00416C4A" w:rsidRDefault="004E17D0" w:rsidP="00F63CF8">
      <w:pPr>
        <w:pStyle w:val="NormalWeb"/>
        <w:spacing w:before="0" w:beforeAutospacing="0" w:after="0" w:afterAutospacing="0" w:line="480" w:lineRule="auto"/>
        <w:ind w:firstLine="720"/>
        <w:jc w:val="both"/>
      </w:pPr>
      <w:r>
        <w:lastRenderedPageBreak/>
        <w:t>G</w:t>
      </w:r>
      <w:r w:rsidR="00D96DFB" w:rsidRPr="00416C4A">
        <w:t xml:space="preserve">iven the existence of the </w:t>
      </w:r>
      <w:r>
        <w:t xml:space="preserve">UK’s voluntary </w:t>
      </w:r>
      <w:r w:rsidR="00D96DFB" w:rsidRPr="00416C4A">
        <w:t xml:space="preserve">target, public support, </w:t>
      </w:r>
      <w:r w:rsidR="00546557" w:rsidRPr="00416C4A">
        <w:t xml:space="preserve">and </w:t>
      </w:r>
      <w:r w:rsidR="003A1261" w:rsidRPr="00416C4A">
        <w:t>campaigns launche</w:t>
      </w:r>
      <w:r w:rsidR="00A1041E" w:rsidRPr="00416C4A">
        <w:t>d</w:t>
      </w:r>
      <w:r w:rsidR="003A1261" w:rsidRPr="00416C4A">
        <w:t xml:space="preserve"> by </w:t>
      </w:r>
      <w:r>
        <w:t xml:space="preserve">the </w:t>
      </w:r>
      <w:r w:rsidR="003A1261" w:rsidRPr="00416C4A">
        <w:t>th</w:t>
      </w:r>
      <w:r w:rsidR="00A1041E" w:rsidRPr="00416C4A">
        <w:t>ree largest institutional investors in 2017 (</w:t>
      </w:r>
      <w:r w:rsidR="00B03CFA" w:rsidRPr="00416C4A">
        <w:t>Gormley</w:t>
      </w:r>
      <w:r w:rsidR="001A1E19" w:rsidRPr="00416C4A">
        <w:t xml:space="preserve">, Gupta, </w:t>
      </w:r>
      <w:proofErr w:type="spellStart"/>
      <w:r w:rsidR="001A1E19" w:rsidRPr="00416C4A">
        <w:t>Matsa</w:t>
      </w:r>
      <w:proofErr w:type="spellEnd"/>
      <w:r w:rsidR="001A1E19" w:rsidRPr="00416C4A">
        <w:t>, Mortal, and Yang</w:t>
      </w:r>
      <w:r w:rsidR="00B03CFA" w:rsidRPr="00416C4A">
        <w:t xml:space="preserve"> 202</w:t>
      </w:r>
      <w:r w:rsidR="005E7C7D" w:rsidRPr="00416C4A">
        <w:t>1</w:t>
      </w:r>
      <w:r w:rsidR="00B03CFA" w:rsidRPr="00416C4A">
        <w:t>)</w:t>
      </w:r>
      <w:r>
        <w:t>,</w:t>
      </w:r>
      <w:r w:rsidR="00B03CFA" w:rsidRPr="00416C4A">
        <w:t xml:space="preserve"> </w:t>
      </w:r>
      <w:r w:rsidR="00D96DFB" w:rsidRPr="00416C4A">
        <w:t>we believe that in the UK</w:t>
      </w:r>
      <w:r>
        <w:t>,</w:t>
      </w:r>
      <w:r w:rsidR="00F63CF8" w:rsidRPr="00416C4A">
        <w:t xml:space="preserve"> </w:t>
      </w:r>
      <w:r>
        <w:t xml:space="preserve">female </w:t>
      </w:r>
      <w:r w:rsidR="00F63CF8" w:rsidRPr="00416C4A">
        <w:t xml:space="preserve">under-representation </w:t>
      </w:r>
      <w:r w:rsidR="00B91CD8">
        <w:t>should</w:t>
      </w:r>
      <w:r w:rsidR="00F63CF8" w:rsidRPr="00416C4A">
        <w:t xml:space="preserve"> significantly decrease</w:t>
      </w:r>
      <w:r w:rsidR="00B91CD8">
        <w:t xml:space="preserve"> and we test for this decrease</w:t>
      </w:r>
      <w:r w:rsidR="00F63CF8" w:rsidRPr="00416C4A">
        <w:t xml:space="preserve">. </w:t>
      </w:r>
      <w:r w:rsidR="00B91CD8">
        <w:t>In addition, t</w:t>
      </w:r>
      <w:r w:rsidR="00670D6D" w:rsidRPr="00416C4A">
        <w:t xml:space="preserve">his </w:t>
      </w:r>
      <w:r w:rsidR="00D96DFB" w:rsidRPr="00416C4A">
        <w:t xml:space="preserve">setting </w:t>
      </w:r>
      <w:r w:rsidR="00D8299C" w:rsidRPr="00416C4A">
        <w:t xml:space="preserve">also allows us to </w:t>
      </w:r>
      <w:r w:rsidR="004911CD" w:rsidRPr="00416C4A">
        <w:t>document</w:t>
      </w:r>
      <w:r w:rsidR="00D96DFB" w:rsidRPr="00416C4A">
        <w:t xml:space="preserve"> </w:t>
      </w:r>
      <w:r w:rsidR="00266A80" w:rsidRPr="00416C4A">
        <w:t xml:space="preserve">any changes </w:t>
      </w:r>
      <w:r w:rsidR="00315260" w:rsidRPr="00416C4A">
        <w:t>in</w:t>
      </w:r>
      <w:r w:rsidR="00266A80" w:rsidRPr="00416C4A">
        <w:t xml:space="preserve"> </w:t>
      </w:r>
      <w:r w:rsidR="005838AE" w:rsidRPr="00416C4A">
        <w:t xml:space="preserve">the association between gender diversity and </w:t>
      </w:r>
      <w:r w:rsidR="00D96DFB" w:rsidRPr="00416C4A">
        <w:t xml:space="preserve">firm performance </w:t>
      </w:r>
      <w:r w:rsidR="005838AE" w:rsidRPr="00416C4A">
        <w:t>and value</w:t>
      </w:r>
      <w:r w:rsidR="00B91CD8">
        <w:t xml:space="preserve"> over the years</w:t>
      </w:r>
      <w:r w:rsidR="00232EB2" w:rsidRPr="00416C4A">
        <w:t xml:space="preserve">. </w:t>
      </w:r>
      <w:r w:rsidR="00B91CD8">
        <w:t>As suggested</w:t>
      </w:r>
      <w:r w:rsidR="00B91CD8" w:rsidRPr="00416C4A">
        <w:t xml:space="preserve"> by the European Commission in 2012</w:t>
      </w:r>
      <w:r w:rsidR="00B91CD8">
        <w:t>, i</w:t>
      </w:r>
      <w:r w:rsidR="00A34046" w:rsidRPr="00416C4A">
        <w:t xml:space="preserve">t is possible that an increase in </w:t>
      </w:r>
      <w:r w:rsidR="00B91CD8">
        <w:t>females</w:t>
      </w:r>
      <w:r w:rsidR="00A34046" w:rsidRPr="00416C4A">
        <w:t xml:space="preserve"> on UK boards of directors </w:t>
      </w:r>
      <w:r w:rsidR="00B91CD8">
        <w:t xml:space="preserve">will be </w:t>
      </w:r>
      <w:r w:rsidR="00812DF4" w:rsidRPr="00416C4A">
        <w:t xml:space="preserve">associated with </w:t>
      </w:r>
      <w:r w:rsidR="00B91CD8">
        <w:t>increased</w:t>
      </w:r>
      <w:r w:rsidR="00727D0F" w:rsidRPr="00416C4A">
        <w:t xml:space="preserve"> economic growth </w:t>
      </w:r>
      <w:r w:rsidR="00B91CD8">
        <w:t xml:space="preserve">because lower economic growth can be </w:t>
      </w:r>
      <w:r w:rsidR="00727D0F" w:rsidRPr="00416C4A">
        <w:t xml:space="preserve">caused by </w:t>
      </w:r>
      <w:r w:rsidR="00B91CD8">
        <w:t xml:space="preserve">underutilizing </w:t>
      </w:r>
      <w:r w:rsidR="00727D0F" w:rsidRPr="00416C4A">
        <w:t>women’s skills</w:t>
      </w:r>
      <w:r w:rsidR="00FF6E7D" w:rsidRPr="00416C4A">
        <w:t>.</w:t>
      </w:r>
      <w:r w:rsidR="00654389" w:rsidRPr="00416C4A">
        <w:t xml:space="preserve"> </w:t>
      </w:r>
      <w:r w:rsidR="00B91CD8">
        <w:t xml:space="preserve">Moreover, </w:t>
      </w:r>
      <w:r w:rsidR="006901A1" w:rsidRPr="00416C4A">
        <w:t xml:space="preserve">new female directors can serve as role models for female </w:t>
      </w:r>
      <w:r w:rsidR="00C75CD7" w:rsidRPr="00416C4A">
        <w:t>workers</w:t>
      </w:r>
      <w:r w:rsidR="00B91CD8">
        <w:t xml:space="preserve">, </w:t>
      </w:r>
      <w:r w:rsidR="006901A1" w:rsidRPr="00416C4A">
        <w:t>stimulat</w:t>
      </w:r>
      <w:r w:rsidR="00B91CD8">
        <w:t>ing</w:t>
      </w:r>
      <w:r w:rsidR="006901A1" w:rsidRPr="00416C4A">
        <w:t xml:space="preserve"> progress (</w:t>
      </w:r>
      <w:proofErr w:type="spellStart"/>
      <w:r w:rsidR="006901A1" w:rsidRPr="00416C4A">
        <w:t>Hafsi</w:t>
      </w:r>
      <w:proofErr w:type="spellEnd"/>
      <w:r w:rsidR="006901A1" w:rsidRPr="00416C4A">
        <w:t xml:space="preserve"> and Turgut 2013)</w:t>
      </w:r>
      <w:r w:rsidR="0097534B" w:rsidRPr="00416C4A">
        <w:t xml:space="preserve">, </w:t>
      </w:r>
      <w:r w:rsidR="00B91CD8">
        <w:t xml:space="preserve">and </w:t>
      </w:r>
      <w:r w:rsidR="0097534B" w:rsidRPr="00416C4A">
        <w:t>reducing income inequality.</w:t>
      </w:r>
    </w:p>
    <w:p w14:paraId="4555A1B7" w14:textId="1B5EB9EE" w:rsidR="00795F8E" w:rsidRPr="00416C4A" w:rsidRDefault="00D96DFB" w:rsidP="009C4A1D">
      <w:pPr>
        <w:pStyle w:val="NormalWeb"/>
        <w:spacing w:before="0" w:beforeAutospacing="0" w:after="0" w:afterAutospacing="0" w:line="480" w:lineRule="auto"/>
        <w:ind w:firstLine="720"/>
        <w:jc w:val="both"/>
      </w:pPr>
      <w:r w:rsidRPr="00416C4A">
        <w:t xml:space="preserve">Our sample </w:t>
      </w:r>
      <w:r w:rsidR="00941F96" w:rsidRPr="00416C4A">
        <w:t xml:space="preserve">includes </w:t>
      </w:r>
      <w:r w:rsidR="00A60FFD" w:rsidRPr="00416C4A">
        <w:t>130</w:t>
      </w:r>
      <w:r w:rsidR="00941F96" w:rsidRPr="00416C4A">
        <w:t xml:space="preserve"> of the largest UK firms</w:t>
      </w:r>
      <w:r w:rsidR="00416174" w:rsidRPr="00416C4A">
        <w:t>, and w</w:t>
      </w:r>
      <w:r w:rsidR="0033339F" w:rsidRPr="00416C4A">
        <w:t>e</w:t>
      </w:r>
      <w:r w:rsidR="00A457DF" w:rsidRPr="00416C4A">
        <w:t xml:space="preserve"> collect data for </w:t>
      </w:r>
      <w:r w:rsidR="00BE7BF2" w:rsidRPr="00416C4A">
        <w:t>four years</w:t>
      </w:r>
      <w:r w:rsidR="00A52C24" w:rsidRPr="00416C4A">
        <w:t>:</w:t>
      </w:r>
      <w:r w:rsidR="00BE7BF2" w:rsidRPr="00416C4A">
        <w:t xml:space="preserve"> </w:t>
      </w:r>
      <w:r w:rsidR="00416174" w:rsidRPr="00416C4A">
        <w:t>t</w:t>
      </w:r>
      <w:r w:rsidR="00A457DF" w:rsidRPr="00416C4A">
        <w:t xml:space="preserve">wo years before the </w:t>
      </w:r>
      <w:r w:rsidR="003A56FE" w:rsidRPr="00416C4A">
        <w:t>voluntary</w:t>
      </w:r>
      <w:r w:rsidR="00A457DF" w:rsidRPr="00416C4A">
        <w:t xml:space="preserve"> target </w:t>
      </w:r>
      <w:r w:rsidR="00A52C24" w:rsidRPr="00416C4A">
        <w:t>w</w:t>
      </w:r>
      <w:r w:rsidR="00A457DF" w:rsidRPr="00416C4A">
        <w:t>as established (</w:t>
      </w:r>
      <w:r w:rsidR="00B91CD8">
        <w:t xml:space="preserve">specifically, </w:t>
      </w:r>
      <w:r w:rsidR="00A457DF" w:rsidRPr="00416C4A">
        <w:t>2012 and 2014), and two years after (</w:t>
      </w:r>
      <w:r w:rsidR="00B91CD8">
        <w:t xml:space="preserve">specifically, </w:t>
      </w:r>
      <w:r w:rsidRPr="00416C4A">
        <w:t>201</w:t>
      </w:r>
      <w:r w:rsidR="00A457DF" w:rsidRPr="00416C4A">
        <w:t>6</w:t>
      </w:r>
      <w:r w:rsidRPr="00416C4A">
        <w:t xml:space="preserve"> and </w:t>
      </w:r>
      <w:r w:rsidR="0051335A" w:rsidRPr="00416C4A">
        <w:t>2018</w:t>
      </w:r>
      <w:r w:rsidR="00A457DF" w:rsidRPr="00416C4A">
        <w:t>)</w:t>
      </w:r>
      <w:r w:rsidR="0051335A" w:rsidRPr="00416C4A">
        <w:t xml:space="preserve">. </w:t>
      </w:r>
      <w:r w:rsidR="00B91CD8">
        <w:t>Data from t</w:t>
      </w:r>
      <w:r w:rsidR="000150FC" w:rsidRPr="00416C4A">
        <w:t xml:space="preserve">hese four years allow us to </w:t>
      </w:r>
      <w:r w:rsidR="00DC0206" w:rsidRPr="00416C4A">
        <w:t>ev</w:t>
      </w:r>
      <w:r w:rsidR="00897429" w:rsidRPr="00416C4A">
        <w:t>aluate the progress that has been made</w:t>
      </w:r>
      <w:r w:rsidR="00A457DF" w:rsidRPr="00416C4A">
        <w:t xml:space="preserve"> </w:t>
      </w:r>
      <w:r w:rsidR="00B91CD8">
        <w:t xml:space="preserve">towards gender diversity to date </w:t>
      </w:r>
      <w:r w:rsidR="00A457DF" w:rsidRPr="00416C4A">
        <w:t xml:space="preserve">and </w:t>
      </w:r>
      <w:r w:rsidR="00B91CD8">
        <w:t xml:space="preserve">its </w:t>
      </w:r>
      <w:r w:rsidR="003C238B" w:rsidRPr="00416C4A">
        <w:t xml:space="preserve">association </w:t>
      </w:r>
      <w:r w:rsidR="00B91CD8">
        <w:t xml:space="preserve">with </w:t>
      </w:r>
      <w:r w:rsidR="00D2532B" w:rsidRPr="00416C4A">
        <w:t xml:space="preserve">firm </w:t>
      </w:r>
      <w:r w:rsidR="00A457DF" w:rsidRPr="00416C4A">
        <w:t xml:space="preserve">performance </w:t>
      </w:r>
      <w:r w:rsidR="00D2532B" w:rsidRPr="00416C4A">
        <w:t>and value</w:t>
      </w:r>
      <w:r w:rsidR="00D5493E" w:rsidRPr="00416C4A">
        <w:t>.</w:t>
      </w:r>
      <w:r w:rsidRPr="00416C4A">
        <w:rPr>
          <w:rStyle w:val="FootnoteReference"/>
        </w:rPr>
        <w:footnoteReference w:id="1"/>
      </w:r>
      <w:r w:rsidR="00CF39E1" w:rsidRPr="00416C4A">
        <w:t xml:space="preserve"> We </w:t>
      </w:r>
      <w:r w:rsidR="00F41347" w:rsidRPr="00416C4A">
        <w:t xml:space="preserve">measure </w:t>
      </w:r>
      <w:r w:rsidR="00CF50F1" w:rsidRPr="00416C4A">
        <w:t xml:space="preserve">financial </w:t>
      </w:r>
      <w:r w:rsidR="00F41347" w:rsidRPr="00416C4A">
        <w:t xml:space="preserve">performance </w:t>
      </w:r>
      <w:r w:rsidR="00B91CD8">
        <w:t xml:space="preserve">using </w:t>
      </w:r>
      <w:r w:rsidR="00CF39E1" w:rsidRPr="00416C4A">
        <w:t>return on assets</w:t>
      </w:r>
      <w:r w:rsidR="00B91CD8">
        <w:t xml:space="preserve"> (</w:t>
      </w:r>
      <w:r w:rsidR="00B91CD8" w:rsidRPr="00416C4A">
        <w:rPr>
          <w:i/>
          <w:iCs/>
        </w:rPr>
        <w:t>RO</w:t>
      </w:r>
      <w:r w:rsidR="00B91CD8">
        <w:rPr>
          <w:i/>
          <w:iCs/>
        </w:rPr>
        <w:t>A</w:t>
      </w:r>
      <w:r w:rsidRPr="00416C4A">
        <w:t>)</w:t>
      </w:r>
      <w:r w:rsidR="00CF39E1" w:rsidRPr="00416C4A">
        <w:t xml:space="preserve"> a</w:t>
      </w:r>
      <w:r w:rsidR="00F41347" w:rsidRPr="00416C4A">
        <w:t xml:space="preserve">nd </w:t>
      </w:r>
      <w:r w:rsidR="00B91CD8">
        <w:t xml:space="preserve">firm </w:t>
      </w:r>
      <w:r w:rsidR="00F41347" w:rsidRPr="00416C4A">
        <w:t xml:space="preserve">value </w:t>
      </w:r>
      <w:r w:rsidR="00B91CD8">
        <w:t xml:space="preserve">using </w:t>
      </w:r>
      <w:r w:rsidR="00CF39E1" w:rsidRPr="00416C4A">
        <w:rPr>
          <w:i/>
          <w:iCs/>
        </w:rPr>
        <w:t>Tobin’s Q</w:t>
      </w:r>
      <w:r w:rsidR="00CF39E1" w:rsidRPr="00416C4A">
        <w:t xml:space="preserve">, </w:t>
      </w:r>
      <w:r w:rsidR="00B91CD8">
        <w:t>which</w:t>
      </w:r>
      <w:r w:rsidR="00665EF3" w:rsidRPr="00416C4A">
        <w:t xml:space="preserve"> is </w:t>
      </w:r>
      <w:r w:rsidR="00E51631" w:rsidRPr="00416C4A">
        <w:t>a market-based measure.</w:t>
      </w:r>
    </w:p>
    <w:p w14:paraId="71CA68D6" w14:textId="6D8293A2" w:rsidR="00B06DF8" w:rsidRDefault="00D96DFB" w:rsidP="00B06DF8">
      <w:pPr>
        <w:spacing w:line="480" w:lineRule="auto"/>
        <w:ind w:firstLine="720"/>
        <w:jc w:val="both"/>
      </w:pPr>
      <w:r w:rsidRPr="00416C4A">
        <w:t xml:space="preserve">We first </w:t>
      </w:r>
      <w:r w:rsidR="00E8678D" w:rsidRPr="00416C4A">
        <w:t>describe</w:t>
      </w:r>
      <w:r w:rsidR="00D2577A" w:rsidRPr="00416C4A">
        <w:t xml:space="preserve"> the progress </w:t>
      </w:r>
      <w:r w:rsidRPr="00416C4A">
        <w:t>that UK firms have made to</w:t>
      </w:r>
      <w:r w:rsidR="00B91CD8">
        <w:t>wards</w:t>
      </w:r>
      <w:r w:rsidRPr="00416C4A">
        <w:t xml:space="preserve"> achiev</w:t>
      </w:r>
      <w:r w:rsidR="00B91CD8">
        <w:t>ing</w:t>
      </w:r>
      <w:r w:rsidRPr="00416C4A">
        <w:t xml:space="preserve"> the voluntary target</w:t>
      </w:r>
      <w:r w:rsidR="00D2577A" w:rsidRPr="00416C4A">
        <w:t>,</w:t>
      </w:r>
      <w:r w:rsidR="00566318" w:rsidRPr="00416C4A">
        <w:t xml:space="preserve"> </w:t>
      </w:r>
      <w:r w:rsidR="00B91CD8">
        <w:t xml:space="preserve">and we </w:t>
      </w:r>
      <w:r w:rsidR="00566318" w:rsidRPr="00416C4A">
        <w:t xml:space="preserve">consider </w:t>
      </w:r>
      <w:r w:rsidR="00B91CD8">
        <w:t xml:space="preserve">any </w:t>
      </w:r>
      <w:r w:rsidR="009C52F4" w:rsidRPr="00416C4A">
        <w:t xml:space="preserve">industry-based </w:t>
      </w:r>
      <w:r w:rsidR="00566318" w:rsidRPr="00416C4A">
        <w:t>var</w:t>
      </w:r>
      <w:r w:rsidR="009C52F4" w:rsidRPr="00416C4A">
        <w:t xml:space="preserve">iation in the percentage of </w:t>
      </w:r>
      <w:r w:rsidR="00B91CD8">
        <w:t>females</w:t>
      </w:r>
      <w:r w:rsidR="00B91CD8" w:rsidRPr="00416C4A">
        <w:t xml:space="preserve"> </w:t>
      </w:r>
      <w:r w:rsidR="009C52F4" w:rsidRPr="00416C4A">
        <w:t>sitting on UK boards of directors</w:t>
      </w:r>
      <w:r w:rsidRPr="00416C4A">
        <w:t>.</w:t>
      </w:r>
      <w:r w:rsidR="007801E4" w:rsidRPr="00416C4A">
        <w:t xml:space="preserve"> Figure 1 </w:t>
      </w:r>
      <w:r w:rsidR="002F5FE5" w:rsidRPr="00416C4A">
        <w:t>shows that</w:t>
      </w:r>
      <w:r w:rsidR="0080407A" w:rsidRPr="00416C4A">
        <w:t xml:space="preserve">, overall, the percentage of female directors increases over the years, which leads us to expect </w:t>
      </w:r>
      <w:r w:rsidRPr="00416C4A">
        <w:t xml:space="preserve">that most firms </w:t>
      </w:r>
      <w:r w:rsidR="0080407A" w:rsidRPr="00416C4A">
        <w:t>will reach the</w:t>
      </w:r>
      <w:r w:rsidRPr="00416C4A">
        <w:t xml:space="preserve"> </w:t>
      </w:r>
      <w:r w:rsidR="00937E2C" w:rsidRPr="00416C4A">
        <w:t>voluntary</w:t>
      </w:r>
      <w:r w:rsidR="0080407A" w:rsidRPr="00416C4A">
        <w:t xml:space="preserve"> target by 2020.</w:t>
      </w:r>
      <w:r w:rsidR="00937E2C" w:rsidRPr="00416C4A">
        <w:t xml:space="preserve"> In fact, 17 of our 21 industries show a steady and continuous increase in the percentage of female directors. Moreover, </w:t>
      </w:r>
      <w:r w:rsidR="00B91CD8">
        <w:t>by</w:t>
      </w:r>
      <w:r w:rsidR="00937E2C" w:rsidRPr="00416C4A">
        <w:t xml:space="preserve"> 2018, </w:t>
      </w:r>
      <w:r w:rsidR="00EC77C8" w:rsidRPr="00416C4A">
        <w:t xml:space="preserve">three </w:t>
      </w:r>
      <w:r w:rsidR="00937E2C" w:rsidRPr="00416C4A">
        <w:t>industr</w:t>
      </w:r>
      <w:r w:rsidR="00EC77C8" w:rsidRPr="00416C4A">
        <w:t>ies</w:t>
      </w:r>
      <w:r w:rsidR="00937E2C" w:rsidRPr="00416C4A">
        <w:t xml:space="preserve"> ha</w:t>
      </w:r>
      <w:r w:rsidR="00EC77C8" w:rsidRPr="00416C4A">
        <w:t>d</w:t>
      </w:r>
      <w:r w:rsidR="00937E2C" w:rsidRPr="00416C4A">
        <w:t xml:space="preserve"> </w:t>
      </w:r>
      <w:r w:rsidR="00EC77C8" w:rsidRPr="00416C4A">
        <w:t xml:space="preserve">already </w:t>
      </w:r>
      <w:r w:rsidR="00937E2C" w:rsidRPr="00416C4A">
        <w:t xml:space="preserve">reached the </w:t>
      </w:r>
      <w:r w:rsidRPr="00416C4A">
        <w:t>33</w:t>
      </w:r>
      <w:r w:rsidR="00937E2C" w:rsidRPr="00416C4A">
        <w:t xml:space="preserve"> percent target. </w:t>
      </w:r>
    </w:p>
    <w:p w14:paraId="25665A2F" w14:textId="4B8DF973" w:rsidR="00B06DF8" w:rsidRDefault="00245846" w:rsidP="00B06DF8">
      <w:pPr>
        <w:spacing w:line="480" w:lineRule="auto"/>
        <w:ind w:firstLine="720"/>
        <w:jc w:val="both"/>
      </w:pPr>
      <w:r w:rsidRPr="00416C4A">
        <w:lastRenderedPageBreak/>
        <w:t>Figure 2 shows the mean values of the percentage of females on board</w:t>
      </w:r>
      <w:r w:rsidR="00B06DF8">
        <w:t>s</w:t>
      </w:r>
      <w:r w:rsidRPr="00416C4A">
        <w:t xml:space="preserve"> over time. </w:t>
      </w:r>
      <w:r w:rsidR="00B06DF8">
        <w:t>T</w:t>
      </w:r>
      <w:r w:rsidR="003B71A1" w:rsidRPr="00416C4A">
        <w:t>his percentage has been increasing steadily</w:t>
      </w:r>
      <w:r w:rsidR="00C93A47" w:rsidRPr="00416C4A">
        <w:t xml:space="preserve"> (</w:t>
      </w:r>
      <w:r w:rsidR="00B06DF8">
        <w:t>with a</w:t>
      </w:r>
      <w:r w:rsidR="00C93A47" w:rsidRPr="00416C4A">
        <w:t xml:space="preserve"> mean in 2012 </w:t>
      </w:r>
      <w:r w:rsidR="00B06DF8">
        <w:t xml:space="preserve">of </w:t>
      </w:r>
      <w:r w:rsidR="00F23B14" w:rsidRPr="00416C4A">
        <w:t>16</w:t>
      </w:r>
      <w:r w:rsidR="00840D24" w:rsidRPr="00416C4A">
        <w:t>.6</w:t>
      </w:r>
      <w:r w:rsidR="00F23B14" w:rsidRPr="00416C4A">
        <w:t>8</w:t>
      </w:r>
      <w:r w:rsidR="00840D24" w:rsidRPr="00416C4A">
        <w:t xml:space="preserve"> percent and </w:t>
      </w:r>
      <w:r w:rsidR="00B06DF8">
        <w:t xml:space="preserve">a </w:t>
      </w:r>
      <w:r w:rsidR="00840D24" w:rsidRPr="00416C4A">
        <w:t xml:space="preserve">mean in 2018 </w:t>
      </w:r>
      <w:r w:rsidR="00B06DF8">
        <w:t>of</w:t>
      </w:r>
      <w:r w:rsidR="00840D24" w:rsidRPr="00416C4A">
        <w:t xml:space="preserve"> 2</w:t>
      </w:r>
      <w:r w:rsidR="00894842" w:rsidRPr="00416C4A">
        <w:t>9</w:t>
      </w:r>
      <w:r w:rsidR="00840D24" w:rsidRPr="00416C4A">
        <w:t>.</w:t>
      </w:r>
      <w:r w:rsidR="00894842" w:rsidRPr="00416C4A">
        <w:t>07</w:t>
      </w:r>
      <w:r w:rsidR="00840D24" w:rsidRPr="00416C4A">
        <w:t xml:space="preserve"> percent)</w:t>
      </w:r>
      <w:r w:rsidR="003B71A1" w:rsidRPr="00416C4A">
        <w:t>, and the differences</w:t>
      </w:r>
      <w:r w:rsidR="00894842" w:rsidRPr="00416C4A">
        <w:t xml:space="preserve"> in the yearly means</w:t>
      </w:r>
      <w:r w:rsidR="003B71A1" w:rsidRPr="00416C4A">
        <w:t xml:space="preserve"> </w:t>
      </w:r>
      <w:r w:rsidR="00894842" w:rsidRPr="00416C4A">
        <w:t>a</w:t>
      </w:r>
      <w:r w:rsidR="003B71A1" w:rsidRPr="00416C4A">
        <w:t xml:space="preserve">re statistically </w:t>
      </w:r>
      <w:r w:rsidR="00BB354D" w:rsidRPr="00416C4A">
        <w:t xml:space="preserve">significant. </w:t>
      </w:r>
    </w:p>
    <w:p w14:paraId="70697EEF" w14:textId="00827731" w:rsidR="00FB6F1E" w:rsidRDefault="00E92E25" w:rsidP="00894842">
      <w:pPr>
        <w:spacing w:line="480" w:lineRule="auto"/>
        <w:ind w:firstLine="720"/>
        <w:jc w:val="both"/>
      </w:pPr>
      <w:r w:rsidRPr="00416C4A">
        <w:t xml:space="preserve">Finally, we </w:t>
      </w:r>
      <w:r w:rsidR="00B06DF8">
        <w:t>estimate</w:t>
      </w:r>
      <w:r w:rsidRPr="00416C4A">
        <w:t xml:space="preserve"> a multivariate model</w:t>
      </w:r>
      <w:r w:rsidR="00100F56" w:rsidRPr="00416C4A">
        <w:t xml:space="preserve"> </w:t>
      </w:r>
      <w:r w:rsidR="00B06DF8">
        <w:t xml:space="preserve">that </w:t>
      </w:r>
      <w:r w:rsidR="00100F56" w:rsidRPr="00416C4A">
        <w:t>control</w:t>
      </w:r>
      <w:r w:rsidR="00B06DF8">
        <w:t>s</w:t>
      </w:r>
      <w:r w:rsidR="00100F56" w:rsidRPr="00416C4A">
        <w:t xml:space="preserve"> for the presence of </w:t>
      </w:r>
      <w:r w:rsidR="00B06DF8">
        <w:t xml:space="preserve">females </w:t>
      </w:r>
      <w:r w:rsidR="00100F56" w:rsidRPr="00416C4A">
        <w:t xml:space="preserve">in </w:t>
      </w:r>
      <w:r w:rsidR="00964BBB" w:rsidRPr="00416C4A">
        <w:t>influential</w:t>
      </w:r>
      <w:r w:rsidR="00100F56" w:rsidRPr="00416C4A">
        <w:t xml:space="preserve"> positions</w:t>
      </w:r>
      <w:r w:rsidR="00B06DF8">
        <w:t xml:space="preserve"> within the firm</w:t>
      </w:r>
      <w:r w:rsidR="00100F56" w:rsidRPr="00416C4A">
        <w:t xml:space="preserve">, as </w:t>
      </w:r>
      <w:r w:rsidR="00A873E6" w:rsidRPr="00416C4A">
        <w:t xml:space="preserve">well as for industry fixed effects. Again, we find that </w:t>
      </w:r>
      <w:r w:rsidR="0020476F" w:rsidRPr="00416C4A">
        <w:t>throughout the years</w:t>
      </w:r>
      <w:r w:rsidR="00D96DFB" w:rsidRPr="00416C4A">
        <w:t xml:space="preserve">, there </w:t>
      </w:r>
      <w:r w:rsidR="00654389" w:rsidRPr="00416C4A">
        <w:t>h</w:t>
      </w:r>
      <w:r w:rsidR="0020476F" w:rsidRPr="00416C4A">
        <w:t xml:space="preserve">as been a significant increase in the percentage of </w:t>
      </w:r>
      <w:r w:rsidR="00B06DF8">
        <w:t xml:space="preserve">females </w:t>
      </w:r>
      <w:r w:rsidR="0020476F" w:rsidRPr="00416C4A">
        <w:t xml:space="preserve">on </w:t>
      </w:r>
      <w:r w:rsidR="00B06DF8">
        <w:t xml:space="preserve">UK </w:t>
      </w:r>
      <w:r w:rsidR="0020476F" w:rsidRPr="00416C4A">
        <w:t>boards</w:t>
      </w:r>
      <w:r w:rsidR="00B06DF8">
        <w:t xml:space="preserve"> of directors</w:t>
      </w:r>
      <w:r w:rsidR="0020476F" w:rsidRPr="00416C4A">
        <w:t xml:space="preserve">. Moreover, the increase in </w:t>
      </w:r>
      <w:r w:rsidR="00243BFF" w:rsidRPr="00416C4A">
        <w:t>recent</w:t>
      </w:r>
      <w:r w:rsidR="00A458F2" w:rsidRPr="00416C4A">
        <w:t xml:space="preserve"> years </w:t>
      </w:r>
      <w:r w:rsidR="0020476F" w:rsidRPr="00416C4A">
        <w:t xml:space="preserve">was higher than </w:t>
      </w:r>
      <w:r w:rsidR="001515C9" w:rsidRPr="00416C4A">
        <w:t xml:space="preserve">that </w:t>
      </w:r>
      <w:r w:rsidR="00A458F2" w:rsidRPr="00416C4A">
        <w:t>in the first two years</w:t>
      </w:r>
      <w:r w:rsidR="0020476F" w:rsidRPr="00416C4A">
        <w:t xml:space="preserve">. </w:t>
      </w:r>
      <w:r w:rsidR="00D96DFB" w:rsidRPr="00416C4A">
        <w:t xml:space="preserve">This </w:t>
      </w:r>
      <w:r w:rsidR="00CB7C94" w:rsidRPr="00416C4A">
        <w:t>suggests</w:t>
      </w:r>
      <w:r w:rsidR="00D96DFB" w:rsidRPr="00416C4A">
        <w:t xml:space="preserve"> that the </w:t>
      </w:r>
      <w:r w:rsidR="00B06DF8">
        <w:t xml:space="preserve">establishment of </w:t>
      </w:r>
      <w:r w:rsidR="00D96DFB" w:rsidRPr="00416C4A">
        <w:t xml:space="preserve">voluntary </w:t>
      </w:r>
      <w:r w:rsidR="00B06DF8">
        <w:t xml:space="preserve">gender diversity targets </w:t>
      </w:r>
      <w:r w:rsidR="00D96DFB" w:rsidRPr="00416C4A">
        <w:t>is effective for UK firms</w:t>
      </w:r>
      <w:r w:rsidR="00B06DF8">
        <w:t xml:space="preserve">. Moreover, these firms </w:t>
      </w:r>
      <w:r w:rsidR="00D96DFB" w:rsidRPr="00416C4A">
        <w:t>are likely to reach the 33</w:t>
      </w:r>
      <w:r w:rsidR="00AF588C" w:rsidRPr="00416C4A">
        <w:t xml:space="preserve"> percent</w:t>
      </w:r>
      <w:r w:rsidR="00D96DFB" w:rsidRPr="00416C4A">
        <w:t xml:space="preserve"> voluntary target by 2020. The increase in the percentage o</w:t>
      </w:r>
      <w:r w:rsidR="00882986" w:rsidRPr="00416C4A">
        <w:t>f</w:t>
      </w:r>
      <w:r w:rsidR="00D96DFB" w:rsidRPr="00416C4A">
        <w:t xml:space="preserve"> female</w:t>
      </w:r>
      <w:r w:rsidR="009002F5" w:rsidRPr="00416C4A">
        <w:t xml:space="preserve"> </w:t>
      </w:r>
      <w:r w:rsidR="00D96DFB" w:rsidRPr="00416C4A">
        <w:t xml:space="preserve">board directors </w:t>
      </w:r>
      <w:r w:rsidR="00B06DF8">
        <w:t>suggests</w:t>
      </w:r>
      <w:r w:rsidR="00D96DFB" w:rsidRPr="00416C4A">
        <w:t xml:space="preserve"> that a mandatory quota is not required and that firms recogni</w:t>
      </w:r>
      <w:r w:rsidR="00B06DF8">
        <w:t>z</w:t>
      </w:r>
      <w:r w:rsidR="00D96DFB" w:rsidRPr="00416C4A">
        <w:t>e the benefits of having female directors on their boards.</w:t>
      </w:r>
    </w:p>
    <w:p w14:paraId="341115B6" w14:textId="63AEC6DC" w:rsidR="00831753" w:rsidRPr="00416C4A" w:rsidRDefault="00D96DFB" w:rsidP="009C4A1D">
      <w:pPr>
        <w:autoSpaceDE w:val="0"/>
        <w:autoSpaceDN w:val="0"/>
        <w:adjustRightInd w:val="0"/>
        <w:spacing w:line="480" w:lineRule="auto"/>
        <w:ind w:firstLine="720"/>
        <w:jc w:val="both"/>
      </w:pPr>
      <w:r w:rsidRPr="00416C4A">
        <w:t xml:space="preserve">Our second objective is to examine whether the percentage of </w:t>
      </w:r>
      <w:r w:rsidR="00B06DF8">
        <w:t>females</w:t>
      </w:r>
      <w:r w:rsidR="00B06DF8" w:rsidRPr="00416C4A">
        <w:t xml:space="preserve"> </w:t>
      </w:r>
      <w:r w:rsidRPr="00416C4A">
        <w:t xml:space="preserve">on boards is associated with </w:t>
      </w:r>
      <w:r w:rsidR="006300DC" w:rsidRPr="00416C4A">
        <w:t xml:space="preserve">firm </w:t>
      </w:r>
      <w:r w:rsidR="004122D8" w:rsidRPr="00416C4A">
        <w:t xml:space="preserve">financial </w:t>
      </w:r>
      <w:r w:rsidR="006300DC" w:rsidRPr="00416C4A">
        <w:t>performance</w:t>
      </w:r>
      <w:r w:rsidR="00BD5981" w:rsidRPr="00416C4A">
        <w:t xml:space="preserve"> and value</w:t>
      </w:r>
      <w:r w:rsidR="006300DC" w:rsidRPr="00416C4A">
        <w:t xml:space="preserve">. </w:t>
      </w:r>
      <w:r w:rsidR="003256F4">
        <w:t>T</w:t>
      </w:r>
      <w:r w:rsidR="00375B66" w:rsidRPr="00416C4A">
        <w:t>o</w:t>
      </w:r>
      <w:r w:rsidR="006300DC" w:rsidRPr="00416C4A">
        <w:t xml:space="preserve"> assess the robustness of our findings</w:t>
      </w:r>
      <w:r w:rsidR="003256F4">
        <w:t>, w</w:t>
      </w:r>
      <w:r w:rsidR="003256F4" w:rsidRPr="00416C4A">
        <w:t>e test this in several ways</w:t>
      </w:r>
      <w:r w:rsidR="006300DC" w:rsidRPr="00416C4A">
        <w:t xml:space="preserve">. </w:t>
      </w:r>
      <w:r w:rsidR="00D316E1" w:rsidRPr="00416C4A">
        <w:t xml:space="preserve">The results </w:t>
      </w:r>
      <w:r w:rsidR="003256F4">
        <w:t>from</w:t>
      </w:r>
      <w:r w:rsidR="00D316E1" w:rsidRPr="00416C4A">
        <w:t xml:space="preserve"> </w:t>
      </w:r>
      <w:r w:rsidR="004122D8" w:rsidRPr="00416C4A">
        <w:t>our initial</w:t>
      </w:r>
      <w:r w:rsidR="00D316E1" w:rsidRPr="00416C4A">
        <w:t xml:space="preserve"> estimations </w:t>
      </w:r>
      <w:r w:rsidR="005553D2" w:rsidRPr="00416C4A">
        <w:t>show</w:t>
      </w:r>
      <w:r w:rsidR="00D316E1" w:rsidRPr="00416C4A">
        <w:t xml:space="preserve"> </w:t>
      </w:r>
      <w:r w:rsidR="001C0110" w:rsidRPr="00416C4A">
        <w:t xml:space="preserve">a positive and </w:t>
      </w:r>
      <w:r w:rsidR="008751B3">
        <w:t xml:space="preserve">significant </w:t>
      </w:r>
      <w:r w:rsidR="001C0110" w:rsidRPr="00416C4A">
        <w:t xml:space="preserve">association between </w:t>
      </w:r>
      <w:r w:rsidR="00044C59" w:rsidRPr="00416C4A">
        <w:t xml:space="preserve">the percentage of females on boards and </w:t>
      </w:r>
      <w:r w:rsidR="00F95785" w:rsidRPr="00416C4A">
        <w:t>both financial measures (</w:t>
      </w:r>
      <w:r w:rsidR="00F46A1E" w:rsidRPr="00416C4A">
        <w:rPr>
          <w:i/>
          <w:iCs/>
        </w:rPr>
        <w:t>ROA</w:t>
      </w:r>
      <w:r w:rsidR="00F95785" w:rsidRPr="00416C4A">
        <w:t xml:space="preserve"> </w:t>
      </w:r>
      <w:r w:rsidR="00F46A1E" w:rsidRPr="00416C4A">
        <w:t xml:space="preserve">and </w:t>
      </w:r>
      <w:r w:rsidR="00F46A1E" w:rsidRPr="00416C4A">
        <w:rPr>
          <w:i/>
          <w:iCs/>
        </w:rPr>
        <w:t>Tobin’s Q</w:t>
      </w:r>
      <w:r w:rsidR="00F95785" w:rsidRPr="009D1090">
        <w:t>)</w:t>
      </w:r>
      <w:r w:rsidR="00F46A1E" w:rsidRPr="00416C4A">
        <w:t>.</w:t>
      </w:r>
      <w:r w:rsidR="0097008C" w:rsidRPr="00416C4A">
        <w:t xml:space="preserve"> </w:t>
      </w:r>
      <w:r w:rsidR="00E82255" w:rsidRPr="00416C4A">
        <w:t>The</w:t>
      </w:r>
      <w:r w:rsidR="00000C5C" w:rsidRPr="00416C4A">
        <w:t>re is also an</w:t>
      </w:r>
      <w:r w:rsidR="00E82255" w:rsidRPr="00416C4A">
        <w:t xml:space="preserve"> indirect association </w:t>
      </w:r>
      <w:r w:rsidR="008751B3" w:rsidRPr="00416C4A">
        <w:t xml:space="preserve">between the percentage of females on boards </w:t>
      </w:r>
      <w:r w:rsidR="005036B3" w:rsidRPr="00416C4A">
        <w:t xml:space="preserve">and </w:t>
      </w:r>
      <w:r w:rsidR="005036B3">
        <w:t xml:space="preserve">Tobin’s Q </w:t>
      </w:r>
      <w:r w:rsidR="00000C5C" w:rsidRPr="00416C4A">
        <w:t xml:space="preserve">(via </w:t>
      </w:r>
      <w:r w:rsidR="00000C5C" w:rsidRPr="00416C4A">
        <w:rPr>
          <w:i/>
          <w:iCs/>
        </w:rPr>
        <w:t>ROA</w:t>
      </w:r>
      <w:r w:rsidR="00000C5C" w:rsidRPr="00416C4A">
        <w:t xml:space="preserve">), </w:t>
      </w:r>
      <w:r w:rsidRPr="00416C4A">
        <w:t xml:space="preserve">as </w:t>
      </w:r>
      <w:r w:rsidR="008751B3">
        <w:t>indicated</w:t>
      </w:r>
      <w:r w:rsidR="008751B3" w:rsidRPr="00416C4A">
        <w:t xml:space="preserve"> </w:t>
      </w:r>
      <w:r w:rsidR="00E82255" w:rsidRPr="00416C4A">
        <w:t xml:space="preserve">by </w:t>
      </w:r>
      <w:r w:rsidR="008751B3">
        <w:t>a</w:t>
      </w:r>
      <w:r w:rsidRPr="00416C4A">
        <w:t xml:space="preserve"> Sobel intermediation tests. </w:t>
      </w:r>
      <w:r w:rsidR="0097008C" w:rsidRPr="00416C4A">
        <w:t xml:space="preserve">These </w:t>
      </w:r>
      <w:r w:rsidR="008751B3">
        <w:t xml:space="preserve">direct and indirect </w:t>
      </w:r>
      <w:r w:rsidR="0097008C" w:rsidRPr="00416C4A">
        <w:t xml:space="preserve">associations are present </w:t>
      </w:r>
      <w:r w:rsidR="009A13D3" w:rsidRPr="00416C4A">
        <w:t xml:space="preserve">when we consider the pooled sample </w:t>
      </w:r>
      <w:r w:rsidR="008751B3">
        <w:t>and</w:t>
      </w:r>
      <w:r w:rsidR="009A13D3" w:rsidRPr="00416C4A">
        <w:t xml:space="preserve"> when we consider only the subsample of observations </w:t>
      </w:r>
      <w:r w:rsidR="008751B3">
        <w:t>from</w:t>
      </w:r>
      <w:r w:rsidR="008751B3" w:rsidRPr="00416C4A">
        <w:t xml:space="preserve"> </w:t>
      </w:r>
      <w:r w:rsidR="00000C5C" w:rsidRPr="00416C4A">
        <w:t xml:space="preserve">the </w:t>
      </w:r>
      <w:r w:rsidR="00040571" w:rsidRPr="00416C4A">
        <w:t xml:space="preserve">last two </w:t>
      </w:r>
      <w:r w:rsidR="00000C5C" w:rsidRPr="00416C4A">
        <w:t>years</w:t>
      </w:r>
      <w:r w:rsidR="009A13D3" w:rsidRPr="00416C4A">
        <w:t xml:space="preserve">. However, </w:t>
      </w:r>
      <w:r w:rsidR="008751B3">
        <w:t>they</w:t>
      </w:r>
      <w:r w:rsidR="00E82255" w:rsidRPr="00416C4A">
        <w:t xml:space="preserve"> </w:t>
      </w:r>
      <w:r w:rsidR="00AA6E02" w:rsidRPr="00416C4A">
        <w:t>are</w:t>
      </w:r>
      <w:r w:rsidR="00E82255" w:rsidRPr="00416C4A">
        <w:t xml:space="preserve"> not </w:t>
      </w:r>
      <w:r w:rsidR="00AA6E02" w:rsidRPr="00416C4A">
        <w:t xml:space="preserve">significant </w:t>
      </w:r>
      <w:r w:rsidR="00AD1B0F" w:rsidRPr="00416C4A">
        <w:t xml:space="preserve">in the </w:t>
      </w:r>
      <w:r w:rsidR="00C96121" w:rsidRPr="00416C4A">
        <w:t xml:space="preserve">subsample of observations </w:t>
      </w:r>
      <w:r w:rsidR="008751B3">
        <w:t>from</w:t>
      </w:r>
      <w:r w:rsidR="008751B3" w:rsidRPr="00416C4A">
        <w:t xml:space="preserve"> </w:t>
      </w:r>
      <w:r w:rsidR="008473B6" w:rsidRPr="00416C4A">
        <w:t xml:space="preserve">the </w:t>
      </w:r>
      <w:r w:rsidR="00660EA8" w:rsidRPr="00416C4A">
        <w:t xml:space="preserve">initial two </w:t>
      </w:r>
      <w:r w:rsidR="008473B6" w:rsidRPr="00416C4A">
        <w:t>years</w:t>
      </w:r>
      <w:r w:rsidR="008751B3">
        <w:t xml:space="preserve">. This suggests </w:t>
      </w:r>
      <w:r w:rsidRPr="00416C4A">
        <w:t xml:space="preserve">that </w:t>
      </w:r>
      <w:r w:rsidR="008751B3">
        <w:t xml:space="preserve">the association between females on boards and financial performance </w:t>
      </w:r>
      <w:r w:rsidRPr="00416C4A">
        <w:t>is a recent development</w:t>
      </w:r>
      <w:r w:rsidR="00C96121" w:rsidRPr="00416C4A">
        <w:t>.</w:t>
      </w:r>
      <w:r w:rsidR="00702C9B" w:rsidRPr="00416C4A">
        <w:t xml:space="preserve"> </w:t>
      </w:r>
      <w:r w:rsidR="002E4158" w:rsidRPr="00416C4A">
        <w:t xml:space="preserve">Our results also indicate that </w:t>
      </w:r>
      <w:r w:rsidR="00F72357" w:rsidRPr="00416C4A">
        <w:t>the percentage of executive female</w:t>
      </w:r>
      <w:r w:rsidR="00EA6604" w:rsidRPr="00416C4A">
        <w:t xml:space="preserve"> directors</w:t>
      </w:r>
      <w:r w:rsidR="00F72357" w:rsidRPr="00416C4A">
        <w:t xml:space="preserve"> </w:t>
      </w:r>
      <w:r w:rsidR="000822BF" w:rsidRPr="00416C4A">
        <w:t>on the board is negative</w:t>
      </w:r>
      <w:r w:rsidR="00134816" w:rsidRPr="00416C4A">
        <w:t>ly</w:t>
      </w:r>
      <w:r w:rsidR="000822BF" w:rsidRPr="00416C4A">
        <w:t xml:space="preserve"> associated with firm value, suggesting that</w:t>
      </w:r>
      <w:r w:rsidRPr="00416C4A">
        <w:t xml:space="preserve">, </w:t>
      </w:r>
      <w:r w:rsidR="008751B3">
        <w:t>although</w:t>
      </w:r>
      <w:r w:rsidR="008751B3" w:rsidRPr="00416C4A">
        <w:t xml:space="preserve"> </w:t>
      </w:r>
      <w:r w:rsidR="004D19B2" w:rsidRPr="00416C4A">
        <w:t>the presence of non-executive female</w:t>
      </w:r>
      <w:r w:rsidR="00165639" w:rsidRPr="00416C4A">
        <w:t xml:space="preserve"> directors</w:t>
      </w:r>
      <w:r w:rsidR="004D19B2" w:rsidRPr="00416C4A">
        <w:t xml:space="preserve"> on the board is positively valued by capital market</w:t>
      </w:r>
      <w:r w:rsidR="008751B3">
        <w:t xml:space="preserve"> participant</w:t>
      </w:r>
      <w:r w:rsidR="004D19B2" w:rsidRPr="00416C4A">
        <w:t xml:space="preserve">s, </w:t>
      </w:r>
      <w:r w:rsidR="008751B3">
        <w:t xml:space="preserve">a similar increase </w:t>
      </w:r>
      <w:r w:rsidR="004D19B2" w:rsidRPr="00416C4A">
        <w:t xml:space="preserve">does not occur </w:t>
      </w:r>
      <w:r w:rsidR="008751B3">
        <w:t xml:space="preserve">for </w:t>
      </w:r>
      <w:r w:rsidR="00D078CA" w:rsidRPr="00416C4A">
        <w:t>executive</w:t>
      </w:r>
      <w:r w:rsidR="008751B3">
        <w:t xml:space="preserve"> female director</w:t>
      </w:r>
      <w:r w:rsidR="00D078CA" w:rsidRPr="00416C4A">
        <w:t>s.</w:t>
      </w:r>
    </w:p>
    <w:p w14:paraId="3C69EDA8" w14:textId="1D2BA179" w:rsidR="007754BE" w:rsidRPr="00416C4A" w:rsidRDefault="00D96DFB" w:rsidP="009C4A1D">
      <w:pPr>
        <w:autoSpaceDE w:val="0"/>
        <w:autoSpaceDN w:val="0"/>
        <w:adjustRightInd w:val="0"/>
        <w:spacing w:line="480" w:lineRule="auto"/>
        <w:ind w:firstLine="720"/>
        <w:jc w:val="both"/>
      </w:pPr>
      <w:r w:rsidRPr="00416C4A">
        <w:lastRenderedPageBreak/>
        <w:t>Recogni</w:t>
      </w:r>
      <w:r w:rsidR="008751B3">
        <w:t>z</w:t>
      </w:r>
      <w:r w:rsidRPr="00416C4A">
        <w:t xml:space="preserve">ing endogeneity due to omitted variables can affect </w:t>
      </w:r>
      <w:r w:rsidR="008751B3">
        <w:t xml:space="preserve">the </w:t>
      </w:r>
      <w:r w:rsidRPr="00416C4A">
        <w:t>results</w:t>
      </w:r>
      <w:r w:rsidR="008751B3">
        <w:t xml:space="preserve"> from valuation studies</w:t>
      </w:r>
      <w:r w:rsidRPr="00416C4A">
        <w:t xml:space="preserve">, we next </w:t>
      </w:r>
      <w:r w:rsidR="009E2124" w:rsidRPr="00416C4A">
        <w:t xml:space="preserve">consider the decision to appoint </w:t>
      </w:r>
      <w:r w:rsidR="008751B3">
        <w:t>females</w:t>
      </w:r>
      <w:r w:rsidR="008751B3" w:rsidRPr="00416C4A">
        <w:t xml:space="preserve"> </w:t>
      </w:r>
      <w:r w:rsidR="009E2124" w:rsidRPr="00416C4A">
        <w:t xml:space="preserve">to the board of directors </w:t>
      </w:r>
      <w:r w:rsidRPr="00416C4A">
        <w:t xml:space="preserve">as an </w:t>
      </w:r>
      <w:r w:rsidR="009E2124" w:rsidRPr="00416C4A">
        <w:t>endogenous firm decision and us</w:t>
      </w:r>
      <w:r w:rsidRPr="00416C4A">
        <w:t>e</w:t>
      </w:r>
      <w:r w:rsidR="009E2124" w:rsidRPr="00416C4A">
        <w:t xml:space="preserve"> a </w:t>
      </w:r>
      <w:r w:rsidR="000B694F" w:rsidRPr="00416C4A">
        <w:t>simultaneous estimation model</w:t>
      </w:r>
      <w:r w:rsidR="009E2124" w:rsidRPr="00416C4A">
        <w:t xml:space="preserve">. </w:t>
      </w:r>
      <w:r w:rsidR="00831753" w:rsidRPr="00416C4A">
        <w:t xml:space="preserve">The results </w:t>
      </w:r>
      <w:r w:rsidR="003256F4">
        <w:t>from</w:t>
      </w:r>
      <w:r w:rsidR="00831753" w:rsidRPr="00416C4A">
        <w:t xml:space="preserve"> this robustness check confirm our </w:t>
      </w:r>
      <w:r w:rsidR="00F71AEB" w:rsidRPr="00416C4A">
        <w:t>main</w:t>
      </w:r>
      <w:r w:rsidR="00831753" w:rsidRPr="00416C4A">
        <w:t xml:space="preserve"> </w:t>
      </w:r>
      <w:r w:rsidR="005515C9" w:rsidRPr="00416C4A">
        <w:t>findings</w:t>
      </w:r>
      <w:r w:rsidR="008751B3">
        <w:t xml:space="preserve"> – </w:t>
      </w:r>
      <w:r w:rsidR="00F11F2D" w:rsidRPr="00416C4A">
        <w:t>we find</w:t>
      </w:r>
      <w:r w:rsidR="005515C9" w:rsidRPr="00416C4A">
        <w:t xml:space="preserve"> that </w:t>
      </w:r>
      <w:r w:rsidR="005515C9" w:rsidRPr="00416C4A">
        <w:rPr>
          <w:i/>
          <w:iCs/>
        </w:rPr>
        <w:t>%Female</w:t>
      </w:r>
      <w:r w:rsidR="005515C9" w:rsidRPr="00416C4A">
        <w:t xml:space="preserve"> is positive</w:t>
      </w:r>
      <w:r w:rsidR="00F11F2D" w:rsidRPr="00416C4A">
        <w:t>ly</w:t>
      </w:r>
      <w:r w:rsidR="005515C9" w:rsidRPr="00416C4A">
        <w:t xml:space="preserve"> and significantly associated with both </w:t>
      </w:r>
      <w:r w:rsidR="005515C9" w:rsidRPr="00416C4A">
        <w:rPr>
          <w:i/>
          <w:iCs/>
        </w:rPr>
        <w:t>ROA</w:t>
      </w:r>
      <w:r w:rsidR="005515C9" w:rsidRPr="00416C4A">
        <w:t xml:space="preserve"> and </w:t>
      </w:r>
      <w:r w:rsidR="005515C9" w:rsidRPr="00416C4A">
        <w:rPr>
          <w:i/>
          <w:iCs/>
        </w:rPr>
        <w:t>Tobin’s Q</w:t>
      </w:r>
      <w:r w:rsidR="005515C9" w:rsidRPr="00416C4A">
        <w:t>.</w:t>
      </w:r>
      <w:r w:rsidR="00B533D7" w:rsidRPr="00416C4A">
        <w:t xml:space="preserve"> </w:t>
      </w:r>
      <w:r w:rsidR="006E0F6E" w:rsidRPr="00416C4A">
        <w:t xml:space="preserve">Additional analysis indicates that the </w:t>
      </w:r>
      <w:r w:rsidR="007C456B" w:rsidRPr="00416C4A">
        <w:t>positive association between gender diversity and financial performance extends into the future</w:t>
      </w:r>
      <w:r w:rsidR="008751B3">
        <w:t xml:space="preserve"> – it is</w:t>
      </w:r>
      <w:r w:rsidR="007C456B" w:rsidRPr="00416C4A">
        <w:t xml:space="preserve"> </w:t>
      </w:r>
      <w:r w:rsidR="008751B3">
        <w:t xml:space="preserve">also </w:t>
      </w:r>
      <w:r w:rsidR="007C456B" w:rsidRPr="00416C4A">
        <w:t xml:space="preserve">significant in the year after </w:t>
      </w:r>
      <w:r w:rsidR="008751B3">
        <w:t>females join</w:t>
      </w:r>
      <w:r w:rsidR="00CD3564" w:rsidRPr="00416C4A">
        <w:t xml:space="preserve"> the board </w:t>
      </w:r>
      <w:r w:rsidR="008751B3">
        <w:t xml:space="preserve">and in </w:t>
      </w:r>
      <w:r w:rsidR="00CD3564" w:rsidRPr="00416C4A">
        <w:t xml:space="preserve">the </w:t>
      </w:r>
      <w:r w:rsidR="008751B3">
        <w:t xml:space="preserve">following </w:t>
      </w:r>
      <w:r w:rsidR="00CD3564" w:rsidRPr="00416C4A">
        <w:t xml:space="preserve">year. </w:t>
      </w:r>
      <w:r w:rsidR="00992715" w:rsidRPr="00416C4A">
        <w:t>However,</w:t>
      </w:r>
      <w:r w:rsidR="008035B2" w:rsidRPr="00416C4A">
        <w:t xml:space="preserve"> the </w:t>
      </w:r>
      <w:r w:rsidR="003007CA" w:rsidRPr="00416C4A">
        <w:t xml:space="preserve">association between gender diversity and valuation is immediate and does not extend </w:t>
      </w:r>
      <w:r w:rsidR="008751B3">
        <w:t>in</w:t>
      </w:r>
      <w:r w:rsidR="003007CA" w:rsidRPr="00416C4A">
        <w:t xml:space="preserve">to the future. </w:t>
      </w:r>
      <w:r w:rsidR="004C07D7" w:rsidRPr="00416C4A">
        <w:t xml:space="preserve">These results should be of interest to </w:t>
      </w:r>
      <w:r w:rsidR="008751B3">
        <w:t xml:space="preserve">a variety of </w:t>
      </w:r>
      <w:r w:rsidR="004C07D7" w:rsidRPr="00416C4A">
        <w:t>firm</w:t>
      </w:r>
      <w:r w:rsidR="008751B3">
        <w:t xml:space="preserve"> stakeholder</w:t>
      </w:r>
      <w:r w:rsidR="004C07D7" w:rsidRPr="00416C4A">
        <w:t xml:space="preserve">s </w:t>
      </w:r>
      <w:r w:rsidR="008751B3">
        <w:t xml:space="preserve">because they suggest </w:t>
      </w:r>
      <w:r w:rsidR="004C07D7" w:rsidRPr="00416C4A">
        <w:t xml:space="preserve">that </w:t>
      </w:r>
      <w:r w:rsidR="008751B3">
        <w:t xml:space="preserve">firms </w:t>
      </w:r>
      <w:r w:rsidR="004C07D7" w:rsidRPr="00416C4A">
        <w:t xml:space="preserve">can benefit from increasing the </w:t>
      </w:r>
      <w:r w:rsidR="008751B3">
        <w:t xml:space="preserve">representation </w:t>
      </w:r>
      <w:r w:rsidR="004C07D7" w:rsidRPr="00416C4A">
        <w:t xml:space="preserve">of </w:t>
      </w:r>
      <w:r w:rsidR="008751B3">
        <w:t xml:space="preserve">females </w:t>
      </w:r>
      <w:r w:rsidR="004C07D7" w:rsidRPr="00416C4A">
        <w:t>on their boards</w:t>
      </w:r>
      <w:r w:rsidR="008751B3">
        <w:t xml:space="preserve">. It should also interest </w:t>
      </w:r>
      <w:r w:rsidR="00A74A34" w:rsidRPr="00416C4A">
        <w:t xml:space="preserve">analysts </w:t>
      </w:r>
      <w:r w:rsidR="008751B3">
        <w:t xml:space="preserve">and investors </w:t>
      </w:r>
      <w:r w:rsidR="00A74A34" w:rsidRPr="00416C4A">
        <w:t xml:space="preserve">who </w:t>
      </w:r>
      <w:r w:rsidR="008751B3">
        <w:t>c</w:t>
      </w:r>
      <w:r w:rsidR="00A74A34" w:rsidRPr="00416C4A">
        <w:t>ould consider board diversity in their investment decisions</w:t>
      </w:r>
      <w:r w:rsidR="004C07D7" w:rsidRPr="00416C4A">
        <w:t>.</w:t>
      </w:r>
    </w:p>
    <w:p w14:paraId="5267FB73" w14:textId="2C659D6D" w:rsidR="00C33AA6" w:rsidRPr="00416C4A" w:rsidRDefault="00D96DFB" w:rsidP="00361D69">
      <w:pPr>
        <w:pStyle w:val="NormalWeb"/>
        <w:spacing w:before="0" w:beforeAutospacing="0" w:after="0" w:afterAutospacing="0" w:line="480" w:lineRule="auto"/>
        <w:ind w:firstLine="720"/>
        <w:jc w:val="both"/>
      </w:pPr>
      <w:r w:rsidRPr="00416C4A">
        <w:t xml:space="preserve">Our study contributes to two strands of literature: </w:t>
      </w:r>
      <w:r w:rsidR="0031706C">
        <w:t xml:space="preserve">one </w:t>
      </w:r>
      <w:r w:rsidRPr="00416C4A">
        <w:t xml:space="preserve">on gender quotas and </w:t>
      </w:r>
      <w:r w:rsidR="0031706C">
        <w:t>the other</w:t>
      </w:r>
      <w:r w:rsidRPr="00416C4A">
        <w:t xml:space="preserve"> on </w:t>
      </w:r>
      <w:r w:rsidR="0031706C">
        <w:t xml:space="preserve">firm </w:t>
      </w:r>
      <w:r w:rsidRPr="00416C4A">
        <w:t xml:space="preserve">performance </w:t>
      </w:r>
      <w:r w:rsidR="0092774D" w:rsidRPr="00416C4A">
        <w:t xml:space="preserve">and </w:t>
      </w:r>
      <w:r w:rsidRPr="00416C4A">
        <w:t>valuation.</w:t>
      </w:r>
      <w:r w:rsidR="0069535D" w:rsidRPr="00416C4A">
        <w:t xml:space="preserve"> </w:t>
      </w:r>
      <w:r w:rsidR="0031706C">
        <w:t>O</w:t>
      </w:r>
      <w:r w:rsidR="0069535D" w:rsidRPr="00416C4A">
        <w:t xml:space="preserve">ur results </w:t>
      </w:r>
      <w:r w:rsidR="00086546" w:rsidRPr="00416C4A">
        <w:t>suggest</w:t>
      </w:r>
      <w:r w:rsidR="0069535D" w:rsidRPr="00416C4A">
        <w:t xml:space="preserve"> that quota</w:t>
      </w:r>
      <w:r w:rsidR="0031706C">
        <w:t>s are not required</w:t>
      </w:r>
      <w:r w:rsidR="0069535D" w:rsidRPr="00416C4A">
        <w:t xml:space="preserve"> to increase </w:t>
      </w:r>
      <w:r w:rsidR="00A84119" w:rsidRPr="00416C4A">
        <w:t xml:space="preserve">the percentage of </w:t>
      </w:r>
      <w:r w:rsidR="0031706C">
        <w:t>females</w:t>
      </w:r>
      <w:r w:rsidR="0031706C" w:rsidRPr="00416C4A">
        <w:t xml:space="preserve"> </w:t>
      </w:r>
      <w:r w:rsidR="00A84119" w:rsidRPr="00416C4A">
        <w:t>on boards of directors</w:t>
      </w:r>
      <w:r w:rsidR="0031706C">
        <w:t>. Instead,</w:t>
      </w:r>
      <w:r w:rsidR="00A84119" w:rsidRPr="00416C4A">
        <w:t xml:space="preserve"> voluntary target</w:t>
      </w:r>
      <w:r w:rsidR="00CA2013" w:rsidRPr="00416C4A">
        <w:t>s</w:t>
      </w:r>
      <w:r w:rsidR="0031706C">
        <w:t xml:space="preserve"> </w:t>
      </w:r>
      <w:r w:rsidR="00A84119" w:rsidRPr="00416C4A">
        <w:t xml:space="preserve">supported by the government </w:t>
      </w:r>
      <w:r w:rsidR="0031706C">
        <w:t>can increase gender diversity</w:t>
      </w:r>
      <w:r w:rsidR="00A84119" w:rsidRPr="00416C4A">
        <w:t>.</w:t>
      </w:r>
      <w:r w:rsidR="00DC5C7C" w:rsidRPr="00416C4A">
        <w:t xml:space="preserve"> </w:t>
      </w:r>
      <w:r w:rsidR="00B91983" w:rsidRPr="00416C4A">
        <w:t xml:space="preserve">Thus, although our data are </w:t>
      </w:r>
      <w:r w:rsidR="0031706C">
        <w:t xml:space="preserve">exclusively </w:t>
      </w:r>
      <w:r w:rsidR="00B91983" w:rsidRPr="00416C4A">
        <w:t>from UK</w:t>
      </w:r>
      <w:r w:rsidR="0031706C">
        <w:t xml:space="preserve"> firms</w:t>
      </w:r>
      <w:r w:rsidR="00B91983" w:rsidRPr="00416C4A">
        <w:t xml:space="preserve">, there are cross-country implications </w:t>
      </w:r>
      <w:r w:rsidR="00226BD7" w:rsidRPr="00416C4A">
        <w:t xml:space="preserve">for our findings. </w:t>
      </w:r>
      <w:r w:rsidR="00DC5C7C" w:rsidRPr="00416C4A">
        <w:t xml:space="preserve">Moreover, </w:t>
      </w:r>
      <w:r w:rsidR="00234296" w:rsidRPr="00416C4A">
        <w:t xml:space="preserve">using different methodologies and subsamples, we provide robust </w:t>
      </w:r>
      <w:r w:rsidR="0031706C">
        <w:t xml:space="preserve">evidence of a </w:t>
      </w:r>
      <w:r w:rsidR="00234296" w:rsidRPr="00416C4A">
        <w:t>li</w:t>
      </w:r>
      <w:r w:rsidR="00DA5798" w:rsidRPr="00416C4A">
        <w:t>n</w:t>
      </w:r>
      <w:r w:rsidR="00234296" w:rsidRPr="00416C4A">
        <w:t xml:space="preserve">k between </w:t>
      </w:r>
      <w:r w:rsidR="009E3B28" w:rsidRPr="00416C4A">
        <w:t>b</w:t>
      </w:r>
      <w:r w:rsidR="00DA5798" w:rsidRPr="00416C4A">
        <w:t xml:space="preserve">oard </w:t>
      </w:r>
      <w:r w:rsidR="00234296" w:rsidRPr="00416C4A">
        <w:t>gender diversity</w:t>
      </w:r>
      <w:r w:rsidR="00DA5798" w:rsidRPr="00416C4A">
        <w:t xml:space="preserve"> and firm performance and value</w:t>
      </w:r>
      <w:r w:rsidR="00234296" w:rsidRPr="00416C4A">
        <w:t>.</w:t>
      </w:r>
      <w:r w:rsidR="00A43279" w:rsidRPr="00416C4A">
        <w:t xml:space="preserve"> </w:t>
      </w:r>
      <w:r w:rsidR="0031706C">
        <w:t>T</w:t>
      </w:r>
      <w:r w:rsidR="00A43279" w:rsidRPr="00416C4A">
        <w:t>here is mixed evidence on the relation</w:t>
      </w:r>
      <w:r w:rsidRPr="00416C4A">
        <w:t xml:space="preserve"> between female directors’ board presence and firm performance</w:t>
      </w:r>
      <w:r w:rsidR="0031706C">
        <w:t xml:space="preserve"> in cross-country settings. However</w:t>
      </w:r>
      <w:r w:rsidRPr="00416C4A">
        <w:t>, studies focused on one country</w:t>
      </w:r>
      <w:r w:rsidR="0031706C">
        <w:t xml:space="preserve">, </w:t>
      </w:r>
      <w:r w:rsidR="00A43279" w:rsidRPr="00416C4A">
        <w:t>such as ours</w:t>
      </w:r>
      <w:r w:rsidR="0031706C">
        <w:t>,</w:t>
      </w:r>
      <w:r w:rsidR="00A43279" w:rsidRPr="00416C4A">
        <w:t xml:space="preserve"> can help clarify this relation</w:t>
      </w:r>
      <w:r w:rsidR="00D51FD8" w:rsidRPr="00416C4A">
        <w:t xml:space="preserve"> </w:t>
      </w:r>
      <w:r w:rsidR="0031706C">
        <w:t>(</w:t>
      </w:r>
      <w:r w:rsidR="00D51FD8" w:rsidRPr="00416C4A">
        <w:t>Karuna 2020)</w:t>
      </w:r>
      <w:r w:rsidR="00A43279" w:rsidRPr="00416C4A">
        <w:t>.</w:t>
      </w:r>
      <w:r w:rsidRPr="00416C4A">
        <w:t xml:space="preserve"> </w:t>
      </w:r>
      <w:r w:rsidR="0090119F" w:rsidRPr="00416C4A">
        <w:t>It is also possible that the negative association between female executives on the board and firm value is resp</w:t>
      </w:r>
      <w:r w:rsidR="003F2826" w:rsidRPr="00416C4A">
        <w:t xml:space="preserve">onsible for some previous mixed findings. </w:t>
      </w:r>
      <w:r w:rsidR="0031706C">
        <w:t>F</w:t>
      </w:r>
      <w:r w:rsidR="0031706C" w:rsidRPr="00416C4A">
        <w:t>emale directors have the potential to be more independent of management (Adams and Ferreira 2009) and assign less value to security (Adams and Funk 2012)</w:t>
      </w:r>
      <w:r w:rsidR="0031706C">
        <w:t xml:space="preserve">. </w:t>
      </w:r>
      <w:r w:rsidRPr="00416C4A">
        <w:t xml:space="preserve">Given the important implications </w:t>
      </w:r>
      <w:r w:rsidR="00531DB7" w:rsidRPr="00416C4A">
        <w:t xml:space="preserve">of an increase in the </w:t>
      </w:r>
      <w:r w:rsidR="00531DB7" w:rsidRPr="00416C4A">
        <w:lastRenderedPageBreak/>
        <w:t xml:space="preserve">proportion of </w:t>
      </w:r>
      <w:r w:rsidR="0031706C">
        <w:t>females</w:t>
      </w:r>
      <w:r w:rsidR="0031706C" w:rsidRPr="00416C4A">
        <w:t xml:space="preserve"> </w:t>
      </w:r>
      <w:r w:rsidR="00531DB7" w:rsidRPr="00416C4A">
        <w:t>on boards</w:t>
      </w:r>
      <w:r w:rsidR="0031706C">
        <w:t xml:space="preserve"> </w:t>
      </w:r>
      <w:r w:rsidR="0031706C" w:rsidRPr="00416C4A">
        <w:t>for corporate governance</w:t>
      </w:r>
      <w:r w:rsidR="00B2515B" w:rsidRPr="00416C4A">
        <w:t>,</w:t>
      </w:r>
      <w:r w:rsidR="0031706C">
        <w:t xml:space="preserve"> </w:t>
      </w:r>
      <w:r w:rsidRPr="00416C4A">
        <w:t xml:space="preserve">our findings </w:t>
      </w:r>
      <w:r w:rsidR="0031706C">
        <w:t>should</w:t>
      </w:r>
      <w:r w:rsidR="0031706C" w:rsidRPr="00416C4A">
        <w:t xml:space="preserve"> </w:t>
      </w:r>
      <w:r w:rsidRPr="00416C4A">
        <w:t>also be of interest to board chair</w:t>
      </w:r>
      <w:r w:rsidR="000D08DA">
        <w:t>s</w:t>
      </w:r>
      <w:r w:rsidR="008B5760" w:rsidRPr="00416C4A">
        <w:t xml:space="preserve">, financial </w:t>
      </w:r>
      <w:r w:rsidR="005428CB" w:rsidRPr="00416C4A">
        <w:t>analysts,</w:t>
      </w:r>
      <w:r w:rsidR="008B5760" w:rsidRPr="00416C4A">
        <w:t xml:space="preserve"> and investors.</w:t>
      </w:r>
    </w:p>
    <w:p w14:paraId="36F404FA" w14:textId="6ADE9163" w:rsidR="00B85B73" w:rsidRPr="00416C4A" w:rsidRDefault="00B85B73" w:rsidP="009C4A1D">
      <w:pPr>
        <w:autoSpaceDE w:val="0"/>
        <w:autoSpaceDN w:val="0"/>
        <w:adjustRightInd w:val="0"/>
        <w:spacing w:line="480" w:lineRule="auto"/>
        <w:ind w:firstLine="720"/>
        <w:jc w:val="both"/>
      </w:pPr>
    </w:p>
    <w:p w14:paraId="26EEEB95" w14:textId="77777777" w:rsidR="009C4A1D" w:rsidRPr="00416C4A" w:rsidRDefault="00D96DFB" w:rsidP="004A119D">
      <w:pPr>
        <w:pStyle w:val="Heading1"/>
        <w:numPr>
          <w:ilvl w:val="0"/>
          <w:numId w:val="1"/>
        </w:numPr>
        <w:spacing w:line="480" w:lineRule="auto"/>
        <w:jc w:val="center"/>
        <w:rPr>
          <w:rFonts w:ascii="Times New Roman" w:eastAsia="Times New Roman" w:hAnsi="Times New Roman" w:cs="Times New Roman"/>
          <w:b/>
          <w:bCs/>
          <w:caps/>
          <w:color w:val="auto"/>
          <w:sz w:val="24"/>
          <w:szCs w:val="24"/>
        </w:rPr>
      </w:pPr>
      <w:bookmarkStart w:id="2" w:name="_Toc48157841"/>
      <w:bookmarkStart w:id="3" w:name="_Toc49414742"/>
      <w:r w:rsidRPr="00416C4A">
        <w:rPr>
          <w:rFonts w:ascii="Times New Roman" w:eastAsia="Times New Roman" w:hAnsi="Times New Roman" w:cs="Times New Roman"/>
          <w:b/>
          <w:bCs/>
          <w:caps/>
          <w:color w:val="auto"/>
          <w:sz w:val="24"/>
          <w:szCs w:val="24"/>
        </w:rPr>
        <w:t>Regulatory interventions and settings</w:t>
      </w:r>
      <w:bookmarkEnd w:id="2"/>
      <w:bookmarkEnd w:id="3"/>
    </w:p>
    <w:p w14:paraId="36D08062" w14:textId="73F2BE1D" w:rsidR="009C4A1D" w:rsidRPr="00416C4A" w:rsidRDefault="00D96DFB" w:rsidP="007A2FC0">
      <w:pPr>
        <w:spacing w:line="480" w:lineRule="auto"/>
        <w:ind w:firstLine="720"/>
        <w:jc w:val="both"/>
      </w:pPr>
      <w:r w:rsidRPr="00416C4A">
        <w:t>In 2011 and 2015, regulators in the UK established voluntary targets for gender diversity on the boards of directors of large firms.  Document</w:t>
      </w:r>
      <w:r w:rsidR="00C60AA1" w:rsidRPr="00416C4A">
        <w:t>s</w:t>
      </w:r>
      <w:r w:rsidRPr="00416C4A">
        <w:t xml:space="preserve"> establishing these targets </w:t>
      </w:r>
      <w:r w:rsidR="00C60AA1" w:rsidRPr="00416C4A">
        <w:t>are</w:t>
      </w:r>
      <w:r w:rsidRPr="00416C4A">
        <w:t xml:space="preserve"> generally referred to as the Davies</w:t>
      </w:r>
      <w:r w:rsidR="00F469B5" w:rsidRPr="00416C4A">
        <w:t>’</w:t>
      </w:r>
      <w:r w:rsidRPr="00416C4A">
        <w:t xml:space="preserve"> </w:t>
      </w:r>
      <w:r w:rsidR="0080594D">
        <w:t>R</w:t>
      </w:r>
      <w:r w:rsidRPr="00416C4A">
        <w:t>eport</w:t>
      </w:r>
      <w:r w:rsidR="00F469B5" w:rsidRPr="00416C4A">
        <w:t>s</w:t>
      </w:r>
      <w:r w:rsidRPr="00416C4A">
        <w:t xml:space="preserve">. The first report challenged </w:t>
      </w:r>
      <w:r w:rsidR="00EE3B89" w:rsidRPr="00416C4A">
        <w:t xml:space="preserve">the </w:t>
      </w:r>
      <w:r w:rsidRPr="00416C4A">
        <w:t xml:space="preserve">FTSE 100 </w:t>
      </w:r>
      <w:r w:rsidR="00EE3B89" w:rsidRPr="00416C4A">
        <w:t xml:space="preserve">firms </w:t>
      </w:r>
      <w:r w:rsidRPr="00416C4A">
        <w:t>to reach a minimum of 25</w:t>
      </w:r>
      <w:r w:rsidR="00B1438D" w:rsidRPr="00416C4A">
        <w:t xml:space="preserve"> percent</w:t>
      </w:r>
      <w:r w:rsidRPr="00416C4A">
        <w:t xml:space="preserve"> female representation on boards by 2015 (Davies 2011). A second report examined data from March 2011 t</w:t>
      </w:r>
      <w:r w:rsidR="0080594D">
        <w:t>hrough</w:t>
      </w:r>
      <w:r w:rsidRPr="00416C4A">
        <w:t xml:space="preserve"> September 2015 and </w:t>
      </w:r>
      <w:r w:rsidR="0080594D">
        <w:t>found</w:t>
      </w:r>
      <w:r w:rsidR="0080594D" w:rsidRPr="00416C4A">
        <w:t xml:space="preserve"> </w:t>
      </w:r>
      <w:r w:rsidRPr="00416C4A">
        <w:t xml:space="preserve">that FTSE 100 firms </w:t>
      </w:r>
      <w:r w:rsidR="00B1438D" w:rsidRPr="00416C4A">
        <w:t xml:space="preserve">had </w:t>
      </w:r>
      <w:r w:rsidRPr="00416C4A">
        <w:t>exceeded the voluntary target and reached 26.1</w:t>
      </w:r>
      <w:r w:rsidR="00B1438D" w:rsidRPr="00416C4A">
        <w:t xml:space="preserve"> percent </w:t>
      </w:r>
      <w:r w:rsidR="0080594D">
        <w:t>female</w:t>
      </w:r>
      <w:r w:rsidRPr="00416C4A">
        <w:t xml:space="preserve"> representation on boards (Davies 2015). </w:t>
      </w:r>
      <w:r w:rsidR="000D128C" w:rsidRPr="00416C4A">
        <w:t xml:space="preserve">Given that this initial </w:t>
      </w:r>
      <w:r w:rsidRPr="00416C4A">
        <w:t xml:space="preserve">target </w:t>
      </w:r>
      <w:r w:rsidR="000D128C" w:rsidRPr="00416C4A">
        <w:t xml:space="preserve">had </w:t>
      </w:r>
      <w:r w:rsidRPr="00416C4A">
        <w:t>served as a motivation for companies t</w:t>
      </w:r>
      <w:r w:rsidR="000D128C" w:rsidRPr="00416C4A">
        <w:t>o</w:t>
      </w:r>
      <w:r w:rsidRPr="00416C4A">
        <w:t xml:space="preserve"> increase </w:t>
      </w:r>
      <w:r w:rsidR="0080594D">
        <w:t>female</w:t>
      </w:r>
      <w:r w:rsidR="0080594D" w:rsidRPr="00416C4A">
        <w:t xml:space="preserve"> </w:t>
      </w:r>
      <w:r w:rsidRPr="00416C4A">
        <w:t>representation to more than double in less than five years</w:t>
      </w:r>
      <w:r w:rsidR="004D2A2F" w:rsidRPr="00416C4A">
        <w:t>, t</w:t>
      </w:r>
      <w:r w:rsidRPr="00416C4A">
        <w:t>his late</w:t>
      </w:r>
      <w:r w:rsidR="004D2A2F" w:rsidRPr="00416C4A">
        <w:t>r</w:t>
      </w:r>
      <w:r w:rsidRPr="00416C4A">
        <w:t xml:space="preserve"> report </w:t>
      </w:r>
      <w:r w:rsidR="00ED3A21" w:rsidRPr="00416C4A">
        <w:t xml:space="preserve">introduced a more ambitious </w:t>
      </w:r>
      <w:r w:rsidR="00E513E1" w:rsidRPr="00416C4A">
        <w:t xml:space="preserve">voluntary </w:t>
      </w:r>
      <w:r w:rsidR="00ED3A21" w:rsidRPr="00416C4A">
        <w:t>target</w:t>
      </w:r>
      <w:r w:rsidR="00411E68" w:rsidRPr="00416C4A">
        <w:t xml:space="preserve">: </w:t>
      </w:r>
      <w:r w:rsidR="004501F1" w:rsidRPr="00416C4A">
        <w:t xml:space="preserve">to </w:t>
      </w:r>
      <w:r w:rsidRPr="00416C4A">
        <w:t>increas</w:t>
      </w:r>
      <w:r w:rsidR="004501F1" w:rsidRPr="00416C4A">
        <w:t>e</w:t>
      </w:r>
      <w:r w:rsidRPr="00416C4A">
        <w:t xml:space="preserve"> </w:t>
      </w:r>
      <w:r w:rsidR="00A732EC">
        <w:t>female</w:t>
      </w:r>
      <w:r w:rsidR="00A732EC" w:rsidRPr="00416C4A">
        <w:t xml:space="preserve"> </w:t>
      </w:r>
      <w:r w:rsidRPr="00416C4A">
        <w:t xml:space="preserve">representation on </w:t>
      </w:r>
      <w:r w:rsidR="004501F1" w:rsidRPr="00416C4A">
        <w:t xml:space="preserve">the boards of directors of </w:t>
      </w:r>
      <w:r w:rsidRPr="00416C4A">
        <w:t xml:space="preserve">FTSE 350 </w:t>
      </w:r>
      <w:r w:rsidR="004501F1" w:rsidRPr="00416C4A">
        <w:t xml:space="preserve">firms to </w:t>
      </w:r>
      <w:r w:rsidRPr="00416C4A">
        <w:t>a minimum of 33</w:t>
      </w:r>
      <w:r w:rsidR="004501F1" w:rsidRPr="00416C4A">
        <w:t xml:space="preserve"> percent </w:t>
      </w:r>
      <w:r w:rsidRPr="00416C4A">
        <w:t>by the end of 2020. The</w:t>
      </w:r>
      <w:r w:rsidR="004501F1" w:rsidRPr="00416C4A">
        <w:t xml:space="preserve"> new </w:t>
      </w:r>
      <w:r w:rsidRPr="00416C4A">
        <w:t>voluntary target has the government’s full support</w:t>
      </w:r>
      <w:r w:rsidR="00FA34A0" w:rsidRPr="00416C4A">
        <w:t xml:space="preserve"> and</w:t>
      </w:r>
      <w:r w:rsidR="00E513E1" w:rsidRPr="00416C4A">
        <w:t xml:space="preserve"> i</w:t>
      </w:r>
      <w:r w:rsidRPr="00416C4A">
        <w:t xml:space="preserve">f </w:t>
      </w:r>
      <w:r w:rsidR="004F5DBB" w:rsidRPr="00416C4A">
        <w:t xml:space="preserve">firms </w:t>
      </w:r>
      <w:r w:rsidRPr="00416C4A">
        <w:t>do not comply with the voluntary target, the government m</w:t>
      </w:r>
      <w:r w:rsidR="004F5DBB" w:rsidRPr="00416C4A">
        <w:t>ay</w:t>
      </w:r>
      <w:r w:rsidRPr="00416C4A">
        <w:t xml:space="preserve"> convert it into a mandatory quota (Davies 2015).</w:t>
      </w:r>
    </w:p>
    <w:p w14:paraId="77D9ED7D" w14:textId="61187E2C" w:rsidR="009C4A1D" w:rsidRPr="00416C4A" w:rsidRDefault="00D96DFB" w:rsidP="009C4A1D">
      <w:pPr>
        <w:spacing w:line="480" w:lineRule="auto"/>
        <w:jc w:val="both"/>
      </w:pPr>
      <w:r w:rsidRPr="00416C4A">
        <w:tab/>
        <w:t>Scandinavian countries (</w:t>
      </w:r>
      <w:r w:rsidR="00A732EC">
        <w:t xml:space="preserve">specifically, </w:t>
      </w:r>
      <w:r w:rsidRPr="00416C4A">
        <w:t>Finland, Norway, and Sweden) have high female presence on the boards of directors (Ellwood and Garcia-</w:t>
      </w:r>
      <w:proofErr w:type="spellStart"/>
      <w:r w:rsidRPr="00416C4A">
        <w:t>Lacalle</w:t>
      </w:r>
      <w:proofErr w:type="spellEnd"/>
      <w:r w:rsidRPr="00416C4A">
        <w:t xml:space="preserve"> 2015)</w:t>
      </w:r>
      <w:r w:rsidR="002B3D20" w:rsidRPr="00416C4A">
        <w:t xml:space="preserve">. </w:t>
      </w:r>
      <w:r w:rsidR="00AD1A12" w:rsidRPr="00416C4A">
        <w:t>The most prominent example is Norway</w:t>
      </w:r>
      <w:r w:rsidR="00225283" w:rsidRPr="00416C4A">
        <w:t>,</w:t>
      </w:r>
      <w:r w:rsidR="00AD1A12" w:rsidRPr="00416C4A">
        <w:t xml:space="preserve"> </w:t>
      </w:r>
      <w:r w:rsidR="00A732EC">
        <w:t xml:space="preserve">which was </w:t>
      </w:r>
      <w:r w:rsidR="00AD1A12" w:rsidRPr="00416C4A">
        <w:t xml:space="preserve">the first country to </w:t>
      </w:r>
      <w:r w:rsidR="00FD6A75" w:rsidRPr="00416C4A">
        <w:t>impose a</w:t>
      </w:r>
      <w:r w:rsidR="00AD1A12" w:rsidRPr="00416C4A">
        <w:t xml:space="preserve"> gender </w:t>
      </w:r>
      <w:r w:rsidR="00042693" w:rsidRPr="00416C4A">
        <w:t>quota</w:t>
      </w:r>
      <w:r w:rsidR="00BE510E" w:rsidRPr="00416C4A">
        <w:t xml:space="preserve"> for</w:t>
      </w:r>
      <w:r w:rsidR="00042693" w:rsidRPr="00416C4A">
        <w:t xml:space="preserve"> </w:t>
      </w:r>
      <w:r w:rsidRPr="00416C4A">
        <w:t>boards</w:t>
      </w:r>
      <w:r w:rsidR="00BE510E" w:rsidRPr="00416C4A">
        <w:t xml:space="preserve"> of directors (i</w:t>
      </w:r>
      <w:r w:rsidR="00AD1A12" w:rsidRPr="00416C4A">
        <w:t>n 2008</w:t>
      </w:r>
      <w:r w:rsidR="00BE510E" w:rsidRPr="00416C4A">
        <w:t>).</w:t>
      </w:r>
      <w:r w:rsidR="00AD1A12" w:rsidRPr="00416C4A">
        <w:t xml:space="preserve"> </w:t>
      </w:r>
      <w:r w:rsidR="00A732EC">
        <w:t>Norway</w:t>
      </w:r>
      <w:r w:rsidR="00AD1A12" w:rsidRPr="00416C4A">
        <w:t xml:space="preserve"> </w:t>
      </w:r>
      <w:r w:rsidR="00D10715" w:rsidRPr="00416C4A">
        <w:t xml:space="preserve">now </w:t>
      </w:r>
      <w:r w:rsidR="00AD1A12" w:rsidRPr="00416C4A">
        <w:t>has 40</w:t>
      </w:r>
      <w:r w:rsidR="0064128C" w:rsidRPr="00416C4A">
        <w:t xml:space="preserve"> percent </w:t>
      </w:r>
      <w:r w:rsidR="00AD1A12" w:rsidRPr="00416C4A">
        <w:t>female representation in public</w:t>
      </w:r>
      <w:r w:rsidRPr="00416C4A">
        <w:t xml:space="preserve"> limited companies (Norway Statistics 2018)</w:t>
      </w:r>
      <w:r w:rsidR="00F80765" w:rsidRPr="00416C4A">
        <w:t xml:space="preserve">, which is </w:t>
      </w:r>
      <w:r w:rsidR="00C9167F" w:rsidRPr="00416C4A">
        <w:t xml:space="preserve">exactly the value of </w:t>
      </w:r>
      <w:r w:rsidR="00F80765" w:rsidRPr="00416C4A">
        <w:t>the quota set</w:t>
      </w:r>
      <w:r w:rsidR="00AD1A12" w:rsidRPr="00416C4A">
        <w:t>.</w:t>
      </w:r>
      <w:r w:rsidR="00730EF6" w:rsidRPr="00416C4A">
        <w:t xml:space="preserve"> After </w:t>
      </w:r>
      <w:r w:rsidR="00454577" w:rsidRPr="00416C4A">
        <w:t xml:space="preserve">the introduction of </w:t>
      </w:r>
      <w:r w:rsidR="00730EF6" w:rsidRPr="00416C4A">
        <w:t>Norway</w:t>
      </w:r>
      <w:r w:rsidR="00454577" w:rsidRPr="00416C4A">
        <w:t>’s</w:t>
      </w:r>
      <w:r w:rsidR="00730EF6" w:rsidRPr="00416C4A">
        <w:t xml:space="preserve"> quota, other countries </w:t>
      </w:r>
      <w:r w:rsidR="00EF1035" w:rsidRPr="00416C4A">
        <w:t xml:space="preserve">such as France, the Netherlands, Belgium, and Italy introduced gender quotas </w:t>
      </w:r>
      <w:r w:rsidR="00A60FFD" w:rsidRPr="00416C4A">
        <w:t>to</w:t>
      </w:r>
      <w:r w:rsidR="00730EF6" w:rsidRPr="00416C4A">
        <w:t xml:space="preserve"> increase </w:t>
      </w:r>
      <w:r w:rsidR="00A732EC">
        <w:t>female</w:t>
      </w:r>
      <w:r w:rsidR="00730EF6" w:rsidRPr="00416C4A">
        <w:t xml:space="preserve"> representation on boards (Bertrand </w:t>
      </w:r>
      <w:r w:rsidR="00730EF6" w:rsidRPr="00416C4A">
        <w:rPr>
          <w:i/>
          <w:iCs/>
        </w:rPr>
        <w:t>et al.</w:t>
      </w:r>
      <w:r w:rsidR="00730EF6" w:rsidRPr="00416C4A">
        <w:t xml:space="preserve"> 201</w:t>
      </w:r>
      <w:r w:rsidR="00E27115" w:rsidRPr="00416C4A">
        <w:t>9</w:t>
      </w:r>
      <w:r w:rsidR="00730EF6" w:rsidRPr="00416C4A">
        <w:t>).</w:t>
      </w:r>
      <w:r w:rsidR="000C25FB" w:rsidRPr="00416C4A">
        <w:t xml:space="preserve"> In </w:t>
      </w:r>
      <w:r w:rsidR="00730EF6" w:rsidRPr="00416C4A">
        <w:t>France</w:t>
      </w:r>
      <w:r w:rsidR="00723358" w:rsidRPr="00416C4A">
        <w:t>,</w:t>
      </w:r>
      <w:r w:rsidR="00D5160E" w:rsidRPr="00416C4A">
        <w:t xml:space="preserve"> thanks to</w:t>
      </w:r>
      <w:r w:rsidR="00730EF6" w:rsidRPr="00416C4A">
        <w:t xml:space="preserve"> the “Act of 2011</w:t>
      </w:r>
      <w:r w:rsidR="00A732EC">
        <w:t>,</w:t>
      </w:r>
      <w:r w:rsidR="00730EF6" w:rsidRPr="00416C4A">
        <w:t xml:space="preserve">” women </w:t>
      </w:r>
      <w:r w:rsidR="000C25FB" w:rsidRPr="00416C4A">
        <w:t xml:space="preserve">now occupy </w:t>
      </w:r>
      <w:r w:rsidR="00730EF6" w:rsidRPr="00416C4A">
        <w:t>44</w:t>
      </w:r>
      <w:r w:rsidR="000C25FB" w:rsidRPr="00416C4A">
        <w:t xml:space="preserve"> percent </w:t>
      </w:r>
      <w:r w:rsidR="00730EF6" w:rsidRPr="00416C4A">
        <w:t>of board</w:t>
      </w:r>
      <w:r w:rsidR="00C60932" w:rsidRPr="00416C4A">
        <w:t xml:space="preserve"> positions </w:t>
      </w:r>
      <w:r w:rsidR="00730EF6" w:rsidRPr="00416C4A">
        <w:t xml:space="preserve">(Prat and Mueller 2016; European Commission 2019). </w:t>
      </w:r>
      <w:r w:rsidR="002B3D20" w:rsidRPr="00416C4A">
        <w:t>T</w:t>
      </w:r>
      <w:r w:rsidRPr="00416C4A">
        <w:t xml:space="preserve">he </w:t>
      </w:r>
      <w:r w:rsidR="002B3D20" w:rsidRPr="00416C4A">
        <w:t xml:space="preserve">latest figures </w:t>
      </w:r>
      <w:r w:rsidR="003874D5" w:rsidRPr="00416C4A">
        <w:t xml:space="preserve">from the </w:t>
      </w:r>
      <w:r w:rsidR="003874D5" w:rsidRPr="00416C4A">
        <w:lastRenderedPageBreak/>
        <w:t xml:space="preserve">European Commission </w:t>
      </w:r>
      <w:r w:rsidR="002B3D20" w:rsidRPr="00416C4A">
        <w:t>indicate that</w:t>
      </w:r>
      <w:r w:rsidR="003874D5" w:rsidRPr="00416C4A">
        <w:t>,</w:t>
      </w:r>
      <w:r w:rsidR="002B3D20" w:rsidRPr="00416C4A">
        <w:t xml:space="preserve"> on average</w:t>
      </w:r>
      <w:r w:rsidR="003874D5" w:rsidRPr="00416C4A">
        <w:t>,</w:t>
      </w:r>
      <w:r w:rsidR="002B3D20" w:rsidRPr="00416C4A">
        <w:t xml:space="preserve"> </w:t>
      </w:r>
      <w:r w:rsidRPr="00416C4A">
        <w:t>Europ</w:t>
      </w:r>
      <w:r w:rsidR="002B3D20" w:rsidRPr="00416C4A">
        <w:t>e</w:t>
      </w:r>
      <w:r w:rsidRPr="00416C4A">
        <w:t xml:space="preserve">an </w:t>
      </w:r>
      <w:r w:rsidR="002B3D20" w:rsidRPr="00416C4A">
        <w:t xml:space="preserve">boards have </w:t>
      </w:r>
      <w:r w:rsidRPr="00416C4A">
        <w:t>26.7</w:t>
      </w:r>
      <w:r w:rsidR="002B3D20" w:rsidRPr="00416C4A">
        <w:t xml:space="preserve"> </w:t>
      </w:r>
      <w:r w:rsidR="003874D5" w:rsidRPr="00416C4A">
        <w:t xml:space="preserve">percent </w:t>
      </w:r>
      <w:r w:rsidR="002B3D20" w:rsidRPr="00416C4A">
        <w:t xml:space="preserve">of their board seats </w:t>
      </w:r>
      <w:r w:rsidR="00A732EC">
        <w:t>occupied</w:t>
      </w:r>
      <w:r w:rsidR="00A732EC" w:rsidRPr="00416C4A">
        <w:t xml:space="preserve"> </w:t>
      </w:r>
      <w:r w:rsidR="002B3D20" w:rsidRPr="00416C4A">
        <w:t>by women</w:t>
      </w:r>
      <w:r w:rsidR="00A732EC">
        <w:t xml:space="preserve"> (</w:t>
      </w:r>
      <w:r w:rsidR="00A732EC" w:rsidRPr="00416C4A">
        <w:t>European Commission 2019)</w:t>
      </w:r>
      <w:r w:rsidRPr="00416C4A">
        <w:t xml:space="preserve">. </w:t>
      </w:r>
    </w:p>
    <w:p w14:paraId="2F93FFD4" w14:textId="77E4BB10" w:rsidR="002F4E84" w:rsidRPr="00416C4A" w:rsidRDefault="00D96DFB" w:rsidP="002D5039">
      <w:pPr>
        <w:pStyle w:val="NormalWeb"/>
        <w:spacing w:before="0" w:beforeAutospacing="0" w:after="0" w:afterAutospacing="0" w:line="480" w:lineRule="auto"/>
        <w:jc w:val="both"/>
      </w:pPr>
      <w:r w:rsidRPr="00416C4A">
        <w:tab/>
      </w:r>
      <w:r w:rsidR="004E2F64" w:rsidRPr="00416C4A">
        <w:t>Despite</w:t>
      </w:r>
      <w:r w:rsidRPr="00416C4A">
        <w:t xml:space="preserve"> these improvements, mandatory quotas have both positive and negative effects. A positive outcome of this type of </w:t>
      </w:r>
      <w:r w:rsidR="0020389B" w:rsidRPr="00416C4A">
        <w:t>intervention</w:t>
      </w:r>
      <w:r w:rsidRPr="00416C4A">
        <w:t xml:space="preserve"> </w:t>
      </w:r>
      <w:r w:rsidR="00A732EC">
        <w:t xml:space="preserve">can occur because </w:t>
      </w:r>
      <w:r w:rsidRPr="00416C4A">
        <w:t xml:space="preserve">female directors </w:t>
      </w:r>
      <w:r w:rsidR="0020389B" w:rsidRPr="00416C4A">
        <w:t>are</w:t>
      </w:r>
      <w:r w:rsidRPr="00416C4A">
        <w:t xml:space="preserve"> </w:t>
      </w:r>
      <w:r w:rsidR="00A732EC">
        <w:t xml:space="preserve">more </w:t>
      </w:r>
      <w:r w:rsidRPr="00416C4A">
        <w:t>independent (</w:t>
      </w:r>
      <w:proofErr w:type="spellStart"/>
      <w:r w:rsidRPr="00416C4A">
        <w:t>Bohren</w:t>
      </w:r>
      <w:proofErr w:type="spellEnd"/>
      <w:r w:rsidRPr="00416C4A">
        <w:t xml:space="preserve"> and </w:t>
      </w:r>
      <w:proofErr w:type="spellStart"/>
      <w:r w:rsidRPr="00416C4A">
        <w:t>Staubo</w:t>
      </w:r>
      <w:proofErr w:type="spellEnd"/>
      <w:r w:rsidRPr="00416C4A">
        <w:t xml:space="preserve"> 2014). </w:t>
      </w:r>
      <w:r w:rsidR="00A732EC">
        <w:t>Alternatively</w:t>
      </w:r>
      <w:r w:rsidRPr="00416C4A">
        <w:t xml:space="preserve">, </w:t>
      </w:r>
      <w:r w:rsidR="00AE73E5" w:rsidRPr="00416C4A">
        <w:t>blind compliance</w:t>
      </w:r>
      <w:r w:rsidRPr="00416C4A">
        <w:t xml:space="preserve"> with mandatory quotas may lead firms to hire </w:t>
      </w:r>
      <w:r w:rsidR="00065A8E" w:rsidRPr="00416C4A">
        <w:t>less qualified</w:t>
      </w:r>
      <w:r w:rsidRPr="00416C4A">
        <w:t xml:space="preserve"> or inexperienced female directors. Another potential negative outcome of </w:t>
      </w:r>
      <w:r w:rsidR="00983896">
        <w:t>a</w:t>
      </w:r>
      <w:r w:rsidRPr="00416C4A">
        <w:t xml:space="preserve"> quota is that it could induce companies to delist from the stock exchange to escape the quota obligation (</w:t>
      </w:r>
      <w:proofErr w:type="spellStart"/>
      <w:r w:rsidRPr="00416C4A">
        <w:t>Matsa</w:t>
      </w:r>
      <w:proofErr w:type="spellEnd"/>
      <w:r w:rsidRPr="00416C4A">
        <w:t xml:space="preserve"> and Miller 2013).</w:t>
      </w:r>
      <w:r w:rsidR="002D5039" w:rsidRPr="00416C4A">
        <w:t xml:space="preserve"> </w:t>
      </w:r>
      <w:r w:rsidR="009005AF" w:rsidRPr="00416C4A">
        <w:t xml:space="preserve">Finally, there is a risk that </w:t>
      </w:r>
      <w:r w:rsidR="00983896">
        <w:t>a</w:t>
      </w:r>
      <w:r w:rsidR="009005AF" w:rsidRPr="00416C4A">
        <w:t xml:space="preserve"> quota</w:t>
      </w:r>
      <w:r w:rsidR="00983896">
        <w:t>’s</w:t>
      </w:r>
      <w:r w:rsidR="009005AF" w:rsidRPr="00416C4A">
        <w:t xml:space="preserve"> </w:t>
      </w:r>
      <w:r w:rsidR="00167C55" w:rsidRPr="00416C4A">
        <w:t>target may become a ceiling (Burke 2019).</w:t>
      </w:r>
    </w:p>
    <w:p w14:paraId="38AE3C83" w14:textId="73DF0CFD" w:rsidR="00501210" w:rsidRPr="00416C4A" w:rsidRDefault="00983896" w:rsidP="002F4E84">
      <w:pPr>
        <w:pStyle w:val="NormalWeb"/>
        <w:spacing w:before="0" w:beforeAutospacing="0" w:after="0" w:afterAutospacing="0" w:line="480" w:lineRule="auto"/>
        <w:ind w:firstLine="720"/>
        <w:jc w:val="both"/>
      </w:pPr>
      <w:r>
        <w:t>In this study</w:t>
      </w:r>
      <w:r w:rsidR="00D96DFB" w:rsidRPr="00416C4A">
        <w:t xml:space="preserve">, </w:t>
      </w:r>
      <w:r w:rsidR="002F4E84" w:rsidRPr="00416C4A">
        <w:t>w</w:t>
      </w:r>
      <w:r w:rsidR="002D5039" w:rsidRPr="00416C4A">
        <w:t xml:space="preserve">e </w:t>
      </w:r>
      <w:r>
        <w:t>assess</w:t>
      </w:r>
      <w:r w:rsidR="002D5039" w:rsidRPr="00416C4A">
        <w:t xml:space="preserve"> </w:t>
      </w:r>
      <w:r w:rsidR="000E4316" w:rsidRPr="00416C4A">
        <w:t>whether</w:t>
      </w:r>
      <w:r w:rsidR="002D5039" w:rsidRPr="00416C4A">
        <w:t xml:space="preserve"> </w:t>
      </w:r>
      <w:r>
        <w:t xml:space="preserve">mandatory </w:t>
      </w:r>
      <w:r w:rsidR="002F4E84" w:rsidRPr="00416C4A">
        <w:t>quotas are require</w:t>
      </w:r>
      <w:r>
        <w:t>d</w:t>
      </w:r>
      <w:r w:rsidR="002F4E84" w:rsidRPr="00416C4A">
        <w:t xml:space="preserve"> for </w:t>
      </w:r>
      <w:r w:rsidR="00D96DFB" w:rsidRPr="00416C4A">
        <w:t xml:space="preserve">board </w:t>
      </w:r>
      <w:r w:rsidR="00312579" w:rsidRPr="00416C4A">
        <w:t>gender diversity</w:t>
      </w:r>
      <w:r w:rsidR="002F4E84" w:rsidRPr="00416C4A">
        <w:t xml:space="preserve">. </w:t>
      </w:r>
      <w:r>
        <w:t>I</w:t>
      </w:r>
      <w:r w:rsidR="008D7139" w:rsidRPr="00416C4A">
        <w:t>n</w:t>
      </w:r>
      <w:r w:rsidR="009C4A1D" w:rsidRPr="00416C4A">
        <w:t xml:space="preserve"> the United </w:t>
      </w:r>
      <w:r w:rsidR="008D7139" w:rsidRPr="00416C4A">
        <w:t>States</w:t>
      </w:r>
      <w:r>
        <w:t xml:space="preserve"> (US)</w:t>
      </w:r>
      <w:r w:rsidR="008D7139" w:rsidRPr="00416C4A">
        <w:t>,</w:t>
      </w:r>
      <w:r w:rsidR="009C4A1D" w:rsidRPr="00416C4A">
        <w:t xml:space="preserve"> </w:t>
      </w:r>
      <w:r w:rsidR="00C879C2" w:rsidRPr="00416C4A">
        <w:t>there is no quota</w:t>
      </w:r>
      <w:r w:rsidR="00D96DFB" w:rsidRPr="00416C4A">
        <w:t xml:space="preserve"> or voluntary target but there are</w:t>
      </w:r>
      <w:r w:rsidR="0018284A" w:rsidRPr="00416C4A">
        <w:t xml:space="preserve"> campaigns that raise</w:t>
      </w:r>
      <w:r w:rsidR="00C879C2" w:rsidRPr="00416C4A">
        <w:t xml:space="preserve"> </w:t>
      </w:r>
      <w:r w:rsidR="0018284A" w:rsidRPr="00416C4A">
        <w:t xml:space="preserve">awareness of gender equality on boards. </w:t>
      </w:r>
      <w:r w:rsidR="009C4A1D" w:rsidRPr="00416C4A">
        <w:t xml:space="preserve">The percentage of </w:t>
      </w:r>
      <w:r w:rsidR="00985C87" w:rsidRPr="00416C4A">
        <w:t xml:space="preserve">US </w:t>
      </w:r>
      <w:r w:rsidR="009C4A1D" w:rsidRPr="00416C4A">
        <w:t>corporate boards with three or more women increased from 33.8</w:t>
      </w:r>
      <w:r w:rsidR="00985C87" w:rsidRPr="00416C4A">
        <w:t xml:space="preserve"> percent</w:t>
      </w:r>
      <w:r w:rsidR="009C4A1D" w:rsidRPr="00416C4A">
        <w:t xml:space="preserve"> in 2016 to 44.9</w:t>
      </w:r>
      <w:r w:rsidR="00985C87" w:rsidRPr="00416C4A">
        <w:t xml:space="preserve"> percent</w:t>
      </w:r>
      <w:r w:rsidR="009C4A1D" w:rsidRPr="00416C4A">
        <w:t xml:space="preserve"> in 2018 (Haley</w:t>
      </w:r>
      <w:r w:rsidR="00470259" w:rsidRPr="00416C4A">
        <w:t>, Haley, and Markova</w:t>
      </w:r>
      <w:r w:rsidR="009C4A1D" w:rsidRPr="00416C4A">
        <w:t xml:space="preserve"> 2019). </w:t>
      </w:r>
      <w:r>
        <w:t>Moreover</w:t>
      </w:r>
      <w:r w:rsidR="0018284A" w:rsidRPr="00416C4A">
        <w:t>, new c</w:t>
      </w:r>
      <w:r w:rsidR="009C4A1D" w:rsidRPr="00416C4A">
        <w:t xml:space="preserve">ampaigns </w:t>
      </w:r>
      <w:r w:rsidR="00AB7E47" w:rsidRPr="00416C4A">
        <w:t>have been</w:t>
      </w:r>
      <w:r w:rsidR="009C4A1D" w:rsidRPr="00416C4A">
        <w:t xml:space="preserve"> created</w:t>
      </w:r>
      <w:r w:rsidR="0018284A" w:rsidRPr="00416C4A">
        <w:t xml:space="preserve">, such as </w:t>
      </w:r>
      <w:r w:rsidR="009C4A1D" w:rsidRPr="00416C4A">
        <w:t>“2020 Women on Boards</w:t>
      </w:r>
      <w:r>
        <w:t>,</w:t>
      </w:r>
      <w:r w:rsidR="009C4A1D" w:rsidRPr="00416C4A">
        <w:t>”</w:t>
      </w:r>
      <w:r w:rsidR="00406F3E" w:rsidRPr="00416C4A">
        <w:t xml:space="preserve"> motivated by the fact that </w:t>
      </w:r>
      <w:r w:rsidR="00E5549B" w:rsidRPr="00416C4A">
        <w:t>only five percent of US firms have achieved gender balance</w:t>
      </w:r>
      <w:r w:rsidR="009C4A1D" w:rsidRPr="00416C4A">
        <w:t>.</w:t>
      </w:r>
      <w:r w:rsidR="00AB7E47" w:rsidRPr="00416C4A">
        <w:t xml:space="preserve"> Thus, it is possible </w:t>
      </w:r>
      <w:r w:rsidR="00D96DFB" w:rsidRPr="00416C4A">
        <w:t xml:space="preserve">that </w:t>
      </w:r>
      <w:r>
        <w:t xml:space="preserve">mandatory </w:t>
      </w:r>
      <w:r w:rsidR="005A1338" w:rsidRPr="00416C4A">
        <w:t>quotas are not necessar</w:t>
      </w:r>
      <w:r w:rsidR="00D96DFB" w:rsidRPr="00416C4A">
        <w:t xml:space="preserve">y </w:t>
      </w:r>
      <w:r w:rsidR="004E1C81" w:rsidRPr="00416C4A">
        <w:t xml:space="preserve">for </w:t>
      </w:r>
      <w:r w:rsidR="005A1338" w:rsidRPr="00416C4A">
        <w:t xml:space="preserve">improvements in </w:t>
      </w:r>
      <w:r w:rsidR="00D96DFB" w:rsidRPr="00416C4A">
        <w:t>board gender diversity. As mentioned</w:t>
      </w:r>
      <w:r>
        <w:t xml:space="preserve"> previously</w:t>
      </w:r>
      <w:r w:rsidR="00D96DFB" w:rsidRPr="00416C4A">
        <w:t>, we use the UK</w:t>
      </w:r>
      <w:r w:rsidR="005A1338" w:rsidRPr="00416C4A">
        <w:t xml:space="preserve"> </w:t>
      </w:r>
      <w:r>
        <w:t xml:space="preserve">setting </w:t>
      </w:r>
      <w:r w:rsidR="00D96DFB" w:rsidRPr="00416C4A">
        <w:t xml:space="preserve">and its </w:t>
      </w:r>
      <w:r w:rsidR="00AB7E47" w:rsidRPr="00416C4A">
        <w:t xml:space="preserve">progress towards </w:t>
      </w:r>
      <w:r w:rsidR="00D96DFB" w:rsidRPr="00416C4A">
        <w:t>a</w:t>
      </w:r>
      <w:r w:rsidR="00AB7E47" w:rsidRPr="00416C4A">
        <w:t xml:space="preserve"> 33 percent voluntary</w:t>
      </w:r>
      <w:r w:rsidR="00D96DFB" w:rsidRPr="00416C4A">
        <w:t xml:space="preserve"> target to assess this</w:t>
      </w:r>
      <w:r w:rsidR="00394B00">
        <w:t xml:space="preserve"> research</w:t>
      </w:r>
      <w:r w:rsidR="00D96DFB" w:rsidRPr="00416C4A">
        <w:t xml:space="preserve"> question.</w:t>
      </w:r>
    </w:p>
    <w:p w14:paraId="3CEA305F" w14:textId="1BF5B41A" w:rsidR="00073C29" w:rsidRPr="00416C4A" w:rsidRDefault="00D96DFB" w:rsidP="002F4E84">
      <w:pPr>
        <w:pStyle w:val="NormalWeb"/>
        <w:spacing w:before="0" w:beforeAutospacing="0" w:after="0" w:afterAutospacing="0" w:line="480" w:lineRule="auto"/>
        <w:ind w:firstLine="720"/>
        <w:jc w:val="both"/>
      </w:pPr>
      <w:r w:rsidRPr="00416C4A">
        <w:t>During</w:t>
      </w:r>
      <w:r w:rsidR="0005087A" w:rsidRPr="00416C4A">
        <w:t xml:space="preserve"> </w:t>
      </w:r>
      <w:r w:rsidR="00394B00">
        <w:t>our sample</w:t>
      </w:r>
      <w:r w:rsidR="00394B00" w:rsidRPr="00416C4A">
        <w:t xml:space="preserve"> </w:t>
      </w:r>
      <w:r w:rsidR="00A60FFD" w:rsidRPr="00416C4A">
        <w:t>period</w:t>
      </w:r>
      <w:r w:rsidR="00394B00">
        <w:t>,</w:t>
      </w:r>
      <w:r w:rsidR="002031E2" w:rsidRPr="00416C4A">
        <w:t xml:space="preserve"> </w:t>
      </w:r>
      <w:r w:rsidR="00880DEC" w:rsidRPr="00416C4A">
        <w:t xml:space="preserve">other </w:t>
      </w:r>
      <w:r w:rsidR="002031E2" w:rsidRPr="00416C4A">
        <w:t xml:space="preserve">events related to </w:t>
      </w:r>
      <w:r w:rsidR="00867AF4" w:rsidRPr="00416C4A">
        <w:t>board gender diversity</w:t>
      </w:r>
      <w:r w:rsidRPr="00416C4A">
        <w:t xml:space="preserve"> occurred</w:t>
      </w:r>
      <w:r w:rsidR="00867AF4" w:rsidRPr="00416C4A">
        <w:t xml:space="preserve">. </w:t>
      </w:r>
      <w:r w:rsidR="000907C9" w:rsidRPr="00416C4A">
        <w:t>F</w:t>
      </w:r>
      <w:r w:rsidR="00DF4AE7" w:rsidRPr="00416C4A">
        <w:t>irst</w:t>
      </w:r>
      <w:r w:rsidR="000907C9" w:rsidRPr="00416C4A">
        <w:t xml:space="preserve">, in 2012, the </w:t>
      </w:r>
      <w:r w:rsidR="000641C4" w:rsidRPr="00416C4A">
        <w:t>European Commission</w:t>
      </w:r>
      <w:r w:rsidR="0057758F" w:rsidRPr="00416C4A">
        <w:t xml:space="preserve"> submitted a proposal for a </w:t>
      </w:r>
      <w:r w:rsidR="000641C4" w:rsidRPr="00416C4A">
        <w:t xml:space="preserve">directive aimed at increasing diversity on public boards through nonbinding measures. </w:t>
      </w:r>
      <w:r w:rsidR="0057758F" w:rsidRPr="00416C4A">
        <w:t>This propos</w:t>
      </w:r>
      <w:r w:rsidR="006D6472" w:rsidRPr="00416C4A">
        <w:t>ed directi</w:t>
      </w:r>
      <w:r w:rsidR="0057758F" w:rsidRPr="00416C4A">
        <w:t>ve</w:t>
      </w:r>
      <w:r w:rsidR="006D6472" w:rsidRPr="00416C4A">
        <w:t xml:space="preserve"> would </w:t>
      </w:r>
      <w:r w:rsidR="0009063E" w:rsidRPr="00416C4A">
        <w:t xml:space="preserve">set a quota of 40 percent for non-executive </w:t>
      </w:r>
      <w:r w:rsidR="00394B00">
        <w:t>females</w:t>
      </w:r>
      <w:r w:rsidR="00394B00" w:rsidRPr="00416C4A">
        <w:t xml:space="preserve"> </w:t>
      </w:r>
      <w:r w:rsidR="0009063E" w:rsidRPr="00416C4A">
        <w:t>on boards</w:t>
      </w:r>
      <w:r w:rsidR="0057758F" w:rsidRPr="00416C4A">
        <w:t xml:space="preserve"> </w:t>
      </w:r>
      <w:r w:rsidR="002A0A38" w:rsidRPr="00416C4A">
        <w:t xml:space="preserve">by 2020. </w:t>
      </w:r>
      <w:r w:rsidR="00394B00">
        <w:t>T</w:t>
      </w:r>
      <w:r w:rsidR="00BD2A46" w:rsidRPr="00416C4A">
        <w:t xml:space="preserve">his proposal generated </w:t>
      </w:r>
      <w:r w:rsidR="00B355C5" w:rsidRPr="00416C4A">
        <w:t>a significant amount of debate</w:t>
      </w:r>
      <w:r w:rsidR="00394B00">
        <w:t xml:space="preserve"> and</w:t>
      </w:r>
      <w:r w:rsidR="00B355C5" w:rsidRPr="00416C4A">
        <w:t xml:space="preserve"> o</w:t>
      </w:r>
      <w:r w:rsidR="008E6865" w:rsidRPr="00416C4A">
        <w:t>n</w:t>
      </w:r>
      <w:r w:rsidR="00B355C5" w:rsidRPr="00416C4A">
        <w:t xml:space="preserve"> the topic, </w:t>
      </w:r>
      <w:r w:rsidR="002A0A38" w:rsidRPr="00416C4A">
        <w:t>not all member states suppo</w:t>
      </w:r>
      <w:r w:rsidR="00DD3777" w:rsidRPr="00416C4A">
        <w:t>rt</w:t>
      </w:r>
      <w:r w:rsidR="002A0A38" w:rsidRPr="00416C4A">
        <w:t>ed th</w:t>
      </w:r>
      <w:r w:rsidR="00394B00">
        <w:t>e</w:t>
      </w:r>
      <w:r w:rsidR="002A0A38" w:rsidRPr="00416C4A">
        <w:t xml:space="preserve"> quota</w:t>
      </w:r>
      <w:r w:rsidR="00394B00">
        <w:t>. To date</w:t>
      </w:r>
      <w:r w:rsidR="007D03DB" w:rsidRPr="00416C4A">
        <w:t>,</w:t>
      </w:r>
      <w:r w:rsidR="00DD3777" w:rsidRPr="00416C4A">
        <w:t xml:space="preserve"> </w:t>
      </w:r>
      <w:r w:rsidR="004A1FE1" w:rsidRPr="00416C4A">
        <w:t>no directive has been issued.</w:t>
      </w:r>
      <w:r w:rsidR="00D22A87" w:rsidRPr="00416C4A">
        <w:t xml:space="preserve"> </w:t>
      </w:r>
      <w:r w:rsidR="007D03DB" w:rsidRPr="00416C4A">
        <w:t>However,</w:t>
      </w:r>
      <w:r w:rsidR="00B355C5" w:rsidRPr="00416C4A">
        <w:t xml:space="preserve"> the debate and later attempts to re</w:t>
      </w:r>
      <w:r w:rsidR="00394B00">
        <w:t>n</w:t>
      </w:r>
      <w:r w:rsidR="00B355C5" w:rsidRPr="00416C4A">
        <w:t xml:space="preserve">ew it may have </w:t>
      </w:r>
      <w:r w:rsidR="00567071" w:rsidRPr="00416C4A">
        <w:t xml:space="preserve">been </w:t>
      </w:r>
      <w:r w:rsidR="00394B00">
        <w:t>viewed</w:t>
      </w:r>
      <w:r w:rsidR="00394B00" w:rsidRPr="00416C4A">
        <w:t xml:space="preserve"> </w:t>
      </w:r>
      <w:r w:rsidR="00567071" w:rsidRPr="00416C4A">
        <w:t>by UK firms as increas</w:t>
      </w:r>
      <w:r w:rsidR="00394B00">
        <w:t xml:space="preserve">ing </w:t>
      </w:r>
      <w:r w:rsidR="00567071" w:rsidRPr="00416C4A">
        <w:t xml:space="preserve">pressure to </w:t>
      </w:r>
      <w:r w:rsidR="00394B00">
        <w:t>improve</w:t>
      </w:r>
      <w:r w:rsidR="00567071" w:rsidRPr="00416C4A">
        <w:t xml:space="preserve"> board gender diversity. </w:t>
      </w:r>
      <w:r w:rsidR="00DF4AE7" w:rsidRPr="00416C4A">
        <w:t xml:space="preserve">Second, </w:t>
      </w:r>
      <w:r w:rsidR="00E71628" w:rsidRPr="00416C4A">
        <w:lastRenderedPageBreak/>
        <w:t xml:space="preserve">institutional investors </w:t>
      </w:r>
      <w:r w:rsidR="00374379" w:rsidRPr="00416C4A">
        <w:t xml:space="preserve">have started to pressure firms to increase board gender diversity. </w:t>
      </w:r>
      <w:r w:rsidR="001373F4" w:rsidRPr="00416C4A">
        <w:t>Marriage (2017)</w:t>
      </w:r>
      <w:r w:rsidR="007A2796" w:rsidRPr="00416C4A">
        <w:t xml:space="preserve"> discusses LGIM</w:t>
      </w:r>
      <w:r w:rsidR="005A6FC1" w:rsidRPr="00416C4A">
        <w:t xml:space="preserve">’s decision to </w:t>
      </w:r>
      <w:r w:rsidR="008A318E" w:rsidRPr="00416C4A">
        <w:t>vote against directors when firms have no females sitting on boards and mentions that although this policy</w:t>
      </w:r>
      <w:r w:rsidR="002060C7" w:rsidRPr="00416C4A">
        <w:t xml:space="preserve"> was directed at US firms, since its adoption</w:t>
      </w:r>
      <w:r w:rsidRPr="00416C4A">
        <w:t>, several UK firms</w:t>
      </w:r>
      <w:r w:rsidR="00A423DF" w:rsidRPr="00416C4A">
        <w:t xml:space="preserve"> </w:t>
      </w:r>
      <w:r w:rsidRPr="00416C4A">
        <w:t xml:space="preserve">have appointed female board members. Gormley </w:t>
      </w:r>
      <w:r w:rsidRPr="00416C4A">
        <w:rPr>
          <w:i/>
          <w:iCs/>
        </w:rPr>
        <w:t>et al</w:t>
      </w:r>
      <w:r w:rsidRPr="00416C4A">
        <w:t>. (2021) stud</w:t>
      </w:r>
      <w:r w:rsidR="00394B00">
        <w:t>ies</w:t>
      </w:r>
      <w:r w:rsidRPr="00416C4A">
        <w:t xml:space="preserve"> the gender diversity campaigns</w:t>
      </w:r>
      <w:r w:rsidR="00E45249" w:rsidRPr="00416C4A">
        <w:t xml:space="preserve"> that</w:t>
      </w:r>
      <w:r w:rsidRPr="00416C4A">
        <w:t xml:space="preserve"> BlackRock, State Street, and Vanguard</w:t>
      </w:r>
      <w:r w:rsidR="0030604F" w:rsidRPr="00416C4A">
        <w:t xml:space="preserve"> initiated in 2017</w:t>
      </w:r>
      <w:r w:rsidR="00226B62" w:rsidRPr="00416C4A">
        <w:t xml:space="preserve"> and find</w:t>
      </w:r>
      <w:r w:rsidR="00394B00">
        <w:t>s</w:t>
      </w:r>
      <w:r w:rsidR="00226B62" w:rsidRPr="00416C4A">
        <w:t xml:space="preserve"> that in the US</w:t>
      </w:r>
      <w:r w:rsidR="00394B00">
        <w:t>,</w:t>
      </w:r>
      <w:r w:rsidRPr="00416C4A">
        <w:t xml:space="preserve"> these campaigns </w:t>
      </w:r>
      <w:r w:rsidR="00226B62" w:rsidRPr="00416C4A">
        <w:t xml:space="preserve">are associated </w:t>
      </w:r>
      <w:r w:rsidR="00D44822" w:rsidRPr="00416C4A">
        <w:t xml:space="preserve">with firms </w:t>
      </w:r>
      <w:r w:rsidRPr="00416C4A">
        <w:t>add</w:t>
      </w:r>
      <w:r w:rsidR="00D44822" w:rsidRPr="00416C4A">
        <w:t>ing</w:t>
      </w:r>
      <w:r w:rsidRPr="00416C4A">
        <w:t xml:space="preserve"> at least 2.5 times as many female directors in 2019 as they </w:t>
      </w:r>
      <w:r w:rsidR="00394B00">
        <w:t>did</w:t>
      </w:r>
      <w:r w:rsidRPr="00416C4A">
        <w:t xml:space="preserve"> in 2016.</w:t>
      </w:r>
      <w:r w:rsidR="00D44822" w:rsidRPr="00416C4A">
        <w:t xml:space="preserve"> Given the international reach of these investors, it is reasonable to assume that </w:t>
      </w:r>
      <w:r w:rsidR="000A4A30" w:rsidRPr="00416C4A">
        <w:t>they also had an impact on the UK</w:t>
      </w:r>
      <w:r w:rsidR="00394B00">
        <w:t>’s progress towards board gender diversity</w:t>
      </w:r>
      <w:r w:rsidR="000A4A30" w:rsidRPr="00416C4A">
        <w:t>.</w:t>
      </w:r>
      <w:r w:rsidR="00354DCB" w:rsidRPr="00416C4A">
        <w:t xml:space="preserve"> </w:t>
      </w:r>
    </w:p>
    <w:p w14:paraId="5763032B" w14:textId="77777777" w:rsidR="009C4A1D" w:rsidRPr="00416C4A" w:rsidRDefault="009C4A1D" w:rsidP="009C4A1D">
      <w:pPr>
        <w:spacing w:line="480" w:lineRule="auto"/>
        <w:jc w:val="both"/>
      </w:pPr>
    </w:p>
    <w:p w14:paraId="352614A2" w14:textId="33489715" w:rsidR="009C4A1D" w:rsidRPr="00416C4A" w:rsidRDefault="00D96DFB" w:rsidP="004A119D">
      <w:pPr>
        <w:pStyle w:val="Heading1"/>
        <w:numPr>
          <w:ilvl w:val="0"/>
          <w:numId w:val="1"/>
        </w:numPr>
        <w:spacing w:line="480" w:lineRule="auto"/>
        <w:jc w:val="center"/>
        <w:rPr>
          <w:rFonts w:ascii="Times New Roman" w:eastAsia="Times New Roman" w:hAnsi="Times New Roman" w:cs="Times New Roman"/>
          <w:b/>
          <w:bCs/>
          <w:caps/>
          <w:color w:val="auto"/>
          <w:sz w:val="24"/>
          <w:szCs w:val="24"/>
        </w:rPr>
      </w:pPr>
      <w:bookmarkStart w:id="4" w:name="_Toc48157842"/>
      <w:bookmarkStart w:id="5" w:name="_Toc49414743"/>
      <w:r w:rsidRPr="00416C4A">
        <w:rPr>
          <w:rFonts w:ascii="Times New Roman" w:eastAsia="Times New Roman" w:hAnsi="Times New Roman" w:cs="Times New Roman"/>
          <w:b/>
          <w:bCs/>
          <w:caps/>
          <w:color w:val="auto"/>
          <w:sz w:val="24"/>
          <w:szCs w:val="24"/>
        </w:rPr>
        <w:t>Literature review and development</w:t>
      </w:r>
      <w:bookmarkEnd w:id="4"/>
      <w:bookmarkEnd w:id="5"/>
      <w:r w:rsidR="00D34D10">
        <w:rPr>
          <w:rFonts w:ascii="Times New Roman" w:eastAsia="Times New Roman" w:hAnsi="Times New Roman" w:cs="Times New Roman"/>
          <w:b/>
          <w:bCs/>
          <w:caps/>
          <w:color w:val="auto"/>
          <w:sz w:val="24"/>
          <w:szCs w:val="24"/>
        </w:rPr>
        <w:t xml:space="preserve"> of research questions</w:t>
      </w:r>
    </w:p>
    <w:p w14:paraId="10F267B1" w14:textId="5DD520D5" w:rsidR="009C4A1D" w:rsidRPr="00416C4A" w:rsidRDefault="00D96DFB" w:rsidP="009C4A1D">
      <w:pPr>
        <w:pStyle w:val="Heading2"/>
        <w:spacing w:line="480" w:lineRule="auto"/>
        <w:rPr>
          <w:rFonts w:ascii="Times New Roman" w:eastAsia="Times New Roman" w:hAnsi="Times New Roman" w:cs="Times New Roman"/>
          <w:b/>
          <w:bCs/>
          <w:color w:val="auto"/>
          <w:sz w:val="24"/>
          <w:szCs w:val="24"/>
        </w:rPr>
      </w:pPr>
      <w:bookmarkStart w:id="6" w:name="_Toc48157843"/>
      <w:bookmarkStart w:id="7" w:name="_Toc49414744"/>
      <w:r w:rsidRPr="00416C4A">
        <w:rPr>
          <w:rFonts w:ascii="Times New Roman" w:eastAsia="Times New Roman" w:hAnsi="Times New Roman" w:cs="Times New Roman"/>
          <w:b/>
          <w:bCs/>
          <w:color w:val="auto"/>
          <w:sz w:val="24"/>
          <w:szCs w:val="24"/>
        </w:rPr>
        <w:t>Applicable theories</w:t>
      </w:r>
      <w:bookmarkEnd w:id="6"/>
      <w:bookmarkEnd w:id="7"/>
    </w:p>
    <w:p w14:paraId="3E3BBD14" w14:textId="4BFCCDF5" w:rsidR="009C4A1D" w:rsidRPr="00416C4A" w:rsidRDefault="00D96DFB" w:rsidP="00760A97">
      <w:pPr>
        <w:spacing w:line="480" w:lineRule="auto"/>
        <w:ind w:firstLine="720"/>
        <w:jc w:val="both"/>
        <w:rPr>
          <w:rFonts w:eastAsiaTheme="minorHAnsi"/>
          <w:lang w:eastAsia="en-US"/>
        </w:rPr>
      </w:pPr>
      <w:r w:rsidRPr="00416C4A">
        <w:rPr>
          <w:rFonts w:eastAsiaTheme="minorHAnsi"/>
          <w:lang w:eastAsia="en-US"/>
        </w:rPr>
        <w:t xml:space="preserve">The lack of gender diversity </w:t>
      </w:r>
      <w:r w:rsidR="0028089F">
        <w:rPr>
          <w:rFonts w:eastAsiaTheme="minorHAnsi"/>
          <w:lang w:eastAsia="en-US"/>
        </w:rPr>
        <w:t>o</w:t>
      </w:r>
      <w:r w:rsidRPr="00416C4A">
        <w:rPr>
          <w:rFonts w:eastAsiaTheme="minorHAnsi"/>
          <w:lang w:eastAsia="en-US"/>
        </w:rPr>
        <w:t xml:space="preserve">n boards of directors has been approached </w:t>
      </w:r>
      <w:r w:rsidR="001A212C" w:rsidRPr="00416C4A">
        <w:rPr>
          <w:rFonts w:eastAsiaTheme="minorHAnsi"/>
          <w:lang w:eastAsia="en-US"/>
        </w:rPr>
        <w:t xml:space="preserve">from multiple perspectives, leading to several theories. </w:t>
      </w:r>
      <w:r w:rsidRPr="00416C4A">
        <w:rPr>
          <w:rFonts w:eastAsiaTheme="minorHAnsi"/>
          <w:lang w:eastAsia="en-US"/>
        </w:rPr>
        <w:t>Social identity theory, first formulated by Tajfel (1982), p</w:t>
      </w:r>
      <w:r w:rsidR="00CA4389" w:rsidRPr="00416C4A">
        <w:rPr>
          <w:rFonts w:eastAsiaTheme="minorHAnsi"/>
          <w:lang w:eastAsia="en-US"/>
        </w:rPr>
        <w:t xml:space="preserve">osits </w:t>
      </w:r>
      <w:r w:rsidRPr="00416C4A">
        <w:rPr>
          <w:rFonts w:eastAsia="Calibri"/>
          <w:lang w:eastAsia="en-US"/>
        </w:rPr>
        <w:t>that th</w:t>
      </w:r>
      <w:r w:rsidR="00394B00">
        <w:rPr>
          <w:rFonts w:eastAsia="Calibri"/>
          <w:lang w:eastAsia="en-US"/>
        </w:rPr>
        <w:t>e</w:t>
      </w:r>
      <w:r w:rsidRPr="00416C4A">
        <w:rPr>
          <w:rFonts w:eastAsia="Calibri"/>
          <w:lang w:eastAsia="en-US"/>
        </w:rPr>
        <w:t xml:space="preserve"> lack of gender diversity exists because </w:t>
      </w:r>
      <w:r w:rsidR="00F5396F" w:rsidRPr="00416C4A">
        <w:rPr>
          <w:rFonts w:eastAsiaTheme="minorHAnsi"/>
          <w:lang w:eastAsia="en-US"/>
        </w:rPr>
        <w:t xml:space="preserve">most board members are male and </w:t>
      </w:r>
      <w:r w:rsidRPr="00416C4A">
        <w:rPr>
          <w:rFonts w:eastAsiaTheme="minorHAnsi"/>
          <w:lang w:eastAsia="en-US"/>
        </w:rPr>
        <w:t>unconsciously create a collective sense of themselves</w:t>
      </w:r>
      <w:r w:rsidR="00394B00">
        <w:rPr>
          <w:rFonts w:eastAsiaTheme="minorHAnsi"/>
          <w:lang w:eastAsia="en-US"/>
        </w:rPr>
        <w:t>,</w:t>
      </w:r>
      <w:r w:rsidRPr="00416C4A">
        <w:rPr>
          <w:rFonts w:eastAsiaTheme="minorHAnsi"/>
          <w:lang w:eastAsia="en-US"/>
        </w:rPr>
        <w:t xml:space="preserve"> reinforc</w:t>
      </w:r>
      <w:r w:rsidR="00394B00">
        <w:rPr>
          <w:rFonts w:eastAsiaTheme="minorHAnsi"/>
          <w:lang w:eastAsia="en-US"/>
        </w:rPr>
        <w:t>ing</w:t>
      </w:r>
      <w:r w:rsidRPr="00416C4A">
        <w:rPr>
          <w:rFonts w:eastAsiaTheme="minorHAnsi"/>
          <w:lang w:eastAsia="en-US"/>
        </w:rPr>
        <w:t xml:space="preserve"> group boundaries (Singh and </w:t>
      </w:r>
      <w:proofErr w:type="spellStart"/>
      <w:r w:rsidRPr="00416C4A">
        <w:rPr>
          <w:rFonts w:eastAsiaTheme="minorHAnsi"/>
          <w:lang w:eastAsia="en-US"/>
        </w:rPr>
        <w:t>Vinnicombe</w:t>
      </w:r>
      <w:proofErr w:type="spellEnd"/>
      <w:r w:rsidRPr="00416C4A">
        <w:rPr>
          <w:rFonts w:eastAsiaTheme="minorHAnsi"/>
          <w:lang w:eastAsia="en-US"/>
        </w:rPr>
        <w:t xml:space="preserve"> 2004). Th</w:t>
      </w:r>
      <w:r w:rsidR="00850B53" w:rsidRPr="00416C4A">
        <w:rPr>
          <w:rFonts w:eastAsiaTheme="minorHAnsi"/>
          <w:lang w:eastAsia="en-US"/>
        </w:rPr>
        <w:t xml:space="preserve">e authors </w:t>
      </w:r>
      <w:r w:rsidR="00394B00">
        <w:rPr>
          <w:rFonts w:eastAsiaTheme="minorHAnsi"/>
          <w:lang w:eastAsia="en-US"/>
        </w:rPr>
        <w:t xml:space="preserve">of studies on social identity theory </w:t>
      </w:r>
      <w:r w:rsidR="00DD21BF" w:rsidRPr="00416C4A">
        <w:rPr>
          <w:rFonts w:eastAsiaTheme="minorHAnsi"/>
          <w:lang w:eastAsia="en-US"/>
        </w:rPr>
        <w:t>claim that</w:t>
      </w:r>
      <w:r w:rsidR="0042426F" w:rsidRPr="00416C4A">
        <w:rPr>
          <w:rFonts w:eastAsiaTheme="minorHAnsi"/>
          <w:lang w:eastAsia="en-US"/>
        </w:rPr>
        <w:t xml:space="preserve"> unconscious actions </w:t>
      </w:r>
      <w:r w:rsidR="00E32E39" w:rsidRPr="00416C4A">
        <w:rPr>
          <w:rFonts w:eastAsiaTheme="minorHAnsi"/>
          <w:lang w:eastAsia="en-US"/>
        </w:rPr>
        <w:t xml:space="preserve">may </w:t>
      </w:r>
      <w:r w:rsidR="00A20200" w:rsidRPr="00416C4A">
        <w:rPr>
          <w:rFonts w:eastAsiaTheme="minorHAnsi"/>
          <w:lang w:eastAsia="en-US"/>
        </w:rPr>
        <w:t>lead male</w:t>
      </w:r>
      <w:r w:rsidRPr="00416C4A">
        <w:rPr>
          <w:rFonts w:eastAsiaTheme="minorHAnsi"/>
          <w:lang w:eastAsia="en-US"/>
        </w:rPr>
        <w:t xml:space="preserve"> directors </w:t>
      </w:r>
      <w:r w:rsidR="00E32E39" w:rsidRPr="00416C4A">
        <w:rPr>
          <w:rFonts w:eastAsiaTheme="minorHAnsi"/>
          <w:lang w:eastAsia="en-US"/>
        </w:rPr>
        <w:t xml:space="preserve">to </w:t>
      </w:r>
      <w:r w:rsidRPr="00416C4A">
        <w:rPr>
          <w:rFonts w:eastAsiaTheme="minorHAnsi"/>
          <w:lang w:eastAsia="en-US"/>
        </w:rPr>
        <w:t>create barrier</w:t>
      </w:r>
      <w:r w:rsidR="00E32E39" w:rsidRPr="00416C4A">
        <w:rPr>
          <w:rFonts w:eastAsiaTheme="minorHAnsi"/>
          <w:lang w:eastAsia="en-US"/>
        </w:rPr>
        <w:t>s</w:t>
      </w:r>
      <w:r w:rsidRPr="00416C4A">
        <w:rPr>
          <w:rFonts w:eastAsiaTheme="minorHAnsi"/>
          <w:lang w:eastAsia="en-US"/>
        </w:rPr>
        <w:t xml:space="preserve"> that prevent </w:t>
      </w:r>
      <w:r w:rsidR="00394B00">
        <w:rPr>
          <w:rFonts w:eastAsiaTheme="minorHAnsi"/>
          <w:lang w:eastAsia="en-US"/>
        </w:rPr>
        <w:t>females</w:t>
      </w:r>
      <w:r w:rsidR="00394B00" w:rsidRPr="00416C4A">
        <w:rPr>
          <w:rFonts w:eastAsiaTheme="minorHAnsi"/>
          <w:lang w:eastAsia="en-US"/>
        </w:rPr>
        <w:t xml:space="preserve"> </w:t>
      </w:r>
      <w:r w:rsidRPr="00416C4A">
        <w:rPr>
          <w:rFonts w:eastAsiaTheme="minorHAnsi"/>
          <w:lang w:eastAsia="en-US"/>
        </w:rPr>
        <w:t xml:space="preserve">from </w:t>
      </w:r>
      <w:r w:rsidR="00E32E39" w:rsidRPr="00416C4A">
        <w:rPr>
          <w:rFonts w:eastAsiaTheme="minorHAnsi"/>
          <w:lang w:eastAsia="en-US"/>
        </w:rPr>
        <w:t xml:space="preserve">joining </w:t>
      </w:r>
      <w:r w:rsidR="00A20200" w:rsidRPr="00416C4A">
        <w:rPr>
          <w:rFonts w:eastAsiaTheme="minorHAnsi"/>
          <w:lang w:eastAsia="en-US"/>
        </w:rPr>
        <w:t xml:space="preserve">corporate </w:t>
      </w:r>
      <w:r w:rsidRPr="00416C4A">
        <w:rPr>
          <w:rFonts w:eastAsiaTheme="minorHAnsi"/>
          <w:lang w:eastAsia="en-US"/>
        </w:rPr>
        <w:t xml:space="preserve">boards. </w:t>
      </w:r>
    </w:p>
    <w:p w14:paraId="14D18E53" w14:textId="266DB846" w:rsidR="009C4A1D" w:rsidRPr="00416C4A" w:rsidRDefault="00D96DFB" w:rsidP="009C4A1D">
      <w:pPr>
        <w:spacing w:line="480" w:lineRule="auto"/>
        <w:jc w:val="both"/>
      </w:pPr>
      <w:r w:rsidRPr="00416C4A">
        <w:tab/>
        <w:t xml:space="preserve">The glass ceiling theory </w:t>
      </w:r>
      <w:r w:rsidR="00D6775E" w:rsidRPr="00416C4A">
        <w:t xml:space="preserve">addresses the lack of gender diversity from a different point of view, </w:t>
      </w:r>
      <w:r w:rsidR="00DD1B0A" w:rsidRPr="00416C4A">
        <w:t>focusing on the reason for its existence</w:t>
      </w:r>
      <w:r w:rsidR="00394B00">
        <w:t>. I</w:t>
      </w:r>
      <w:r w:rsidR="00D86D22" w:rsidRPr="00416C4A">
        <w:t xml:space="preserve">t </w:t>
      </w:r>
      <w:r w:rsidR="00394B00">
        <w:t xml:space="preserve">suggests that </w:t>
      </w:r>
      <w:r w:rsidR="00D86D22" w:rsidRPr="00416C4A">
        <w:t xml:space="preserve">there is a </w:t>
      </w:r>
      <w:r w:rsidRPr="00416C4A">
        <w:t xml:space="preserve">“transparent barrier” </w:t>
      </w:r>
      <w:r w:rsidR="00D86D22" w:rsidRPr="00416C4A">
        <w:t xml:space="preserve">that </w:t>
      </w:r>
      <w:r w:rsidRPr="00416C4A">
        <w:t>prevents women from progressing to leadership roles (Sabharwal 2015). Th</w:t>
      </w:r>
      <w:r w:rsidR="006719F1" w:rsidRPr="00416C4A">
        <w:t xml:space="preserve">is barrier can </w:t>
      </w:r>
      <w:r w:rsidR="00394B00">
        <w:t>take</w:t>
      </w:r>
      <w:r w:rsidR="000B6004" w:rsidRPr="00416C4A">
        <w:t xml:space="preserve"> several forms, </w:t>
      </w:r>
      <w:r w:rsidRPr="00416C4A">
        <w:t>including inadequate education or insufficient experience, different communication styles (</w:t>
      </w:r>
      <w:proofErr w:type="spellStart"/>
      <w:r w:rsidRPr="00416C4A">
        <w:t>Tanen</w:t>
      </w:r>
      <w:proofErr w:type="spellEnd"/>
      <w:r w:rsidRPr="00416C4A">
        <w:t xml:space="preserve"> 1994), rejection from informal networks, insufficient or no </w:t>
      </w:r>
      <w:r w:rsidRPr="00416C4A">
        <w:lastRenderedPageBreak/>
        <w:t xml:space="preserve">support for work-life balance (Singh and </w:t>
      </w:r>
      <w:proofErr w:type="spellStart"/>
      <w:r w:rsidRPr="00416C4A">
        <w:t>Vinnicombe</w:t>
      </w:r>
      <w:proofErr w:type="spellEnd"/>
      <w:r w:rsidRPr="00416C4A">
        <w:t xml:space="preserve"> 2004), absence of mentorship or role models (</w:t>
      </w:r>
      <w:proofErr w:type="spellStart"/>
      <w:r w:rsidRPr="00416C4A">
        <w:t>Hafsi</w:t>
      </w:r>
      <w:proofErr w:type="spellEnd"/>
      <w:r w:rsidRPr="00416C4A">
        <w:t xml:space="preserve"> and Turgut 2013)</w:t>
      </w:r>
      <w:r w:rsidR="00394B00">
        <w:t>,</w:t>
      </w:r>
      <w:r w:rsidRPr="00416C4A">
        <w:t xml:space="preserve"> or even gender stereotyping </w:t>
      </w:r>
      <w:r w:rsidR="00394B00">
        <w:t>from</w:t>
      </w:r>
      <w:r w:rsidR="00394B00" w:rsidRPr="00416C4A">
        <w:t xml:space="preserve"> </w:t>
      </w:r>
      <w:r w:rsidRPr="00416C4A">
        <w:t xml:space="preserve">leadership (Schein and Mueller 1992). Once women </w:t>
      </w:r>
      <w:r w:rsidR="00394B00" w:rsidRPr="00416C4A">
        <w:t>over</w:t>
      </w:r>
      <w:r w:rsidR="00394B00">
        <w:t>come</w:t>
      </w:r>
      <w:r w:rsidR="00394B00" w:rsidRPr="00416C4A">
        <w:t xml:space="preserve"> </w:t>
      </w:r>
      <w:r w:rsidRPr="00416C4A">
        <w:t>the ‘glass ceiling</w:t>
      </w:r>
      <w:r w:rsidR="00394B00">
        <w:t>,</w:t>
      </w:r>
      <w:r w:rsidRPr="00416C4A">
        <w:t xml:space="preserve">’ the barriers disappear. For instance, evidence that </w:t>
      </w:r>
      <w:r w:rsidR="00394B00">
        <w:t>females</w:t>
      </w:r>
      <w:r w:rsidR="00394B00" w:rsidRPr="00416C4A">
        <w:t xml:space="preserve"> </w:t>
      </w:r>
      <w:r w:rsidRPr="00416C4A">
        <w:t>avoid competitive environment</w:t>
      </w:r>
      <w:r w:rsidR="00394B00">
        <w:t>s</w:t>
      </w:r>
      <w:r w:rsidRPr="00416C4A">
        <w:t xml:space="preserve"> (</w:t>
      </w:r>
      <w:proofErr w:type="spellStart"/>
      <w:r w:rsidRPr="00416C4A">
        <w:t>Niederle</w:t>
      </w:r>
      <w:proofErr w:type="spellEnd"/>
      <w:r w:rsidR="00CB2EA8" w:rsidRPr="00416C4A">
        <w:t xml:space="preserve">, Segal, and </w:t>
      </w:r>
      <w:proofErr w:type="spellStart"/>
      <w:r w:rsidR="00B25584" w:rsidRPr="00416C4A">
        <w:t>V</w:t>
      </w:r>
      <w:r w:rsidR="00CB2EA8" w:rsidRPr="00416C4A">
        <w:t>esterlund</w:t>
      </w:r>
      <w:proofErr w:type="spellEnd"/>
      <w:r w:rsidRPr="00416C4A">
        <w:t xml:space="preserve"> 2013) indicates that women who reach the boardroom may be very similar to men (Adams and Funk 2012). </w:t>
      </w:r>
      <w:r w:rsidR="00722710" w:rsidRPr="00416C4A">
        <w:t xml:space="preserve">This may be </w:t>
      </w:r>
      <w:r w:rsidR="002A4028" w:rsidRPr="00416C4A">
        <w:t xml:space="preserve">due to their personal characteristics or because </w:t>
      </w:r>
      <w:r w:rsidR="00394B00">
        <w:t>females</w:t>
      </w:r>
      <w:r w:rsidR="00394B00" w:rsidRPr="00416C4A">
        <w:t xml:space="preserve"> </w:t>
      </w:r>
      <w:r w:rsidRPr="00416C4A">
        <w:t>in primarily male environment</w:t>
      </w:r>
      <w:r w:rsidR="00394B00">
        <w:t>s</w:t>
      </w:r>
      <w:r w:rsidRPr="00416C4A">
        <w:t xml:space="preserve"> adopt male leadership traits </w:t>
      </w:r>
      <w:r w:rsidR="00394B00">
        <w:t>that</w:t>
      </w:r>
      <w:r w:rsidRPr="00416C4A">
        <w:t xml:space="preserve"> diminish gender differences (Adams and Funk 2012; Sabharwal 2015).</w:t>
      </w:r>
    </w:p>
    <w:p w14:paraId="464DB967" w14:textId="4213E4CE" w:rsidR="009C4A1D" w:rsidRPr="00416C4A" w:rsidRDefault="00D96DFB" w:rsidP="009C4A1D">
      <w:pPr>
        <w:spacing w:line="480" w:lineRule="auto"/>
        <w:jc w:val="both"/>
      </w:pPr>
      <w:r w:rsidRPr="00416C4A">
        <w:tab/>
      </w:r>
      <w:r w:rsidR="00D57143" w:rsidRPr="00416C4A">
        <w:t>T</w:t>
      </w:r>
      <w:r w:rsidRPr="00416C4A">
        <w:t xml:space="preserve">he </w:t>
      </w:r>
      <w:r w:rsidR="00D57143" w:rsidRPr="00416C4A">
        <w:t>g</w:t>
      </w:r>
      <w:r w:rsidRPr="00416C4A">
        <w:t xml:space="preserve">lass </w:t>
      </w:r>
      <w:r w:rsidR="00D57143" w:rsidRPr="00416C4A">
        <w:t>c</w:t>
      </w:r>
      <w:r w:rsidRPr="00416C4A">
        <w:t xml:space="preserve">liff </w:t>
      </w:r>
      <w:r w:rsidR="00D57143" w:rsidRPr="00416C4A">
        <w:t>t</w:t>
      </w:r>
      <w:r w:rsidRPr="00416C4A">
        <w:t xml:space="preserve">heory indicates that women are more likely than men to be assigned leadership roles during periods of crisis or </w:t>
      </w:r>
      <w:r w:rsidR="00394B00">
        <w:t xml:space="preserve">with </w:t>
      </w:r>
      <w:r w:rsidRPr="00416C4A">
        <w:t>a high risk of failure (Ryan and Haslam 2005; 2007; Ryan</w:t>
      </w:r>
      <w:r w:rsidR="005A6515" w:rsidRPr="00416C4A">
        <w:t xml:space="preserve">, </w:t>
      </w:r>
      <w:r w:rsidR="001E0426" w:rsidRPr="00416C4A">
        <w:t xml:space="preserve">Haslam, </w:t>
      </w:r>
      <w:proofErr w:type="spellStart"/>
      <w:r w:rsidR="001E0426" w:rsidRPr="00416C4A">
        <w:t>Hersby</w:t>
      </w:r>
      <w:proofErr w:type="spellEnd"/>
      <w:r w:rsidR="001E0426" w:rsidRPr="00416C4A">
        <w:t xml:space="preserve"> and </w:t>
      </w:r>
      <w:proofErr w:type="spellStart"/>
      <w:r w:rsidR="001E0426" w:rsidRPr="00416C4A">
        <w:t>Bongiorno</w:t>
      </w:r>
      <w:proofErr w:type="spellEnd"/>
      <w:r w:rsidRPr="00416C4A">
        <w:rPr>
          <w:rStyle w:val="Emphasis"/>
        </w:rPr>
        <w:t> </w:t>
      </w:r>
      <w:r w:rsidRPr="00416C4A">
        <w:t xml:space="preserve">2011). In addition, </w:t>
      </w:r>
      <w:r w:rsidR="00394B00">
        <w:t>when</w:t>
      </w:r>
      <w:r w:rsidRPr="00416C4A">
        <w:t xml:space="preserve"> women attain leadership roles, the</w:t>
      </w:r>
      <w:r w:rsidR="009D1E4F" w:rsidRPr="00416C4A">
        <w:t>se</w:t>
      </w:r>
      <w:r w:rsidRPr="00416C4A">
        <w:t xml:space="preserve"> are more precarious than those </w:t>
      </w:r>
      <w:r w:rsidR="00394B00">
        <w:t>attained</w:t>
      </w:r>
      <w:r w:rsidR="00394B00" w:rsidRPr="00416C4A">
        <w:t xml:space="preserve"> </w:t>
      </w:r>
      <w:r w:rsidRPr="00416C4A">
        <w:t xml:space="preserve">by men (Sabharwal 2015; Ryan and Haslam 2005). Furthermore, previous studies indicate that women, in comparison to most male peers, </w:t>
      </w:r>
      <w:r w:rsidR="00D57143" w:rsidRPr="00416C4A">
        <w:t>must</w:t>
      </w:r>
      <w:r w:rsidRPr="00416C4A">
        <w:t xml:space="preserve"> prove their expertise and demonstrate </w:t>
      </w:r>
      <w:r w:rsidR="00394B00">
        <w:t>capabilities</w:t>
      </w:r>
      <w:r w:rsidRPr="00416C4A">
        <w:t xml:space="preserve"> beyond those required </w:t>
      </w:r>
      <w:r w:rsidR="002C571A" w:rsidRPr="00416C4A">
        <w:t>to</w:t>
      </w:r>
      <w:r w:rsidRPr="00416C4A">
        <w:t xml:space="preserve"> be considered potential </w:t>
      </w:r>
      <w:r w:rsidR="00394B00">
        <w:t xml:space="preserve">board </w:t>
      </w:r>
      <w:r w:rsidRPr="00416C4A">
        <w:t xml:space="preserve">candidates (Singh and </w:t>
      </w:r>
      <w:proofErr w:type="spellStart"/>
      <w:r w:rsidRPr="00416C4A">
        <w:t>Vinnicombe</w:t>
      </w:r>
      <w:proofErr w:type="spellEnd"/>
      <w:r w:rsidRPr="00416C4A">
        <w:t xml:space="preserve"> 2004; 2006). </w:t>
      </w:r>
      <w:r w:rsidR="00394B00">
        <w:t>According to</w:t>
      </w:r>
      <w:r w:rsidRPr="00416C4A">
        <w:t xml:space="preserve"> Sabharwal (2015), the </w:t>
      </w:r>
      <w:r w:rsidR="0084097E" w:rsidRPr="00416C4A">
        <w:t>g</w:t>
      </w:r>
      <w:r w:rsidRPr="00416C4A">
        <w:t xml:space="preserve">lass </w:t>
      </w:r>
      <w:r w:rsidR="0084097E" w:rsidRPr="00416C4A">
        <w:t>c</w:t>
      </w:r>
      <w:r w:rsidRPr="00416C4A">
        <w:t xml:space="preserve">liff </w:t>
      </w:r>
      <w:r w:rsidR="0084097E" w:rsidRPr="00416C4A">
        <w:t>t</w:t>
      </w:r>
      <w:r w:rsidRPr="00416C4A">
        <w:t xml:space="preserve">heory clarifies that it is not only the number of </w:t>
      </w:r>
      <w:r w:rsidR="00394B00">
        <w:t>females</w:t>
      </w:r>
      <w:r w:rsidR="00394B00" w:rsidRPr="00416C4A">
        <w:t xml:space="preserve"> </w:t>
      </w:r>
      <w:r w:rsidRPr="00416C4A">
        <w:t>who reach the boardroom that is important</w:t>
      </w:r>
      <w:r w:rsidR="0084097E" w:rsidRPr="00416C4A">
        <w:t>,</w:t>
      </w:r>
      <w:r w:rsidRPr="00416C4A">
        <w:t xml:space="preserve"> but also the work environment they face once they </w:t>
      </w:r>
      <w:r w:rsidR="00394B00">
        <w:t>join</w:t>
      </w:r>
      <w:r w:rsidRPr="00416C4A">
        <w:t xml:space="preserve"> the board of directors.</w:t>
      </w:r>
    </w:p>
    <w:p w14:paraId="2ECE878D" w14:textId="63905916" w:rsidR="009C4A1D" w:rsidRPr="00416C4A" w:rsidRDefault="00D96DFB" w:rsidP="009C4A1D">
      <w:pPr>
        <w:spacing w:line="480" w:lineRule="auto"/>
        <w:jc w:val="both"/>
      </w:pPr>
      <w:r w:rsidRPr="00416C4A">
        <w:tab/>
        <w:t>Tokenism</w:t>
      </w:r>
      <w:r w:rsidR="005D7ED1" w:rsidRPr="00416C4A">
        <w:t xml:space="preserve">, which in this scenario can be defined as the practice of a board of directors </w:t>
      </w:r>
      <w:r w:rsidR="00D358BB" w:rsidRPr="00416C4A">
        <w:t xml:space="preserve">including only one woman </w:t>
      </w:r>
      <w:r w:rsidR="00C1288C" w:rsidRPr="00416C4A">
        <w:t>to</w:t>
      </w:r>
      <w:r w:rsidR="00D358BB" w:rsidRPr="00416C4A">
        <w:t xml:space="preserve"> </w:t>
      </w:r>
      <w:r w:rsidR="00C1288C" w:rsidRPr="00416C4A">
        <w:t xml:space="preserve">give the </w:t>
      </w:r>
      <w:r w:rsidR="00D358BB" w:rsidRPr="00416C4A">
        <w:t>appear</w:t>
      </w:r>
      <w:r w:rsidR="00C1288C" w:rsidRPr="00416C4A">
        <w:t>ance that it is</w:t>
      </w:r>
      <w:r w:rsidR="00D358BB" w:rsidRPr="00416C4A">
        <w:t xml:space="preserve"> gender divers</w:t>
      </w:r>
      <w:r w:rsidR="00C1288C" w:rsidRPr="00416C4A">
        <w:t xml:space="preserve">e, </w:t>
      </w:r>
      <w:r w:rsidRPr="00416C4A">
        <w:t xml:space="preserve">is another theory </w:t>
      </w:r>
      <w:r w:rsidR="00DF7875">
        <w:t xml:space="preserve">that is </w:t>
      </w:r>
      <w:r w:rsidRPr="00416C4A">
        <w:t xml:space="preserve">widely used to explain the difficulties women face in </w:t>
      </w:r>
      <w:r w:rsidR="00DF7875">
        <w:t xml:space="preserve">gaining </w:t>
      </w:r>
      <w:r w:rsidRPr="00416C4A">
        <w:t xml:space="preserve">directorship roles (Lynn 1988; </w:t>
      </w:r>
      <w:proofErr w:type="spellStart"/>
      <w:r w:rsidRPr="00416C4A">
        <w:t>Hafsi</w:t>
      </w:r>
      <w:proofErr w:type="spellEnd"/>
      <w:r w:rsidRPr="00416C4A">
        <w:t xml:space="preserve"> and Turgut 2013; Gregory‐Smith</w:t>
      </w:r>
      <w:r w:rsidR="00545A3C" w:rsidRPr="00416C4A">
        <w:t>, Main, and O’Reilly</w:t>
      </w:r>
      <w:r w:rsidRPr="00416C4A">
        <w:t xml:space="preserve"> 2014; Sabharwal 2015). </w:t>
      </w:r>
      <w:r w:rsidR="0060597A" w:rsidRPr="00416C4A">
        <w:t>As You (2021</w:t>
      </w:r>
      <w:r w:rsidR="00DF7875">
        <w:t>,</w:t>
      </w:r>
      <w:r w:rsidR="0028617C">
        <w:t xml:space="preserve"> 356</w:t>
      </w:r>
      <w:r w:rsidR="0060597A" w:rsidRPr="00416C4A">
        <w:t xml:space="preserve">) </w:t>
      </w:r>
      <w:r w:rsidR="00DF7875">
        <w:t>states</w:t>
      </w:r>
      <w:r w:rsidR="0060597A" w:rsidRPr="00416C4A">
        <w:t>, “tokens have limited opportunities and low power due to their rarity and low status.”</w:t>
      </w:r>
      <w:r w:rsidR="00C67B3E" w:rsidRPr="00416C4A">
        <w:t xml:space="preserve"> Consistent with the idea that </w:t>
      </w:r>
      <w:r w:rsidR="00EF1542" w:rsidRPr="00416C4A">
        <w:t xml:space="preserve">one woman may not be enough to </w:t>
      </w:r>
      <w:r w:rsidR="005E36AD" w:rsidRPr="00416C4A">
        <w:t>motivate change</w:t>
      </w:r>
      <w:r w:rsidR="00F960F1" w:rsidRPr="00416C4A">
        <w:t>,</w:t>
      </w:r>
      <w:r w:rsidR="005E36AD" w:rsidRPr="00416C4A">
        <w:t xml:space="preserve"> </w:t>
      </w:r>
      <w:r w:rsidRPr="00416C4A">
        <w:rPr>
          <w:rFonts w:eastAsiaTheme="minorHAnsi"/>
          <w:lang w:eastAsia="en-US"/>
        </w:rPr>
        <w:t>Farrell and Hersch (2005) f</w:t>
      </w:r>
      <w:r w:rsidR="0084097E" w:rsidRPr="00416C4A">
        <w:rPr>
          <w:rFonts w:eastAsiaTheme="minorHAnsi"/>
          <w:lang w:eastAsia="en-US"/>
        </w:rPr>
        <w:t>i</w:t>
      </w:r>
      <w:r w:rsidRPr="00416C4A">
        <w:rPr>
          <w:rFonts w:eastAsiaTheme="minorHAnsi"/>
          <w:lang w:eastAsia="en-US"/>
        </w:rPr>
        <w:t>nd</w:t>
      </w:r>
      <w:r w:rsidR="00DF7875">
        <w:rPr>
          <w:rFonts w:eastAsiaTheme="minorHAnsi"/>
          <w:lang w:eastAsia="en-US"/>
        </w:rPr>
        <w:t>s</w:t>
      </w:r>
      <w:r w:rsidRPr="00416C4A">
        <w:rPr>
          <w:rFonts w:eastAsiaTheme="minorHAnsi"/>
          <w:lang w:eastAsia="en-US"/>
        </w:rPr>
        <w:t xml:space="preserve"> that the </w:t>
      </w:r>
      <w:r w:rsidRPr="00416C4A">
        <w:t xml:space="preserve">probability of a </w:t>
      </w:r>
      <w:r w:rsidR="00DF7875">
        <w:t xml:space="preserve">female director joining </w:t>
      </w:r>
      <w:r w:rsidRPr="00416C4A">
        <w:t xml:space="preserve">a board </w:t>
      </w:r>
      <w:r w:rsidRPr="00416C4A">
        <w:lastRenderedPageBreak/>
        <w:t xml:space="preserve">in a </w:t>
      </w:r>
      <w:r w:rsidR="00DF7875">
        <w:t>given</w:t>
      </w:r>
      <w:r w:rsidR="00DF7875" w:rsidRPr="00416C4A">
        <w:t xml:space="preserve"> </w:t>
      </w:r>
      <w:r w:rsidRPr="00416C4A">
        <w:t xml:space="preserve">year depends on the number of </w:t>
      </w:r>
      <w:r w:rsidR="00DF7875">
        <w:t>females</w:t>
      </w:r>
      <w:r w:rsidR="00DF7875" w:rsidRPr="00416C4A">
        <w:t xml:space="preserve"> </w:t>
      </w:r>
      <w:r w:rsidRPr="00416C4A">
        <w:t xml:space="preserve">already on the board. </w:t>
      </w:r>
      <w:r w:rsidR="007A7727" w:rsidRPr="00416C4A">
        <w:t>This may be</w:t>
      </w:r>
      <w:r w:rsidR="00DF7875">
        <w:t xml:space="preserve"> </w:t>
      </w:r>
      <w:r w:rsidR="00E35E73" w:rsidRPr="00416C4A">
        <w:t>b</w:t>
      </w:r>
      <w:r w:rsidR="00436944" w:rsidRPr="00416C4A">
        <w:t xml:space="preserve">ecause </w:t>
      </w:r>
      <w:r w:rsidR="007A7727" w:rsidRPr="00416C4A">
        <w:t xml:space="preserve">when there is only </w:t>
      </w:r>
      <w:r w:rsidRPr="00416C4A">
        <w:t xml:space="preserve">one </w:t>
      </w:r>
      <w:r w:rsidR="00DF7875">
        <w:t>female</w:t>
      </w:r>
      <w:r w:rsidR="00DF7875" w:rsidRPr="00416C4A">
        <w:t xml:space="preserve"> </w:t>
      </w:r>
      <w:r w:rsidRPr="00416C4A">
        <w:t xml:space="preserve">on </w:t>
      </w:r>
      <w:r w:rsidR="007A7727" w:rsidRPr="00416C4A">
        <w:t xml:space="preserve">the </w:t>
      </w:r>
      <w:r w:rsidRPr="00416C4A">
        <w:t>board</w:t>
      </w:r>
      <w:r w:rsidR="00DF7875">
        <w:t>,</w:t>
      </w:r>
      <w:r w:rsidRPr="00416C4A">
        <w:t xml:space="preserve"> </w:t>
      </w:r>
      <w:r w:rsidR="007A7727" w:rsidRPr="00416C4A">
        <w:t xml:space="preserve">she </w:t>
      </w:r>
      <w:r w:rsidRPr="00416C4A">
        <w:t>is likely to be stereotyped and excluded by the majority</w:t>
      </w:r>
      <w:r w:rsidR="00922D37" w:rsidRPr="00416C4A">
        <w:t>.</w:t>
      </w:r>
      <w:r w:rsidRPr="00416C4A">
        <w:t xml:space="preserve"> </w:t>
      </w:r>
      <w:r w:rsidR="00DF7875">
        <w:t>R</w:t>
      </w:r>
      <w:r w:rsidR="00960C82" w:rsidRPr="00416C4A">
        <w:t xml:space="preserve">ecent </w:t>
      </w:r>
      <w:r w:rsidR="00DF7875">
        <w:t>research suggests</w:t>
      </w:r>
      <w:r w:rsidR="00960C82" w:rsidRPr="00416C4A">
        <w:t xml:space="preserve"> that </w:t>
      </w:r>
      <w:r w:rsidRPr="00416C4A">
        <w:t xml:space="preserve">women can influence </w:t>
      </w:r>
      <w:r w:rsidR="00960C82" w:rsidRPr="00416C4A">
        <w:t xml:space="preserve">decisions only </w:t>
      </w:r>
      <w:r w:rsidRPr="00416C4A">
        <w:t xml:space="preserve">when </w:t>
      </w:r>
      <w:r w:rsidR="002B411E" w:rsidRPr="00416C4A">
        <w:t>a critical mass is present</w:t>
      </w:r>
      <w:r w:rsidR="0073298C" w:rsidRPr="00416C4A">
        <w:t xml:space="preserve">, and </w:t>
      </w:r>
      <w:r w:rsidRPr="00416C4A">
        <w:t xml:space="preserve">three </w:t>
      </w:r>
      <w:r w:rsidR="00DF7875">
        <w:t>females</w:t>
      </w:r>
      <w:r w:rsidR="00DF7875" w:rsidRPr="00416C4A">
        <w:t xml:space="preserve"> </w:t>
      </w:r>
      <w:r w:rsidRPr="00416C4A">
        <w:t xml:space="preserve">on </w:t>
      </w:r>
      <w:r w:rsidR="00DF7875">
        <w:t xml:space="preserve">the </w:t>
      </w:r>
      <w:r w:rsidRPr="00416C4A">
        <w:t xml:space="preserve">board </w:t>
      </w:r>
      <w:r w:rsidR="0073298C" w:rsidRPr="00416C4A">
        <w:t xml:space="preserve">seems to be </w:t>
      </w:r>
      <w:r w:rsidRPr="00416C4A">
        <w:t>the minimum necessary for them to have impact (Konrad</w:t>
      </w:r>
      <w:r w:rsidR="00C64CE5" w:rsidRPr="00416C4A">
        <w:t>, Kramer, and</w:t>
      </w:r>
      <w:r w:rsidRPr="00416C4A">
        <w:t> </w:t>
      </w:r>
      <w:r w:rsidR="00C64CE5" w:rsidRPr="00416C4A">
        <w:t>Erkut</w:t>
      </w:r>
      <w:r w:rsidRPr="00416C4A">
        <w:rPr>
          <w:rStyle w:val="Emphasis"/>
        </w:rPr>
        <w:t> </w:t>
      </w:r>
      <w:r w:rsidRPr="00416C4A">
        <w:t>2008; Erkut</w:t>
      </w:r>
      <w:r w:rsidR="00AA1F1F" w:rsidRPr="00416C4A">
        <w:t xml:space="preserve">, </w:t>
      </w:r>
      <w:r w:rsidR="00275182" w:rsidRPr="00416C4A">
        <w:t>Konrad, and Kramer</w:t>
      </w:r>
      <w:r w:rsidRPr="00416C4A">
        <w:rPr>
          <w:rStyle w:val="Emphasis"/>
        </w:rPr>
        <w:t> </w:t>
      </w:r>
      <w:r w:rsidRPr="00416C4A">
        <w:t>2008; Torchia</w:t>
      </w:r>
      <w:r w:rsidR="004B3A09" w:rsidRPr="00416C4A">
        <w:t xml:space="preserve">, Calabro, and </w:t>
      </w:r>
      <w:proofErr w:type="spellStart"/>
      <w:r w:rsidR="00A36C26" w:rsidRPr="00416C4A">
        <w:t>Huse</w:t>
      </w:r>
      <w:proofErr w:type="spellEnd"/>
      <w:r w:rsidRPr="00416C4A">
        <w:rPr>
          <w:rStyle w:val="Emphasis"/>
        </w:rPr>
        <w:t> </w:t>
      </w:r>
      <w:r w:rsidRPr="00416C4A">
        <w:t>2011).</w:t>
      </w:r>
    </w:p>
    <w:p w14:paraId="4432EB9D" w14:textId="6AEFEE55" w:rsidR="009C4A1D" w:rsidRPr="00416C4A" w:rsidRDefault="00D96DFB" w:rsidP="009C4A1D">
      <w:pPr>
        <w:spacing w:line="480" w:lineRule="auto"/>
        <w:jc w:val="both"/>
        <w:rPr>
          <w:rFonts w:eastAsiaTheme="minorHAnsi"/>
          <w:lang w:eastAsia="en-US"/>
        </w:rPr>
      </w:pPr>
      <w:r w:rsidRPr="00416C4A">
        <w:tab/>
      </w:r>
      <w:r w:rsidRPr="00416C4A">
        <w:rPr>
          <w:rFonts w:eastAsiaTheme="minorHAnsi"/>
          <w:lang w:eastAsia="en-US"/>
        </w:rPr>
        <w:t xml:space="preserve">Overall, these theories highlight the barriers women must overcome </w:t>
      </w:r>
      <w:r w:rsidR="009375A7" w:rsidRPr="00416C4A">
        <w:rPr>
          <w:rFonts w:eastAsiaTheme="minorHAnsi"/>
          <w:lang w:eastAsia="en-US"/>
        </w:rPr>
        <w:t>to</w:t>
      </w:r>
      <w:r w:rsidRPr="00416C4A">
        <w:rPr>
          <w:rFonts w:eastAsiaTheme="minorHAnsi"/>
          <w:lang w:eastAsia="en-US"/>
        </w:rPr>
        <w:t xml:space="preserve"> </w:t>
      </w:r>
      <w:r w:rsidR="00DF7875">
        <w:rPr>
          <w:rFonts w:eastAsiaTheme="minorHAnsi"/>
          <w:lang w:eastAsia="en-US"/>
        </w:rPr>
        <w:t>gain</w:t>
      </w:r>
      <w:r w:rsidR="00DF7875" w:rsidRPr="00416C4A">
        <w:rPr>
          <w:rFonts w:eastAsiaTheme="minorHAnsi"/>
          <w:lang w:eastAsia="en-US"/>
        </w:rPr>
        <w:t xml:space="preserve"> </w:t>
      </w:r>
      <w:r w:rsidRPr="00416C4A">
        <w:rPr>
          <w:rFonts w:eastAsiaTheme="minorHAnsi"/>
          <w:lang w:eastAsia="en-US"/>
        </w:rPr>
        <w:t>and maintain directorship positions</w:t>
      </w:r>
      <w:r w:rsidR="00DF7875">
        <w:rPr>
          <w:rFonts w:eastAsiaTheme="minorHAnsi"/>
          <w:lang w:eastAsia="en-US"/>
        </w:rPr>
        <w:t xml:space="preserve"> on corporate boards</w:t>
      </w:r>
      <w:r w:rsidRPr="00416C4A">
        <w:rPr>
          <w:rFonts w:eastAsiaTheme="minorHAnsi"/>
          <w:lang w:eastAsia="en-US"/>
        </w:rPr>
        <w:t xml:space="preserve">. </w:t>
      </w:r>
      <w:r w:rsidR="00DF7875">
        <w:rPr>
          <w:rFonts w:eastAsiaTheme="minorHAnsi"/>
          <w:lang w:eastAsia="en-US"/>
        </w:rPr>
        <w:t>T</w:t>
      </w:r>
      <w:r w:rsidR="0086754D" w:rsidRPr="00416C4A">
        <w:rPr>
          <w:rFonts w:eastAsiaTheme="minorHAnsi"/>
          <w:lang w:eastAsia="en-US"/>
        </w:rPr>
        <w:t xml:space="preserve">he </w:t>
      </w:r>
      <w:r w:rsidRPr="00416C4A">
        <w:rPr>
          <w:rFonts w:eastAsiaTheme="minorHAnsi"/>
          <w:lang w:eastAsia="en-US"/>
        </w:rPr>
        <w:t>social identity and glass ceiling theor</w:t>
      </w:r>
      <w:r w:rsidR="0086754D" w:rsidRPr="00416C4A">
        <w:rPr>
          <w:rFonts w:eastAsiaTheme="minorHAnsi"/>
          <w:lang w:eastAsia="en-US"/>
        </w:rPr>
        <w:t>ies</w:t>
      </w:r>
      <w:r w:rsidRPr="00416C4A">
        <w:rPr>
          <w:rFonts w:eastAsiaTheme="minorHAnsi"/>
          <w:lang w:eastAsia="en-US"/>
        </w:rPr>
        <w:t xml:space="preserve"> specify the obstacles, </w:t>
      </w:r>
      <w:r w:rsidR="00DF7875">
        <w:rPr>
          <w:rFonts w:eastAsiaTheme="minorHAnsi"/>
          <w:lang w:eastAsia="en-US"/>
        </w:rPr>
        <w:t xml:space="preserve">and </w:t>
      </w:r>
      <w:r w:rsidRPr="00416C4A">
        <w:rPr>
          <w:rFonts w:eastAsiaTheme="minorHAnsi"/>
          <w:lang w:eastAsia="en-US"/>
        </w:rPr>
        <w:t xml:space="preserve">the </w:t>
      </w:r>
      <w:r w:rsidR="0073298C" w:rsidRPr="00416C4A">
        <w:rPr>
          <w:rFonts w:eastAsiaTheme="minorHAnsi"/>
          <w:lang w:eastAsia="en-US"/>
        </w:rPr>
        <w:t>g</w:t>
      </w:r>
      <w:r w:rsidRPr="00416C4A">
        <w:rPr>
          <w:rFonts w:eastAsiaTheme="minorHAnsi"/>
          <w:lang w:eastAsia="en-US"/>
        </w:rPr>
        <w:t xml:space="preserve">lass </w:t>
      </w:r>
      <w:r w:rsidR="0073298C" w:rsidRPr="00416C4A">
        <w:rPr>
          <w:rFonts w:eastAsiaTheme="minorHAnsi"/>
          <w:lang w:eastAsia="en-US"/>
        </w:rPr>
        <w:t>c</w:t>
      </w:r>
      <w:r w:rsidRPr="00416C4A">
        <w:rPr>
          <w:rFonts w:eastAsiaTheme="minorHAnsi"/>
          <w:lang w:eastAsia="en-US"/>
        </w:rPr>
        <w:t xml:space="preserve">liff </w:t>
      </w:r>
      <w:r w:rsidR="0050559F" w:rsidRPr="00416C4A">
        <w:rPr>
          <w:rFonts w:eastAsiaTheme="minorHAnsi"/>
          <w:lang w:eastAsia="en-US"/>
        </w:rPr>
        <w:t>and tokenism theor</w:t>
      </w:r>
      <w:r w:rsidR="0086754D" w:rsidRPr="00416C4A">
        <w:rPr>
          <w:rFonts w:eastAsiaTheme="minorHAnsi"/>
          <w:lang w:eastAsia="en-US"/>
        </w:rPr>
        <w:t>ies</w:t>
      </w:r>
      <w:r w:rsidRPr="00416C4A">
        <w:rPr>
          <w:rFonts w:eastAsiaTheme="minorHAnsi"/>
          <w:lang w:eastAsia="en-US"/>
        </w:rPr>
        <w:t xml:space="preserve"> indicate that </w:t>
      </w:r>
      <w:r w:rsidR="00DF7875">
        <w:rPr>
          <w:rFonts w:eastAsiaTheme="minorHAnsi"/>
          <w:lang w:eastAsia="en-US"/>
        </w:rPr>
        <w:t>female directors face</w:t>
      </w:r>
      <w:r w:rsidRPr="00416C4A">
        <w:rPr>
          <w:rFonts w:eastAsiaTheme="minorHAnsi"/>
          <w:lang w:eastAsia="en-US"/>
        </w:rPr>
        <w:t xml:space="preserve"> challenge</w:t>
      </w:r>
      <w:r w:rsidR="00DF7875">
        <w:rPr>
          <w:rFonts w:eastAsiaTheme="minorHAnsi"/>
          <w:lang w:eastAsia="en-US"/>
        </w:rPr>
        <w:t>s</w:t>
      </w:r>
      <w:r w:rsidRPr="00416C4A">
        <w:rPr>
          <w:rFonts w:eastAsiaTheme="minorHAnsi"/>
          <w:lang w:eastAsia="en-US"/>
        </w:rPr>
        <w:t xml:space="preserve"> even </w:t>
      </w:r>
      <w:r w:rsidR="00DF7875">
        <w:rPr>
          <w:rFonts w:eastAsiaTheme="minorHAnsi"/>
          <w:lang w:eastAsia="en-US"/>
        </w:rPr>
        <w:t>after</w:t>
      </w:r>
      <w:r w:rsidRPr="00416C4A">
        <w:rPr>
          <w:rFonts w:eastAsiaTheme="minorHAnsi"/>
          <w:lang w:eastAsia="en-US"/>
        </w:rPr>
        <w:t xml:space="preserve"> they </w:t>
      </w:r>
      <w:r w:rsidR="00DF7875">
        <w:rPr>
          <w:rFonts w:eastAsiaTheme="minorHAnsi"/>
          <w:lang w:eastAsia="en-US"/>
        </w:rPr>
        <w:t xml:space="preserve">gain a place </w:t>
      </w:r>
      <w:r w:rsidRPr="00416C4A">
        <w:rPr>
          <w:rFonts w:eastAsiaTheme="minorHAnsi"/>
          <w:lang w:eastAsia="en-US"/>
        </w:rPr>
        <w:t>in the boardroom.</w:t>
      </w:r>
    </w:p>
    <w:p w14:paraId="2550CAF3" w14:textId="77777777" w:rsidR="00760A97" w:rsidRPr="00416C4A" w:rsidRDefault="00760A97" w:rsidP="009C4A1D">
      <w:pPr>
        <w:spacing w:line="480" w:lineRule="auto"/>
        <w:jc w:val="both"/>
        <w:rPr>
          <w:rFonts w:eastAsiaTheme="minorHAnsi"/>
          <w:lang w:eastAsia="en-US"/>
        </w:rPr>
      </w:pPr>
    </w:p>
    <w:p w14:paraId="7085B322" w14:textId="54596EE2" w:rsidR="009C4A1D" w:rsidRPr="00416C4A" w:rsidRDefault="00D96DFB" w:rsidP="00685452">
      <w:pPr>
        <w:pStyle w:val="Heading2"/>
        <w:spacing w:line="480" w:lineRule="auto"/>
        <w:rPr>
          <w:rFonts w:ascii="Times New Roman" w:eastAsia="Times New Roman" w:hAnsi="Times New Roman" w:cs="Times New Roman"/>
          <w:b/>
          <w:bCs/>
          <w:color w:val="auto"/>
          <w:sz w:val="24"/>
          <w:szCs w:val="24"/>
        </w:rPr>
      </w:pPr>
      <w:bookmarkStart w:id="8" w:name="_Toc48157844"/>
      <w:bookmarkStart w:id="9" w:name="_Toc49414745"/>
      <w:r w:rsidRPr="00416C4A">
        <w:rPr>
          <w:rFonts w:ascii="Times New Roman" w:eastAsia="Times New Roman" w:hAnsi="Times New Roman" w:cs="Times New Roman"/>
          <w:b/>
          <w:bCs/>
          <w:color w:val="auto"/>
          <w:sz w:val="24"/>
          <w:szCs w:val="24"/>
        </w:rPr>
        <w:t xml:space="preserve">Advantages of having </w:t>
      </w:r>
      <w:r w:rsidR="00DF7875">
        <w:rPr>
          <w:rFonts w:ascii="Times New Roman" w:eastAsia="Times New Roman" w:hAnsi="Times New Roman" w:cs="Times New Roman"/>
          <w:b/>
          <w:bCs/>
          <w:color w:val="auto"/>
          <w:sz w:val="24"/>
          <w:szCs w:val="24"/>
        </w:rPr>
        <w:t>female directors</w:t>
      </w:r>
      <w:r w:rsidR="00DF7875" w:rsidRPr="00416C4A">
        <w:rPr>
          <w:rFonts w:ascii="Times New Roman" w:eastAsia="Times New Roman" w:hAnsi="Times New Roman" w:cs="Times New Roman"/>
          <w:b/>
          <w:bCs/>
          <w:color w:val="auto"/>
          <w:sz w:val="24"/>
          <w:szCs w:val="24"/>
        </w:rPr>
        <w:t xml:space="preserve"> </w:t>
      </w:r>
      <w:r w:rsidRPr="00416C4A">
        <w:rPr>
          <w:rFonts w:ascii="Times New Roman" w:eastAsia="Times New Roman" w:hAnsi="Times New Roman" w:cs="Times New Roman"/>
          <w:b/>
          <w:bCs/>
          <w:color w:val="auto"/>
          <w:sz w:val="24"/>
          <w:szCs w:val="24"/>
        </w:rPr>
        <w:t xml:space="preserve">on </w:t>
      </w:r>
      <w:r w:rsidR="00DF7875">
        <w:rPr>
          <w:rFonts w:ascii="Times New Roman" w:eastAsia="Times New Roman" w:hAnsi="Times New Roman" w:cs="Times New Roman"/>
          <w:b/>
          <w:bCs/>
          <w:color w:val="auto"/>
          <w:sz w:val="24"/>
          <w:szCs w:val="24"/>
        </w:rPr>
        <w:t>the</w:t>
      </w:r>
      <w:r w:rsidRPr="00416C4A">
        <w:rPr>
          <w:rFonts w:ascii="Times New Roman" w:eastAsia="Times New Roman" w:hAnsi="Times New Roman" w:cs="Times New Roman"/>
          <w:b/>
          <w:bCs/>
          <w:color w:val="auto"/>
          <w:sz w:val="24"/>
          <w:szCs w:val="24"/>
        </w:rPr>
        <w:t xml:space="preserve"> board</w:t>
      </w:r>
      <w:bookmarkEnd w:id="8"/>
      <w:bookmarkEnd w:id="9"/>
    </w:p>
    <w:p w14:paraId="54361C08" w14:textId="34839B4B" w:rsidR="009C4A1D" w:rsidRPr="00416C4A" w:rsidRDefault="00D96DFB" w:rsidP="0028089F">
      <w:pPr>
        <w:spacing w:line="480" w:lineRule="auto"/>
        <w:jc w:val="both"/>
      </w:pPr>
      <w:r w:rsidRPr="00416C4A">
        <w:tab/>
        <w:t xml:space="preserve">Academic </w:t>
      </w:r>
      <w:r w:rsidR="0028089F">
        <w:t>research</w:t>
      </w:r>
      <w:r w:rsidR="0028089F" w:rsidRPr="00416C4A">
        <w:t xml:space="preserve"> </w:t>
      </w:r>
      <w:r w:rsidRPr="00416C4A">
        <w:t>suggests that there are multiple reasons for the increasing presence</w:t>
      </w:r>
      <w:r w:rsidR="0028089F">
        <w:t xml:space="preserve"> of females</w:t>
      </w:r>
      <w:r w:rsidRPr="00416C4A">
        <w:t xml:space="preserve"> on boards (Campbell and </w:t>
      </w:r>
      <w:proofErr w:type="spellStart"/>
      <w:r w:rsidRPr="00416C4A">
        <w:t>Mínguez</w:t>
      </w:r>
      <w:proofErr w:type="spellEnd"/>
      <w:r w:rsidRPr="00416C4A">
        <w:t>-Vera 2008; Davies 2011; Abdullah</w:t>
      </w:r>
      <w:r w:rsidR="008476B8" w:rsidRPr="00416C4A">
        <w:t>, Ismail, and Nachum</w:t>
      </w:r>
      <w:r w:rsidRPr="00416C4A">
        <w:t xml:space="preserve"> 2016). One is that female directors contribute values that differ from those of male directors (Adams and Ferreira 2009). Adams (2016) compares boardroom gender gaps and highlights that women are generally less achievement- and stimulation-oriented than men. </w:t>
      </w:r>
      <w:r w:rsidR="0028089F">
        <w:t>In addition</w:t>
      </w:r>
      <w:r w:rsidR="006468F3" w:rsidRPr="00416C4A">
        <w:t>,</w:t>
      </w:r>
      <w:r w:rsidRPr="00416C4A">
        <w:t xml:space="preserve"> </w:t>
      </w:r>
      <w:r w:rsidR="0028089F">
        <w:t>female directors</w:t>
      </w:r>
      <w:r w:rsidR="0028089F" w:rsidRPr="00416C4A">
        <w:t xml:space="preserve"> </w:t>
      </w:r>
      <w:r w:rsidRPr="00416C4A">
        <w:t xml:space="preserve">are more benevolent and security-oriented than male directors. These values influence the way </w:t>
      </w:r>
      <w:r w:rsidR="0028089F">
        <w:t>in which</w:t>
      </w:r>
      <w:r w:rsidRPr="00416C4A">
        <w:t xml:space="preserve"> board</w:t>
      </w:r>
      <w:r w:rsidR="0028089F">
        <w:t>s</w:t>
      </w:r>
      <w:r w:rsidRPr="00416C4A">
        <w:t xml:space="preserve"> </w:t>
      </w:r>
      <w:r w:rsidR="001E0C89" w:rsidRPr="00416C4A">
        <w:t>make</w:t>
      </w:r>
      <w:r w:rsidRPr="00416C4A">
        <w:t xml:space="preserve"> decisions, </w:t>
      </w:r>
      <w:r w:rsidR="009B368B" w:rsidRPr="00416C4A">
        <w:t>a</w:t>
      </w:r>
      <w:r w:rsidR="00D528CA" w:rsidRPr="00416C4A">
        <w:t>nd</w:t>
      </w:r>
      <w:r w:rsidR="009B368B" w:rsidRPr="00416C4A">
        <w:t xml:space="preserve"> </w:t>
      </w:r>
      <w:r w:rsidRPr="00416C4A">
        <w:t xml:space="preserve">greater diversification in values </w:t>
      </w:r>
      <w:r w:rsidR="009B368B" w:rsidRPr="00416C4A">
        <w:t>can</w:t>
      </w:r>
      <w:r w:rsidRPr="00416C4A">
        <w:t xml:space="preserve"> lead to better decision</w:t>
      </w:r>
      <w:r w:rsidR="0028089F">
        <w:t>-making</w:t>
      </w:r>
      <w:r w:rsidRPr="00416C4A">
        <w:t xml:space="preserve"> (Adams 2016; Ellwood and Garcia-</w:t>
      </w:r>
      <w:proofErr w:type="spellStart"/>
      <w:r w:rsidRPr="00416C4A">
        <w:t>Lacalle</w:t>
      </w:r>
      <w:proofErr w:type="spellEnd"/>
      <w:r w:rsidRPr="00416C4A">
        <w:t xml:space="preserve"> 2015). A second reason for increasing the number of female directors is that the</w:t>
      </w:r>
      <w:r w:rsidR="0028089F">
        <w:t>se directors</w:t>
      </w:r>
      <w:r w:rsidRPr="00416C4A">
        <w:t xml:space="preserve"> can bring diverse perspectives </w:t>
      </w:r>
      <w:r w:rsidR="002D1CAE" w:rsidRPr="00416C4A">
        <w:t>t</w:t>
      </w:r>
      <w:r w:rsidRPr="00416C4A">
        <w:t xml:space="preserve">o boards through more questioning and open discussion (Singh and </w:t>
      </w:r>
      <w:proofErr w:type="spellStart"/>
      <w:r w:rsidRPr="00416C4A">
        <w:t>Vinnicombe</w:t>
      </w:r>
      <w:proofErr w:type="spellEnd"/>
      <w:r w:rsidRPr="00416C4A">
        <w:t xml:space="preserve"> 2004).</w:t>
      </w:r>
      <w:r w:rsidR="000604AD" w:rsidRPr="00416C4A">
        <w:t xml:space="preserve"> This can lead </w:t>
      </w:r>
      <w:r w:rsidR="0028089F">
        <w:t xml:space="preserve">to the identification of </w:t>
      </w:r>
      <w:r w:rsidR="000604AD" w:rsidRPr="00416C4A">
        <w:t xml:space="preserve">a wider set of issues </w:t>
      </w:r>
      <w:r w:rsidR="002C3489" w:rsidRPr="00416C4A">
        <w:t xml:space="preserve">and </w:t>
      </w:r>
      <w:r w:rsidR="00DD6785" w:rsidRPr="00416C4A">
        <w:t>different solutions.</w:t>
      </w:r>
      <w:r w:rsidRPr="00416C4A">
        <w:t xml:space="preserve"> </w:t>
      </w:r>
      <w:r w:rsidR="0028089F">
        <w:t>D</w:t>
      </w:r>
      <w:r w:rsidR="002230CD" w:rsidRPr="00416C4A">
        <w:t xml:space="preserve">ifferent behaviors </w:t>
      </w:r>
      <w:r w:rsidR="00EA5CBD" w:rsidRPr="00416C4A">
        <w:t>can</w:t>
      </w:r>
      <w:r w:rsidR="002230CD" w:rsidRPr="00416C4A">
        <w:t xml:space="preserve"> </w:t>
      </w:r>
      <w:r w:rsidR="007B012C" w:rsidRPr="00416C4A">
        <w:t>affect firm</w:t>
      </w:r>
      <w:r w:rsidR="0083616D" w:rsidRPr="00416C4A">
        <w:t xml:space="preserve"> outcomes</w:t>
      </w:r>
      <w:r w:rsidR="0028089F">
        <w:t xml:space="preserve"> (</w:t>
      </w:r>
      <w:r w:rsidR="0083616D" w:rsidRPr="00416C4A">
        <w:t xml:space="preserve">Kirsch </w:t>
      </w:r>
      <w:r w:rsidR="000D2777" w:rsidRPr="00416C4A">
        <w:t>2018)</w:t>
      </w:r>
      <w:r w:rsidR="007B012C" w:rsidRPr="00416C4A">
        <w:t>.</w:t>
      </w:r>
      <w:r w:rsidR="000D2777" w:rsidRPr="00416C4A">
        <w:t xml:space="preserve"> </w:t>
      </w:r>
      <w:r w:rsidRPr="00416C4A">
        <w:t>Third</w:t>
      </w:r>
      <w:r w:rsidR="00D62DD9" w:rsidRPr="00416C4A">
        <w:t>ly</w:t>
      </w:r>
      <w:r w:rsidRPr="00416C4A">
        <w:t>, female directors can serve as role models</w:t>
      </w:r>
      <w:r w:rsidR="001D728F" w:rsidRPr="00416C4A">
        <w:t xml:space="preserve"> and ment</w:t>
      </w:r>
      <w:r w:rsidR="003B5804" w:rsidRPr="00416C4A">
        <w:t>ors</w:t>
      </w:r>
      <w:r w:rsidRPr="00416C4A">
        <w:t xml:space="preserve"> for other female </w:t>
      </w:r>
      <w:r w:rsidR="00EE5C51" w:rsidRPr="00416C4A">
        <w:t>workers</w:t>
      </w:r>
      <w:r w:rsidR="003B5804" w:rsidRPr="00416C4A">
        <w:t xml:space="preserve">, </w:t>
      </w:r>
      <w:r w:rsidRPr="00416C4A">
        <w:t>stimulat</w:t>
      </w:r>
      <w:r w:rsidR="003B5804" w:rsidRPr="00416C4A">
        <w:t xml:space="preserve">ing </w:t>
      </w:r>
      <w:r w:rsidRPr="00416C4A">
        <w:t>progress (</w:t>
      </w:r>
      <w:proofErr w:type="spellStart"/>
      <w:r w:rsidRPr="00416C4A">
        <w:t>Hafsi</w:t>
      </w:r>
      <w:proofErr w:type="spellEnd"/>
      <w:r w:rsidRPr="00416C4A">
        <w:t xml:space="preserve"> and Turgut </w:t>
      </w:r>
      <w:r w:rsidRPr="00416C4A">
        <w:lastRenderedPageBreak/>
        <w:t>2013)</w:t>
      </w:r>
      <w:r w:rsidR="00910127" w:rsidRPr="00416C4A">
        <w:t xml:space="preserve">. Finally, from a social point of view, gender diversity </w:t>
      </w:r>
      <w:r w:rsidR="0028089F">
        <w:t>o</w:t>
      </w:r>
      <w:r w:rsidR="00910127" w:rsidRPr="00416C4A">
        <w:t xml:space="preserve">n boards can </w:t>
      </w:r>
      <w:r w:rsidR="003B5804" w:rsidRPr="00416C4A">
        <w:t>help break</w:t>
      </w:r>
      <w:r w:rsidRPr="00416C4A">
        <w:t xml:space="preserve"> down stereotypes</w:t>
      </w:r>
      <w:r w:rsidR="00910127" w:rsidRPr="00416C4A">
        <w:t>,</w:t>
      </w:r>
      <w:r w:rsidR="003B5804" w:rsidRPr="00416C4A">
        <w:t xml:space="preserve"> </w:t>
      </w:r>
      <w:r w:rsidR="00A36EEF" w:rsidRPr="00416C4A">
        <w:t>encourag</w:t>
      </w:r>
      <w:r w:rsidR="00910127" w:rsidRPr="00416C4A">
        <w:t>e</w:t>
      </w:r>
      <w:r w:rsidR="00A36EEF" w:rsidRPr="00416C4A">
        <w:t xml:space="preserve"> girls to pursue careers in business</w:t>
      </w:r>
      <w:r w:rsidR="00B5268F" w:rsidRPr="00416C4A">
        <w:t xml:space="preserve">, and help </w:t>
      </w:r>
      <w:r w:rsidR="0028089F">
        <w:t xml:space="preserve">to </w:t>
      </w:r>
      <w:r w:rsidR="00B5268F" w:rsidRPr="00416C4A">
        <w:t>reduce the wage gap between genders</w:t>
      </w:r>
      <w:r w:rsidR="00A36EEF" w:rsidRPr="00416C4A">
        <w:t xml:space="preserve"> (Deloitte 2019)</w:t>
      </w:r>
      <w:r w:rsidRPr="00416C4A">
        <w:t>.</w:t>
      </w:r>
    </w:p>
    <w:p w14:paraId="63BA65F3" w14:textId="1685FAF2" w:rsidR="008C1792" w:rsidRPr="00416C4A" w:rsidRDefault="00D96DFB" w:rsidP="0043629C">
      <w:pPr>
        <w:pStyle w:val="NormalWeb"/>
        <w:tabs>
          <w:tab w:val="left" w:pos="709"/>
        </w:tabs>
        <w:spacing w:before="0" w:beforeAutospacing="0" w:after="0" w:afterAutospacing="0" w:line="480" w:lineRule="auto"/>
        <w:jc w:val="both"/>
      </w:pPr>
      <w:r w:rsidRPr="00416C4A">
        <w:tab/>
      </w:r>
      <w:r w:rsidR="008921F1" w:rsidRPr="00416C4A">
        <w:t xml:space="preserve">Firms </w:t>
      </w:r>
      <w:r w:rsidR="002A4920" w:rsidRPr="00416C4A">
        <w:t xml:space="preserve">with weak </w:t>
      </w:r>
      <w:r w:rsidR="00BE02CD" w:rsidRPr="00416C4A">
        <w:t>shareholder rights</w:t>
      </w:r>
      <w:r w:rsidR="008921F1" w:rsidRPr="00416C4A">
        <w:t xml:space="preserve"> can also benefit from </w:t>
      </w:r>
      <w:r w:rsidR="002A4920" w:rsidRPr="00416C4A">
        <w:t>female directors</w:t>
      </w:r>
      <w:r w:rsidR="0028089F">
        <w:t>hips</w:t>
      </w:r>
      <w:r w:rsidR="002A4920" w:rsidRPr="00416C4A">
        <w:t xml:space="preserve"> (</w:t>
      </w:r>
      <w:r w:rsidR="009C4A1D" w:rsidRPr="00416C4A">
        <w:t>Adams and Ferreira 2009). Th</w:t>
      </w:r>
      <w:r w:rsidR="00C20F36" w:rsidRPr="00416C4A">
        <w:t xml:space="preserve">ese benefits can be attributed to the fact that </w:t>
      </w:r>
      <w:r w:rsidR="0028089F">
        <w:t>female directors</w:t>
      </w:r>
      <w:r w:rsidR="0028089F" w:rsidRPr="00416C4A">
        <w:t xml:space="preserve"> </w:t>
      </w:r>
      <w:r w:rsidR="009C4A1D" w:rsidRPr="00416C4A">
        <w:t xml:space="preserve">are more resistant to takeovers and have </w:t>
      </w:r>
      <w:r w:rsidR="0028089F">
        <w:t>higher</w:t>
      </w:r>
      <w:r w:rsidR="0028089F" w:rsidRPr="00416C4A">
        <w:t xml:space="preserve"> </w:t>
      </w:r>
      <w:r w:rsidR="009C4A1D" w:rsidRPr="00416C4A">
        <w:t xml:space="preserve">board meeting attendance </w:t>
      </w:r>
      <w:r w:rsidR="0028089F">
        <w:t xml:space="preserve">rates </w:t>
      </w:r>
      <w:r w:rsidR="009C4A1D" w:rsidRPr="00416C4A">
        <w:t xml:space="preserve">than </w:t>
      </w:r>
      <w:r w:rsidR="0028089F">
        <w:t>male directors</w:t>
      </w:r>
      <w:r w:rsidR="0028089F" w:rsidRPr="00416C4A">
        <w:t xml:space="preserve"> </w:t>
      </w:r>
      <w:r w:rsidR="009C4A1D" w:rsidRPr="00416C4A">
        <w:t xml:space="preserve">(Singh and </w:t>
      </w:r>
      <w:proofErr w:type="spellStart"/>
      <w:r w:rsidR="009C4A1D" w:rsidRPr="00416C4A">
        <w:t>Vinnicombe</w:t>
      </w:r>
      <w:proofErr w:type="spellEnd"/>
      <w:r w:rsidR="009C4A1D" w:rsidRPr="00416C4A">
        <w:t xml:space="preserve"> 2006)</w:t>
      </w:r>
      <w:r w:rsidR="0028089F">
        <w:t>. Th</w:t>
      </w:r>
      <w:r w:rsidR="002C2A02">
        <w:t>is</w:t>
      </w:r>
      <w:r w:rsidR="0028089F">
        <w:t xml:space="preserve"> can also occur</w:t>
      </w:r>
      <w:r w:rsidR="00C20F36" w:rsidRPr="00416C4A">
        <w:t xml:space="preserve"> because </w:t>
      </w:r>
      <w:r w:rsidR="0028089F">
        <w:t>female directors</w:t>
      </w:r>
      <w:r w:rsidR="0028089F" w:rsidRPr="00416C4A">
        <w:t xml:space="preserve"> </w:t>
      </w:r>
      <w:r w:rsidR="009C4A1D" w:rsidRPr="00416C4A">
        <w:t xml:space="preserve">are more likely </w:t>
      </w:r>
      <w:r w:rsidR="0028089F">
        <w:t xml:space="preserve">than male directors </w:t>
      </w:r>
      <w:r w:rsidR="009C4A1D" w:rsidRPr="00416C4A">
        <w:t xml:space="preserve">to be part of monitoring-related committees, </w:t>
      </w:r>
      <w:r w:rsidR="0028089F" w:rsidRPr="00416C4A">
        <w:t>intensify</w:t>
      </w:r>
      <w:r w:rsidR="0028089F">
        <w:t>ing</w:t>
      </w:r>
      <w:r w:rsidR="009C4A1D" w:rsidRPr="00416C4A">
        <w:t xml:space="preserve"> monitoring efforts. Finally, having </w:t>
      </w:r>
      <w:r w:rsidR="0028089F">
        <w:t>females</w:t>
      </w:r>
      <w:r w:rsidR="0028089F" w:rsidRPr="00416C4A">
        <w:t xml:space="preserve"> </w:t>
      </w:r>
      <w:r w:rsidR="009C4A1D" w:rsidRPr="00416C4A">
        <w:t>on the board of directors also increases community representation</w:t>
      </w:r>
      <w:r w:rsidR="0028089F">
        <w:t xml:space="preserve"> because</w:t>
      </w:r>
      <w:r w:rsidR="009C4A1D" w:rsidRPr="00416C4A">
        <w:t xml:space="preserve"> directors are representative of stakeholders (Ellwood and Garcia-</w:t>
      </w:r>
      <w:proofErr w:type="spellStart"/>
      <w:r w:rsidR="009C4A1D" w:rsidRPr="00416C4A">
        <w:t>Lacalle</w:t>
      </w:r>
      <w:proofErr w:type="spellEnd"/>
      <w:r w:rsidR="009C4A1D" w:rsidRPr="00416C4A">
        <w:t xml:space="preserve"> 2015), </w:t>
      </w:r>
      <w:r w:rsidR="0028089F">
        <w:t xml:space="preserve">which </w:t>
      </w:r>
      <w:r w:rsidR="009C4A1D" w:rsidRPr="00416C4A">
        <w:t xml:space="preserve">can </w:t>
      </w:r>
      <w:r w:rsidR="0028089F">
        <w:t>improve</w:t>
      </w:r>
      <w:r w:rsidR="009C4A1D" w:rsidRPr="00416C4A">
        <w:t xml:space="preserve"> the prospects of firms </w:t>
      </w:r>
      <w:r w:rsidR="0028089F">
        <w:t xml:space="preserve">that </w:t>
      </w:r>
      <w:r w:rsidR="009C4A1D" w:rsidRPr="00416C4A">
        <w:t xml:space="preserve">seek funding (Singh and </w:t>
      </w:r>
      <w:proofErr w:type="spellStart"/>
      <w:r w:rsidR="009C4A1D" w:rsidRPr="00416C4A">
        <w:t>Vinnicombe</w:t>
      </w:r>
      <w:proofErr w:type="spellEnd"/>
      <w:r w:rsidR="009C4A1D" w:rsidRPr="00416C4A">
        <w:t xml:space="preserve"> 2004). </w:t>
      </w:r>
    </w:p>
    <w:p w14:paraId="3EF358A0" w14:textId="77777777" w:rsidR="00026770" w:rsidRPr="00416C4A" w:rsidRDefault="00026770" w:rsidP="0043629C">
      <w:pPr>
        <w:pStyle w:val="NormalWeb"/>
        <w:tabs>
          <w:tab w:val="left" w:pos="709"/>
        </w:tabs>
        <w:spacing w:before="0" w:beforeAutospacing="0" w:after="0" w:afterAutospacing="0" w:line="480" w:lineRule="auto"/>
        <w:jc w:val="both"/>
      </w:pPr>
    </w:p>
    <w:p w14:paraId="16FCCBBF" w14:textId="662CEE1E" w:rsidR="00026770" w:rsidRPr="00416C4A" w:rsidRDefault="00D96DFB" w:rsidP="00E76B9C">
      <w:pPr>
        <w:pStyle w:val="Heading2"/>
        <w:spacing w:line="480" w:lineRule="auto"/>
        <w:rPr>
          <w:rFonts w:ascii="Times New Roman" w:eastAsia="Times New Roman" w:hAnsi="Times New Roman" w:cs="Times New Roman"/>
          <w:b/>
          <w:bCs/>
          <w:color w:val="auto"/>
          <w:sz w:val="24"/>
          <w:szCs w:val="24"/>
        </w:rPr>
      </w:pPr>
      <w:r w:rsidRPr="00416C4A">
        <w:rPr>
          <w:rFonts w:ascii="Times New Roman" w:eastAsia="Times New Roman" w:hAnsi="Times New Roman" w:cs="Times New Roman"/>
          <w:b/>
          <w:bCs/>
          <w:color w:val="auto"/>
          <w:sz w:val="24"/>
          <w:szCs w:val="24"/>
        </w:rPr>
        <w:t xml:space="preserve">Gender diversity </w:t>
      </w:r>
      <w:r w:rsidR="0028089F">
        <w:rPr>
          <w:rFonts w:ascii="Times New Roman" w:eastAsia="Times New Roman" w:hAnsi="Times New Roman" w:cs="Times New Roman"/>
          <w:b/>
          <w:bCs/>
          <w:color w:val="auto"/>
          <w:sz w:val="24"/>
          <w:szCs w:val="24"/>
        </w:rPr>
        <w:t>o</w:t>
      </w:r>
      <w:r w:rsidRPr="00416C4A">
        <w:rPr>
          <w:rFonts w:ascii="Times New Roman" w:eastAsia="Times New Roman" w:hAnsi="Times New Roman" w:cs="Times New Roman"/>
          <w:b/>
          <w:bCs/>
          <w:color w:val="auto"/>
          <w:sz w:val="24"/>
          <w:szCs w:val="24"/>
        </w:rPr>
        <w:t>n boards</w:t>
      </w:r>
    </w:p>
    <w:p w14:paraId="46DDD39F" w14:textId="1B123BE9" w:rsidR="001A561B" w:rsidRPr="00416C4A" w:rsidRDefault="00D96DFB" w:rsidP="00E2290F">
      <w:pPr>
        <w:spacing w:line="480" w:lineRule="auto"/>
        <w:ind w:firstLine="720"/>
        <w:jc w:val="both"/>
      </w:pPr>
      <w:r w:rsidRPr="00416C4A">
        <w:t xml:space="preserve">The literature discussed above </w:t>
      </w:r>
      <w:r w:rsidR="000E5029">
        <w:t xml:space="preserve">illustrates </w:t>
      </w:r>
      <w:r w:rsidR="00E2290F" w:rsidRPr="00416C4A">
        <w:t xml:space="preserve">several advantages of </w:t>
      </w:r>
      <w:r w:rsidR="000E5029">
        <w:t xml:space="preserve">board </w:t>
      </w:r>
      <w:r w:rsidR="00E2290F" w:rsidRPr="00416C4A">
        <w:t xml:space="preserve">gender diversity </w:t>
      </w:r>
      <w:r w:rsidR="000E5029">
        <w:t>and</w:t>
      </w:r>
      <w:r w:rsidR="00E2290F" w:rsidRPr="00416C4A">
        <w:t xml:space="preserve"> that the recognition of these advantages is </w:t>
      </w:r>
      <w:r w:rsidR="00253FF9" w:rsidRPr="00416C4A">
        <w:t>relatively recent. Th</w:t>
      </w:r>
      <w:r w:rsidR="007A33DF" w:rsidRPr="00416C4A">
        <w:t xml:space="preserve">us, it is reasonable to expect that </w:t>
      </w:r>
      <w:r w:rsidR="00CF3975" w:rsidRPr="00416C4A">
        <w:t xml:space="preserve">recruitment </w:t>
      </w:r>
      <w:r w:rsidR="000E5029">
        <w:t xml:space="preserve">(or nominating) </w:t>
      </w:r>
      <w:r w:rsidR="00CF3975" w:rsidRPr="00416C4A">
        <w:t xml:space="preserve">committees in the </w:t>
      </w:r>
      <w:r w:rsidR="007A33DF" w:rsidRPr="00416C4A">
        <w:t>UK are now aware of the</w:t>
      </w:r>
      <w:r w:rsidR="009745F4" w:rsidRPr="00416C4A">
        <w:t>se</w:t>
      </w:r>
      <w:r w:rsidR="007A33DF" w:rsidRPr="00416C4A">
        <w:t xml:space="preserve"> advanta</w:t>
      </w:r>
      <w:r w:rsidR="009745F4" w:rsidRPr="00416C4A">
        <w:t>ges</w:t>
      </w:r>
      <w:r w:rsidR="009B758E" w:rsidRPr="00416C4A">
        <w:t>, leading to a</w:t>
      </w:r>
      <w:r w:rsidR="001726BF" w:rsidRPr="00416C4A">
        <w:t xml:space="preserve"> recent</w:t>
      </w:r>
      <w:r w:rsidR="009B758E" w:rsidRPr="00416C4A">
        <w:t xml:space="preserve"> increase in board gender diversity</w:t>
      </w:r>
      <w:r w:rsidR="009745F4" w:rsidRPr="00416C4A">
        <w:t xml:space="preserve">. </w:t>
      </w:r>
    </w:p>
    <w:p w14:paraId="52EA0FD8" w14:textId="2A25FA9F" w:rsidR="009C4A1D" w:rsidRPr="00416C4A" w:rsidRDefault="00D96DFB" w:rsidP="007D728B">
      <w:pPr>
        <w:spacing w:line="480" w:lineRule="auto"/>
        <w:ind w:firstLine="720"/>
        <w:jc w:val="both"/>
      </w:pPr>
      <w:r w:rsidRPr="00416C4A">
        <w:t>G</w:t>
      </w:r>
      <w:r w:rsidR="00171D0E" w:rsidRPr="00416C4A">
        <w:t xml:space="preserve">iven that the first </w:t>
      </w:r>
      <w:r w:rsidRPr="00416C4A">
        <w:t xml:space="preserve">Lord Davies </w:t>
      </w:r>
      <w:r w:rsidR="000E5029">
        <w:t>R</w:t>
      </w:r>
      <w:r w:rsidR="00306E71" w:rsidRPr="00416C4A">
        <w:t xml:space="preserve">eport </w:t>
      </w:r>
      <w:r w:rsidRPr="00416C4A">
        <w:t xml:space="preserve">challenged </w:t>
      </w:r>
      <w:r w:rsidR="000E5029">
        <w:t xml:space="preserve">the </w:t>
      </w:r>
      <w:r w:rsidRPr="00416C4A">
        <w:t xml:space="preserve">FTSE 100 to reach a minimum of 25 percent </w:t>
      </w:r>
      <w:r w:rsidR="000E5029">
        <w:t>female</w:t>
      </w:r>
      <w:r w:rsidR="000E5029" w:rsidRPr="00416C4A">
        <w:t xml:space="preserve"> </w:t>
      </w:r>
      <w:r w:rsidRPr="00416C4A">
        <w:t>representation on boards by 2015</w:t>
      </w:r>
      <w:r w:rsidR="00AE4F04" w:rsidRPr="00416C4A">
        <w:t xml:space="preserve"> and this target was reached, </w:t>
      </w:r>
      <w:r w:rsidRPr="00416C4A">
        <w:t>it is now an empirical question whether the</w:t>
      </w:r>
      <w:r w:rsidR="00AA2F35" w:rsidRPr="00416C4A">
        <w:t xml:space="preserve"> </w:t>
      </w:r>
      <w:r w:rsidR="000E5029">
        <w:t xml:space="preserve">expanded </w:t>
      </w:r>
      <w:r w:rsidR="00604525" w:rsidRPr="00416C4A">
        <w:t xml:space="preserve">focus </w:t>
      </w:r>
      <w:r w:rsidR="000E5029">
        <w:t>to</w:t>
      </w:r>
      <w:r w:rsidR="00604525" w:rsidRPr="00416C4A">
        <w:t xml:space="preserve"> </w:t>
      </w:r>
      <w:r w:rsidR="00306E71" w:rsidRPr="00416C4A">
        <w:t xml:space="preserve">the </w:t>
      </w:r>
      <w:r w:rsidR="00AA2F35" w:rsidRPr="00416C4A">
        <w:t>FTSE 350</w:t>
      </w:r>
      <w:r w:rsidR="00306E71" w:rsidRPr="00416C4A">
        <w:t xml:space="preserve"> firms</w:t>
      </w:r>
      <w:r w:rsidR="00156180" w:rsidRPr="00416C4A">
        <w:t xml:space="preserve">, together with a new voluntary target, is associated with a significant </w:t>
      </w:r>
      <w:r w:rsidR="00652B02" w:rsidRPr="00416C4A">
        <w:t xml:space="preserve">increase </w:t>
      </w:r>
      <w:r w:rsidR="00156180" w:rsidRPr="00416C4A">
        <w:t xml:space="preserve">in </w:t>
      </w:r>
      <w:r w:rsidR="00652B02" w:rsidRPr="00416C4A">
        <w:t xml:space="preserve">the rate at which </w:t>
      </w:r>
      <w:r w:rsidR="006820E8" w:rsidRPr="00416C4A">
        <w:t xml:space="preserve">gender diversity </w:t>
      </w:r>
      <w:r w:rsidR="000E5029">
        <w:t xml:space="preserve">has </w:t>
      </w:r>
      <w:r w:rsidR="006F7367" w:rsidRPr="00416C4A">
        <w:t>grow</w:t>
      </w:r>
      <w:r w:rsidR="000E5029">
        <w:t>n</w:t>
      </w:r>
      <w:r w:rsidR="006F7367" w:rsidRPr="00416C4A">
        <w:t xml:space="preserve"> in </w:t>
      </w:r>
      <w:r w:rsidR="00156180" w:rsidRPr="00416C4A">
        <w:t>UK</w:t>
      </w:r>
      <w:r w:rsidR="006F7367" w:rsidRPr="00416C4A">
        <w:t xml:space="preserve"> boards</w:t>
      </w:r>
      <w:r w:rsidR="00861D06" w:rsidRPr="00416C4A">
        <w:t>.</w:t>
      </w:r>
      <w:r w:rsidR="00737B80" w:rsidRPr="00416C4A">
        <w:t xml:space="preserve"> </w:t>
      </w:r>
      <w:r w:rsidR="00F1534C" w:rsidRPr="00416C4A">
        <w:t>We ex</w:t>
      </w:r>
      <w:r w:rsidR="00F63827" w:rsidRPr="00416C4A">
        <w:t xml:space="preserve">amine </w:t>
      </w:r>
      <w:r w:rsidR="00A028F5" w:rsidRPr="00416C4A">
        <w:t xml:space="preserve">whether such </w:t>
      </w:r>
      <w:r w:rsidR="00F1534C" w:rsidRPr="00416C4A">
        <w:t>an increase in the rate at which gender diversity grows</w:t>
      </w:r>
      <w:r w:rsidR="00912D00" w:rsidRPr="00416C4A">
        <w:t xml:space="preserve"> has occurred in recent years</w:t>
      </w:r>
      <w:r w:rsidR="00F1534C" w:rsidRPr="00416C4A">
        <w:t>.</w:t>
      </w:r>
      <w:r w:rsidR="00A0244C" w:rsidRPr="00416C4A">
        <w:t xml:space="preserve"> </w:t>
      </w:r>
    </w:p>
    <w:p w14:paraId="786EA95B" w14:textId="77777777" w:rsidR="009C4A1D" w:rsidRPr="00416C4A" w:rsidRDefault="009C4A1D" w:rsidP="009C4A1D">
      <w:pPr>
        <w:spacing w:line="480" w:lineRule="auto"/>
        <w:ind w:left="993" w:hanging="284"/>
        <w:jc w:val="both"/>
      </w:pPr>
    </w:p>
    <w:p w14:paraId="7FDCF066" w14:textId="3CA16A37" w:rsidR="0011744C" w:rsidRPr="00416C4A" w:rsidRDefault="00D96DFB" w:rsidP="00931DC4">
      <w:pPr>
        <w:pStyle w:val="Heading2"/>
        <w:spacing w:line="480" w:lineRule="auto"/>
        <w:rPr>
          <w:rFonts w:ascii="Times New Roman" w:eastAsia="Times New Roman" w:hAnsi="Times New Roman" w:cs="Times New Roman"/>
          <w:b/>
          <w:bCs/>
          <w:color w:val="auto"/>
          <w:sz w:val="24"/>
          <w:szCs w:val="24"/>
        </w:rPr>
      </w:pPr>
      <w:r w:rsidRPr="00416C4A">
        <w:rPr>
          <w:rFonts w:ascii="Times New Roman" w:eastAsia="Times New Roman" w:hAnsi="Times New Roman" w:cs="Times New Roman"/>
          <w:b/>
          <w:bCs/>
          <w:color w:val="auto"/>
          <w:sz w:val="24"/>
          <w:szCs w:val="24"/>
        </w:rPr>
        <w:lastRenderedPageBreak/>
        <w:t xml:space="preserve">Gender diversity </w:t>
      </w:r>
      <w:r w:rsidR="0028089F">
        <w:rPr>
          <w:rFonts w:ascii="Times New Roman" w:eastAsia="Times New Roman" w:hAnsi="Times New Roman" w:cs="Times New Roman"/>
          <w:b/>
          <w:bCs/>
          <w:color w:val="auto"/>
          <w:sz w:val="24"/>
          <w:szCs w:val="24"/>
        </w:rPr>
        <w:t>o</w:t>
      </w:r>
      <w:r w:rsidRPr="00416C4A">
        <w:rPr>
          <w:rFonts w:ascii="Times New Roman" w:eastAsia="Times New Roman" w:hAnsi="Times New Roman" w:cs="Times New Roman"/>
          <w:b/>
          <w:bCs/>
          <w:color w:val="auto"/>
          <w:sz w:val="24"/>
          <w:szCs w:val="24"/>
        </w:rPr>
        <w:t>n boards</w:t>
      </w:r>
      <w:r w:rsidR="0028089F">
        <w:rPr>
          <w:rFonts w:ascii="Times New Roman" w:eastAsia="Times New Roman" w:hAnsi="Times New Roman" w:cs="Times New Roman"/>
          <w:b/>
          <w:bCs/>
          <w:color w:val="auto"/>
          <w:sz w:val="24"/>
          <w:szCs w:val="24"/>
        </w:rPr>
        <w:t xml:space="preserve"> and</w:t>
      </w:r>
      <w:r w:rsidRPr="00416C4A">
        <w:rPr>
          <w:rFonts w:ascii="Times New Roman" w:eastAsia="Times New Roman" w:hAnsi="Times New Roman" w:cs="Times New Roman"/>
          <w:b/>
          <w:bCs/>
          <w:color w:val="auto"/>
          <w:sz w:val="24"/>
          <w:szCs w:val="24"/>
        </w:rPr>
        <w:t xml:space="preserve"> firm </w:t>
      </w:r>
      <w:r w:rsidR="003409D8" w:rsidRPr="00416C4A">
        <w:rPr>
          <w:rFonts w:ascii="Times New Roman" w:eastAsia="Times New Roman" w:hAnsi="Times New Roman" w:cs="Times New Roman"/>
          <w:b/>
          <w:bCs/>
          <w:color w:val="auto"/>
          <w:sz w:val="24"/>
          <w:szCs w:val="24"/>
        </w:rPr>
        <w:t>performance</w:t>
      </w:r>
      <w:r w:rsidRPr="00416C4A">
        <w:rPr>
          <w:rFonts w:ascii="Times New Roman" w:eastAsia="Times New Roman" w:hAnsi="Times New Roman" w:cs="Times New Roman"/>
          <w:b/>
          <w:bCs/>
          <w:color w:val="auto"/>
          <w:sz w:val="24"/>
          <w:szCs w:val="24"/>
        </w:rPr>
        <w:t xml:space="preserve"> and value</w:t>
      </w:r>
    </w:p>
    <w:p w14:paraId="26455FA5" w14:textId="04EC7B75" w:rsidR="004D7405" w:rsidRPr="00416C4A" w:rsidRDefault="00D96DFB" w:rsidP="0035554A">
      <w:pPr>
        <w:pStyle w:val="NormalWeb"/>
        <w:spacing w:before="0" w:beforeAutospacing="0" w:after="0" w:afterAutospacing="0" w:line="480" w:lineRule="auto"/>
        <w:ind w:firstLine="709"/>
        <w:jc w:val="both"/>
      </w:pPr>
      <w:r w:rsidRPr="00416C4A">
        <w:t xml:space="preserve">Despite the advantages </w:t>
      </w:r>
      <w:r w:rsidR="009A6DCA" w:rsidRPr="00416C4A">
        <w:t xml:space="preserve">of </w:t>
      </w:r>
      <w:r w:rsidR="007F572A" w:rsidRPr="00416C4A">
        <w:t>board</w:t>
      </w:r>
      <w:r w:rsidR="00BF6450" w:rsidRPr="00416C4A">
        <w:t xml:space="preserve"> </w:t>
      </w:r>
      <w:r w:rsidR="009A6DCA" w:rsidRPr="00416C4A">
        <w:t>gender diversity</w:t>
      </w:r>
      <w:r w:rsidRPr="00416C4A">
        <w:t>, there is still a lack of female representation. This underutilization of their skills may be a missed opportunity at the</w:t>
      </w:r>
      <w:r w:rsidR="00434F91" w:rsidRPr="00416C4A">
        <w:t xml:space="preserve"> </w:t>
      </w:r>
      <w:r w:rsidRPr="00416C4A">
        <w:t>corporate level, which translates into a loss of potential economic growth (European Commission 2012). B</w:t>
      </w:r>
      <w:r w:rsidR="003D4512" w:rsidRPr="00416C4A">
        <w:t xml:space="preserve">oth </w:t>
      </w:r>
      <w:r w:rsidRPr="00416C4A">
        <w:t xml:space="preserve">firm performance </w:t>
      </w:r>
      <w:r w:rsidR="00434F91" w:rsidRPr="00416C4A">
        <w:t xml:space="preserve">and value </w:t>
      </w:r>
      <w:r w:rsidRPr="00416C4A">
        <w:t xml:space="preserve">may </w:t>
      </w:r>
      <w:r w:rsidR="009A6B8E" w:rsidRPr="00416C4A">
        <w:t xml:space="preserve">be enhanced by an increase in </w:t>
      </w:r>
      <w:r w:rsidRPr="00416C4A">
        <w:t xml:space="preserve">board gender diversity. </w:t>
      </w:r>
      <w:r w:rsidR="00E151C4" w:rsidRPr="00416C4A">
        <w:t xml:space="preserve">As Kirsch (2018) summarises, there are </w:t>
      </w:r>
      <w:r w:rsidR="00D72FBB" w:rsidRPr="00416C4A">
        <w:t xml:space="preserve">two non-exclusive </w:t>
      </w:r>
      <w:r w:rsidR="00A92B57" w:rsidRPr="00416C4A">
        <w:t>causal paths</w:t>
      </w:r>
      <w:r w:rsidR="003C5502" w:rsidRPr="00416C4A">
        <w:t xml:space="preserve"> </w:t>
      </w:r>
      <w:r w:rsidR="000E5029">
        <w:t xml:space="preserve">that </w:t>
      </w:r>
      <w:r w:rsidR="00A92B57" w:rsidRPr="00416C4A">
        <w:t xml:space="preserve">explain how </w:t>
      </w:r>
      <w:r w:rsidR="000E5029">
        <w:t xml:space="preserve">board </w:t>
      </w:r>
      <w:r w:rsidR="00A92B57" w:rsidRPr="00416C4A">
        <w:t>gender diversity can affect firm performance</w:t>
      </w:r>
      <w:r w:rsidR="00CF5226" w:rsidRPr="00416C4A">
        <w:t xml:space="preserve"> and value</w:t>
      </w:r>
      <w:r w:rsidR="00A92B57" w:rsidRPr="00416C4A">
        <w:t>: (</w:t>
      </w:r>
      <w:proofErr w:type="spellStart"/>
      <w:r w:rsidR="00A92B57" w:rsidRPr="00416C4A">
        <w:t>i</w:t>
      </w:r>
      <w:proofErr w:type="spellEnd"/>
      <w:r w:rsidR="00A92B57" w:rsidRPr="00416C4A">
        <w:t xml:space="preserve">) </w:t>
      </w:r>
      <w:r w:rsidR="00005884" w:rsidRPr="00416C4A">
        <w:t>gender diversity affects the board as a group</w:t>
      </w:r>
      <w:r w:rsidR="007D59C4" w:rsidRPr="00416C4A">
        <w:t xml:space="preserve">, </w:t>
      </w:r>
      <w:r w:rsidR="000E5029">
        <w:t xml:space="preserve">which is </w:t>
      </w:r>
      <w:r w:rsidR="007D59C4" w:rsidRPr="00416C4A">
        <w:t>supported by agency theory and resource dependency theory</w:t>
      </w:r>
      <w:r w:rsidR="00005884" w:rsidRPr="00416C4A">
        <w:t xml:space="preserve">, or (ii) gender diversity is </w:t>
      </w:r>
      <w:r w:rsidR="000E5029">
        <w:t>viewed</w:t>
      </w:r>
      <w:r w:rsidR="000E5029" w:rsidRPr="00416C4A">
        <w:t xml:space="preserve"> </w:t>
      </w:r>
      <w:r w:rsidR="00005884" w:rsidRPr="00416C4A">
        <w:t xml:space="preserve">as a signal </w:t>
      </w:r>
      <w:r w:rsidR="00632F01" w:rsidRPr="00416C4A">
        <w:t xml:space="preserve">of legitimacy </w:t>
      </w:r>
      <w:r w:rsidR="00005884" w:rsidRPr="00416C4A">
        <w:t>by agents outside the firm</w:t>
      </w:r>
      <w:r w:rsidR="007D59C4" w:rsidRPr="00416C4A">
        <w:t xml:space="preserve">, </w:t>
      </w:r>
      <w:r w:rsidR="000E5029">
        <w:t xml:space="preserve">which is </w:t>
      </w:r>
      <w:r w:rsidR="007D59C4" w:rsidRPr="00416C4A">
        <w:t>supported by</w:t>
      </w:r>
      <w:r w:rsidR="00A81487" w:rsidRPr="00416C4A">
        <w:t xml:space="preserve"> signalling theory</w:t>
      </w:r>
      <w:r w:rsidR="00005884" w:rsidRPr="00416C4A">
        <w:t>.</w:t>
      </w:r>
    </w:p>
    <w:p w14:paraId="7C6BF3F0" w14:textId="2F875AA1" w:rsidR="002469E7" w:rsidRPr="00416C4A" w:rsidRDefault="000E5029" w:rsidP="0035554A">
      <w:pPr>
        <w:pStyle w:val="NormalWeb"/>
        <w:spacing w:before="0" w:beforeAutospacing="0" w:after="0" w:afterAutospacing="0" w:line="480" w:lineRule="auto"/>
        <w:ind w:firstLine="709"/>
        <w:jc w:val="both"/>
      </w:pPr>
      <w:r>
        <w:t>T</w:t>
      </w:r>
      <w:r w:rsidR="00D96DFB" w:rsidRPr="00416C4A">
        <w:t xml:space="preserve">he idea that </w:t>
      </w:r>
      <w:r w:rsidR="00BE75FB" w:rsidRPr="00416C4A">
        <w:t xml:space="preserve">board </w:t>
      </w:r>
      <w:r w:rsidR="007F26FD" w:rsidRPr="00416C4A">
        <w:t xml:space="preserve">gender </w:t>
      </w:r>
      <w:r w:rsidR="00BE75FB" w:rsidRPr="00416C4A">
        <w:t>diversity</w:t>
      </w:r>
      <w:r w:rsidR="007F26FD" w:rsidRPr="00416C4A">
        <w:t xml:space="preserve"> leads to </w:t>
      </w:r>
      <w:r w:rsidR="00E87AB4" w:rsidRPr="00416C4A">
        <w:t>financial</w:t>
      </w:r>
      <w:r w:rsidR="00D96DFB" w:rsidRPr="00416C4A">
        <w:t xml:space="preserve"> benefits is not unanimously supported</w:t>
      </w:r>
      <w:r w:rsidR="00616E13" w:rsidRPr="00416C4A">
        <w:t xml:space="preserve">, and </w:t>
      </w:r>
      <w:r w:rsidR="007F26FD" w:rsidRPr="00416C4A">
        <w:t xml:space="preserve">studies on the association between </w:t>
      </w:r>
      <w:r w:rsidR="00020005" w:rsidRPr="00416C4A">
        <w:t>board gender</w:t>
      </w:r>
      <w:r w:rsidR="007F26FD" w:rsidRPr="00416C4A">
        <w:t xml:space="preserve"> diversity </w:t>
      </w:r>
      <w:r w:rsidR="00020005" w:rsidRPr="00416C4A">
        <w:t xml:space="preserve">and firm performance </w:t>
      </w:r>
      <w:r w:rsidR="0063114F" w:rsidRPr="00416C4A">
        <w:t xml:space="preserve">and value </w:t>
      </w:r>
      <w:r>
        <w:t>find</w:t>
      </w:r>
      <w:r w:rsidR="00D47EBE" w:rsidRPr="00416C4A">
        <w:t xml:space="preserve"> </w:t>
      </w:r>
      <w:r w:rsidR="00616E13" w:rsidRPr="00416C4A">
        <w:t>mixed results</w:t>
      </w:r>
      <w:r w:rsidR="00D47EBE" w:rsidRPr="00416C4A">
        <w:t xml:space="preserve">. </w:t>
      </w:r>
      <w:r>
        <w:t>Although n</w:t>
      </w:r>
      <w:r w:rsidR="00312C53" w:rsidRPr="00416C4A">
        <w:t xml:space="preserve">umerous studies provide evidence that female directors positively influence firm performance and value (Campbell and </w:t>
      </w:r>
      <w:proofErr w:type="spellStart"/>
      <w:r w:rsidR="00312C53" w:rsidRPr="00416C4A">
        <w:t>Mínguez</w:t>
      </w:r>
      <w:proofErr w:type="spellEnd"/>
      <w:r w:rsidR="00312C53" w:rsidRPr="00416C4A">
        <w:t>-Vera 2008; Liu, Wei, and Xie</w:t>
      </w:r>
      <w:r w:rsidR="00312C53" w:rsidRPr="00416C4A">
        <w:rPr>
          <w:rStyle w:val="Emphasis"/>
        </w:rPr>
        <w:t> </w:t>
      </w:r>
      <w:r w:rsidR="00312C53" w:rsidRPr="00416C4A">
        <w:t>2014; Abdullah </w:t>
      </w:r>
      <w:r w:rsidR="00312C53" w:rsidRPr="00416C4A">
        <w:rPr>
          <w:rStyle w:val="Emphasis"/>
        </w:rPr>
        <w:t>et al. </w:t>
      </w:r>
      <w:r w:rsidR="00312C53" w:rsidRPr="00416C4A">
        <w:t>2016)</w:t>
      </w:r>
      <w:r>
        <w:t>, o</w:t>
      </w:r>
      <w:r w:rsidR="00312C53" w:rsidRPr="00416C4A">
        <w:t xml:space="preserve">ther studies </w:t>
      </w:r>
      <w:r>
        <w:t xml:space="preserve">document </w:t>
      </w:r>
      <w:r w:rsidR="00312C53" w:rsidRPr="00416C4A">
        <w:t xml:space="preserve">a negative relation between </w:t>
      </w:r>
      <w:r>
        <w:t xml:space="preserve">board </w:t>
      </w:r>
      <w:r w:rsidR="00312C53" w:rsidRPr="00416C4A">
        <w:t xml:space="preserve">gender diversity </w:t>
      </w:r>
      <w:r w:rsidR="00D96DFB" w:rsidRPr="00416C4A">
        <w:t xml:space="preserve">and firm performance and value </w:t>
      </w:r>
      <w:r w:rsidR="00312C53" w:rsidRPr="00416C4A">
        <w:t xml:space="preserve">or </w:t>
      </w:r>
      <w:r>
        <w:t xml:space="preserve">find no </w:t>
      </w:r>
      <w:r w:rsidR="00312C53" w:rsidRPr="00416C4A">
        <w:t>significant association (Caspar 2007; Simpson, Carter, and D’Souza</w:t>
      </w:r>
      <w:r w:rsidR="00312C53" w:rsidRPr="00416C4A">
        <w:rPr>
          <w:rStyle w:val="Emphasis"/>
        </w:rPr>
        <w:t xml:space="preserve"> </w:t>
      </w:r>
      <w:r w:rsidR="00312C53" w:rsidRPr="00416C4A">
        <w:rPr>
          <w:rStyle w:val="Emphasis"/>
          <w:i w:val="0"/>
          <w:iCs w:val="0"/>
        </w:rPr>
        <w:t>2010</w:t>
      </w:r>
      <w:r w:rsidR="00312C53" w:rsidRPr="00416C4A">
        <w:rPr>
          <w:rStyle w:val="Emphasis"/>
        </w:rPr>
        <w:t>;</w:t>
      </w:r>
      <w:r w:rsidR="00312C53" w:rsidRPr="00416C4A">
        <w:t> </w:t>
      </w:r>
      <w:proofErr w:type="spellStart"/>
      <w:r w:rsidR="00312C53" w:rsidRPr="00416C4A">
        <w:t>Matsa</w:t>
      </w:r>
      <w:proofErr w:type="spellEnd"/>
      <w:r w:rsidR="00312C53" w:rsidRPr="00416C4A">
        <w:t xml:space="preserve"> and Miller 2013; </w:t>
      </w:r>
      <w:proofErr w:type="spellStart"/>
      <w:r w:rsidR="00312C53" w:rsidRPr="00416C4A">
        <w:t>Marinova</w:t>
      </w:r>
      <w:proofErr w:type="spellEnd"/>
      <w:r w:rsidR="00312C53" w:rsidRPr="00416C4A">
        <w:t xml:space="preserve">, </w:t>
      </w:r>
      <w:proofErr w:type="spellStart"/>
      <w:r w:rsidR="00312C53" w:rsidRPr="00416C4A">
        <w:t>Plantenga</w:t>
      </w:r>
      <w:proofErr w:type="spellEnd"/>
      <w:r w:rsidR="00312C53" w:rsidRPr="00416C4A">
        <w:t xml:space="preserve">, and </w:t>
      </w:r>
      <w:proofErr w:type="spellStart"/>
      <w:r w:rsidR="00312C53" w:rsidRPr="00416C4A">
        <w:t>Remery</w:t>
      </w:r>
      <w:proofErr w:type="spellEnd"/>
      <w:r w:rsidR="00312C53" w:rsidRPr="00416C4A">
        <w:rPr>
          <w:rStyle w:val="Emphasis"/>
        </w:rPr>
        <w:t> </w:t>
      </w:r>
      <w:r w:rsidR="00312C53" w:rsidRPr="00416C4A">
        <w:t xml:space="preserve">2016). </w:t>
      </w:r>
      <w:r w:rsidR="00D47EBE" w:rsidRPr="00416C4A">
        <w:t>These mixed results can</w:t>
      </w:r>
      <w:r w:rsidR="00616E13" w:rsidRPr="00416C4A">
        <w:t xml:space="preserve"> in part </w:t>
      </w:r>
      <w:r w:rsidR="00D47EBE" w:rsidRPr="00416C4A">
        <w:t xml:space="preserve">be </w:t>
      </w:r>
      <w:r w:rsidR="00616E13" w:rsidRPr="00416C4A">
        <w:t>attribut</w:t>
      </w:r>
      <w:r w:rsidR="00D47EBE" w:rsidRPr="00416C4A">
        <w:t xml:space="preserve">ed </w:t>
      </w:r>
      <w:r w:rsidR="00616E13" w:rsidRPr="00416C4A">
        <w:t xml:space="preserve">to the </w:t>
      </w:r>
      <w:r w:rsidR="00E2599B" w:rsidRPr="00416C4A">
        <w:t>context in which firms operate</w:t>
      </w:r>
      <w:r w:rsidR="00D96DFB" w:rsidRPr="00416C4A">
        <w:t>. In fact</w:t>
      </w:r>
      <w:r w:rsidR="005E1417" w:rsidRPr="00416C4A">
        <w:t xml:space="preserve">, in </w:t>
      </w:r>
      <w:r>
        <w:t>a</w:t>
      </w:r>
      <w:r w:rsidR="005E1417" w:rsidRPr="00416C4A">
        <w:t xml:space="preserve"> meta-analysis,</w:t>
      </w:r>
      <w:r w:rsidR="00617555" w:rsidRPr="00416C4A">
        <w:t xml:space="preserve"> </w:t>
      </w:r>
      <w:r w:rsidR="00D96DFB" w:rsidRPr="00416C4A">
        <w:t>Post and Byron (2015) find</w:t>
      </w:r>
      <w:r>
        <w:t>s</w:t>
      </w:r>
      <w:r w:rsidR="00D96DFB" w:rsidRPr="00416C4A">
        <w:t xml:space="preserve"> evidence that </w:t>
      </w:r>
      <w:r w:rsidR="00611297" w:rsidRPr="00416C4A">
        <w:t xml:space="preserve">the association between board gender diversity and profitability is </w:t>
      </w:r>
      <w:r w:rsidR="00F3549B" w:rsidRPr="00416C4A">
        <w:t xml:space="preserve">positive </w:t>
      </w:r>
      <w:r>
        <w:t xml:space="preserve">and significant only </w:t>
      </w:r>
      <w:r w:rsidR="00F3549B" w:rsidRPr="00416C4A">
        <w:t>for firms in countries with stronger shareholder protection.</w:t>
      </w:r>
      <w:r w:rsidR="00DD1198" w:rsidRPr="00416C4A">
        <w:t xml:space="preserve"> </w:t>
      </w:r>
      <w:r w:rsidR="00305BCA" w:rsidRPr="00416C4A">
        <w:t xml:space="preserve">Given our focus on the UK, it is important to note </w:t>
      </w:r>
      <w:r w:rsidR="00D96DFB" w:rsidRPr="00416C4A">
        <w:t xml:space="preserve">that this country has a high score </w:t>
      </w:r>
      <w:r w:rsidR="00305BCA" w:rsidRPr="00416C4A">
        <w:t xml:space="preserve">for this </w:t>
      </w:r>
      <w:r w:rsidR="000E7EE9" w:rsidRPr="00416C4A">
        <w:t>dimension</w:t>
      </w:r>
      <w:r w:rsidR="00305BCA" w:rsidRPr="00416C4A">
        <w:t>.</w:t>
      </w:r>
      <w:r w:rsidR="00D96DFB" w:rsidRPr="00416C4A">
        <w:rPr>
          <w:rStyle w:val="FootnoteReference"/>
        </w:rPr>
        <w:footnoteReference w:id="2"/>
      </w:r>
      <w:r w:rsidR="000E7EE9" w:rsidRPr="00416C4A">
        <w:t xml:space="preserve"> </w:t>
      </w:r>
    </w:p>
    <w:p w14:paraId="368926DF" w14:textId="1881493C" w:rsidR="009C4A1D" w:rsidRPr="00416C4A" w:rsidRDefault="00D96DFB" w:rsidP="009C4A1D">
      <w:pPr>
        <w:pStyle w:val="NormalWeb"/>
        <w:spacing w:before="0" w:beforeAutospacing="0" w:after="0" w:afterAutospacing="0" w:line="480" w:lineRule="auto"/>
        <w:jc w:val="both"/>
        <w:rPr>
          <w:rStyle w:val="Strong"/>
          <w:b w:val="0"/>
          <w:bCs w:val="0"/>
        </w:rPr>
      </w:pPr>
      <w:r w:rsidRPr="00416C4A">
        <w:tab/>
        <w:t xml:space="preserve">Isidro and </w:t>
      </w:r>
      <w:proofErr w:type="spellStart"/>
      <w:r w:rsidRPr="00416C4A">
        <w:t>Sobral</w:t>
      </w:r>
      <w:proofErr w:type="spellEnd"/>
      <w:r w:rsidRPr="00416C4A">
        <w:t xml:space="preserve"> (201</w:t>
      </w:r>
      <w:r w:rsidR="00AF1917" w:rsidRPr="00416C4A">
        <w:t>5</w:t>
      </w:r>
      <w:r w:rsidRPr="00416C4A">
        <w:t xml:space="preserve">) </w:t>
      </w:r>
      <w:r w:rsidR="005E1417" w:rsidRPr="00416C4A">
        <w:t>also discuss</w:t>
      </w:r>
      <w:r w:rsidR="00DA1E28">
        <w:t>es</w:t>
      </w:r>
      <w:r w:rsidR="005E1417" w:rsidRPr="00416C4A">
        <w:t xml:space="preserve"> the existence of mixed </w:t>
      </w:r>
      <w:r w:rsidR="00D111B0" w:rsidRPr="00416C4A">
        <w:t>results and</w:t>
      </w:r>
      <w:r w:rsidR="005E1417" w:rsidRPr="00416C4A">
        <w:t xml:space="preserve"> </w:t>
      </w:r>
      <w:r w:rsidRPr="00416C4A">
        <w:t>suggest</w:t>
      </w:r>
      <w:r w:rsidR="00DA1E28">
        <w:t>s</w:t>
      </w:r>
      <w:r w:rsidRPr="00416C4A">
        <w:t xml:space="preserve"> that </w:t>
      </w:r>
      <w:r w:rsidR="005E1417" w:rsidRPr="00416C4A">
        <w:t>th</w:t>
      </w:r>
      <w:r w:rsidR="00DA1E28">
        <w:t xml:space="preserve">is disagreement </w:t>
      </w:r>
      <w:r w:rsidRPr="00416C4A">
        <w:t xml:space="preserve">may be due to </w:t>
      </w:r>
      <w:r w:rsidR="00DA1E28">
        <w:t xml:space="preserve">the use of </w:t>
      </w:r>
      <w:r w:rsidRPr="00416C4A">
        <w:t xml:space="preserve">different </w:t>
      </w:r>
      <w:r w:rsidR="00DA1E28">
        <w:t>measure</w:t>
      </w:r>
      <w:r w:rsidR="009434FA">
        <w:t>s</w:t>
      </w:r>
      <w:r w:rsidR="00DA1E28">
        <w:t xml:space="preserve"> </w:t>
      </w:r>
      <w:r w:rsidRPr="00416C4A">
        <w:t xml:space="preserve">of firm value and financial </w:t>
      </w:r>
      <w:r w:rsidRPr="00416C4A">
        <w:lastRenderedPageBreak/>
        <w:t xml:space="preserve">performance, </w:t>
      </w:r>
      <w:r w:rsidR="003D4512" w:rsidRPr="00416C4A">
        <w:t>together with</w:t>
      </w:r>
      <w:r w:rsidRPr="00416C4A">
        <w:t xml:space="preserve"> the expectation that </w:t>
      </w:r>
      <w:r w:rsidR="00DA1E28">
        <w:t>females</w:t>
      </w:r>
      <w:r w:rsidR="00DA1E28" w:rsidRPr="00416C4A">
        <w:t xml:space="preserve"> </w:t>
      </w:r>
      <w:r w:rsidRPr="00416C4A">
        <w:t xml:space="preserve">on the board directly affect both. </w:t>
      </w:r>
      <w:r w:rsidR="00DA1E28">
        <w:t>Accordingly</w:t>
      </w:r>
      <w:r w:rsidRPr="00416C4A">
        <w:t xml:space="preserve">, </w:t>
      </w:r>
      <w:r w:rsidR="00DA1E28">
        <w:t xml:space="preserve">it is important to </w:t>
      </w:r>
      <w:r w:rsidRPr="00416C4A">
        <w:t xml:space="preserve">distinguish between studies in which researchers measure performance </w:t>
      </w:r>
      <w:r w:rsidR="00B06DF8">
        <w:t>using</w:t>
      </w:r>
      <w:r w:rsidRPr="00416C4A">
        <w:t xml:space="preserve"> book values and studies in which researchers </w:t>
      </w:r>
      <w:r w:rsidR="00DA1E28">
        <w:t>use</w:t>
      </w:r>
      <w:r w:rsidRPr="00416C4A">
        <w:t xml:space="preserve"> measure</w:t>
      </w:r>
      <w:r w:rsidR="00DA1E28">
        <w:t>s</w:t>
      </w:r>
      <w:r w:rsidRPr="00416C4A">
        <w:t xml:space="preserve"> based on market values</w:t>
      </w:r>
      <w:r w:rsidR="00C46B85">
        <w:t xml:space="preserve">, especially because </w:t>
      </w:r>
      <w:r w:rsidR="00556913" w:rsidRPr="00416C4A">
        <w:t xml:space="preserve">market values are </w:t>
      </w:r>
      <w:r w:rsidR="00542CC7" w:rsidRPr="00416C4A">
        <w:t xml:space="preserve">based on investor perceptions and thus </w:t>
      </w:r>
      <w:r w:rsidR="00FC23D1" w:rsidRPr="00416C4A">
        <w:t>depend on their biases and stereotypes (Haslam</w:t>
      </w:r>
      <w:r w:rsidR="003A27DF" w:rsidRPr="00416C4A">
        <w:t>, Ryan</w:t>
      </w:r>
      <w:r w:rsidR="0019630F" w:rsidRPr="00416C4A">
        <w:t xml:space="preserve">, Kulich, </w:t>
      </w:r>
      <w:proofErr w:type="spellStart"/>
      <w:r w:rsidR="0019630F" w:rsidRPr="00416C4A">
        <w:t>Trojanowski</w:t>
      </w:r>
      <w:proofErr w:type="spellEnd"/>
      <w:r w:rsidR="0019630F" w:rsidRPr="00416C4A">
        <w:t>, Atkins</w:t>
      </w:r>
      <w:r w:rsidR="00FC23D1" w:rsidRPr="00416C4A">
        <w:t xml:space="preserve"> </w:t>
      </w:r>
      <w:r w:rsidR="008217FD" w:rsidRPr="00416C4A">
        <w:t>2010).</w:t>
      </w:r>
      <w:r w:rsidR="00822937" w:rsidRPr="00416C4A">
        <w:t xml:space="preserve"> </w:t>
      </w:r>
      <w:r w:rsidR="00C46B85">
        <w:t>Of</w:t>
      </w:r>
      <w:r w:rsidRPr="00416C4A">
        <w:t xml:space="preserve"> the papers mentioned </w:t>
      </w:r>
      <w:r w:rsidR="00C46B85">
        <w:t>above</w:t>
      </w:r>
      <w:r w:rsidRPr="00416C4A">
        <w:t xml:space="preserve">, Campbell and </w:t>
      </w:r>
      <w:proofErr w:type="spellStart"/>
      <w:r w:rsidRPr="00416C4A">
        <w:t>Mínguez</w:t>
      </w:r>
      <w:proofErr w:type="spellEnd"/>
      <w:r w:rsidRPr="00416C4A">
        <w:t>-Vera</w:t>
      </w:r>
      <w:r w:rsidRPr="00416C4A">
        <w:rPr>
          <w:b/>
          <w:bCs/>
        </w:rPr>
        <w:t xml:space="preserve"> (</w:t>
      </w:r>
      <w:r w:rsidRPr="00416C4A">
        <w:t>2008)</w:t>
      </w:r>
      <w:r w:rsidRPr="00416C4A">
        <w:rPr>
          <w:b/>
          <w:bCs/>
        </w:rPr>
        <w:t xml:space="preserve">, </w:t>
      </w:r>
      <w:r w:rsidRPr="00416C4A">
        <w:t>Liu </w:t>
      </w:r>
      <w:r w:rsidRPr="00416C4A">
        <w:rPr>
          <w:rStyle w:val="Emphasis"/>
        </w:rPr>
        <w:t>et al. </w:t>
      </w:r>
      <w:r w:rsidRPr="00416C4A">
        <w:rPr>
          <w:rStyle w:val="Emphasis"/>
          <w:i w:val="0"/>
          <w:iCs w:val="0"/>
        </w:rPr>
        <w:t>(</w:t>
      </w:r>
      <w:r w:rsidRPr="00416C4A">
        <w:t>2014)</w:t>
      </w:r>
      <w:r w:rsidR="00E94A8A" w:rsidRPr="00416C4A">
        <w:t>,</w:t>
      </w:r>
      <w:r w:rsidRPr="00416C4A">
        <w:t xml:space="preserve"> and Abdullah </w:t>
      </w:r>
      <w:r w:rsidRPr="00416C4A">
        <w:rPr>
          <w:rStyle w:val="Emphasis"/>
        </w:rPr>
        <w:t>et al. </w:t>
      </w:r>
      <w:r w:rsidRPr="00416C4A">
        <w:rPr>
          <w:rStyle w:val="Emphasis"/>
          <w:i w:val="0"/>
          <w:iCs w:val="0"/>
        </w:rPr>
        <w:t>(</w:t>
      </w:r>
      <w:r w:rsidRPr="00416C4A">
        <w:t>2016) assess accounting-based performance</w:t>
      </w:r>
      <w:r w:rsidR="00C46B85">
        <w:t>, and</w:t>
      </w:r>
      <w:r w:rsidRPr="00416C4A">
        <w:rPr>
          <w:b/>
          <w:bCs/>
        </w:rPr>
        <w:t xml:space="preserve"> </w:t>
      </w:r>
      <w:r w:rsidRPr="00416C4A">
        <w:t>Caspar (2007)</w:t>
      </w:r>
      <w:r w:rsidRPr="00416C4A">
        <w:rPr>
          <w:b/>
          <w:bCs/>
        </w:rPr>
        <w:t xml:space="preserve">, </w:t>
      </w:r>
      <w:proofErr w:type="spellStart"/>
      <w:r w:rsidRPr="00416C4A">
        <w:t>Marinova</w:t>
      </w:r>
      <w:proofErr w:type="spellEnd"/>
      <w:r w:rsidRPr="00416C4A">
        <w:t> </w:t>
      </w:r>
      <w:r w:rsidRPr="00416C4A">
        <w:rPr>
          <w:rStyle w:val="Emphasis"/>
        </w:rPr>
        <w:t>et al.</w:t>
      </w:r>
      <w:r w:rsidR="00E94A8A" w:rsidRPr="00416C4A">
        <w:rPr>
          <w:rStyle w:val="Emphasis"/>
        </w:rPr>
        <w:t xml:space="preserve"> </w:t>
      </w:r>
      <w:r w:rsidR="00E94A8A" w:rsidRPr="00416C4A">
        <w:rPr>
          <w:rStyle w:val="Emphasis"/>
          <w:i w:val="0"/>
          <w:iCs w:val="0"/>
        </w:rPr>
        <w:t>(</w:t>
      </w:r>
      <w:r w:rsidRPr="00416C4A">
        <w:t>2016)</w:t>
      </w:r>
      <w:r w:rsidR="00ED6E7B" w:rsidRPr="00416C4A">
        <w:t>,</w:t>
      </w:r>
      <w:r w:rsidRPr="00416C4A">
        <w:t xml:space="preserve"> and Adam and Ferreira (2009)</w:t>
      </w:r>
      <w:r w:rsidRPr="00416C4A">
        <w:rPr>
          <w:b/>
          <w:bCs/>
        </w:rPr>
        <w:t xml:space="preserve"> </w:t>
      </w:r>
      <w:r w:rsidR="00C46B85">
        <w:t>assess</w:t>
      </w:r>
      <w:r w:rsidR="00C46B85" w:rsidRPr="00416C4A">
        <w:t xml:space="preserve"> </w:t>
      </w:r>
      <w:r w:rsidRPr="00416C4A">
        <w:t xml:space="preserve">market-based </w:t>
      </w:r>
      <w:r w:rsidR="00DD1198" w:rsidRPr="00416C4A">
        <w:t>values</w:t>
      </w:r>
      <w:r w:rsidRPr="00416C4A">
        <w:t>. Analy</w:t>
      </w:r>
      <w:r w:rsidR="00C46B85">
        <w:t>z</w:t>
      </w:r>
      <w:r w:rsidRPr="00416C4A">
        <w:t xml:space="preserve">ing the results </w:t>
      </w:r>
      <w:r w:rsidR="003256F4">
        <w:t>from</w:t>
      </w:r>
      <w:r w:rsidRPr="00416C4A">
        <w:t xml:space="preserve"> these two groups of studies separately, </w:t>
      </w:r>
      <w:r w:rsidR="00ED6E7B" w:rsidRPr="00416C4A">
        <w:t>we</w:t>
      </w:r>
      <w:r w:rsidRPr="00416C4A">
        <w:t xml:space="preserve"> observe that </w:t>
      </w:r>
      <w:r w:rsidR="00ED6E7B" w:rsidRPr="00416C4A">
        <w:t xml:space="preserve">most of </w:t>
      </w:r>
      <w:r w:rsidRPr="00416C4A">
        <w:t>the accounting-based performance studies find </w:t>
      </w:r>
      <w:r w:rsidR="00ED6E7B" w:rsidRPr="00416C4A">
        <w:t xml:space="preserve">a </w:t>
      </w:r>
      <w:r w:rsidRPr="00416C4A">
        <w:rPr>
          <w:rStyle w:val="Strong"/>
          <w:b w:val="0"/>
          <w:bCs w:val="0"/>
        </w:rPr>
        <w:t>positive association between female directors and firm performance</w:t>
      </w:r>
      <w:r w:rsidRPr="00416C4A">
        <w:rPr>
          <w:b/>
          <w:bCs/>
        </w:rPr>
        <w:t>,</w:t>
      </w:r>
      <w:r w:rsidRPr="00416C4A">
        <w:t xml:space="preserve"> while </w:t>
      </w:r>
      <w:r w:rsidR="00AC4474" w:rsidRPr="00416C4A">
        <w:t xml:space="preserve">the results </w:t>
      </w:r>
      <w:r w:rsidR="003256F4">
        <w:t>from</w:t>
      </w:r>
      <w:r w:rsidRPr="00416C4A">
        <w:t xml:space="preserve"> the market-based </w:t>
      </w:r>
      <w:r w:rsidR="00DD1198" w:rsidRPr="00416C4A">
        <w:t>value</w:t>
      </w:r>
      <w:r w:rsidRPr="00416C4A">
        <w:t xml:space="preserve"> </w:t>
      </w:r>
      <w:r w:rsidR="00AC4474" w:rsidRPr="00416C4A">
        <w:t>studies</w:t>
      </w:r>
      <w:r w:rsidRPr="00416C4A">
        <w:t xml:space="preserve"> mostly point towards </w:t>
      </w:r>
      <w:r w:rsidR="00AC4474" w:rsidRPr="00416C4A">
        <w:t xml:space="preserve">a </w:t>
      </w:r>
      <w:r w:rsidRPr="00416C4A">
        <w:t xml:space="preserve">negative </w:t>
      </w:r>
      <w:r w:rsidRPr="00416C4A">
        <w:rPr>
          <w:rStyle w:val="Strong"/>
          <w:b w:val="0"/>
          <w:bCs w:val="0"/>
        </w:rPr>
        <w:t>association between female directors and firm value.</w:t>
      </w:r>
    </w:p>
    <w:p w14:paraId="0CA94953" w14:textId="7BA1A349" w:rsidR="00236B95" w:rsidRPr="00416C4A" w:rsidRDefault="00D96DFB" w:rsidP="00760A97">
      <w:pPr>
        <w:pStyle w:val="NormalWeb"/>
        <w:spacing w:before="0" w:beforeAutospacing="0" w:after="0" w:afterAutospacing="0" w:line="480" w:lineRule="auto"/>
        <w:jc w:val="both"/>
      </w:pPr>
      <w:r w:rsidRPr="00416C4A">
        <w:rPr>
          <w:rStyle w:val="Strong"/>
        </w:rPr>
        <w:tab/>
      </w:r>
      <w:r w:rsidRPr="00416C4A">
        <w:t>T</w:t>
      </w:r>
      <w:r w:rsidR="006C43F2" w:rsidRPr="00416C4A">
        <w:t>hree</w:t>
      </w:r>
      <w:r w:rsidRPr="00416C4A">
        <w:t xml:space="preserve"> </w:t>
      </w:r>
      <w:r w:rsidR="00113B6E" w:rsidRPr="00416C4A">
        <w:t xml:space="preserve">recent </w:t>
      </w:r>
      <w:r w:rsidRPr="00416C4A">
        <w:t>studies analy</w:t>
      </w:r>
      <w:r w:rsidR="00557939">
        <w:t>z</w:t>
      </w:r>
      <w:r w:rsidRPr="00416C4A">
        <w:t xml:space="preserve">e the </w:t>
      </w:r>
      <w:r w:rsidR="00AB48A3" w:rsidRPr="00416C4A">
        <w:t>association between</w:t>
      </w:r>
      <w:r w:rsidRPr="00416C4A">
        <w:t xml:space="preserve"> </w:t>
      </w:r>
      <w:r w:rsidR="00331514" w:rsidRPr="00416C4A">
        <w:t>UK</w:t>
      </w:r>
      <w:r w:rsidRPr="00416C4A">
        <w:t xml:space="preserve"> </w:t>
      </w:r>
      <w:r w:rsidR="00861708" w:rsidRPr="00416C4A">
        <w:t>board gender diversity and</w:t>
      </w:r>
      <w:r w:rsidRPr="00416C4A">
        <w:t xml:space="preserve"> firm performance. Gregory‐Smith </w:t>
      </w:r>
      <w:r w:rsidRPr="00416C4A">
        <w:rPr>
          <w:rStyle w:val="Emphasis"/>
        </w:rPr>
        <w:t>et al. </w:t>
      </w:r>
      <w:r w:rsidRPr="00416C4A">
        <w:t xml:space="preserve">(2014) find no clear connection between the increase in female representation and company performance. In this study, the authors </w:t>
      </w:r>
      <w:r w:rsidR="0018327E" w:rsidRPr="00416C4A">
        <w:t xml:space="preserve">consider </w:t>
      </w:r>
      <w:r w:rsidRPr="00416C4A">
        <w:t xml:space="preserve">performance </w:t>
      </w:r>
      <w:r w:rsidR="00B06DF8">
        <w:t>using</w:t>
      </w:r>
      <w:r w:rsidRPr="00416C4A">
        <w:t xml:space="preserve"> both accounting and market-based </w:t>
      </w:r>
      <w:r w:rsidR="00CC40A4" w:rsidRPr="00416C4A">
        <w:t>variables</w:t>
      </w:r>
      <w:r w:rsidRPr="00416C4A">
        <w:t xml:space="preserve">, and the sample is FTSE350 for the </w:t>
      </w:r>
      <w:r w:rsidR="00941AB8" w:rsidRPr="00416C4A">
        <w:t>period</w:t>
      </w:r>
      <w:r w:rsidRPr="00416C4A">
        <w:t xml:space="preserve"> 1996 </w:t>
      </w:r>
      <w:r w:rsidR="00062E89" w:rsidRPr="00416C4A">
        <w:t>–</w:t>
      </w:r>
      <w:r w:rsidRPr="00416C4A">
        <w:t xml:space="preserve"> 2010</w:t>
      </w:r>
      <w:r w:rsidR="00062E89" w:rsidRPr="00416C4A">
        <w:t>.</w:t>
      </w:r>
      <w:r w:rsidRPr="00416C4A">
        <w:t xml:space="preserve"> </w:t>
      </w:r>
      <w:r w:rsidR="00C722A0" w:rsidRPr="00416C4A">
        <w:t xml:space="preserve">Shehata, </w:t>
      </w:r>
      <w:proofErr w:type="spellStart"/>
      <w:r w:rsidR="00C722A0" w:rsidRPr="00416C4A">
        <w:t>Salhin</w:t>
      </w:r>
      <w:proofErr w:type="spellEnd"/>
      <w:r w:rsidR="00C722A0" w:rsidRPr="00416C4A">
        <w:t>, and El-</w:t>
      </w:r>
      <w:proofErr w:type="spellStart"/>
      <w:r w:rsidR="00C722A0" w:rsidRPr="00416C4A">
        <w:t>Helaly</w:t>
      </w:r>
      <w:proofErr w:type="spellEnd"/>
      <w:r w:rsidR="00C722A0" w:rsidRPr="00416C4A">
        <w:t xml:space="preserve"> (2017) use data from UK </w:t>
      </w:r>
      <w:r w:rsidR="00062E89" w:rsidRPr="00416C4A">
        <w:t>small and medium</w:t>
      </w:r>
      <w:r w:rsidRPr="00416C4A">
        <w:t>-sized firms</w:t>
      </w:r>
      <w:r w:rsidR="00C722A0" w:rsidRPr="00416C4A">
        <w:t xml:space="preserve"> over the period 2005–2013 and find evidence consistent with a negative association between gender diversity and firm performance (which they measure </w:t>
      </w:r>
      <w:r w:rsidR="00B06DF8">
        <w:t>using</w:t>
      </w:r>
      <w:r w:rsidR="00C722A0" w:rsidRPr="00416C4A">
        <w:t xml:space="preserve"> return on assets).</w:t>
      </w:r>
      <w:r w:rsidR="0047167C" w:rsidRPr="00416C4A">
        <w:t xml:space="preserve"> Finally,</w:t>
      </w:r>
      <w:r w:rsidR="00A53A60" w:rsidRPr="00416C4A">
        <w:t xml:space="preserve"> </w:t>
      </w:r>
      <w:r w:rsidRPr="00416C4A">
        <w:t xml:space="preserve">Green and </w:t>
      </w:r>
      <w:proofErr w:type="spellStart"/>
      <w:r w:rsidRPr="00416C4A">
        <w:t>Homroy</w:t>
      </w:r>
      <w:proofErr w:type="spellEnd"/>
      <w:r w:rsidRPr="00416C4A">
        <w:t xml:space="preserve"> (2018</w:t>
      </w:r>
      <w:r w:rsidRPr="00416C4A">
        <w:rPr>
          <w:rStyle w:val="Emphasis"/>
          <w:i w:val="0"/>
          <w:iCs w:val="0"/>
        </w:rPr>
        <w:t>)</w:t>
      </w:r>
      <w:r w:rsidR="00A53A60" w:rsidRPr="00416C4A">
        <w:rPr>
          <w:rStyle w:val="Emphasis"/>
          <w:i w:val="0"/>
          <w:iCs w:val="0"/>
        </w:rPr>
        <w:t xml:space="preserve"> </w:t>
      </w:r>
      <w:proofErr w:type="spellStart"/>
      <w:r w:rsidR="00A53A60" w:rsidRPr="00416C4A">
        <w:rPr>
          <w:rStyle w:val="Emphasis"/>
          <w:i w:val="0"/>
          <w:iCs w:val="0"/>
        </w:rPr>
        <w:t>analy</w:t>
      </w:r>
      <w:r w:rsidR="00557939">
        <w:rPr>
          <w:rStyle w:val="Emphasis"/>
          <w:i w:val="0"/>
          <w:iCs w:val="0"/>
        </w:rPr>
        <w:t>z</w:t>
      </w:r>
      <w:r w:rsidR="00A53A60" w:rsidRPr="00416C4A">
        <w:rPr>
          <w:rStyle w:val="Emphasis"/>
          <w:i w:val="0"/>
          <w:iCs w:val="0"/>
        </w:rPr>
        <w:t>e</w:t>
      </w:r>
      <w:proofErr w:type="spellEnd"/>
      <w:r w:rsidRPr="00416C4A">
        <w:rPr>
          <w:rStyle w:val="Emphasis"/>
          <w:i w:val="0"/>
          <w:iCs w:val="0"/>
        </w:rPr>
        <w:t xml:space="preserve"> the top 100 European firms (</w:t>
      </w:r>
      <w:r w:rsidR="008D6489">
        <w:rPr>
          <w:rStyle w:val="Emphasis"/>
          <w:i w:val="0"/>
          <w:iCs w:val="0"/>
        </w:rPr>
        <w:t xml:space="preserve">including </w:t>
      </w:r>
      <w:r w:rsidRPr="00416C4A">
        <w:rPr>
          <w:rStyle w:val="Emphasis"/>
          <w:i w:val="0"/>
          <w:iCs w:val="0"/>
        </w:rPr>
        <w:t>30 from the UK)</w:t>
      </w:r>
      <w:r w:rsidR="00A62374" w:rsidRPr="00416C4A">
        <w:rPr>
          <w:rStyle w:val="Emphasis"/>
          <w:i w:val="0"/>
          <w:iCs w:val="0"/>
        </w:rPr>
        <w:t>.</w:t>
      </w:r>
      <w:r w:rsidRPr="00416C4A">
        <w:rPr>
          <w:rStyle w:val="Emphasis"/>
          <w:i w:val="0"/>
          <w:iCs w:val="0"/>
        </w:rPr>
        <w:t xml:space="preserve"> When studying only UK data</w:t>
      </w:r>
      <w:r w:rsidR="00BC581B" w:rsidRPr="00416C4A">
        <w:rPr>
          <w:rStyle w:val="Emphasis"/>
          <w:i w:val="0"/>
          <w:iCs w:val="0"/>
        </w:rPr>
        <w:t>, the authors find that t</w:t>
      </w:r>
      <w:r w:rsidR="006C43F2" w:rsidRPr="00416C4A">
        <w:t xml:space="preserve">he proportion of female directors on the board has no statistically significant association with firm performance, </w:t>
      </w:r>
      <w:r w:rsidR="007509E7" w:rsidRPr="00416C4A">
        <w:t xml:space="preserve">although </w:t>
      </w:r>
      <w:r w:rsidR="006C43F2" w:rsidRPr="00416C4A">
        <w:t>the</w:t>
      </w:r>
      <w:r w:rsidR="007509E7" w:rsidRPr="00416C4A">
        <w:t xml:space="preserve">re is </w:t>
      </w:r>
      <w:r w:rsidR="006C43F2" w:rsidRPr="00416C4A">
        <w:t xml:space="preserve">a positive </w:t>
      </w:r>
      <w:r w:rsidR="00F006E4" w:rsidRPr="00416C4A">
        <w:t xml:space="preserve">association </w:t>
      </w:r>
      <w:r w:rsidR="00EC68DA" w:rsidRPr="00416C4A">
        <w:t xml:space="preserve">between </w:t>
      </w:r>
      <w:r w:rsidR="008D6489">
        <w:t xml:space="preserve">female </w:t>
      </w:r>
      <w:r w:rsidR="005E5B4B" w:rsidRPr="00416C4A">
        <w:t xml:space="preserve">committee membership </w:t>
      </w:r>
      <w:r w:rsidR="00EC68DA" w:rsidRPr="00416C4A">
        <w:t>and</w:t>
      </w:r>
      <w:r w:rsidR="006C43F2" w:rsidRPr="00416C4A">
        <w:t xml:space="preserve"> firm performance. </w:t>
      </w:r>
    </w:p>
    <w:p w14:paraId="11E2BCE0" w14:textId="1A93FBB1" w:rsidR="00760A97" w:rsidRPr="00416C4A" w:rsidRDefault="00D96DFB" w:rsidP="00EF6CAC">
      <w:pPr>
        <w:pStyle w:val="NormalWeb"/>
        <w:spacing w:before="0" w:beforeAutospacing="0" w:after="0" w:afterAutospacing="0" w:line="480" w:lineRule="auto"/>
        <w:ind w:firstLine="720"/>
        <w:jc w:val="both"/>
      </w:pPr>
      <w:r w:rsidRPr="00416C4A">
        <w:lastRenderedPageBreak/>
        <w:t xml:space="preserve">Given the mixed findings </w:t>
      </w:r>
      <w:r w:rsidR="008D6489">
        <w:t>in</w:t>
      </w:r>
      <w:r w:rsidRPr="00416C4A">
        <w:t xml:space="preserve"> previous studies, </w:t>
      </w:r>
      <w:r w:rsidR="00F64F1E" w:rsidRPr="00416C4A">
        <w:t>it is an empirical question whether</w:t>
      </w:r>
      <w:r w:rsidR="008D6489">
        <w:t>,</w:t>
      </w:r>
      <w:r w:rsidR="00F64F1E" w:rsidRPr="00416C4A">
        <w:t xml:space="preserve"> in recent years</w:t>
      </w:r>
      <w:r w:rsidR="008D6489">
        <w:t>,</w:t>
      </w:r>
      <w:r w:rsidR="00F64F1E" w:rsidRPr="00416C4A">
        <w:t xml:space="preserve"> </w:t>
      </w:r>
      <w:r w:rsidR="00EF6CAC" w:rsidRPr="00416C4A">
        <w:t>t</w:t>
      </w:r>
      <w:r w:rsidRPr="00416C4A">
        <w:t xml:space="preserve">he presence of </w:t>
      </w:r>
      <w:r w:rsidR="008D6489">
        <w:t xml:space="preserve">females </w:t>
      </w:r>
      <w:r w:rsidRPr="00416C4A">
        <w:t xml:space="preserve">on boards is associated with </w:t>
      </w:r>
      <w:r w:rsidR="00403AE1" w:rsidRPr="00416C4A">
        <w:t xml:space="preserve">financial </w:t>
      </w:r>
      <w:r w:rsidRPr="00416C4A">
        <w:t xml:space="preserve">performance or </w:t>
      </w:r>
      <w:r w:rsidR="00A56BDD" w:rsidRPr="00416C4A">
        <w:t xml:space="preserve">firm </w:t>
      </w:r>
      <w:r w:rsidRPr="00416C4A">
        <w:t xml:space="preserve">value. </w:t>
      </w:r>
      <w:r w:rsidR="00EF6CAC" w:rsidRPr="00416C4A">
        <w:t xml:space="preserve">We </w:t>
      </w:r>
      <w:r w:rsidR="00A5084A" w:rsidRPr="00416C4A">
        <w:t>provide recent evidence</w:t>
      </w:r>
      <w:r w:rsidR="007C4856" w:rsidRPr="00416C4A">
        <w:t xml:space="preserve"> o</w:t>
      </w:r>
      <w:r w:rsidR="008D6489">
        <w:t>n</w:t>
      </w:r>
      <w:r w:rsidR="007C4856" w:rsidRPr="00416C4A">
        <w:t xml:space="preserve"> this </w:t>
      </w:r>
      <w:r w:rsidR="00A5084A" w:rsidRPr="00416C4A">
        <w:t>association</w:t>
      </w:r>
      <w:r w:rsidR="007512C3" w:rsidRPr="00416C4A">
        <w:t xml:space="preserve"> in the UK</w:t>
      </w:r>
      <w:r w:rsidR="00A5084A" w:rsidRPr="00416C4A">
        <w:t>.</w:t>
      </w:r>
      <w:r w:rsidR="00EF6CAC" w:rsidRPr="00416C4A">
        <w:t xml:space="preserve"> </w:t>
      </w:r>
    </w:p>
    <w:p w14:paraId="200A4709" w14:textId="6F52E199" w:rsidR="009C4A1D" w:rsidRPr="00416C4A" w:rsidRDefault="009C4A1D" w:rsidP="00760A97">
      <w:pPr>
        <w:autoSpaceDE w:val="0"/>
        <w:autoSpaceDN w:val="0"/>
        <w:adjustRightInd w:val="0"/>
        <w:spacing w:line="480" w:lineRule="auto"/>
        <w:jc w:val="both"/>
      </w:pPr>
    </w:p>
    <w:p w14:paraId="3FC45EBD" w14:textId="77777777" w:rsidR="00760A97" w:rsidRPr="00416C4A" w:rsidRDefault="00D96DFB" w:rsidP="00E5321F">
      <w:pPr>
        <w:pStyle w:val="Heading1"/>
        <w:numPr>
          <w:ilvl w:val="0"/>
          <w:numId w:val="1"/>
        </w:numPr>
        <w:spacing w:line="480" w:lineRule="auto"/>
        <w:jc w:val="center"/>
        <w:rPr>
          <w:rFonts w:ascii="Times New Roman" w:eastAsia="Times New Roman" w:hAnsi="Times New Roman" w:cs="Times New Roman"/>
          <w:b/>
          <w:bCs/>
          <w:caps/>
          <w:color w:val="auto"/>
          <w:sz w:val="24"/>
          <w:szCs w:val="24"/>
        </w:rPr>
      </w:pPr>
      <w:bookmarkStart w:id="10" w:name="_Toc48157845"/>
      <w:bookmarkStart w:id="11" w:name="_Toc49414746"/>
      <w:r w:rsidRPr="00416C4A">
        <w:rPr>
          <w:rFonts w:ascii="Times New Roman" w:eastAsia="Times New Roman" w:hAnsi="Times New Roman" w:cs="Times New Roman"/>
          <w:b/>
          <w:bCs/>
          <w:caps/>
          <w:color w:val="auto"/>
          <w:sz w:val="24"/>
          <w:szCs w:val="24"/>
        </w:rPr>
        <w:t>Methodology</w:t>
      </w:r>
      <w:bookmarkEnd w:id="10"/>
      <w:bookmarkEnd w:id="11"/>
    </w:p>
    <w:p w14:paraId="4399E29D" w14:textId="0DC9C37A" w:rsidR="00760A97" w:rsidRPr="00416C4A" w:rsidRDefault="00D96DFB" w:rsidP="0018020C">
      <w:pPr>
        <w:pStyle w:val="NormalWeb"/>
        <w:spacing w:before="0" w:beforeAutospacing="0" w:after="0" w:afterAutospacing="0" w:line="480" w:lineRule="auto"/>
        <w:jc w:val="both"/>
      </w:pPr>
      <w:r w:rsidRPr="00416C4A">
        <w:tab/>
      </w:r>
      <w:r w:rsidR="005966D9" w:rsidRPr="00416C4A">
        <w:t xml:space="preserve">Our first goal is to assess </w:t>
      </w:r>
      <w:r w:rsidRPr="00416C4A">
        <w:t xml:space="preserve">whether there </w:t>
      </w:r>
      <w:r w:rsidR="00646DF7" w:rsidRPr="00416C4A">
        <w:t>has been</w:t>
      </w:r>
      <w:r w:rsidRPr="00416C4A">
        <w:t xml:space="preserve"> an increase </w:t>
      </w:r>
      <w:r w:rsidR="006C496D" w:rsidRPr="00416C4A">
        <w:t xml:space="preserve">in the rate at which gender diversity has grown on </w:t>
      </w:r>
      <w:r w:rsidR="003C7AD1" w:rsidRPr="00416C4A">
        <w:t xml:space="preserve">UK </w:t>
      </w:r>
      <w:r w:rsidR="006C496D" w:rsidRPr="00416C4A">
        <w:t>boards</w:t>
      </w:r>
      <w:r w:rsidR="003C7AD1" w:rsidRPr="00416C4A">
        <w:t xml:space="preserve"> of directors</w:t>
      </w:r>
      <w:r w:rsidR="007F681D" w:rsidRPr="00416C4A">
        <w:t xml:space="preserve"> in recent years</w:t>
      </w:r>
      <w:r w:rsidRPr="00416C4A">
        <w:t xml:space="preserve">. To evaluate </w:t>
      </w:r>
      <w:r w:rsidR="00646DF7" w:rsidRPr="00416C4A">
        <w:t xml:space="preserve">whether </w:t>
      </w:r>
      <w:r w:rsidRPr="00416C4A">
        <w:t>this change occurred,</w:t>
      </w:r>
      <w:r w:rsidR="00FA12BA" w:rsidRPr="00416C4A">
        <w:t xml:space="preserve"> we</w:t>
      </w:r>
      <w:r w:rsidRPr="00416C4A">
        <w:t xml:space="preserve"> consider four specific </w:t>
      </w:r>
      <w:r w:rsidR="005913A6" w:rsidRPr="00416C4A">
        <w:t>years</w:t>
      </w:r>
      <w:r w:rsidR="0055432F">
        <w:t xml:space="preserve"> – </w:t>
      </w:r>
      <w:r w:rsidRPr="00416C4A">
        <w:t xml:space="preserve">two of </w:t>
      </w:r>
      <w:r w:rsidR="004A6175" w:rsidRPr="00416C4A">
        <w:t xml:space="preserve">which </w:t>
      </w:r>
      <w:r w:rsidR="0055432F">
        <w:t>are</w:t>
      </w:r>
      <w:r w:rsidR="004A6175" w:rsidRPr="00416C4A">
        <w:t xml:space="preserve"> the initial years</w:t>
      </w:r>
      <w:r w:rsidR="00306AE8" w:rsidRPr="00416C4A">
        <w:t xml:space="preserve"> of the focus on board diversity in the UK </w:t>
      </w:r>
      <w:r w:rsidRPr="00416C4A">
        <w:t>(2012 and 2014)</w:t>
      </w:r>
      <w:r w:rsidR="00795D07" w:rsidRPr="00416C4A">
        <w:t xml:space="preserve"> </w:t>
      </w:r>
      <w:r w:rsidRPr="00416C4A">
        <w:t xml:space="preserve">and </w:t>
      </w:r>
      <w:r w:rsidR="009A58B7" w:rsidRPr="00416C4A">
        <w:t xml:space="preserve">two </w:t>
      </w:r>
      <w:r w:rsidRPr="00416C4A">
        <w:t>t</w:t>
      </w:r>
      <w:r w:rsidR="00306AE8" w:rsidRPr="00416C4A">
        <w:t>hat are more recent</w:t>
      </w:r>
      <w:r w:rsidRPr="00416C4A">
        <w:t xml:space="preserve"> (2016 and 2018).</w:t>
      </w:r>
      <w:r w:rsidRPr="00416C4A">
        <w:rPr>
          <w:rStyle w:val="FootnoteReference"/>
        </w:rPr>
        <w:footnoteReference w:id="3"/>
      </w:r>
      <w:r w:rsidRPr="00416C4A">
        <w:t xml:space="preserve"> </w:t>
      </w:r>
      <w:r w:rsidR="00277505" w:rsidRPr="00416C4A">
        <w:t>We</w:t>
      </w:r>
      <w:r w:rsidRPr="00416C4A">
        <w:t xml:space="preserve"> </w:t>
      </w:r>
      <w:r w:rsidR="006541C2" w:rsidRPr="00416C4A">
        <w:t>begin our analys</w:t>
      </w:r>
      <w:r w:rsidR="0055432F">
        <w:t>e</w:t>
      </w:r>
      <w:r w:rsidR="006541C2" w:rsidRPr="00416C4A">
        <w:t xml:space="preserve">s by </w:t>
      </w:r>
      <w:r w:rsidRPr="00416C4A">
        <w:t>estimat</w:t>
      </w:r>
      <w:r w:rsidR="006541C2" w:rsidRPr="00416C4A">
        <w:t>ing</w:t>
      </w:r>
      <w:r w:rsidRPr="00416C4A">
        <w:t xml:space="preserve"> the following ordinary least squares</w:t>
      </w:r>
      <w:r w:rsidR="00277505" w:rsidRPr="00416C4A">
        <w:t xml:space="preserve"> model</w:t>
      </w:r>
      <w:r w:rsidRPr="00416C4A">
        <w:t>:</w:t>
      </w:r>
    </w:p>
    <w:p w14:paraId="33EDAD51" w14:textId="0171F89E" w:rsidR="0079429B" w:rsidRPr="00416C4A" w:rsidRDefault="00D96DFB" w:rsidP="00722545">
      <w:pPr>
        <w:pStyle w:val="NormalWeb"/>
        <w:spacing w:before="0" w:beforeAutospacing="0" w:after="0" w:afterAutospacing="0" w:line="480" w:lineRule="auto"/>
        <w:ind w:firstLine="720"/>
        <w:jc w:val="both"/>
      </w:pPr>
      <w:r w:rsidRPr="00416C4A">
        <w:rPr>
          <w:noProof/>
          <w:lang w:val="en-US" w:eastAsia="en-US"/>
        </w:rPr>
        <mc:AlternateContent>
          <mc:Choice Requires="wps">
            <w:drawing>
              <wp:anchor distT="0" distB="0" distL="114300" distR="114300" simplePos="0" relativeHeight="251658240" behindDoc="0" locked="0" layoutInCell="1" allowOverlap="1" wp14:anchorId="3C5361B1" wp14:editId="65D784DC">
                <wp:simplePos x="0" y="0"/>
                <wp:positionH relativeFrom="column">
                  <wp:posOffset>-209550</wp:posOffset>
                </wp:positionH>
                <wp:positionV relativeFrom="paragraph">
                  <wp:posOffset>256540</wp:posOffset>
                </wp:positionV>
                <wp:extent cx="6020435" cy="742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20435" cy="742950"/>
                        </a:xfrm>
                        <a:prstGeom prst="rect">
                          <a:avLst/>
                        </a:prstGeom>
                        <a:solidFill>
                          <a:schemeClr val="lt1"/>
                        </a:solidFill>
                        <a:ln w="6350">
                          <a:noFill/>
                        </a:ln>
                      </wps:spPr>
                      <wps:txbx>
                        <w:txbxContent>
                          <w:p w14:paraId="5E6090EC" w14:textId="77777777" w:rsidR="005C4F0E" w:rsidRDefault="00D96DFB" w:rsidP="00760A97">
                            <w:pPr>
                              <w:tabs>
                                <w:tab w:val="left" w:pos="0"/>
                              </w:tabs>
                              <w:spacing w:line="480" w:lineRule="auto"/>
                              <w:ind w:left="-1276" w:right="-1322"/>
                              <w:jc w:val="center"/>
                              <w:rPr>
                                <w:i/>
                                <w:iCs/>
                                <w:color w:val="0E101A"/>
                              </w:rPr>
                            </w:pPr>
                            <w:r>
                              <w:rPr>
                                <w:i/>
                                <w:iCs/>
                                <w:color w:val="0E101A"/>
                              </w:rPr>
                              <w:t>%Female</w:t>
                            </w:r>
                            <w:r w:rsidR="00E071C2" w:rsidRPr="00686C55">
                              <w:rPr>
                                <w:i/>
                                <w:iCs/>
                                <w:color w:val="0E101A"/>
                              </w:rPr>
                              <w:t xml:space="preserve"> =</w:t>
                            </w:r>
                            <w:r w:rsidR="00E071C2" w:rsidRPr="008B36CB">
                              <w:rPr>
                                <w:i/>
                                <w:iCs/>
                                <w:color w:val="0E101A"/>
                              </w:rPr>
                              <w:t xml:space="preserve"> </w:t>
                            </w:r>
                            <w:r w:rsidR="00E071C2" w:rsidRPr="00686C55">
                              <w:rPr>
                                <w:i/>
                                <w:iCs/>
                                <w:color w:val="0E101A"/>
                              </w:rPr>
                              <w:t>Y2014+Y2016+Y2018</w:t>
                            </w:r>
                            <w:r w:rsidR="00E071C2">
                              <w:rPr>
                                <w:i/>
                                <w:iCs/>
                                <w:color w:val="0E101A"/>
                              </w:rPr>
                              <w:t xml:space="preserve"> + </w:t>
                            </w:r>
                            <w:proofErr w:type="spellStart"/>
                            <w:r w:rsidR="00E071C2" w:rsidRPr="00686C55">
                              <w:rPr>
                                <w:i/>
                                <w:iCs/>
                                <w:color w:val="0E101A"/>
                              </w:rPr>
                              <w:t>Female_Chair</w:t>
                            </w:r>
                            <w:proofErr w:type="spellEnd"/>
                            <w:r w:rsidR="00E071C2" w:rsidRPr="00686C55">
                              <w:rPr>
                                <w:i/>
                                <w:iCs/>
                                <w:color w:val="0E101A"/>
                              </w:rPr>
                              <w:t xml:space="preserve"> + </w:t>
                            </w:r>
                            <w:proofErr w:type="spellStart"/>
                            <w:r w:rsidR="00E071C2" w:rsidRPr="00686C55">
                              <w:rPr>
                                <w:i/>
                                <w:iCs/>
                                <w:color w:val="0E101A"/>
                              </w:rPr>
                              <w:t>Female_CEO</w:t>
                            </w:r>
                            <w:proofErr w:type="spellEnd"/>
                            <w:r w:rsidR="00E071C2" w:rsidRPr="00686C55">
                              <w:rPr>
                                <w:i/>
                                <w:iCs/>
                                <w:color w:val="0E101A"/>
                              </w:rPr>
                              <w:t xml:space="preserve"> +</w:t>
                            </w:r>
                            <w:r>
                              <w:rPr>
                                <w:i/>
                                <w:iCs/>
                                <w:color w:val="0E101A"/>
                              </w:rPr>
                              <w:t xml:space="preserve"> %Executive Females </w:t>
                            </w:r>
                          </w:p>
                          <w:p w14:paraId="39A49643" w14:textId="77777777" w:rsidR="00E071C2" w:rsidRPr="00686C55" w:rsidRDefault="00D96DFB" w:rsidP="0079429B">
                            <w:pPr>
                              <w:tabs>
                                <w:tab w:val="left" w:pos="0"/>
                              </w:tabs>
                              <w:spacing w:line="480" w:lineRule="auto"/>
                              <w:ind w:left="-1276" w:right="-1322"/>
                              <w:jc w:val="center"/>
                              <w:rPr>
                                <w:i/>
                                <w:iCs/>
                                <w:color w:val="0E101A"/>
                              </w:rPr>
                            </w:pPr>
                            <w:r>
                              <w:rPr>
                                <w:i/>
                                <w:iCs/>
                                <w:color w:val="0E101A"/>
                              </w:rPr>
                              <w:t>+</w:t>
                            </w:r>
                            <w:r w:rsidR="0079429B">
                              <w:rPr>
                                <w:i/>
                                <w:iCs/>
                                <w:color w:val="0E101A"/>
                              </w:rPr>
                              <w:t xml:space="preserve"> </w:t>
                            </w:r>
                            <w:r w:rsidRPr="00686C55">
                              <w:rPr>
                                <w:i/>
                                <w:iCs/>
                                <w:color w:val="0E101A"/>
                              </w:rPr>
                              <w:t>Industry</w:t>
                            </w:r>
                            <w:r w:rsidR="0079429B">
                              <w:rPr>
                                <w:i/>
                                <w:iCs/>
                                <w:color w:val="0E101A"/>
                              </w:rPr>
                              <w:t xml:space="preserve">                                                                                          (1)</w:t>
                            </w:r>
                          </w:p>
                          <w:p w14:paraId="7A254AB9" w14:textId="77777777" w:rsidR="00E071C2" w:rsidRPr="00686C55" w:rsidRDefault="00E071C2" w:rsidP="00760A97">
                            <w:pPr>
                              <w:tabs>
                                <w:tab w:val="left" w:pos="0"/>
                              </w:tabs>
                              <w:jc w:val="center"/>
                              <w:rPr>
                                <w:i/>
                                <w:iCs/>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C5361B1" id="_x0000_t202" coordsize="21600,21600" o:spt="202" path="m,l,21600r21600,l21600,xe">
                <v:stroke joinstyle="miter"/>
                <v:path gradientshapeok="t" o:connecttype="rect"/>
              </v:shapetype>
              <v:shape id="Text Box 1" o:spid="_x0000_s1026" type="#_x0000_t202" style="position:absolute;left:0;text-align:left;margin-left:-16.5pt;margin-top:20.2pt;width:474.0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" fillcolor="white [3201]" stroked="f" strokeweight=".5pt">
                <v:textbox>
                  <w:txbxContent>
                    <w:p w14:paraId="5E6090EC" w14:textId="77777777" w:rsidR="005C4F0E" w:rsidRDefault="00D96DFB" w:rsidP="00760A97">
                      <w:pPr>
                        <w:tabs>
                          <w:tab w:val="left" w:pos="0"/>
                        </w:tabs>
                        <w:spacing w:line="480" w:lineRule="auto"/>
                        <w:ind w:left="-1276" w:right="-1322"/>
                        <w:jc w:val="center"/>
                        <w:rPr>
                          <w:i/>
                          <w:iCs/>
                          <w:color w:val="0E101A"/>
                        </w:rPr>
                      </w:pPr>
                      <w:r>
                        <w:rPr>
                          <w:i/>
                          <w:iCs/>
                          <w:color w:val="0E101A"/>
                        </w:rPr>
                        <w:t>%Female</w:t>
                      </w:r>
                      <w:r w:rsidR="00E071C2" w:rsidRPr="00686C55">
                        <w:rPr>
                          <w:i/>
                          <w:iCs/>
                          <w:color w:val="0E101A"/>
                        </w:rPr>
                        <w:t xml:space="preserve"> =</w:t>
                      </w:r>
                      <w:r w:rsidR="00E071C2" w:rsidRPr="008B36CB">
                        <w:rPr>
                          <w:i/>
                          <w:iCs/>
                          <w:color w:val="0E101A"/>
                        </w:rPr>
                        <w:t xml:space="preserve"> </w:t>
                      </w:r>
                      <w:r w:rsidR="00E071C2" w:rsidRPr="00686C55">
                        <w:rPr>
                          <w:i/>
                          <w:iCs/>
                          <w:color w:val="0E101A"/>
                        </w:rPr>
                        <w:t>Y2014+Y2016+Y2018</w:t>
                      </w:r>
                      <w:r w:rsidR="00E071C2">
                        <w:rPr>
                          <w:i/>
                          <w:iCs/>
                          <w:color w:val="0E101A"/>
                        </w:rPr>
                        <w:t xml:space="preserve"> + </w:t>
                      </w:r>
                      <w:proofErr w:type="spellStart"/>
                      <w:r w:rsidR="00E071C2" w:rsidRPr="00686C55">
                        <w:rPr>
                          <w:i/>
                          <w:iCs/>
                          <w:color w:val="0E101A"/>
                        </w:rPr>
                        <w:t>Female_Chair</w:t>
                      </w:r>
                      <w:proofErr w:type="spellEnd"/>
                      <w:r w:rsidR="00E071C2" w:rsidRPr="00686C55">
                        <w:rPr>
                          <w:i/>
                          <w:iCs/>
                          <w:color w:val="0E101A"/>
                        </w:rPr>
                        <w:t xml:space="preserve"> + </w:t>
                      </w:r>
                      <w:proofErr w:type="spellStart"/>
                      <w:r w:rsidR="00E071C2" w:rsidRPr="00686C55">
                        <w:rPr>
                          <w:i/>
                          <w:iCs/>
                          <w:color w:val="0E101A"/>
                        </w:rPr>
                        <w:t>Female_CEO</w:t>
                      </w:r>
                      <w:proofErr w:type="spellEnd"/>
                      <w:r w:rsidR="00E071C2" w:rsidRPr="00686C55">
                        <w:rPr>
                          <w:i/>
                          <w:iCs/>
                          <w:color w:val="0E101A"/>
                        </w:rPr>
                        <w:t xml:space="preserve"> +</w:t>
                      </w:r>
                      <w:r>
                        <w:rPr>
                          <w:i/>
                          <w:iCs/>
                          <w:color w:val="0E101A"/>
                        </w:rPr>
                        <w:t xml:space="preserve"> %Executive Females </w:t>
                      </w:r>
                    </w:p>
                    <w:p w14:paraId="39A49643" w14:textId="77777777" w:rsidR="00E071C2" w:rsidRPr="00686C55" w:rsidRDefault="00D96DFB" w:rsidP="0079429B">
                      <w:pPr>
                        <w:tabs>
                          <w:tab w:val="left" w:pos="0"/>
                        </w:tabs>
                        <w:spacing w:line="480" w:lineRule="auto"/>
                        <w:ind w:left="-1276" w:right="-1322"/>
                        <w:jc w:val="center"/>
                        <w:rPr>
                          <w:i/>
                          <w:iCs/>
                          <w:color w:val="0E101A"/>
                        </w:rPr>
                      </w:pPr>
                      <w:r>
                        <w:rPr>
                          <w:i/>
                          <w:iCs/>
                          <w:color w:val="0E101A"/>
                        </w:rPr>
                        <w:t>+</w:t>
                      </w:r>
                      <w:r w:rsidR="0079429B">
                        <w:rPr>
                          <w:i/>
                          <w:iCs/>
                          <w:color w:val="0E101A"/>
                        </w:rPr>
                        <w:t xml:space="preserve"> </w:t>
                      </w:r>
                      <w:r w:rsidRPr="00686C55">
                        <w:rPr>
                          <w:i/>
                          <w:iCs/>
                          <w:color w:val="0E101A"/>
                        </w:rPr>
                        <w:t>Industry</w:t>
                      </w:r>
                      <w:r w:rsidR="0079429B">
                        <w:rPr>
                          <w:i/>
                          <w:iCs/>
                          <w:color w:val="0E101A"/>
                        </w:rPr>
                        <w:t xml:space="preserve">                                                                                          (1)</w:t>
                      </w:r>
                    </w:p>
                    <w:p w14:paraId="7A254AB9" w14:textId="77777777" w:rsidR="00E071C2" w:rsidRPr="00686C55" w:rsidRDefault="00E071C2" w:rsidP="00760A97">
                      <w:pPr>
                        <w:tabs>
                          <w:tab w:val="left" w:pos="0"/>
                        </w:tabs>
                        <w:jc w:val="center"/>
                        <w:rPr>
                          <w:i/>
                          <w:iCs/>
                        </w:rPr>
                      </w:pPr>
                    </w:p>
                  </w:txbxContent>
                </v:textbox>
              </v:shape>
            </w:pict>
          </mc:Fallback>
        </mc:AlternateContent>
      </w:r>
    </w:p>
    <w:p w14:paraId="2DF76502" w14:textId="1DC85A60" w:rsidR="000127AA" w:rsidRPr="00416C4A" w:rsidRDefault="000127AA" w:rsidP="00722545">
      <w:pPr>
        <w:pStyle w:val="NormalWeb"/>
        <w:spacing w:before="0" w:beforeAutospacing="0" w:after="0" w:afterAutospacing="0" w:line="480" w:lineRule="auto"/>
        <w:ind w:firstLine="720"/>
        <w:jc w:val="both"/>
      </w:pPr>
    </w:p>
    <w:p w14:paraId="793494AA" w14:textId="77777777" w:rsidR="000127AA" w:rsidRPr="00416C4A" w:rsidRDefault="000127AA" w:rsidP="00722545">
      <w:pPr>
        <w:pStyle w:val="NormalWeb"/>
        <w:spacing w:before="0" w:beforeAutospacing="0" w:after="0" w:afterAutospacing="0" w:line="480" w:lineRule="auto"/>
        <w:ind w:firstLine="720"/>
        <w:jc w:val="both"/>
      </w:pPr>
    </w:p>
    <w:p w14:paraId="56E162DC" w14:textId="1C7AB1F0" w:rsidR="00760A97" w:rsidRPr="00416C4A" w:rsidRDefault="00D96DFB" w:rsidP="00722545">
      <w:pPr>
        <w:pStyle w:val="NormalWeb"/>
        <w:spacing w:before="0" w:beforeAutospacing="0" w:after="0" w:afterAutospacing="0" w:line="480" w:lineRule="auto"/>
        <w:ind w:firstLine="720"/>
        <w:jc w:val="both"/>
      </w:pPr>
      <w:r w:rsidRPr="00416C4A">
        <w:t xml:space="preserve">In this model, </w:t>
      </w:r>
      <w:r w:rsidR="00EB0828" w:rsidRPr="00416C4A">
        <w:rPr>
          <w:i/>
          <w:iCs/>
        </w:rPr>
        <w:t>%Female</w:t>
      </w:r>
      <w:r w:rsidRPr="00416C4A">
        <w:t xml:space="preserve"> is calculated as the number of </w:t>
      </w:r>
      <w:r w:rsidR="00B16D85">
        <w:t>female directors</w:t>
      </w:r>
      <w:r w:rsidRPr="00416C4A">
        <w:t xml:space="preserve"> on the board divided by the total number of directors</w:t>
      </w:r>
      <w:r w:rsidR="004E2ED4" w:rsidRPr="00416C4A">
        <w:t>, multiplied by 100</w:t>
      </w:r>
      <w:r w:rsidRPr="00416C4A">
        <w:t xml:space="preserve">. The main variables of interest are </w:t>
      </w:r>
      <w:r w:rsidRPr="00416C4A">
        <w:rPr>
          <w:i/>
          <w:iCs/>
        </w:rPr>
        <w:t>Y2014</w:t>
      </w:r>
      <w:r w:rsidRPr="00416C4A">
        <w:t xml:space="preserve">, </w:t>
      </w:r>
      <w:r w:rsidRPr="00416C4A">
        <w:rPr>
          <w:i/>
          <w:iCs/>
        </w:rPr>
        <w:t>Y2016</w:t>
      </w:r>
      <w:r w:rsidR="00B16D85">
        <w:t>,</w:t>
      </w:r>
      <w:r w:rsidRPr="00416C4A">
        <w:t xml:space="preserve"> and </w:t>
      </w:r>
      <w:r w:rsidRPr="00416C4A">
        <w:rPr>
          <w:i/>
          <w:iCs/>
        </w:rPr>
        <w:t>Y2018</w:t>
      </w:r>
      <w:r w:rsidRPr="00416C4A">
        <w:t xml:space="preserve">. These are indicator variables coded as one when the observation corresponds to these specific years, and zero otherwise. The year 2012 is used as </w:t>
      </w:r>
      <w:r w:rsidR="00A07B40" w:rsidRPr="00416C4A">
        <w:t>the</w:t>
      </w:r>
      <w:r w:rsidRPr="00416C4A">
        <w:t xml:space="preserve"> reference point. Thus, if the coefficients o</w:t>
      </w:r>
      <w:r w:rsidR="00B16D85">
        <w:t>n</w:t>
      </w:r>
      <w:r w:rsidRPr="00416C4A">
        <w:t xml:space="preserve"> the </w:t>
      </w:r>
      <w:r w:rsidR="007227E1" w:rsidRPr="00416C4A">
        <w:t>year indicator variables</w:t>
      </w:r>
      <w:r w:rsidRPr="00416C4A">
        <w:t xml:space="preserve"> are positive, they indicate that the percentage of </w:t>
      </w:r>
      <w:r w:rsidR="00B16D85">
        <w:t xml:space="preserve">females </w:t>
      </w:r>
      <w:r w:rsidRPr="00416C4A">
        <w:t xml:space="preserve">sitting </w:t>
      </w:r>
      <w:r w:rsidR="00DF05C6" w:rsidRPr="00416C4A">
        <w:t>o</w:t>
      </w:r>
      <w:r w:rsidRPr="00416C4A">
        <w:t xml:space="preserve">n boards of directors increased from 2012 to the </w:t>
      </w:r>
      <w:r w:rsidR="00B16D85">
        <w:t xml:space="preserve">given </w:t>
      </w:r>
      <w:r w:rsidRPr="00416C4A">
        <w:t xml:space="preserve">year. </w:t>
      </w:r>
      <w:r w:rsidR="0024492D" w:rsidRPr="00416C4A">
        <w:t xml:space="preserve">Our </w:t>
      </w:r>
      <w:r w:rsidRPr="00416C4A">
        <w:t xml:space="preserve">focus is </w:t>
      </w:r>
      <w:r w:rsidR="00BC0F49" w:rsidRPr="00416C4A">
        <w:t xml:space="preserve">not only on these coefficients, but also </w:t>
      </w:r>
      <w:r w:rsidRPr="00416C4A">
        <w:t xml:space="preserve">on the </w:t>
      </w:r>
      <w:r w:rsidR="00E0054C" w:rsidRPr="00416C4A">
        <w:t>difference</w:t>
      </w:r>
      <w:r w:rsidR="007227E1" w:rsidRPr="00416C4A">
        <w:t>s</w:t>
      </w:r>
      <w:r w:rsidR="00D16CB3" w:rsidRPr="00416C4A">
        <w:t xml:space="preserve"> between the</w:t>
      </w:r>
      <w:r w:rsidR="00BC0F49" w:rsidRPr="00416C4A">
        <w:t>m</w:t>
      </w:r>
      <w:r w:rsidRPr="00416C4A">
        <w:t xml:space="preserve">, </w:t>
      </w:r>
      <w:r w:rsidR="00DF2AA6">
        <w:t>because</w:t>
      </w:r>
      <w:r w:rsidRPr="00416C4A">
        <w:t xml:space="preserve"> </w:t>
      </w:r>
      <w:r w:rsidR="00F55E46" w:rsidRPr="00416C4A">
        <w:t>we are interested in the change</w:t>
      </w:r>
      <w:r w:rsidR="00DF2AA6">
        <w:t>s</w:t>
      </w:r>
      <w:r w:rsidR="00F55E46" w:rsidRPr="00416C4A">
        <w:t xml:space="preserve"> in board diversity </w:t>
      </w:r>
      <w:r w:rsidR="00DF2AA6">
        <w:t>since</w:t>
      </w:r>
      <w:r w:rsidR="00F55E46" w:rsidRPr="00416C4A">
        <w:t xml:space="preserve"> 2012</w:t>
      </w:r>
      <w:r w:rsidR="00DF2AA6">
        <w:t xml:space="preserve"> and</w:t>
      </w:r>
      <w:r w:rsidRPr="00416C4A">
        <w:t xml:space="preserve"> </w:t>
      </w:r>
      <w:r w:rsidR="00F84AFD" w:rsidRPr="00416C4A">
        <w:t>in recent years</w:t>
      </w:r>
      <w:r w:rsidRPr="00416C4A">
        <w:t xml:space="preserve">. </w:t>
      </w:r>
    </w:p>
    <w:p w14:paraId="1F9A8683" w14:textId="700EC4DA" w:rsidR="00760A97" w:rsidRPr="00416C4A" w:rsidRDefault="00D96DFB" w:rsidP="00130B2F">
      <w:pPr>
        <w:pStyle w:val="NormalWeb"/>
        <w:spacing w:before="0" w:beforeAutospacing="0" w:after="0" w:afterAutospacing="0" w:line="480" w:lineRule="auto"/>
        <w:jc w:val="both"/>
      </w:pPr>
      <w:r w:rsidRPr="00416C4A">
        <w:tab/>
      </w:r>
      <w:proofErr w:type="spellStart"/>
      <w:r w:rsidRPr="00416C4A">
        <w:rPr>
          <w:i/>
          <w:iCs/>
        </w:rPr>
        <w:t>Female_Chair</w:t>
      </w:r>
      <w:proofErr w:type="spellEnd"/>
      <w:r w:rsidRPr="00416C4A">
        <w:t xml:space="preserve"> is an indicator variable coded as one when the chairperson of the board of directors is </w:t>
      </w:r>
      <w:r w:rsidR="00DF2AA6">
        <w:t>female</w:t>
      </w:r>
      <w:r w:rsidR="00DD6018" w:rsidRPr="00416C4A">
        <w:t>,</w:t>
      </w:r>
      <w:r w:rsidRPr="00416C4A">
        <w:t xml:space="preserve"> and zero otherwise. </w:t>
      </w:r>
      <w:proofErr w:type="spellStart"/>
      <w:r w:rsidRPr="00416C4A">
        <w:rPr>
          <w:i/>
          <w:iCs/>
        </w:rPr>
        <w:t>Female_CEO</w:t>
      </w:r>
      <w:proofErr w:type="spellEnd"/>
      <w:r w:rsidRPr="00416C4A">
        <w:t xml:space="preserve"> is an indicator variable coded as one </w:t>
      </w:r>
      <w:r w:rsidRPr="00416C4A">
        <w:lastRenderedPageBreak/>
        <w:t>when the C</w:t>
      </w:r>
      <w:r w:rsidR="00DF2AA6">
        <w:t xml:space="preserve">hief </w:t>
      </w:r>
      <w:r w:rsidRPr="00416C4A">
        <w:t>E</w:t>
      </w:r>
      <w:r w:rsidR="00DF2AA6">
        <w:t xml:space="preserve">xecutive </w:t>
      </w:r>
      <w:r w:rsidRPr="00416C4A">
        <w:t>O</w:t>
      </w:r>
      <w:r w:rsidR="00DF2AA6">
        <w:t>fficer</w:t>
      </w:r>
      <w:r w:rsidRPr="00416C4A">
        <w:t xml:space="preserve"> </w:t>
      </w:r>
      <w:r w:rsidR="00DF2AA6">
        <w:t xml:space="preserve">(CEO) </w:t>
      </w:r>
      <w:r w:rsidRPr="00416C4A">
        <w:t xml:space="preserve">is </w:t>
      </w:r>
      <w:r w:rsidR="00DF2AA6">
        <w:t>female</w:t>
      </w:r>
      <w:r w:rsidR="00653F70" w:rsidRPr="00416C4A">
        <w:t>,</w:t>
      </w:r>
      <w:r w:rsidRPr="00416C4A">
        <w:t xml:space="preserve"> and zero otherwise. </w:t>
      </w:r>
      <w:r w:rsidR="00E80A8E" w:rsidRPr="00416C4A">
        <w:rPr>
          <w:i/>
          <w:iCs/>
        </w:rPr>
        <w:t>%Executive Female</w:t>
      </w:r>
      <w:r w:rsidR="00E80A8E" w:rsidRPr="00416C4A">
        <w:t xml:space="preserve"> is</w:t>
      </w:r>
      <w:r w:rsidR="00BD1886" w:rsidRPr="00416C4A">
        <w:t xml:space="preserve"> the percentage of executive females sitting on the board of directors. </w:t>
      </w:r>
      <w:r w:rsidRPr="00416C4A">
        <w:t xml:space="preserve">These variables are included to test whether the presence of women in leadership roles is associated with an increase in </w:t>
      </w:r>
      <w:r w:rsidR="00DF2AA6">
        <w:t>female</w:t>
      </w:r>
      <w:r w:rsidRPr="00416C4A">
        <w:t xml:space="preserve"> board</w:t>
      </w:r>
      <w:r w:rsidR="00DF2AA6">
        <w:t xml:space="preserve"> representation</w:t>
      </w:r>
      <w:r w:rsidRPr="00416C4A">
        <w:t xml:space="preserve">. </w:t>
      </w:r>
      <w:r w:rsidR="00653F70" w:rsidRPr="00416C4A">
        <w:t>We</w:t>
      </w:r>
      <w:r w:rsidRPr="00416C4A">
        <w:t xml:space="preserve"> expect </w:t>
      </w:r>
      <w:r w:rsidR="00BD1886" w:rsidRPr="00416C4A">
        <w:t>the</w:t>
      </w:r>
      <w:r w:rsidR="00DF2AA6">
        <w:t>se</w:t>
      </w:r>
      <w:r w:rsidR="00BD1886" w:rsidRPr="00416C4A">
        <w:t xml:space="preserve"> three</w:t>
      </w:r>
      <w:r w:rsidRPr="00416C4A">
        <w:t xml:space="preserve"> </w:t>
      </w:r>
      <w:r w:rsidR="00653F70" w:rsidRPr="00416C4A">
        <w:t xml:space="preserve">variables </w:t>
      </w:r>
      <w:r w:rsidRPr="00416C4A">
        <w:t>to have positive coefficients</w:t>
      </w:r>
      <w:r w:rsidR="00653F70" w:rsidRPr="00416C4A">
        <w:t xml:space="preserve">, </w:t>
      </w:r>
      <w:r w:rsidR="00590288" w:rsidRPr="00416C4A">
        <w:t xml:space="preserve">consistent with </w:t>
      </w:r>
      <w:r w:rsidR="00130B2F" w:rsidRPr="00416C4A">
        <w:t xml:space="preserve">the belief that </w:t>
      </w:r>
      <w:r w:rsidR="00A768A2" w:rsidRPr="00416C4A">
        <w:t xml:space="preserve">when women hold leadership </w:t>
      </w:r>
      <w:r w:rsidR="001A447F" w:rsidRPr="00416C4A">
        <w:t>positions,</w:t>
      </w:r>
      <w:r w:rsidR="00A768A2" w:rsidRPr="00416C4A">
        <w:t xml:space="preserve"> they lead t</w:t>
      </w:r>
      <w:r w:rsidR="00E5321F" w:rsidRPr="00416C4A">
        <w:t>he</w:t>
      </w:r>
      <w:r w:rsidR="00A768A2" w:rsidRPr="00416C4A">
        <w:t xml:space="preserve"> w</w:t>
      </w:r>
      <w:r w:rsidR="00130B2F" w:rsidRPr="00416C4A">
        <w:t>ay</w:t>
      </w:r>
      <w:r w:rsidR="00A768A2" w:rsidRPr="00416C4A">
        <w:t xml:space="preserve"> for other women to follow. </w:t>
      </w:r>
      <w:r w:rsidR="00511066" w:rsidRPr="00416C4A">
        <w:t xml:space="preserve">We </w:t>
      </w:r>
      <w:r w:rsidR="00DF2AA6">
        <w:t>include</w:t>
      </w:r>
      <w:r w:rsidR="00511066" w:rsidRPr="00416C4A">
        <w:t xml:space="preserve"> </w:t>
      </w:r>
      <w:r w:rsidRPr="00416C4A">
        <w:t xml:space="preserve">industry fixed effects because the percentage of </w:t>
      </w:r>
      <w:r w:rsidR="00DF2AA6">
        <w:t>females</w:t>
      </w:r>
      <w:r w:rsidR="00DF2AA6" w:rsidRPr="00416C4A">
        <w:t xml:space="preserve"> </w:t>
      </w:r>
      <w:r w:rsidRPr="00416C4A">
        <w:t xml:space="preserve">sitting on boards may vary significantly across industries. </w:t>
      </w:r>
      <w:r w:rsidR="00355D2E" w:rsidRPr="00416C4A">
        <w:t xml:space="preserve">All variables are </w:t>
      </w:r>
      <w:r w:rsidR="00DF2AA6">
        <w:t xml:space="preserve">measured </w:t>
      </w:r>
      <w:r w:rsidR="00355D2E" w:rsidRPr="00416C4A">
        <w:t xml:space="preserve">at time t (i.e., there are no lagged variables). </w:t>
      </w:r>
      <w:r w:rsidR="006676D1" w:rsidRPr="00416C4A">
        <w:t>We</w:t>
      </w:r>
      <w:r w:rsidRPr="00416C4A">
        <w:t xml:space="preserve"> estimate the model clustering standard errors by firm, following Petersen (2009).</w:t>
      </w:r>
    </w:p>
    <w:p w14:paraId="59A5914F" w14:textId="5D6B03F9" w:rsidR="00760A97" w:rsidRPr="00416C4A" w:rsidRDefault="000441CF" w:rsidP="00722545">
      <w:pPr>
        <w:spacing w:line="480" w:lineRule="auto"/>
        <w:ind w:firstLine="720"/>
        <w:jc w:val="both"/>
      </w:pPr>
      <w:r w:rsidRPr="00416C4A">
        <w:rPr>
          <w:noProof/>
          <w:lang w:val="en-US" w:eastAsia="en-US"/>
        </w:rPr>
        <mc:AlternateContent>
          <mc:Choice Requires="wps">
            <w:drawing>
              <wp:anchor distT="0" distB="0" distL="114300" distR="114300" simplePos="0" relativeHeight="251660288" behindDoc="1" locked="0" layoutInCell="1" allowOverlap="1" wp14:anchorId="1810E9A8" wp14:editId="702D481D">
                <wp:simplePos x="0" y="0"/>
                <wp:positionH relativeFrom="column">
                  <wp:posOffset>-24765</wp:posOffset>
                </wp:positionH>
                <wp:positionV relativeFrom="paragraph">
                  <wp:posOffset>1716405</wp:posOffset>
                </wp:positionV>
                <wp:extent cx="5880735" cy="1828800"/>
                <wp:effectExtent l="0" t="0" r="0" b="0"/>
                <wp:wrapTight wrapText="bothSides">
                  <wp:wrapPolygon edited="0">
                    <wp:start x="233" y="603"/>
                    <wp:lineTo x="233" y="19883"/>
                    <wp:lineTo x="21318" y="19883"/>
                    <wp:lineTo x="21318" y="603"/>
                    <wp:lineTo x="233" y="603"/>
                  </wp:wrapPolygon>
                </wp:wrapTight>
                <wp:docPr id="3" name="Text Box 3"/>
                <wp:cNvGraphicFramePr/>
                <a:graphic xmlns:a="http://schemas.openxmlformats.org/drawingml/2006/main">
                  <a:graphicData uri="http://schemas.microsoft.com/office/word/2010/wordprocessingShape">
                    <wps:wsp>
                      <wps:cNvSpPr txBox="1"/>
                      <wps:spPr>
                        <a:xfrm>
                          <a:off x="0" y="0"/>
                          <a:ext cx="5880735" cy="1828800"/>
                        </a:xfrm>
                        <a:prstGeom prst="rect">
                          <a:avLst/>
                        </a:prstGeom>
                        <a:noFill/>
                        <a:ln w="6350">
                          <a:noFill/>
                        </a:ln>
                      </wps:spPr>
                      <wps:txbx>
                        <w:txbxContent>
                          <w:p w14:paraId="793AE6E6" w14:textId="77777777" w:rsidR="00E071C2" w:rsidRPr="0060487C" w:rsidRDefault="00D96DFB" w:rsidP="00722545">
                            <w:pPr>
                              <w:ind w:left="709" w:right="24" w:hanging="851"/>
                              <w:jc w:val="both"/>
                              <w:rPr>
                                <w:rFonts w:cstheme="minorHAnsi"/>
                              </w:rPr>
                            </w:pPr>
                            <w:r>
                              <w:rPr>
                                <w:rFonts w:cstheme="minorHAnsi"/>
                              </w:rPr>
                              <w:t xml:space="preserve"> </w:t>
                            </w:r>
                            <w:r w:rsidRPr="00984369">
                              <w:rPr>
                                <w:rFonts w:cstheme="minorHAnsi"/>
                              </w:rPr>
                              <w:t xml:space="preserve">ROA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0</m:t>
                                  </m:r>
                                </m:sub>
                              </m:sSub>
                            </m:oMath>
                            <w:r>
                              <w:rPr>
                                <w:rFonts w:eastAsiaTheme="minorEastAsia" w:cstheme="minorHAnsi"/>
                              </w:rPr>
                              <w:t xml:space="preserv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oMath>
                            <w:r w:rsidRPr="00984369">
                              <w:rPr>
                                <w:rFonts w:cstheme="minorHAnsi"/>
                              </w:rPr>
                              <w:t xml:space="preserve">%Female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2</m:t>
                                  </m:r>
                                </m:sub>
                              </m:sSub>
                            </m:oMath>
                            <w:r>
                              <w:rPr>
                                <w:rFonts w:cstheme="minorHAnsi"/>
                              </w:rPr>
                              <w:t>%Executive</w:t>
                            </w:r>
                            <w:r w:rsidR="000A7D8E">
                              <w:rPr>
                                <w:rFonts w:cstheme="minorHAnsi"/>
                              </w:rPr>
                              <w:t xml:space="preserve"> </w:t>
                            </w:r>
                            <w:r>
                              <w:rPr>
                                <w:rFonts w:cstheme="minorHAnsi"/>
                              </w:rPr>
                              <w:t xml:space="preserve">Female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3</m:t>
                                  </m:r>
                                </m:sub>
                              </m:sSub>
                            </m:oMath>
                            <w:r w:rsidRPr="00984369">
                              <w:rPr>
                                <w:rFonts w:cstheme="minorHAnsi"/>
                              </w:rPr>
                              <w:t>Board</w:t>
                            </w:r>
                            <w:r w:rsidR="000A7D8E">
                              <w:rPr>
                                <w:rFonts w:cstheme="minorHAnsi"/>
                              </w:rPr>
                              <w:t xml:space="preserve"> </w:t>
                            </w:r>
                            <w:r w:rsidRPr="00984369">
                              <w:rPr>
                                <w:rFonts w:cstheme="minorHAnsi"/>
                              </w:rPr>
                              <w:t xml:space="preserve">Size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4</m:t>
                                  </m:r>
                                </m:sub>
                              </m:sSub>
                            </m:oMath>
                            <w:r w:rsidR="000A7D8E">
                              <w:rPr>
                                <w:rFonts w:cstheme="minorHAnsi"/>
                              </w:rPr>
                              <w:t>Firm Size</w:t>
                            </w:r>
                            <w:r w:rsidRPr="00984369">
                              <w:rPr>
                                <w:rFonts w:cstheme="minorHAnsi"/>
                              </w:rPr>
                              <w:t xml:space="preserv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5</m:t>
                                  </m:r>
                                </m:sub>
                              </m:sSub>
                            </m:oMath>
                            <w:r>
                              <w:rPr>
                                <w:rFonts w:cstheme="minorHAnsi"/>
                              </w:rPr>
                              <w:t>Leverage + Industry</w:t>
                            </w:r>
                            <w:r w:rsidR="00C56676">
                              <w:rPr>
                                <w:rFonts w:cstheme="minorHAnsi"/>
                              </w:rPr>
                              <w:t xml:space="preserve"> + Year</w:t>
                            </w:r>
                            <w:r>
                              <w:rPr>
                                <w:rFonts w:cstheme="minorHAnsi"/>
                              </w:rPr>
                              <w:t xml:space="preserve"> + </w:t>
                            </w:r>
                            <w:r w:rsidR="00550BE7">
                              <w:t>ε</w:t>
                            </w:r>
                          </w:p>
                        </w:txbxContent>
                      </wps:txbx>
                      <wps:bodyPr rot="0" spcFirstLastPara="0" vertOverflow="overflow" horzOverflow="overflow" vert="horz" wrap="square"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10E9A8" id="Text Box 3" o:spid="_x0000_s1027" type="#_x0000_t202" style="position:absolute;left:0;text-align:left;margin-left:-1.95pt;margin-top:135.15pt;width:463.05pt;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" filled="f" stroked="f" strokeweight=".5pt">
                <v:textbox style="mso-fit-shape-to-text:t">
                  <w:txbxContent>
                    <w:p w14:paraId="793AE6E6" w14:textId="77777777" w:rsidR="00E071C2" w:rsidRPr="0060487C" w:rsidRDefault="00D96DFB" w:rsidP="00722545">
                      <w:pPr>
                        <w:ind w:left="709" w:right="24" w:hanging="851"/>
                        <w:jc w:val="both"/>
                        <w:rPr>
                          <w:rFonts w:cstheme="minorHAnsi"/>
                        </w:rPr>
                      </w:pPr>
                      <w:r>
                        <w:rPr>
                          <w:rFonts w:cstheme="minorHAnsi"/>
                        </w:rPr>
                        <w:t xml:space="preserve"> </w:t>
                      </w:r>
                      <w:r w:rsidRPr="00984369">
                        <w:rPr>
                          <w:rFonts w:cstheme="minorHAnsi"/>
                        </w:rPr>
                        <w:t xml:space="preserve">ROA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0</m:t>
                            </m:r>
                          </m:sub>
                        </m:sSub>
                      </m:oMath>
                      <w:r>
                        <w:rPr>
                          <w:rFonts w:eastAsiaTheme="minorEastAsia" w:cstheme="minorHAnsi"/>
                        </w:rPr>
                        <w:t xml:space="preserv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oMath>
                      <w:r w:rsidRPr="00984369">
                        <w:rPr>
                          <w:rFonts w:cstheme="minorHAnsi"/>
                        </w:rPr>
                        <w:t xml:space="preserve">%Female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2</m:t>
                            </m:r>
                          </m:sub>
                        </m:sSub>
                      </m:oMath>
                      <w:r>
                        <w:rPr>
                          <w:rFonts w:cstheme="minorHAnsi"/>
                        </w:rPr>
                        <w:t>%Executive</w:t>
                      </w:r>
                      <w:r w:rsidR="000A7D8E">
                        <w:rPr>
                          <w:rFonts w:cstheme="minorHAnsi"/>
                        </w:rPr>
                        <w:t xml:space="preserve"> </w:t>
                      </w:r>
                      <w:r>
                        <w:rPr>
                          <w:rFonts w:cstheme="minorHAnsi"/>
                        </w:rPr>
                        <w:t xml:space="preserve">Female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3</m:t>
                            </m:r>
                          </m:sub>
                        </m:sSub>
                      </m:oMath>
                      <w:r w:rsidRPr="00984369">
                        <w:rPr>
                          <w:rFonts w:cstheme="minorHAnsi"/>
                        </w:rPr>
                        <w:t>Board</w:t>
                      </w:r>
                      <w:r w:rsidR="000A7D8E">
                        <w:rPr>
                          <w:rFonts w:cstheme="minorHAnsi"/>
                        </w:rPr>
                        <w:t xml:space="preserve"> </w:t>
                      </w:r>
                      <w:r w:rsidRPr="00984369">
                        <w:rPr>
                          <w:rFonts w:cstheme="minorHAnsi"/>
                        </w:rPr>
                        <w:t xml:space="preserve">Size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4</m:t>
                            </m:r>
                          </m:sub>
                        </m:sSub>
                      </m:oMath>
                      <w:r w:rsidR="000A7D8E">
                        <w:rPr>
                          <w:rFonts w:cstheme="minorHAnsi"/>
                        </w:rPr>
                        <w:t>Firm Size</w:t>
                      </w:r>
                      <w:r w:rsidRPr="00984369">
                        <w:rPr>
                          <w:rFonts w:cstheme="minorHAnsi"/>
                        </w:rPr>
                        <w:t xml:space="preserve"> + </w:t>
                      </w: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5</m:t>
                            </m:r>
                          </m:sub>
                        </m:sSub>
                      </m:oMath>
                      <w:r>
                        <w:rPr>
                          <w:rFonts w:cstheme="minorHAnsi"/>
                        </w:rPr>
                        <w:t>Leverage + Industry</w:t>
                      </w:r>
                      <w:r w:rsidR="00C56676">
                        <w:rPr>
                          <w:rFonts w:cstheme="minorHAnsi"/>
                        </w:rPr>
                        <w:t xml:space="preserve"> + Year</w:t>
                      </w:r>
                      <w:r>
                        <w:rPr>
                          <w:rFonts w:cstheme="minorHAnsi"/>
                        </w:rPr>
                        <w:t xml:space="preserve"> + </w:t>
                      </w:r>
                      <w:r w:rsidR="00550BE7">
                        <w:t>ε</w:t>
                      </w:r>
                    </w:p>
                  </w:txbxContent>
                </v:textbox>
                <w10:wrap type="tight"/>
              </v:shape>
            </w:pict>
          </mc:Fallback>
        </mc:AlternateContent>
      </w:r>
      <w:r w:rsidR="00E236B2" w:rsidRPr="00416C4A">
        <w:t>Our</w:t>
      </w:r>
      <w:r w:rsidR="00B4623A" w:rsidRPr="00416C4A">
        <w:t xml:space="preserve"> second </w:t>
      </w:r>
      <w:r w:rsidR="00DE207E" w:rsidRPr="00416C4A">
        <w:t xml:space="preserve">goal is to assess </w:t>
      </w:r>
      <w:r w:rsidR="00D96DFB" w:rsidRPr="00416C4A">
        <w:t xml:space="preserve">whether </w:t>
      </w:r>
      <w:r w:rsidR="00B4623A" w:rsidRPr="00416C4A">
        <w:t xml:space="preserve">the presence of </w:t>
      </w:r>
      <w:r w:rsidR="00DF2AA6">
        <w:t>female directors</w:t>
      </w:r>
      <w:r w:rsidR="00B4623A" w:rsidRPr="00416C4A">
        <w:t xml:space="preserve"> is associated with firm</w:t>
      </w:r>
      <w:r w:rsidR="00B06DF8">
        <w:t xml:space="preserve"> </w:t>
      </w:r>
      <w:r w:rsidR="00B4623A" w:rsidRPr="00416C4A">
        <w:t>financial performance</w:t>
      </w:r>
      <w:r w:rsidR="00722545" w:rsidRPr="00416C4A">
        <w:t xml:space="preserve"> or value</w:t>
      </w:r>
      <w:r w:rsidR="00B4623A" w:rsidRPr="00416C4A">
        <w:t xml:space="preserve">. </w:t>
      </w:r>
      <w:r w:rsidR="007B148D" w:rsidRPr="00416C4A">
        <w:t>To</w:t>
      </w:r>
      <w:r w:rsidR="00B4623A" w:rsidRPr="00416C4A">
        <w:t xml:space="preserve"> </w:t>
      </w:r>
      <w:r w:rsidR="00380831" w:rsidRPr="00416C4A">
        <w:t>test t</w:t>
      </w:r>
      <w:r w:rsidR="00690A89" w:rsidRPr="00416C4A">
        <w:t>his</w:t>
      </w:r>
      <w:r w:rsidR="00D96DFB" w:rsidRPr="00416C4A">
        <w:t>,</w:t>
      </w:r>
      <w:r w:rsidR="00380831" w:rsidRPr="00416C4A">
        <w:t xml:space="preserve"> we </w:t>
      </w:r>
      <w:r w:rsidR="00DF2AA6">
        <w:t>estimate</w:t>
      </w:r>
      <w:r w:rsidR="00DF2AA6" w:rsidRPr="00416C4A">
        <w:t xml:space="preserve"> </w:t>
      </w:r>
      <w:r w:rsidR="00931705" w:rsidRPr="00416C4A">
        <w:t>ordinary least squares</w:t>
      </w:r>
      <w:r w:rsidR="00D96DFB" w:rsidRPr="00416C4A">
        <w:t xml:space="preserve"> </w:t>
      </w:r>
      <w:r w:rsidR="00380831" w:rsidRPr="00416C4A">
        <w:t>model</w:t>
      </w:r>
      <w:r w:rsidR="00DF2AA6">
        <w:t>s</w:t>
      </w:r>
      <w:r w:rsidR="00B14DD3" w:rsidRPr="00416C4A">
        <w:t>.</w:t>
      </w:r>
      <w:r w:rsidR="000E376C" w:rsidRPr="00416C4A">
        <w:t xml:space="preserve"> </w:t>
      </w:r>
      <w:r w:rsidR="004E72D7" w:rsidRPr="00416C4A">
        <w:t>W</w:t>
      </w:r>
      <w:r w:rsidR="00B11D7F" w:rsidRPr="00416C4A">
        <w:t>e</w:t>
      </w:r>
      <w:r w:rsidR="00B4623A" w:rsidRPr="00416C4A">
        <w:t xml:space="preserve"> </w:t>
      </w:r>
      <w:r w:rsidR="00B11D7F" w:rsidRPr="00416C4A">
        <w:t xml:space="preserve">measure </w:t>
      </w:r>
      <w:r w:rsidR="00722545" w:rsidRPr="00416C4A">
        <w:t>firm financial performance</w:t>
      </w:r>
      <w:r w:rsidR="00B4623A" w:rsidRPr="00416C4A">
        <w:t xml:space="preserve"> </w:t>
      </w:r>
      <w:r w:rsidR="00B06DF8">
        <w:t>using</w:t>
      </w:r>
      <w:r w:rsidR="00B06DF8" w:rsidRPr="00416C4A">
        <w:t xml:space="preserve"> </w:t>
      </w:r>
      <w:r w:rsidR="004E72D7" w:rsidRPr="00416C4A">
        <w:rPr>
          <w:i/>
          <w:iCs/>
        </w:rPr>
        <w:t>ROA</w:t>
      </w:r>
      <w:r w:rsidR="004E72D7" w:rsidRPr="00416C4A">
        <w:t xml:space="preserve"> </w:t>
      </w:r>
      <w:r w:rsidR="00B4623A" w:rsidRPr="00416C4A">
        <w:t xml:space="preserve">and </w:t>
      </w:r>
      <w:r w:rsidR="00722545" w:rsidRPr="00416C4A">
        <w:t>firm value</w:t>
      </w:r>
      <w:r w:rsidR="00B4623A" w:rsidRPr="00416C4A">
        <w:t xml:space="preserve"> </w:t>
      </w:r>
      <w:r w:rsidR="00B06DF8">
        <w:t>using</w:t>
      </w:r>
      <w:r w:rsidR="00B06DF8" w:rsidRPr="00416C4A">
        <w:t xml:space="preserve"> </w:t>
      </w:r>
      <w:r w:rsidR="004E72D7" w:rsidRPr="00416C4A">
        <w:rPr>
          <w:i/>
          <w:iCs/>
        </w:rPr>
        <w:t>Tobin’s Q</w:t>
      </w:r>
      <w:r w:rsidR="00B4623A" w:rsidRPr="00416C4A">
        <w:t xml:space="preserve">. </w:t>
      </w:r>
      <w:r w:rsidR="000312EB" w:rsidRPr="00416C4A">
        <w:t xml:space="preserve">In the first analysis, we </w:t>
      </w:r>
      <w:r w:rsidR="00B4623A" w:rsidRPr="00416C4A">
        <w:t>us</w:t>
      </w:r>
      <w:r w:rsidR="0068032A" w:rsidRPr="00416C4A">
        <w:t>e</w:t>
      </w:r>
      <w:r w:rsidR="00B4623A" w:rsidRPr="00416C4A">
        <w:t xml:space="preserve"> the entire (pooled) sample</w:t>
      </w:r>
      <w:r w:rsidR="00D96DFB" w:rsidRPr="00416C4A">
        <w:t xml:space="preserve">. </w:t>
      </w:r>
      <w:r w:rsidR="0068032A" w:rsidRPr="00416C4A">
        <w:t xml:space="preserve">Next, </w:t>
      </w:r>
      <w:r w:rsidR="0075510A" w:rsidRPr="00416C4A">
        <w:t>we create</w:t>
      </w:r>
      <w:r w:rsidR="00D96DFB" w:rsidRPr="00416C4A">
        <w:t xml:space="preserve"> two sub</w:t>
      </w:r>
      <w:r w:rsidR="0075510A" w:rsidRPr="00416C4A">
        <w:t xml:space="preserve">samples, </w:t>
      </w:r>
      <w:r w:rsidR="0037248B" w:rsidRPr="00416C4A">
        <w:t xml:space="preserve">separating </w:t>
      </w:r>
      <w:r w:rsidR="00B4623A" w:rsidRPr="00416C4A">
        <w:t xml:space="preserve">the </w:t>
      </w:r>
      <w:r w:rsidR="00690A89" w:rsidRPr="00416C4A">
        <w:t>initial years from the more recent years</w:t>
      </w:r>
      <w:r w:rsidR="00B4623A" w:rsidRPr="00416C4A">
        <w:t xml:space="preserve">. </w:t>
      </w:r>
      <w:r w:rsidR="0075510A" w:rsidRPr="00416C4A">
        <w:t xml:space="preserve">The models </w:t>
      </w:r>
      <w:r w:rsidR="00DF2AA6">
        <w:t xml:space="preserve">that we estimate </w:t>
      </w:r>
      <w:r w:rsidR="00D96DFB" w:rsidRPr="00416C4A">
        <w:t>are as follows</w:t>
      </w:r>
      <w:r w:rsidR="00B4623A" w:rsidRPr="00416C4A">
        <w:t>:</w:t>
      </w:r>
    </w:p>
    <w:p w14:paraId="43DC0FBF" w14:textId="0D7505C5" w:rsidR="00722545" w:rsidRPr="00416C4A" w:rsidRDefault="00D96DFB" w:rsidP="00722545">
      <w:pPr>
        <w:spacing w:line="480" w:lineRule="auto"/>
        <w:jc w:val="right"/>
        <w:rPr>
          <w:noProof/>
        </w:rPr>
      </w:pPr>
      <w:r w:rsidRPr="00416C4A">
        <w:rPr>
          <w:b/>
          <w:bCs/>
          <w:noProof/>
          <w:lang w:val="en-US" w:eastAsia="en-US"/>
        </w:rPr>
        <mc:AlternateContent>
          <mc:Choice Requires="wps">
            <w:drawing>
              <wp:anchor distT="0" distB="0" distL="114300" distR="114300" simplePos="0" relativeHeight="251662336" behindDoc="1" locked="0" layoutInCell="1" allowOverlap="1" wp14:anchorId="4E3DEB9B" wp14:editId="38848189">
                <wp:simplePos x="0" y="0"/>
                <wp:positionH relativeFrom="column">
                  <wp:posOffset>-78105</wp:posOffset>
                </wp:positionH>
                <wp:positionV relativeFrom="paragraph">
                  <wp:posOffset>770890</wp:posOffset>
                </wp:positionV>
                <wp:extent cx="5822950" cy="1828800"/>
                <wp:effectExtent l="0" t="0" r="0" b="0"/>
                <wp:wrapTight wrapText="bothSides">
                  <wp:wrapPolygon edited="0">
                    <wp:start x="236" y="603"/>
                    <wp:lineTo x="236" y="19883"/>
                    <wp:lineTo x="21341" y="19883"/>
                    <wp:lineTo x="21294" y="603"/>
                    <wp:lineTo x="236" y="603"/>
                  </wp:wrapPolygon>
                </wp:wrapTight>
                <wp:docPr id="2" name="Text Box 2"/>
                <wp:cNvGraphicFramePr/>
                <a:graphic xmlns:a="http://schemas.openxmlformats.org/drawingml/2006/main">
                  <a:graphicData uri="http://schemas.microsoft.com/office/word/2010/wordprocessingShape">
                    <wps:wsp>
                      <wps:cNvSpPr txBox="1"/>
                      <wps:spPr>
                        <a:xfrm>
                          <a:off x="0" y="0"/>
                          <a:ext cx="5822950" cy="1828800"/>
                        </a:xfrm>
                        <a:prstGeom prst="rect">
                          <a:avLst/>
                        </a:prstGeom>
                        <a:noFill/>
                        <a:ln w="6350">
                          <a:noFill/>
                        </a:ln>
                      </wps:spPr>
                      <wps:txbx>
                        <w:txbxContent>
                          <w:p w14:paraId="1AD108E2" w14:textId="77777777" w:rsidR="00E071C2" w:rsidRPr="00EE5703" w:rsidRDefault="00D96DFB" w:rsidP="00722545">
                            <w:pPr>
                              <w:tabs>
                                <w:tab w:val="left" w:pos="8931"/>
                              </w:tabs>
                              <w:ind w:left="1276" w:right="82" w:hanging="1276"/>
                              <w:jc w:val="both"/>
                            </w:pPr>
                            <w:r w:rsidRPr="00EE5703">
                              <w:t xml:space="preserve">Tobin’s Q = </w:t>
                            </w:r>
                            <m:oMath>
                              <m:sSub>
                                <m:sSubPr>
                                  <m:ctrlPr>
                                    <w:rPr>
                                      <w:rFonts w:ascii="Cambria Math" w:hAnsi="Cambria Math"/>
                                      <w:i/>
                                    </w:rPr>
                                  </m:ctrlPr>
                                </m:sSubPr>
                                <m:e>
                                  <m:r>
                                    <w:rPr>
                                      <w:rFonts w:ascii="Cambria Math" w:hAnsi="Cambria Math"/>
                                    </w:rPr>
                                    <m:t>α</m:t>
                                  </m:r>
                                </m:e>
                                <m:sub>
                                  <m:r>
                                    <w:rPr>
                                      <w:rFonts w:ascii="Cambria Math" w:hAnsi="Cambria Math"/>
                                    </w:rPr>
                                    <m:t>0</m:t>
                                  </m:r>
                                </m:sub>
                              </m:sSub>
                            </m:oMath>
                            <w:r w:rsidRPr="00EE5703">
                              <w:rPr>
                                <w:rFonts w:eastAsiaTheme="minorEastAsia"/>
                              </w:rPr>
                              <w:t xml:space="preserve"> + </w:t>
                            </w:r>
                            <m:oMath>
                              <m:sSub>
                                <m:sSubPr>
                                  <m:ctrlPr>
                                    <w:rPr>
                                      <w:rFonts w:ascii="Cambria Math" w:hAnsi="Cambria Math"/>
                                      <w:i/>
                                    </w:rPr>
                                  </m:ctrlPr>
                                </m:sSubPr>
                                <m:e>
                                  <m:r>
                                    <w:rPr>
                                      <w:rFonts w:ascii="Cambria Math" w:hAnsi="Cambria Math"/>
                                    </w:rPr>
                                    <m:t>α</m:t>
                                  </m:r>
                                </m:e>
                                <m:sub>
                                  <m:r>
                                    <w:rPr>
                                      <w:rFonts w:ascii="Cambria Math" w:hAnsi="Cambria Math"/>
                                    </w:rPr>
                                    <m:t>1</m:t>
                                  </m:r>
                                </m:sub>
                              </m:sSub>
                            </m:oMath>
                            <w:r w:rsidRPr="00EE5703">
                              <w:t xml:space="preserve">%Female + </w:t>
                            </w:r>
                            <m:oMath>
                              <m:sSub>
                                <m:sSubPr>
                                  <m:ctrlPr>
                                    <w:rPr>
                                      <w:rFonts w:ascii="Cambria Math" w:hAnsi="Cambria Math"/>
                                      <w:i/>
                                    </w:rPr>
                                  </m:ctrlPr>
                                </m:sSubPr>
                                <m:e>
                                  <m:r>
                                    <w:rPr>
                                      <w:rFonts w:ascii="Cambria Math" w:hAnsi="Cambria Math"/>
                                    </w:rPr>
                                    <m:t>α</m:t>
                                  </m:r>
                                </m:e>
                                <m:sub>
                                  <m:r>
                                    <w:rPr>
                                      <w:rFonts w:ascii="Cambria Math" w:hAnsi="Cambria Math"/>
                                    </w:rPr>
                                    <m:t>2</m:t>
                                  </m:r>
                                </m:sub>
                              </m:sSub>
                            </m:oMath>
                            <w:r w:rsidRPr="00EE5703">
                              <w:t xml:space="preserve">%Executive Female + </w:t>
                            </w:r>
                            <m:oMath>
                              <m:sSub>
                                <m:sSubPr>
                                  <m:ctrlPr>
                                    <w:rPr>
                                      <w:rFonts w:ascii="Cambria Math" w:hAnsi="Cambria Math"/>
                                      <w:i/>
                                    </w:rPr>
                                  </m:ctrlPr>
                                </m:sSubPr>
                                <m:e>
                                  <m:r>
                                    <w:rPr>
                                      <w:rFonts w:ascii="Cambria Math" w:hAnsi="Cambria Math"/>
                                    </w:rPr>
                                    <m:t>α</m:t>
                                  </m:r>
                                </m:e>
                                <m:sub>
                                  <m:r>
                                    <w:rPr>
                                      <w:rFonts w:ascii="Cambria Math" w:hAnsi="Cambria Math"/>
                                    </w:rPr>
                                    <m:t>3</m:t>
                                  </m:r>
                                </m:sub>
                              </m:sSub>
                            </m:oMath>
                            <w:r w:rsidRPr="00EE5703">
                              <w:t xml:space="preserve">Board Size + </w:t>
                            </w:r>
                            <m:oMath>
                              <m:sSub>
                                <m:sSubPr>
                                  <m:ctrlPr>
                                    <w:rPr>
                                      <w:rFonts w:ascii="Cambria Math" w:hAnsi="Cambria Math"/>
                                      <w:i/>
                                    </w:rPr>
                                  </m:ctrlPr>
                                </m:sSubPr>
                                <m:e>
                                  <m:r>
                                    <w:rPr>
                                      <w:rFonts w:ascii="Cambria Math" w:hAnsi="Cambria Math"/>
                                    </w:rPr>
                                    <m:t>α</m:t>
                                  </m:r>
                                </m:e>
                                <m:sub>
                                  <m:r>
                                    <w:rPr>
                                      <w:rFonts w:ascii="Cambria Math" w:hAnsi="Cambria Math"/>
                                    </w:rPr>
                                    <m:t>4</m:t>
                                  </m:r>
                                </m:sub>
                              </m:sSub>
                            </m:oMath>
                            <w:r w:rsidRPr="00EE5703">
                              <w:rPr>
                                <w:rFonts w:eastAsiaTheme="minorEastAsia"/>
                              </w:rPr>
                              <w:t xml:space="preserve">ROA + </w:t>
                            </w:r>
                            <w:r>
                              <w:rPr>
                                <w:rFonts w:eastAsiaTheme="minorEastAsia"/>
                              </w:rPr>
                              <w:t xml:space="preserve">   </w:t>
                            </w:r>
                            <m:oMath>
                              <m:sSub>
                                <m:sSubPr>
                                  <m:ctrlPr>
                                    <w:rPr>
                                      <w:rFonts w:ascii="Cambria Math" w:hAnsi="Cambria Math"/>
                                      <w:i/>
                                    </w:rPr>
                                  </m:ctrlPr>
                                </m:sSubPr>
                                <m:e>
                                  <m:r>
                                    <w:rPr>
                                      <w:rFonts w:ascii="Cambria Math" w:hAnsi="Cambria Math"/>
                                    </w:rPr>
                                    <m:t>α</m:t>
                                  </m:r>
                                </m:e>
                                <m:sub>
                                  <m:r>
                                    <w:rPr>
                                      <w:rFonts w:ascii="Cambria Math" w:hAnsi="Cambria Math"/>
                                    </w:rPr>
                                    <m:t>5</m:t>
                                  </m:r>
                                </m:sub>
                              </m:sSub>
                            </m:oMath>
                            <w:r w:rsidR="000D5373">
                              <w:t>Firm Size</w:t>
                            </w:r>
                            <w:r w:rsidRPr="00EE5703">
                              <w:t xml:space="preserve"> + </w:t>
                            </w:r>
                            <m:oMath>
                              <m:sSub>
                                <m:sSubPr>
                                  <m:ctrlPr>
                                    <w:rPr>
                                      <w:rFonts w:ascii="Cambria Math" w:hAnsi="Cambria Math"/>
                                      <w:i/>
                                    </w:rPr>
                                  </m:ctrlPr>
                                </m:sSubPr>
                                <m:e>
                                  <m:r>
                                    <w:rPr>
                                      <w:rFonts w:ascii="Cambria Math" w:hAnsi="Cambria Math"/>
                                    </w:rPr>
                                    <m:t>α</m:t>
                                  </m:r>
                                </m:e>
                                <m:sub>
                                  <m:r>
                                    <w:rPr>
                                      <w:rFonts w:ascii="Cambria Math" w:hAnsi="Cambria Math"/>
                                    </w:rPr>
                                    <m:t>6</m:t>
                                  </m:r>
                                </m:sub>
                              </m:sSub>
                            </m:oMath>
                            <w:r w:rsidRPr="00EE5703">
                              <w:t xml:space="preserve">Leverage + </w:t>
                            </w:r>
                            <w:r>
                              <w:t>Industry</w:t>
                            </w:r>
                            <w:r w:rsidR="00C56676">
                              <w:t xml:space="preserve"> + Year</w:t>
                            </w:r>
                            <w:r w:rsidRPr="00EE5703">
                              <w:t xml:space="preserve"> + </w:t>
                            </w:r>
                            <w:r w:rsidR="00550BE7">
                              <w:t>ε</w:t>
                            </w:r>
                          </w:p>
                        </w:txbxContent>
                      </wps:txbx>
                      <wps:bodyPr rot="0" spcFirstLastPara="0" vertOverflow="overflow" horzOverflow="overflow" vert="horz" wrap="square"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3DEB9B" id="Text Box 2" o:spid="_x0000_s1028" type="#_x0000_t202" style="position:absolute;left:0;text-align:left;margin-left:-6.15pt;margin-top:60.7pt;width:458.5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" filled="f" stroked="f" strokeweight=".5pt">
                <v:textbox style="mso-fit-shape-to-text:t">
                  <w:txbxContent>
                    <w:p w14:paraId="1AD108E2" w14:textId="77777777" w:rsidR="00E071C2" w:rsidRPr="00EE5703" w:rsidRDefault="00D96DFB" w:rsidP="00722545">
                      <w:pPr>
                        <w:tabs>
                          <w:tab w:val="left" w:pos="8931"/>
                        </w:tabs>
                        <w:ind w:left="1276" w:right="82" w:hanging="1276"/>
                        <w:jc w:val="both"/>
                      </w:pPr>
                      <w:r w:rsidRPr="00EE5703">
                        <w:t xml:space="preserve">Tobin’s Q = </w:t>
                      </w:r>
                      <m:oMath>
                        <m:sSub>
                          <m:sSubPr>
                            <m:ctrlPr>
                              <w:rPr>
                                <w:rFonts w:ascii="Cambria Math" w:hAnsi="Cambria Math"/>
                                <w:i/>
                              </w:rPr>
                            </m:ctrlPr>
                          </m:sSubPr>
                          <m:e>
                            <m:r>
                              <w:rPr>
                                <w:rFonts w:ascii="Cambria Math" w:hAnsi="Cambria Math"/>
                              </w:rPr>
                              <m:t>α</m:t>
                            </m:r>
                          </m:e>
                          <m:sub>
                            <m:r>
                              <w:rPr>
                                <w:rFonts w:ascii="Cambria Math" w:hAnsi="Cambria Math"/>
                              </w:rPr>
                              <m:t>0</m:t>
                            </m:r>
                          </m:sub>
                        </m:sSub>
                      </m:oMath>
                      <w:r w:rsidRPr="00EE5703">
                        <w:rPr>
                          <w:rFonts w:eastAsiaTheme="minorEastAsia"/>
                        </w:rPr>
                        <w:t xml:space="preserve"> + </w:t>
                      </w:r>
                      <m:oMath>
                        <m:sSub>
                          <m:sSubPr>
                            <m:ctrlPr>
                              <w:rPr>
                                <w:rFonts w:ascii="Cambria Math" w:hAnsi="Cambria Math"/>
                                <w:i/>
                              </w:rPr>
                            </m:ctrlPr>
                          </m:sSubPr>
                          <m:e>
                            <m:r>
                              <w:rPr>
                                <w:rFonts w:ascii="Cambria Math" w:hAnsi="Cambria Math"/>
                              </w:rPr>
                              <m:t>α</m:t>
                            </m:r>
                          </m:e>
                          <m:sub>
                            <m:r>
                              <w:rPr>
                                <w:rFonts w:ascii="Cambria Math" w:hAnsi="Cambria Math"/>
                              </w:rPr>
                              <m:t>1</m:t>
                            </m:r>
                          </m:sub>
                        </m:sSub>
                      </m:oMath>
                      <w:r w:rsidRPr="00EE5703">
                        <w:t xml:space="preserve">%Female + </w:t>
                      </w:r>
                      <m:oMath>
                        <m:sSub>
                          <m:sSubPr>
                            <m:ctrlPr>
                              <w:rPr>
                                <w:rFonts w:ascii="Cambria Math" w:hAnsi="Cambria Math"/>
                                <w:i/>
                              </w:rPr>
                            </m:ctrlPr>
                          </m:sSubPr>
                          <m:e>
                            <m:r>
                              <w:rPr>
                                <w:rFonts w:ascii="Cambria Math" w:hAnsi="Cambria Math"/>
                              </w:rPr>
                              <m:t>α</m:t>
                            </m:r>
                          </m:e>
                          <m:sub>
                            <m:r>
                              <w:rPr>
                                <w:rFonts w:ascii="Cambria Math" w:hAnsi="Cambria Math"/>
                              </w:rPr>
                              <m:t>2</m:t>
                            </m:r>
                          </m:sub>
                        </m:sSub>
                      </m:oMath>
                      <w:r w:rsidRPr="00EE5703">
                        <w:t xml:space="preserve">%Executive Female + </w:t>
                      </w:r>
                      <m:oMath>
                        <m:sSub>
                          <m:sSubPr>
                            <m:ctrlPr>
                              <w:rPr>
                                <w:rFonts w:ascii="Cambria Math" w:hAnsi="Cambria Math"/>
                                <w:i/>
                              </w:rPr>
                            </m:ctrlPr>
                          </m:sSubPr>
                          <m:e>
                            <m:r>
                              <w:rPr>
                                <w:rFonts w:ascii="Cambria Math" w:hAnsi="Cambria Math"/>
                              </w:rPr>
                              <m:t>α</m:t>
                            </m:r>
                          </m:e>
                          <m:sub>
                            <m:r>
                              <w:rPr>
                                <w:rFonts w:ascii="Cambria Math" w:hAnsi="Cambria Math"/>
                              </w:rPr>
                              <m:t>3</m:t>
                            </m:r>
                          </m:sub>
                        </m:sSub>
                      </m:oMath>
                      <w:r w:rsidRPr="00EE5703">
                        <w:t xml:space="preserve">Board Size + </w:t>
                      </w:r>
                      <m:oMath>
                        <m:sSub>
                          <m:sSubPr>
                            <m:ctrlPr>
                              <w:rPr>
                                <w:rFonts w:ascii="Cambria Math" w:hAnsi="Cambria Math"/>
                                <w:i/>
                              </w:rPr>
                            </m:ctrlPr>
                          </m:sSubPr>
                          <m:e>
                            <m:r>
                              <w:rPr>
                                <w:rFonts w:ascii="Cambria Math" w:hAnsi="Cambria Math"/>
                              </w:rPr>
                              <m:t>α</m:t>
                            </m:r>
                          </m:e>
                          <m:sub>
                            <m:r>
                              <w:rPr>
                                <w:rFonts w:ascii="Cambria Math" w:hAnsi="Cambria Math"/>
                              </w:rPr>
                              <m:t>4</m:t>
                            </m:r>
                          </m:sub>
                        </m:sSub>
                      </m:oMath>
                      <w:r w:rsidRPr="00EE5703">
                        <w:rPr>
                          <w:rFonts w:eastAsiaTheme="minorEastAsia"/>
                        </w:rPr>
                        <w:t xml:space="preserve">ROA + </w:t>
                      </w:r>
                      <w:r>
                        <w:rPr>
                          <w:rFonts w:eastAsiaTheme="minorEastAsia"/>
                        </w:rPr>
                        <w:t xml:space="preserve">   </w:t>
                      </w:r>
                      <m:oMath>
                        <m:sSub>
                          <m:sSubPr>
                            <m:ctrlPr>
                              <w:rPr>
                                <w:rFonts w:ascii="Cambria Math" w:hAnsi="Cambria Math"/>
                                <w:i/>
                              </w:rPr>
                            </m:ctrlPr>
                          </m:sSubPr>
                          <m:e>
                            <m:r>
                              <w:rPr>
                                <w:rFonts w:ascii="Cambria Math" w:hAnsi="Cambria Math"/>
                              </w:rPr>
                              <m:t>α</m:t>
                            </m:r>
                          </m:e>
                          <m:sub>
                            <m:r>
                              <w:rPr>
                                <w:rFonts w:ascii="Cambria Math" w:hAnsi="Cambria Math"/>
                              </w:rPr>
                              <m:t>5</m:t>
                            </m:r>
                          </m:sub>
                        </m:sSub>
                      </m:oMath>
                      <w:r w:rsidR="000D5373">
                        <w:t>Firm Size</w:t>
                      </w:r>
                      <w:r w:rsidRPr="00EE5703">
                        <w:t xml:space="preserve"> + </w:t>
                      </w:r>
                      <m:oMath>
                        <m:sSub>
                          <m:sSubPr>
                            <m:ctrlPr>
                              <w:rPr>
                                <w:rFonts w:ascii="Cambria Math" w:hAnsi="Cambria Math"/>
                                <w:i/>
                              </w:rPr>
                            </m:ctrlPr>
                          </m:sSubPr>
                          <m:e>
                            <m:r>
                              <w:rPr>
                                <w:rFonts w:ascii="Cambria Math" w:hAnsi="Cambria Math"/>
                              </w:rPr>
                              <m:t>α</m:t>
                            </m:r>
                          </m:e>
                          <m:sub>
                            <m:r>
                              <w:rPr>
                                <w:rFonts w:ascii="Cambria Math" w:hAnsi="Cambria Math"/>
                              </w:rPr>
                              <m:t>6</m:t>
                            </m:r>
                          </m:sub>
                        </m:sSub>
                      </m:oMath>
                      <w:r w:rsidRPr="00EE5703">
                        <w:t xml:space="preserve">Leverage + </w:t>
                      </w:r>
                      <w:r>
                        <w:t>Industry</w:t>
                      </w:r>
                      <w:r w:rsidR="00C56676">
                        <w:t xml:space="preserve"> + Year</w:t>
                      </w:r>
                      <w:r w:rsidRPr="00EE5703">
                        <w:t xml:space="preserve"> + </w:t>
                      </w:r>
                      <w:r w:rsidR="00550BE7">
                        <w:t>ε</w:t>
                      </w:r>
                    </w:p>
                  </w:txbxContent>
                </v:textbox>
                <w10:wrap type="tight"/>
              </v:shape>
            </w:pict>
          </mc:Fallback>
        </mc:AlternateContent>
      </w:r>
      <w:r w:rsidR="007A6F06" w:rsidRPr="00416C4A">
        <w:rPr>
          <w:noProof/>
        </w:rPr>
        <w:t>(2)</w:t>
      </w:r>
    </w:p>
    <w:p w14:paraId="34DBB153" w14:textId="3F4C2BF1" w:rsidR="008F0901" w:rsidRPr="00416C4A" w:rsidRDefault="00D96DFB" w:rsidP="00192B15">
      <w:pPr>
        <w:spacing w:line="480" w:lineRule="auto"/>
        <w:jc w:val="right"/>
      </w:pPr>
      <w:r w:rsidRPr="00416C4A">
        <w:t>(3)</w:t>
      </w:r>
    </w:p>
    <w:p w14:paraId="742EA94A" w14:textId="0FB3E9F2" w:rsidR="00722545" w:rsidRPr="00416C4A" w:rsidRDefault="00D96DFB" w:rsidP="00722545">
      <w:pPr>
        <w:spacing w:line="480" w:lineRule="auto"/>
        <w:ind w:firstLine="720"/>
        <w:jc w:val="both"/>
      </w:pPr>
      <w:r w:rsidRPr="00416C4A">
        <w:rPr>
          <w:i/>
          <w:iCs/>
        </w:rPr>
        <w:t>ROA</w:t>
      </w:r>
      <w:r w:rsidRPr="00416C4A">
        <w:t xml:space="preserve"> is calculated by dividing the company’s profit (loss) before tax by total assets. </w:t>
      </w:r>
      <w:r w:rsidRPr="00416C4A">
        <w:rPr>
          <w:i/>
          <w:iCs/>
        </w:rPr>
        <w:t>Tobin’s Q</w:t>
      </w:r>
      <w:r w:rsidRPr="00416C4A">
        <w:t xml:space="preserve"> is calculated </w:t>
      </w:r>
      <w:r w:rsidR="002F7E6C" w:rsidRPr="00416C4A">
        <w:t xml:space="preserve">by dividing </w:t>
      </w:r>
      <w:r w:rsidR="009471E2" w:rsidRPr="00416C4A">
        <w:t xml:space="preserve">a proxy for </w:t>
      </w:r>
      <w:r w:rsidR="0078618A" w:rsidRPr="00416C4A">
        <w:t>market value (</w:t>
      </w:r>
      <w:r w:rsidR="00DF2AA6">
        <w:t xml:space="preserve">i.e., </w:t>
      </w:r>
      <w:r w:rsidRPr="00416C4A">
        <w:t xml:space="preserve">number of shares outstanding </w:t>
      </w:r>
      <w:r w:rsidR="00DF2AA6">
        <w:t>x</w:t>
      </w:r>
      <w:r w:rsidR="00DF2AA6" w:rsidRPr="00416C4A">
        <w:t xml:space="preserve"> </w:t>
      </w:r>
      <w:r w:rsidRPr="00416C4A">
        <w:t xml:space="preserve">market price </w:t>
      </w:r>
      <w:r w:rsidR="0078618A" w:rsidRPr="00416C4A">
        <w:t xml:space="preserve">at </w:t>
      </w:r>
      <w:r w:rsidRPr="00416C4A">
        <w:t>year-end</w:t>
      </w:r>
      <w:r w:rsidR="00327ACC" w:rsidRPr="00416C4A">
        <w:t xml:space="preserve"> +</w:t>
      </w:r>
      <w:r w:rsidRPr="00416C4A">
        <w:t xml:space="preserve"> total liabilities</w:t>
      </w:r>
      <w:r w:rsidR="00327ACC" w:rsidRPr="00416C4A">
        <w:t>)</w:t>
      </w:r>
      <w:r w:rsidR="006A3753" w:rsidRPr="00416C4A">
        <w:t xml:space="preserve"> by</w:t>
      </w:r>
      <w:r w:rsidRPr="00416C4A">
        <w:t xml:space="preserve"> the sum of </w:t>
      </w:r>
      <w:r w:rsidR="00D31352" w:rsidRPr="00416C4A">
        <w:t xml:space="preserve">total </w:t>
      </w:r>
      <w:r w:rsidRPr="00416C4A">
        <w:t>s</w:t>
      </w:r>
      <w:r w:rsidR="008A5B72" w:rsidRPr="00416C4A">
        <w:t>tock</w:t>
      </w:r>
      <w:r w:rsidRPr="00416C4A">
        <w:t>holders</w:t>
      </w:r>
      <w:r w:rsidR="006414C0" w:rsidRPr="00416C4A">
        <w:t>’ equity</w:t>
      </w:r>
      <w:r w:rsidRPr="00416C4A">
        <w:t xml:space="preserve"> </w:t>
      </w:r>
      <w:r w:rsidR="00DF2AA6">
        <w:t>+</w:t>
      </w:r>
      <w:r w:rsidR="00DF2AA6" w:rsidRPr="00416C4A">
        <w:t xml:space="preserve"> </w:t>
      </w:r>
      <w:r w:rsidRPr="00416C4A">
        <w:t xml:space="preserve">total liabilities. </w:t>
      </w:r>
      <w:r w:rsidRPr="00416C4A">
        <w:rPr>
          <w:i/>
          <w:iCs/>
        </w:rPr>
        <w:t>% Female</w:t>
      </w:r>
      <w:r w:rsidRPr="00416C4A">
        <w:t xml:space="preserve"> is as defined for equation </w:t>
      </w:r>
      <w:r w:rsidR="00DF2AA6">
        <w:t>(</w:t>
      </w:r>
      <w:r w:rsidRPr="00416C4A">
        <w:t>1</w:t>
      </w:r>
      <w:r w:rsidR="00DF2AA6">
        <w:t>)</w:t>
      </w:r>
      <w:r w:rsidRPr="00416C4A">
        <w:t xml:space="preserve">. If the estimated coefficient </w:t>
      </w:r>
      <w:r w:rsidR="00DF2AA6">
        <w:t>on</w:t>
      </w:r>
      <w:r w:rsidR="00DF2AA6" w:rsidRPr="00416C4A">
        <w:t xml:space="preserve"> </w:t>
      </w:r>
      <w:r w:rsidRPr="00416C4A">
        <w:t>this variable is positive</w:t>
      </w:r>
      <w:r w:rsidR="00DF2AA6">
        <w:t xml:space="preserve"> and significant</w:t>
      </w:r>
      <w:r w:rsidRPr="00416C4A">
        <w:t xml:space="preserve">, the </w:t>
      </w:r>
      <w:r w:rsidR="00A867D3" w:rsidRPr="00416C4A">
        <w:t>results</w:t>
      </w:r>
      <w:r w:rsidRPr="00416C4A">
        <w:t xml:space="preserve"> </w:t>
      </w:r>
      <w:r w:rsidR="00A867D3" w:rsidRPr="00416C4A">
        <w:t>indicate</w:t>
      </w:r>
      <w:r w:rsidRPr="00416C4A">
        <w:t xml:space="preserve"> that having </w:t>
      </w:r>
      <w:r w:rsidR="00DF2AA6">
        <w:t xml:space="preserve">female </w:t>
      </w:r>
      <w:r w:rsidRPr="00416C4A">
        <w:t xml:space="preserve">directors is associated with </w:t>
      </w:r>
      <w:r w:rsidR="00DF2AA6">
        <w:t>better</w:t>
      </w:r>
      <w:r w:rsidR="00DF2AA6" w:rsidRPr="00416C4A">
        <w:t xml:space="preserve"> </w:t>
      </w:r>
      <w:r w:rsidR="00476D15" w:rsidRPr="00416C4A">
        <w:t xml:space="preserve">financial </w:t>
      </w:r>
      <w:r w:rsidRPr="00416C4A">
        <w:t>performance</w:t>
      </w:r>
      <w:r w:rsidR="00743C63" w:rsidRPr="00416C4A">
        <w:t xml:space="preserve"> </w:t>
      </w:r>
      <w:r w:rsidR="00E8255A" w:rsidRPr="00416C4A">
        <w:t>(</w:t>
      </w:r>
      <w:r w:rsidR="00743C63" w:rsidRPr="00416C4A">
        <w:t xml:space="preserve">equation </w:t>
      </w:r>
      <w:r w:rsidR="00DF2AA6">
        <w:t>(</w:t>
      </w:r>
      <w:r w:rsidR="00743C63" w:rsidRPr="00416C4A">
        <w:t>2</w:t>
      </w:r>
      <w:r w:rsidR="00DF2AA6">
        <w:t>)</w:t>
      </w:r>
      <w:r w:rsidR="00743C63" w:rsidRPr="00416C4A">
        <w:t>)</w:t>
      </w:r>
      <w:r w:rsidR="00E8255A" w:rsidRPr="00416C4A">
        <w:t xml:space="preserve"> </w:t>
      </w:r>
      <w:r w:rsidR="00743C63" w:rsidRPr="00416C4A">
        <w:t xml:space="preserve">and </w:t>
      </w:r>
      <w:r w:rsidR="00DF2AA6">
        <w:t xml:space="preserve">higher firm </w:t>
      </w:r>
      <w:r w:rsidR="00743C63" w:rsidRPr="00416C4A">
        <w:t xml:space="preserve">value </w:t>
      </w:r>
      <w:r w:rsidR="00E8255A" w:rsidRPr="00416C4A">
        <w:t>(</w:t>
      </w:r>
      <w:r w:rsidR="00743C63" w:rsidRPr="00416C4A">
        <w:t xml:space="preserve">equation </w:t>
      </w:r>
      <w:r w:rsidR="00DF2AA6">
        <w:t>(</w:t>
      </w:r>
      <w:r w:rsidR="00743C63" w:rsidRPr="00416C4A">
        <w:t>3</w:t>
      </w:r>
      <w:r w:rsidR="00DF2AA6">
        <w:t>)</w:t>
      </w:r>
      <w:r w:rsidRPr="00416C4A">
        <w:t xml:space="preserve">). </w:t>
      </w:r>
    </w:p>
    <w:p w14:paraId="66E1DE45" w14:textId="3C567880" w:rsidR="00722545" w:rsidRPr="00416C4A" w:rsidRDefault="00D96DFB" w:rsidP="00722545">
      <w:pPr>
        <w:spacing w:line="480" w:lineRule="auto"/>
        <w:ind w:firstLine="720"/>
        <w:jc w:val="both"/>
      </w:pPr>
      <w:r w:rsidRPr="00416C4A">
        <w:lastRenderedPageBreak/>
        <w:t xml:space="preserve">The control variables </w:t>
      </w:r>
      <w:r w:rsidR="0069264B" w:rsidRPr="00416C4A">
        <w:t xml:space="preserve">included </w:t>
      </w:r>
      <w:r w:rsidRPr="00416C4A">
        <w:t>are</w:t>
      </w:r>
      <w:r w:rsidR="004B5AC8" w:rsidRPr="00416C4A">
        <w:t xml:space="preserve"> </w:t>
      </w:r>
      <w:r w:rsidR="004B5AC8" w:rsidRPr="00416C4A">
        <w:rPr>
          <w:i/>
          <w:iCs/>
        </w:rPr>
        <w:t>%Executive Female</w:t>
      </w:r>
      <w:r w:rsidR="004B5AC8" w:rsidRPr="00383C4F">
        <w:t>,</w:t>
      </w:r>
      <w:r w:rsidRPr="00416C4A">
        <w:t xml:space="preserve"> </w:t>
      </w:r>
      <w:r w:rsidR="0069264B" w:rsidRPr="00416C4A">
        <w:rPr>
          <w:i/>
          <w:iCs/>
        </w:rPr>
        <w:t>B</w:t>
      </w:r>
      <w:r w:rsidRPr="00416C4A">
        <w:rPr>
          <w:i/>
          <w:iCs/>
        </w:rPr>
        <w:t xml:space="preserve">oard </w:t>
      </w:r>
      <w:r w:rsidR="0069264B" w:rsidRPr="00416C4A">
        <w:rPr>
          <w:i/>
          <w:iCs/>
        </w:rPr>
        <w:t>S</w:t>
      </w:r>
      <w:r w:rsidRPr="00416C4A">
        <w:rPr>
          <w:i/>
          <w:iCs/>
        </w:rPr>
        <w:t>ize</w:t>
      </w:r>
      <w:r w:rsidRPr="00416C4A">
        <w:t xml:space="preserve">, </w:t>
      </w:r>
      <w:r w:rsidR="0069264B" w:rsidRPr="00416C4A">
        <w:rPr>
          <w:i/>
          <w:iCs/>
        </w:rPr>
        <w:t>F</w:t>
      </w:r>
      <w:r w:rsidRPr="00416C4A">
        <w:rPr>
          <w:i/>
          <w:iCs/>
        </w:rPr>
        <w:t xml:space="preserve">irm </w:t>
      </w:r>
      <w:r w:rsidR="0069264B" w:rsidRPr="00416C4A">
        <w:rPr>
          <w:i/>
          <w:iCs/>
        </w:rPr>
        <w:t>S</w:t>
      </w:r>
      <w:r w:rsidRPr="00416C4A">
        <w:rPr>
          <w:i/>
          <w:iCs/>
        </w:rPr>
        <w:t>ize</w:t>
      </w:r>
      <w:r w:rsidRPr="00416C4A">
        <w:t xml:space="preserve">, </w:t>
      </w:r>
      <w:r w:rsidR="0069264B" w:rsidRPr="00416C4A">
        <w:rPr>
          <w:i/>
          <w:iCs/>
        </w:rPr>
        <w:t>L</w:t>
      </w:r>
      <w:r w:rsidRPr="00416C4A">
        <w:rPr>
          <w:i/>
          <w:iCs/>
        </w:rPr>
        <w:t>everage</w:t>
      </w:r>
      <w:r w:rsidRPr="00416C4A">
        <w:t>, and industry</w:t>
      </w:r>
      <w:r w:rsidR="003B2F52">
        <w:t xml:space="preserve"> fixed effects</w:t>
      </w:r>
      <w:r w:rsidRPr="00416C4A">
        <w:t xml:space="preserve"> </w:t>
      </w:r>
      <w:r w:rsidR="0087280B" w:rsidRPr="00416C4A">
        <w:t>and year</w:t>
      </w:r>
      <w:r w:rsidR="003B2F52">
        <w:t xml:space="preserve"> </w:t>
      </w:r>
      <w:r w:rsidRPr="00416C4A">
        <w:t xml:space="preserve">fixed effects. </w:t>
      </w:r>
      <w:r w:rsidR="004B5AC8" w:rsidRPr="00416C4A">
        <w:t xml:space="preserve">The variable </w:t>
      </w:r>
      <w:r w:rsidR="004B5AC8" w:rsidRPr="00416C4A">
        <w:rPr>
          <w:i/>
          <w:iCs/>
        </w:rPr>
        <w:t>%Executive Female</w:t>
      </w:r>
      <w:r w:rsidR="004B5AC8" w:rsidRPr="00416C4A">
        <w:t xml:space="preserve"> measures the proportion of female executive directors on the board, as </w:t>
      </w:r>
      <w:r w:rsidRPr="00416C4A">
        <w:t>in equation (1)</w:t>
      </w:r>
      <w:r w:rsidR="004B5AC8" w:rsidRPr="00416C4A">
        <w:t xml:space="preserve">. </w:t>
      </w:r>
      <w:r w:rsidRPr="00416C4A">
        <w:rPr>
          <w:i/>
          <w:iCs/>
        </w:rPr>
        <w:t xml:space="preserve">Board </w:t>
      </w:r>
      <w:r w:rsidR="0069264B" w:rsidRPr="00416C4A">
        <w:rPr>
          <w:i/>
          <w:iCs/>
        </w:rPr>
        <w:t>S</w:t>
      </w:r>
      <w:r w:rsidRPr="00416C4A">
        <w:rPr>
          <w:i/>
          <w:iCs/>
        </w:rPr>
        <w:t>ize</w:t>
      </w:r>
      <w:r w:rsidRPr="00416C4A">
        <w:t xml:space="preserve"> captures the total number of directors. Shehata </w:t>
      </w:r>
      <w:r w:rsidRPr="00416C4A">
        <w:rPr>
          <w:rStyle w:val="Emphasis"/>
        </w:rPr>
        <w:t>et al. </w:t>
      </w:r>
      <w:r w:rsidRPr="00416C4A">
        <w:t> (2017) associate</w:t>
      </w:r>
      <w:r w:rsidR="002A5190">
        <w:t>s</w:t>
      </w:r>
      <w:r w:rsidRPr="00416C4A">
        <w:t xml:space="preserve"> </w:t>
      </w:r>
      <w:r w:rsidR="00B84A5F" w:rsidRPr="00416C4A">
        <w:t>larger</w:t>
      </w:r>
      <w:r w:rsidRPr="00416C4A">
        <w:t xml:space="preserve"> board</w:t>
      </w:r>
      <w:r w:rsidR="00B84A5F" w:rsidRPr="00416C4A">
        <w:t>s</w:t>
      </w:r>
      <w:r w:rsidRPr="00416C4A">
        <w:t xml:space="preserve"> with more resources</w:t>
      </w:r>
      <w:r w:rsidR="002A5190">
        <w:t xml:space="preserve"> but</w:t>
      </w:r>
      <w:r w:rsidR="00557C37" w:rsidRPr="00416C4A">
        <w:t xml:space="preserve"> </w:t>
      </w:r>
      <w:r w:rsidRPr="00416C4A">
        <w:t xml:space="preserve">a larger </w:t>
      </w:r>
      <w:r w:rsidR="00DC7FEC" w:rsidRPr="00416C4A">
        <w:t xml:space="preserve">board </w:t>
      </w:r>
      <w:r w:rsidRPr="00416C4A">
        <w:t xml:space="preserve">can also be associated with lower efficiency. In fact, </w:t>
      </w:r>
      <w:proofErr w:type="spellStart"/>
      <w:r w:rsidRPr="00416C4A">
        <w:t>Hartarska</w:t>
      </w:r>
      <w:proofErr w:type="spellEnd"/>
      <w:r w:rsidRPr="00416C4A">
        <w:t xml:space="preserve"> and </w:t>
      </w:r>
      <w:proofErr w:type="spellStart"/>
      <w:r w:rsidRPr="00416C4A">
        <w:t>Nadolnyak</w:t>
      </w:r>
      <w:proofErr w:type="spellEnd"/>
      <w:r w:rsidRPr="00416C4A">
        <w:t xml:space="preserve"> (2012) </w:t>
      </w:r>
      <w:r w:rsidR="00181ECB" w:rsidRPr="00416C4A">
        <w:t>find</w:t>
      </w:r>
      <w:r w:rsidR="002A5190">
        <w:t>s</w:t>
      </w:r>
      <w:r w:rsidRPr="00416C4A">
        <w:t xml:space="preserve"> that firm efficiency improves with board size but worsens </w:t>
      </w:r>
      <w:r w:rsidR="002A5190">
        <w:t>for</w:t>
      </w:r>
      <w:r w:rsidR="002A5190" w:rsidRPr="00416C4A">
        <w:t xml:space="preserve"> </w:t>
      </w:r>
      <w:r w:rsidRPr="00416C4A">
        <w:t xml:space="preserve">boards </w:t>
      </w:r>
      <w:r w:rsidR="002A5190">
        <w:t>with</w:t>
      </w:r>
      <w:r w:rsidR="002A5190" w:rsidRPr="00416C4A">
        <w:t xml:space="preserve"> </w:t>
      </w:r>
      <w:r w:rsidRPr="00416C4A">
        <w:t>more than 13 members. </w:t>
      </w:r>
      <w:r w:rsidR="004276C3" w:rsidRPr="00416C4A">
        <w:rPr>
          <w:i/>
          <w:iCs/>
        </w:rPr>
        <w:t xml:space="preserve">Firm </w:t>
      </w:r>
      <w:r w:rsidR="00F34765" w:rsidRPr="00416C4A">
        <w:rPr>
          <w:i/>
          <w:iCs/>
        </w:rPr>
        <w:t>S</w:t>
      </w:r>
      <w:r w:rsidRPr="00416C4A">
        <w:rPr>
          <w:i/>
          <w:iCs/>
        </w:rPr>
        <w:t>ize</w:t>
      </w:r>
      <w:r w:rsidRPr="00416C4A">
        <w:t xml:space="preserve"> is measured as the logarithm of th</w:t>
      </w:r>
      <w:r w:rsidR="002A5190">
        <w:t>e</w:t>
      </w:r>
      <w:r w:rsidRPr="00416C4A">
        <w:t xml:space="preserve"> year’s </w:t>
      </w:r>
      <w:r w:rsidR="006F2AE1">
        <w:t>revenue</w:t>
      </w:r>
      <w:r w:rsidRPr="00416C4A">
        <w:t xml:space="preserve">. </w:t>
      </w:r>
      <w:r w:rsidR="00F8584D" w:rsidRPr="00416C4A">
        <w:t>This variable is</w:t>
      </w:r>
      <w:r w:rsidR="00735C41" w:rsidRPr="00416C4A">
        <w:t xml:space="preserve"> included </w:t>
      </w:r>
      <w:r w:rsidR="002A5190">
        <w:t>because</w:t>
      </w:r>
      <w:r w:rsidR="00735C41" w:rsidRPr="00416C4A">
        <w:t xml:space="preserve"> </w:t>
      </w:r>
      <w:r w:rsidR="00867B9F" w:rsidRPr="00416C4A">
        <w:t>women are more likely to sit on the board</w:t>
      </w:r>
      <w:r w:rsidRPr="00416C4A">
        <w:t>s of large firms (Adams 2016).</w:t>
      </w:r>
      <w:r w:rsidRPr="00416C4A">
        <w:rPr>
          <w:rStyle w:val="FootnoteReference"/>
        </w:rPr>
        <w:footnoteReference w:id="4"/>
      </w:r>
      <w:r w:rsidR="00867B9F" w:rsidRPr="00416C4A">
        <w:t xml:space="preserve"> </w:t>
      </w:r>
      <w:r w:rsidRPr="00416C4A">
        <w:t xml:space="preserve">Consistent with </w:t>
      </w:r>
      <w:r w:rsidR="002A5190">
        <w:t>prior</w:t>
      </w:r>
      <w:r w:rsidR="002A5190" w:rsidRPr="00416C4A">
        <w:t xml:space="preserve"> </w:t>
      </w:r>
      <w:r w:rsidRPr="00416C4A">
        <w:t xml:space="preserve">literature, </w:t>
      </w:r>
      <w:r w:rsidR="0087280B" w:rsidRPr="00416C4A">
        <w:t>we</w:t>
      </w:r>
      <w:r w:rsidRPr="00416C4A">
        <w:t xml:space="preserve"> expect firm size to </w:t>
      </w:r>
      <w:r w:rsidR="00EE4EAD" w:rsidRPr="00416C4A">
        <w:t>be</w:t>
      </w:r>
      <w:r w:rsidRPr="00416C4A">
        <w:t xml:space="preserve"> negative</w:t>
      </w:r>
      <w:r w:rsidR="00EE4EAD" w:rsidRPr="00416C4A">
        <w:t>ly</w:t>
      </w:r>
      <w:r w:rsidRPr="00416C4A">
        <w:t xml:space="preserve"> associat</w:t>
      </w:r>
      <w:r w:rsidR="00EE4EAD" w:rsidRPr="00416C4A">
        <w:t>ed</w:t>
      </w:r>
      <w:r w:rsidRPr="00416C4A">
        <w:t xml:space="preserve"> with performance (Adams and Ferreira 2009). </w:t>
      </w:r>
      <w:r w:rsidR="002A5190">
        <w:t>We include i</w:t>
      </w:r>
      <w:r w:rsidRPr="00416C4A">
        <w:t xml:space="preserve">ndustry indicators </w:t>
      </w:r>
      <w:r w:rsidR="002A5190">
        <w:t>because</w:t>
      </w:r>
      <w:r w:rsidRPr="00416C4A">
        <w:t xml:space="preserve"> different industries have different levels of profitability</w:t>
      </w:r>
      <w:r w:rsidR="00D23550" w:rsidRPr="00416C4A">
        <w:t xml:space="preserve"> and</w:t>
      </w:r>
      <w:r w:rsidR="0099501D" w:rsidRPr="00416C4A">
        <w:t>/or</w:t>
      </w:r>
      <w:r w:rsidR="00D23550" w:rsidRPr="00416C4A">
        <w:t xml:space="preserve"> valuation</w:t>
      </w:r>
      <w:r w:rsidR="002A5190">
        <w:t xml:space="preserve"> and we include y</w:t>
      </w:r>
      <w:r w:rsidR="0087280B" w:rsidRPr="00416C4A">
        <w:t xml:space="preserve">ear indicators </w:t>
      </w:r>
      <w:r w:rsidR="002A5190">
        <w:t>to control for</w:t>
      </w:r>
      <w:r w:rsidRPr="00416C4A">
        <w:t xml:space="preserve"> time effects. </w:t>
      </w:r>
      <w:r w:rsidR="0024109F" w:rsidRPr="00416C4A">
        <w:t xml:space="preserve">All variables are </w:t>
      </w:r>
      <w:r w:rsidR="002A5190">
        <w:t xml:space="preserve">measured </w:t>
      </w:r>
      <w:r w:rsidR="0024109F" w:rsidRPr="00416C4A">
        <w:t>at time t and t</w:t>
      </w:r>
      <w:r w:rsidRPr="00416C4A">
        <w:t xml:space="preserve">he regressions are estimated with standard errors clustered by firm. </w:t>
      </w:r>
    </w:p>
    <w:p w14:paraId="3255EA2B" w14:textId="10EE1E66" w:rsidR="00ED17A1" w:rsidRPr="00416C4A" w:rsidRDefault="00D96DFB" w:rsidP="00030F38">
      <w:pPr>
        <w:spacing w:line="480" w:lineRule="auto"/>
        <w:jc w:val="both"/>
        <w:rPr>
          <w:rFonts w:ascii="Times" w:hAnsi="Times"/>
        </w:rPr>
      </w:pPr>
      <w:r w:rsidRPr="00416C4A">
        <w:tab/>
      </w:r>
      <w:r w:rsidR="002A5190">
        <w:t>W</w:t>
      </w:r>
      <w:r w:rsidR="00C80BFA" w:rsidRPr="00416C4A">
        <w:t>e</w:t>
      </w:r>
      <w:r w:rsidRPr="00416C4A">
        <w:t xml:space="preserve"> </w:t>
      </w:r>
      <w:r w:rsidR="002A5190">
        <w:t xml:space="preserve">also estimate </w:t>
      </w:r>
      <w:r w:rsidRPr="00416C4A">
        <w:t>a simultaneous equation</w:t>
      </w:r>
      <w:r w:rsidR="002A5190">
        <w:t>s</w:t>
      </w:r>
      <w:r w:rsidRPr="00416C4A">
        <w:t xml:space="preserve"> model </w:t>
      </w:r>
      <w:r w:rsidR="00B328C0" w:rsidRPr="00416C4A">
        <w:t>(</w:t>
      </w:r>
      <w:r w:rsidRPr="00416C4A">
        <w:t>Zellner and Theil 1962)</w:t>
      </w:r>
      <w:r w:rsidR="00B328C0" w:rsidRPr="00416C4A">
        <w:t xml:space="preserve">, </w:t>
      </w:r>
      <w:r w:rsidR="002A5190">
        <w:t>which</w:t>
      </w:r>
      <w:r w:rsidR="00CC01D0" w:rsidRPr="00416C4A">
        <w:t xml:space="preserve"> allows us</w:t>
      </w:r>
      <w:r w:rsidRPr="00416C4A">
        <w:t xml:space="preserve"> to measure the effect of the percentage of female </w:t>
      </w:r>
      <w:r w:rsidR="00CC01D0" w:rsidRPr="00416C4A">
        <w:t xml:space="preserve">board members </w:t>
      </w:r>
      <w:r w:rsidRPr="00416C4A">
        <w:t xml:space="preserve">on both </w:t>
      </w:r>
      <w:r w:rsidR="00CC01D0" w:rsidRPr="00416C4A">
        <w:rPr>
          <w:i/>
          <w:iCs/>
        </w:rPr>
        <w:t>R</w:t>
      </w:r>
      <w:r w:rsidRPr="00416C4A">
        <w:rPr>
          <w:i/>
          <w:iCs/>
        </w:rPr>
        <w:t>OA</w:t>
      </w:r>
      <w:r w:rsidRPr="00416C4A">
        <w:t xml:space="preserve"> and </w:t>
      </w:r>
      <w:r w:rsidRPr="00416C4A">
        <w:rPr>
          <w:i/>
          <w:iCs/>
        </w:rPr>
        <w:t>Tobin’s Q</w:t>
      </w:r>
      <w:r w:rsidR="002A5190">
        <w:t>.</w:t>
      </w:r>
      <w:r w:rsidR="0035078F" w:rsidRPr="00416C4A">
        <w:rPr>
          <w:i/>
          <w:iCs/>
        </w:rPr>
        <w:t xml:space="preserve"> </w:t>
      </w:r>
      <w:r w:rsidR="002A5190">
        <w:t xml:space="preserve">This is important because </w:t>
      </w:r>
      <w:r w:rsidR="002A2519" w:rsidRPr="00416C4A">
        <w:t>the</w:t>
      </w:r>
      <w:r w:rsidR="002A5190">
        <w:t>se</w:t>
      </w:r>
      <w:r w:rsidR="002A2519" w:rsidRPr="00416C4A">
        <w:t xml:space="preserve"> two dependent variables</w:t>
      </w:r>
      <w:r w:rsidR="002A5190">
        <w:t xml:space="preserve"> can be related</w:t>
      </w:r>
      <w:r w:rsidR="002A2519" w:rsidRPr="00416C4A">
        <w:t xml:space="preserve">. </w:t>
      </w:r>
      <w:r w:rsidR="00504DF5" w:rsidRPr="00416C4A">
        <w:t>I</w:t>
      </w:r>
      <w:r w:rsidR="0086439B" w:rsidRPr="00416C4A">
        <w:t>n</w:t>
      </w:r>
      <w:r w:rsidR="002A2519" w:rsidRPr="00416C4A">
        <w:t xml:space="preserve"> </w:t>
      </w:r>
      <w:r w:rsidR="00F22475" w:rsidRPr="00416C4A">
        <w:t>this model</w:t>
      </w:r>
      <w:r w:rsidRPr="00416C4A">
        <w:t>,</w:t>
      </w:r>
      <w:r w:rsidR="002A5190">
        <w:t xml:space="preserve"> </w:t>
      </w:r>
      <w:r w:rsidR="005056D2" w:rsidRPr="00416C4A">
        <w:rPr>
          <w:i/>
          <w:iCs/>
        </w:rPr>
        <w:t>%Female</w:t>
      </w:r>
      <w:r w:rsidR="005056D2" w:rsidRPr="00416C4A">
        <w:t xml:space="preserve"> </w:t>
      </w:r>
      <w:r w:rsidR="002A5190">
        <w:t>i</w:t>
      </w:r>
      <w:r w:rsidR="005056D2" w:rsidRPr="00416C4A">
        <w:t>s an endogenous variable</w:t>
      </w:r>
      <w:r w:rsidRPr="00416C4A">
        <w:t xml:space="preserve">. Appendix A </w:t>
      </w:r>
      <w:r w:rsidR="00030F38" w:rsidRPr="00416C4A">
        <w:t>describes</w:t>
      </w:r>
      <w:r w:rsidRPr="00416C4A">
        <w:t xml:space="preserve"> all the variables used in the multivariate tests</w:t>
      </w:r>
      <w:r w:rsidRPr="00416C4A">
        <w:rPr>
          <w:rFonts w:ascii="Times" w:hAnsi="Times"/>
        </w:rPr>
        <w:t>.</w:t>
      </w:r>
    </w:p>
    <w:p w14:paraId="0EBB89FF" w14:textId="250553D5" w:rsidR="00722545" w:rsidRPr="00416C4A" w:rsidRDefault="00722545" w:rsidP="00722545">
      <w:pPr>
        <w:spacing w:line="480" w:lineRule="auto"/>
        <w:ind w:right="24" w:firstLine="709"/>
        <w:jc w:val="both"/>
      </w:pPr>
    </w:p>
    <w:p w14:paraId="28FA8866" w14:textId="07E3D20A" w:rsidR="00ED17A1" w:rsidRPr="00416C4A" w:rsidRDefault="00D96DFB" w:rsidP="00E5321F">
      <w:pPr>
        <w:pStyle w:val="Heading1"/>
        <w:numPr>
          <w:ilvl w:val="0"/>
          <w:numId w:val="1"/>
        </w:numPr>
        <w:spacing w:line="480" w:lineRule="auto"/>
        <w:jc w:val="center"/>
        <w:rPr>
          <w:rFonts w:ascii="Times New Roman" w:eastAsia="Times New Roman" w:hAnsi="Times New Roman" w:cs="Times New Roman"/>
          <w:b/>
          <w:bCs/>
          <w:caps/>
          <w:color w:val="auto"/>
          <w:sz w:val="24"/>
          <w:szCs w:val="24"/>
        </w:rPr>
      </w:pPr>
      <w:bookmarkStart w:id="12" w:name="_Toc48157846"/>
      <w:bookmarkStart w:id="13" w:name="_Toc49414747"/>
      <w:r w:rsidRPr="00416C4A">
        <w:rPr>
          <w:rFonts w:ascii="Times New Roman" w:eastAsia="Times New Roman" w:hAnsi="Times New Roman" w:cs="Times New Roman"/>
          <w:b/>
          <w:bCs/>
          <w:caps/>
          <w:color w:val="auto"/>
          <w:sz w:val="24"/>
          <w:szCs w:val="24"/>
        </w:rPr>
        <w:t>Sample and d</w:t>
      </w:r>
      <w:r w:rsidR="00AB6E6C" w:rsidRPr="00416C4A">
        <w:rPr>
          <w:rFonts w:ascii="Times New Roman" w:eastAsia="Times New Roman" w:hAnsi="Times New Roman" w:cs="Times New Roman"/>
          <w:b/>
          <w:bCs/>
          <w:caps/>
          <w:color w:val="auto"/>
          <w:sz w:val="24"/>
          <w:szCs w:val="24"/>
        </w:rPr>
        <w:t>ata</w:t>
      </w:r>
      <w:bookmarkEnd w:id="12"/>
      <w:bookmarkEnd w:id="13"/>
    </w:p>
    <w:p w14:paraId="57928B6A" w14:textId="0B942DB3" w:rsidR="00127EB7" w:rsidRPr="00416C4A" w:rsidRDefault="00D96DFB" w:rsidP="00ED17A1">
      <w:pPr>
        <w:spacing w:line="480" w:lineRule="auto"/>
        <w:jc w:val="both"/>
      </w:pPr>
      <w:r w:rsidRPr="00416C4A">
        <w:tab/>
      </w:r>
      <w:r w:rsidR="00AE3C12" w:rsidRPr="00416C4A">
        <w:t xml:space="preserve">We </w:t>
      </w:r>
      <w:r w:rsidRPr="00416C4A">
        <w:t xml:space="preserve">focus on </w:t>
      </w:r>
      <w:r w:rsidR="00AE3C12" w:rsidRPr="00416C4A">
        <w:t>the largest firms in the UK</w:t>
      </w:r>
      <w:r w:rsidR="00F63638">
        <w:t xml:space="preserve"> because </w:t>
      </w:r>
      <w:r w:rsidR="00A62A93" w:rsidRPr="00416C4A">
        <w:t xml:space="preserve">the voluntary target was set for the FTSE 350, which includes firms </w:t>
      </w:r>
      <w:r w:rsidR="00F63638">
        <w:t>in</w:t>
      </w:r>
      <w:r w:rsidR="00A62A93" w:rsidRPr="00416C4A">
        <w:t xml:space="preserve"> the FTSE 100 and </w:t>
      </w:r>
      <w:r w:rsidR="00CA5E4D" w:rsidRPr="00416C4A">
        <w:t>in the FTSE 250 index.</w:t>
      </w:r>
      <w:r w:rsidR="00AE3C12" w:rsidRPr="00416C4A">
        <w:t xml:space="preserve"> </w:t>
      </w:r>
      <w:r w:rsidR="00F63638">
        <w:t xml:space="preserve">Because our </w:t>
      </w:r>
      <w:r w:rsidR="00F63638">
        <w:lastRenderedPageBreak/>
        <w:t>sample period starts in</w:t>
      </w:r>
      <w:r w:rsidR="00D63980" w:rsidRPr="00416C4A">
        <w:t xml:space="preserve"> 2012, we start by considering </w:t>
      </w:r>
      <w:r w:rsidR="00E51F46" w:rsidRPr="00416C4A">
        <w:t>all</w:t>
      </w:r>
      <w:r w:rsidR="00D63980" w:rsidRPr="00416C4A">
        <w:t xml:space="preserve"> firms </w:t>
      </w:r>
      <w:r w:rsidR="00D95324" w:rsidRPr="00416C4A">
        <w:t xml:space="preserve">that were included </w:t>
      </w:r>
      <w:r w:rsidR="00D63980" w:rsidRPr="00416C4A">
        <w:t>in th</w:t>
      </w:r>
      <w:r w:rsidR="00111D36" w:rsidRPr="00416C4A">
        <w:t>e FTSE100</w:t>
      </w:r>
      <w:r w:rsidR="00D91756" w:rsidRPr="00416C4A">
        <w:t xml:space="preserve"> </w:t>
      </w:r>
      <w:r w:rsidR="00F63638">
        <w:t>and</w:t>
      </w:r>
      <w:r w:rsidR="00D91756" w:rsidRPr="00416C4A">
        <w:t xml:space="preserve"> in </w:t>
      </w:r>
      <w:r w:rsidR="00E51F46" w:rsidRPr="00416C4A">
        <w:t xml:space="preserve">the top 100 </w:t>
      </w:r>
      <w:r w:rsidR="00D91756" w:rsidRPr="00416C4A">
        <w:t xml:space="preserve">spots </w:t>
      </w:r>
      <w:r w:rsidR="00E51F46" w:rsidRPr="00416C4A">
        <w:t>of the FTSE250</w:t>
      </w:r>
      <w:r w:rsidR="00F63638">
        <w:t xml:space="preserve"> in each sample year</w:t>
      </w:r>
      <w:r w:rsidR="00E51F46" w:rsidRPr="00416C4A">
        <w:t xml:space="preserve">. </w:t>
      </w:r>
      <w:r w:rsidRPr="00416C4A">
        <w:t>Thus, the initial potential sample include</w:t>
      </w:r>
      <w:r w:rsidR="00F63638">
        <w:t>s</w:t>
      </w:r>
      <w:r w:rsidRPr="00416C4A">
        <w:t xml:space="preserve"> </w:t>
      </w:r>
      <w:r w:rsidR="00D91756" w:rsidRPr="00416C4A">
        <w:t>8</w:t>
      </w:r>
      <w:r w:rsidRPr="00416C4A">
        <w:t>00 observations</w:t>
      </w:r>
      <w:r w:rsidR="00F63638">
        <w:t xml:space="preserve">, comprised of </w:t>
      </w:r>
      <w:r w:rsidR="00D91756" w:rsidRPr="00416C4A">
        <w:t>2</w:t>
      </w:r>
      <w:r w:rsidRPr="00416C4A">
        <w:t xml:space="preserve">00 firms </w:t>
      </w:r>
      <w:r w:rsidR="00F63638">
        <w:t xml:space="preserve">per year in each of </w:t>
      </w:r>
      <w:r w:rsidRPr="00416C4A">
        <w:t xml:space="preserve">four </w:t>
      </w:r>
      <w:r w:rsidR="00F63638">
        <w:t xml:space="preserve">sample </w:t>
      </w:r>
      <w:r w:rsidRPr="00416C4A">
        <w:t xml:space="preserve">years. </w:t>
      </w:r>
      <w:r w:rsidR="00D91756" w:rsidRPr="00416C4A">
        <w:t xml:space="preserve">As expected, there were </w:t>
      </w:r>
      <w:r w:rsidR="00F2002A" w:rsidRPr="00416C4A">
        <w:t>significant differences in data availab</w:t>
      </w:r>
      <w:r w:rsidR="00F63638">
        <w:t>i</w:t>
      </w:r>
      <w:r w:rsidR="00F2002A" w:rsidRPr="00416C4A">
        <w:t>l</w:t>
      </w:r>
      <w:r w:rsidR="00F63638">
        <w:t>ity</w:t>
      </w:r>
      <w:r w:rsidR="00F2002A" w:rsidRPr="00416C4A">
        <w:t xml:space="preserve"> for the two subgroups. In the case of the FTSE100 firms, </w:t>
      </w:r>
      <w:r w:rsidR="00CF787F" w:rsidRPr="00416C4A">
        <w:t xml:space="preserve">we find </w:t>
      </w:r>
      <w:r w:rsidR="007F0F72" w:rsidRPr="00416C4A">
        <w:t xml:space="preserve">that only </w:t>
      </w:r>
      <w:r w:rsidRPr="00416C4A">
        <w:t>two firms were dissolved</w:t>
      </w:r>
      <w:r w:rsidR="003842FC" w:rsidRPr="00416C4A">
        <w:t xml:space="preserve">, </w:t>
      </w:r>
      <w:r w:rsidR="00F63638">
        <w:t xml:space="preserve">whereas </w:t>
      </w:r>
      <w:r w:rsidR="00BA4B74" w:rsidRPr="00416C4A">
        <w:t xml:space="preserve">15 of the firms from FTSE 250 </w:t>
      </w:r>
      <w:r w:rsidR="00F63638">
        <w:t>ceased</w:t>
      </w:r>
      <w:r w:rsidR="00F21B31" w:rsidRPr="00416C4A">
        <w:t xml:space="preserve"> operations. </w:t>
      </w:r>
    </w:p>
    <w:p w14:paraId="3A7DF862" w14:textId="3BD6E5E8" w:rsidR="00ED17A1" w:rsidRPr="00416C4A" w:rsidRDefault="00F63638" w:rsidP="00127EB7">
      <w:pPr>
        <w:spacing w:line="480" w:lineRule="auto"/>
        <w:ind w:firstLine="720"/>
        <w:jc w:val="both"/>
      </w:pPr>
      <w:r>
        <w:t xml:space="preserve">We complement </w:t>
      </w:r>
      <w:r w:rsidR="00D96DFB" w:rsidRPr="00416C4A">
        <w:t xml:space="preserve">data retrieved from FAME with data hand collected from firms’ annual reports. </w:t>
      </w:r>
      <w:r>
        <w:t>W</w:t>
      </w:r>
      <w:r w:rsidR="00D96DFB" w:rsidRPr="00416C4A">
        <w:t xml:space="preserve">hen </w:t>
      </w:r>
      <w:r>
        <w:t xml:space="preserve">a director’s </w:t>
      </w:r>
      <w:r w:rsidR="00D96DFB" w:rsidRPr="00416C4A">
        <w:t xml:space="preserve">gender is missing from the </w:t>
      </w:r>
      <w:r w:rsidR="00716A1F" w:rsidRPr="00416C4A">
        <w:t>database, we</w:t>
      </w:r>
      <w:r w:rsidR="00D96DFB" w:rsidRPr="00416C4A">
        <w:t xml:space="preserve"> consult</w:t>
      </w:r>
      <w:r w:rsidR="00716A1F" w:rsidRPr="00416C4A">
        <w:t xml:space="preserve"> </w:t>
      </w:r>
      <w:r w:rsidR="00D96DFB" w:rsidRPr="00416C4A">
        <w:t>the annual report</w:t>
      </w:r>
      <w:r w:rsidR="00716A1F" w:rsidRPr="00416C4A">
        <w:t xml:space="preserve"> to check for </w:t>
      </w:r>
      <w:r w:rsidR="00D96DFB" w:rsidRPr="00416C4A">
        <w:t xml:space="preserve">pictures of the director </w:t>
      </w:r>
      <w:r>
        <w:t xml:space="preserve">and we check </w:t>
      </w:r>
      <w:r w:rsidR="00D96DFB" w:rsidRPr="00416C4A">
        <w:t>references such as he/she</w:t>
      </w:r>
      <w:r w:rsidR="00716A1F" w:rsidRPr="00416C4A">
        <w:t>,</w:t>
      </w:r>
      <w:r w:rsidR="00D96DFB" w:rsidRPr="00416C4A">
        <w:t xml:space="preserve"> Mr.</w:t>
      </w:r>
      <w:r w:rsidR="00D0211B" w:rsidRPr="00416C4A">
        <w:t>/</w:t>
      </w:r>
      <w:r w:rsidR="00D96DFB" w:rsidRPr="00416C4A">
        <w:t>Mrs.</w:t>
      </w:r>
      <w:r w:rsidR="00716A1F" w:rsidRPr="00416C4A">
        <w:t xml:space="preserve">, </w:t>
      </w:r>
      <w:r w:rsidR="00D96DFB" w:rsidRPr="00416C4A">
        <w:t xml:space="preserve">or </w:t>
      </w:r>
      <w:r w:rsidR="00436BA7" w:rsidRPr="00416C4A">
        <w:t>other</w:t>
      </w:r>
      <w:r w:rsidR="00716A1F" w:rsidRPr="00416C4A">
        <w:t xml:space="preserve"> </w:t>
      </w:r>
      <w:r w:rsidR="00D96DFB" w:rsidRPr="00416C4A">
        <w:t>title</w:t>
      </w:r>
      <w:r>
        <w:t>s</w:t>
      </w:r>
      <w:r w:rsidR="00716A1F" w:rsidRPr="00416C4A">
        <w:t xml:space="preserve"> that may</w:t>
      </w:r>
      <w:r w:rsidR="00D96DFB" w:rsidRPr="00416C4A">
        <w:t xml:space="preserve"> indicate </w:t>
      </w:r>
      <w:r w:rsidR="00716A1F" w:rsidRPr="00416C4A">
        <w:t xml:space="preserve">the </w:t>
      </w:r>
      <w:r w:rsidR="00D96DFB" w:rsidRPr="00416C4A">
        <w:t>director</w:t>
      </w:r>
      <w:r>
        <w:t>’</w:t>
      </w:r>
      <w:r w:rsidR="00D96DFB" w:rsidRPr="00416C4A">
        <w:t>s gender.</w:t>
      </w:r>
      <w:r w:rsidR="00037DFB" w:rsidRPr="00416C4A">
        <w:t xml:space="preserve"> </w:t>
      </w:r>
      <w:r w:rsidR="00764362" w:rsidRPr="00416C4A">
        <w:t>We also identif</w:t>
      </w:r>
      <w:r>
        <w:t>y</w:t>
      </w:r>
      <w:r w:rsidR="00957FF5" w:rsidRPr="00416C4A">
        <w:t xml:space="preserve"> the chairperson and</w:t>
      </w:r>
      <w:r w:rsidR="00764362" w:rsidRPr="00416C4A">
        <w:t xml:space="preserve"> which </w:t>
      </w:r>
      <w:r w:rsidR="00550A55" w:rsidRPr="00416C4A">
        <w:t>directors are executives</w:t>
      </w:r>
      <w:r w:rsidR="00764362" w:rsidRPr="00416C4A">
        <w:t xml:space="preserve"> </w:t>
      </w:r>
      <w:r>
        <w:t xml:space="preserve">by hand collecting data from the </w:t>
      </w:r>
      <w:r w:rsidR="00764362" w:rsidRPr="00416C4A">
        <w:t>annual reports</w:t>
      </w:r>
      <w:r w:rsidR="00550A55" w:rsidRPr="00416C4A">
        <w:t xml:space="preserve">. </w:t>
      </w:r>
      <w:r>
        <w:t>I</w:t>
      </w:r>
      <w:r w:rsidR="00E2097D" w:rsidRPr="00416C4A">
        <w:t>f no annual report</w:t>
      </w:r>
      <w:r w:rsidR="00D96DFB" w:rsidRPr="00416C4A">
        <w:t xml:space="preserve">s </w:t>
      </w:r>
      <w:r w:rsidR="004627AB" w:rsidRPr="00416C4A">
        <w:t xml:space="preserve">available </w:t>
      </w:r>
      <w:r w:rsidR="00E2097D" w:rsidRPr="00416C4A">
        <w:t>online</w:t>
      </w:r>
      <w:r w:rsidR="004627AB" w:rsidRPr="00416C4A">
        <w:t>,</w:t>
      </w:r>
      <w:r w:rsidR="00E2097D" w:rsidRPr="00416C4A">
        <w:t xml:space="preserve"> </w:t>
      </w:r>
      <w:r>
        <w:t xml:space="preserve">we remove the </w:t>
      </w:r>
      <w:r w:rsidR="00BF12E3" w:rsidRPr="00416C4A">
        <w:t>observation</w:t>
      </w:r>
      <w:r w:rsidR="00D96DFB" w:rsidRPr="00416C4A">
        <w:t>s</w:t>
      </w:r>
      <w:r w:rsidR="00E2097D" w:rsidRPr="00416C4A">
        <w:t xml:space="preserve"> </w:t>
      </w:r>
      <w:r w:rsidR="00550A55" w:rsidRPr="00416C4A">
        <w:t>from the sample.</w:t>
      </w:r>
      <w:r w:rsidR="00E2097D" w:rsidRPr="00416C4A">
        <w:t xml:space="preserve"> </w:t>
      </w:r>
      <w:r w:rsidR="00A6598E" w:rsidRPr="00416C4A">
        <w:t xml:space="preserve">After eliminating </w:t>
      </w:r>
      <w:r w:rsidR="00BF12E3" w:rsidRPr="00416C4A">
        <w:t>observations</w:t>
      </w:r>
      <w:r w:rsidR="00A6598E" w:rsidRPr="00416C4A">
        <w:t xml:space="preserve"> that do not have the necessary data, we are left with a </w:t>
      </w:r>
      <w:r w:rsidR="00D96DFB" w:rsidRPr="00416C4A">
        <w:t xml:space="preserve">final sample of </w:t>
      </w:r>
      <w:r w:rsidR="00A6598E" w:rsidRPr="00416C4A">
        <w:t>1</w:t>
      </w:r>
      <w:r w:rsidR="00CA3A68" w:rsidRPr="00416C4A">
        <w:t>30</w:t>
      </w:r>
      <w:r w:rsidR="00F23ABB" w:rsidRPr="00416C4A">
        <w:t xml:space="preserve"> </w:t>
      </w:r>
      <w:r>
        <w:t xml:space="preserve">unique </w:t>
      </w:r>
      <w:r w:rsidR="00F23ABB" w:rsidRPr="00416C4A">
        <w:t>firms</w:t>
      </w:r>
      <w:r w:rsidR="00A6598E" w:rsidRPr="00416C4A">
        <w:t xml:space="preserve">, </w:t>
      </w:r>
      <w:r>
        <w:t xml:space="preserve">comprising </w:t>
      </w:r>
      <w:r w:rsidR="0082070A" w:rsidRPr="00416C4A">
        <w:t>499</w:t>
      </w:r>
      <w:r w:rsidR="00A6598E" w:rsidRPr="00416C4A">
        <w:t xml:space="preserve"> observations</w:t>
      </w:r>
      <w:r w:rsidR="008D381E" w:rsidRPr="00416C4A">
        <w:t>.</w:t>
      </w:r>
    </w:p>
    <w:p w14:paraId="5F854966" w14:textId="348E885F" w:rsidR="00ED17A1" w:rsidRPr="00416C4A" w:rsidRDefault="00D96DFB" w:rsidP="00ED17A1">
      <w:pPr>
        <w:spacing w:line="480" w:lineRule="auto"/>
        <w:jc w:val="both"/>
      </w:pPr>
      <w:r w:rsidRPr="00416C4A">
        <w:tab/>
        <w:t xml:space="preserve">Table 1 presents descriptive statistics </w:t>
      </w:r>
      <w:r w:rsidR="00F63638">
        <w:t>for</w:t>
      </w:r>
      <w:r w:rsidRPr="00416C4A">
        <w:t xml:space="preserve"> </w:t>
      </w:r>
      <w:r w:rsidR="000F0523" w:rsidRPr="00416C4A">
        <w:t>the</w:t>
      </w:r>
      <w:r w:rsidRPr="00416C4A">
        <w:t xml:space="preserve"> </w:t>
      </w:r>
      <w:r w:rsidR="00F63638">
        <w:t xml:space="preserve">test </w:t>
      </w:r>
      <w:r w:rsidRPr="00416C4A">
        <w:t xml:space="preserve">variables. The </w:t>
      </w:r>
      <w:r w:rsidR="00853915" w:rsidRPr="00416C4A">
        <w:t xml:space="preserve">mean value of </w:t>
      </w:r>
      <w:r w:rsidR="00853915" w:rsidRPr="00416C4A">
        <w:rPr>
          <w:i/>
          <w:iCs/>
        </w:rPr>
        <w:t>%F</w:t>
      </w:r>
      <w:r w:rsidRPr="00416C4A">
        <w:rPr>
          <w:i/>
          <w:iCs/>
        </w:rPr>
        <w:t>emale</w:t>
      </w:r>
      <w:r w:rsidRPr="00416C4A">
        <w:t xml:space="preserve"> </w:t>
      </w:r>
      <w:r w:rsidR="00853915" w:rsidRPr="00416C4A">
        <w:t>is</w:t>
      </w:r>
      <w:r w:rsidRPr="00416C4A">
        <w:t xml:space="preserve"> almost 2</w:t>
      </w:r>
      <w:r w:rsidR="00964507" w:rsidRPr="00416C4A">
        <w:t>3</w:t>
      </w:r>
      <w:r w:rsidR="00853915" w:rsidRPr="00416C4A">
        <w:t xml:space="preserve"> percent</w:t>
      </w:r>
      <w:r w:rsidR="00820A79" w:rsidRPr="00416C4A">
        <w:t xml:space="preserve">, and its </w:t>
      </w:r>
      <w:r w:rsidRPr="00416C4A">
        <w:t xml:space="preserve">maximum </w:t>
      </w:r>
      <w:r w:rsidR="00820A79" w:rsidRPr="00416C4A">
        <w:t xml:space="preserve">value is </w:t>
      </w:r>
      <w:r w:rsidRPr="00416C4A">
        <w:t>5</w:t>
      </w:r>
      <w:r w:rsidR="009E6928" w:rsidRPr="00416C4A">
        <w:t>7</w:t>
      </w:r>
      <w:r w:rsidR="00820A79" w:rsidRPr="00416C4A">
        <w:t xml:space="preserve"> percent</w:t>
      </w:r>
      <w:r w:rsidR="00DB5A35" w:rsidRPr="00416C4A">
        <w:t>.</w:t>
      </w:r>
      <w:r w:rsidR="00CD32CC" w:rsidRPr="00416C4A">
        <w:t xml:space="preserve"> </w:t>
      </w:r>
      <w:r w:rsidR="001363F7" w:rsidRPr="00416C4A">
        <w:t xml:space="preserve">The chair of the board of directors is female only </w:t>
      </w:r>
      <w:r w:rsidR="00F63638">
        <w:t xml:space="preserve">for </w:t>
      </w:r>
      <w:r w:rsidR="001363F7" w:rsidRPr="00416C4A">
        <w:t>t</w:t>
      </w:r>
      <w:r w:rsidR="009E6928" w:rsidRPr="00416C4A">
        <w:t>hree</w:t>
      </w:r>
      <w:r w:rsidR="001363F7" w:rsidRPr="00416C4A">
        <w:t xml:space="preserve"> percent of the observations, and </w:t>
      </w:r>
      <w:r w:rsidR="00A06B49" w:rsidRPr="00416C4A">
        <w:t xml:space="preserve">the CEO is female </w:t>
      </w:r>
      <w:r w:rsidR="00F63638">
        <w:t>for</w:t>
      </w:r>
      <w:r w:rsidR="00A06B49" w:rsidRPr="00416C4A">
        <w:t xml:space="preserve"> six percent of observations</w:t>
      </w:r>
      <w:r w:rsidR="00F63638">
        <w:t xml:space="preserve">. These figures </w:t>
      </w:r>
      <w:r w:rsidR="00FD2E22" w:rsidRPr="00416C4A">
        <w:t>indicat</w:t>
      </w:r>
      <w:r w:rsidR="00F63638">
        <w:t>e</w:t>
      </w:r>
      <w:r w:rsidR="00FD2E22" w:rsidRPr="00416C4A">
        <w:t xml:space="preserve"> that </w:t>
      </w:r>
      <w:r w:rsidR="00F63638">
        <w:t xml:space="preserve">having </w:t>
      </w:r>
      <w:r w:rsidR="00FD2E22" w:rsidRPr="00416C4A">
        <w:t>women in leadership</w:t>
      </w:r>
      <w:r w:rsidR="003C2C17" w:rsidRPr="00416C4A">
        <w:t xml:space="preserve"> roles </w:t>
      </w:r>
      <w:r w:rsidR="00F63638">
        <w:t>is</w:t>
      </w:r>
      <w:r w:rsidR="003C2C17" w:rsidRPr="00416C4A">
        <w:t xml:space="preserve"> not very frequent</w:t>
      </w:r>
      <w:r w:rsidR="00A06B49" w:rsidRPr="00416C4A">
        <w:t xml:space="preserve">. </w:t>
      </w:r>
      <w:r w:rsidR="00471C99" w:rsidRPr="00416C4A">
        <w:t>The size of the board var</w:t>
      </w:r>
      <w:r w:rsidR="009E6928" w:rsidRPr="00416C4A">
        <w:t>ies</w:t>
      </w:r>
      <w:r w:rsidR="00471C99" w:rsidRPr="00416C4A">
        <w:t xml:space="preserve"> greatly, from </w:t>
      </w:r>
      <w:r w:rsidR="00F63638">
        <w:t>5</w:t>
      </w:r>
      <w:r w:rsidR="00471C99" w:rsidRPr="00416C4A">
        <w:t xml:space="preserve"> to 20</w:t>
      </w:r>
      <w:r w:rsidR="00F63638">
        <w:t xml:space="preserve"> directors</w:t>
      </w:r>
      <w:r w:rsidR="000334FA" w:rsidRPr="00416C4A">
        <w:t xml:space="preserve">. Thus, in some cases, the board has more than 13 directors, which </w:t>
      </w:r>
      <w:r w:rsidR="00F63638">
        <w:t>may</w:t>
      </w:r>
      <w:r w:rsidR="000334FA" w:rsidRPr="00416C4A">
        <w:t xml:space="preserve"> lead to reduc</w:t>
      </w:r>
      <w:r w:rsidR="00F63638">
        <w:t>ed</w:t>
      </w:r>
      <w:r w:rsidR="000334FA" w:rsidRPr="00416C4A">
        <w:t xml:space="preserve"> </w:t>
      </w:r>
      <w:r w:rsidR="00912E02" w:rsidRPr="00416C4A">
        <w:t>efficiency</w:t>
      </w:r>
      <w:r w:rsidR="00F63638" w:rsidRPr="00F63638">
        <w:t xml:space="preserve"> </w:t>
      </w:r>
      <w:r w:rsidR="00F63638">
        <w:t>(</w:t>
      </w:r>
      <w:proofErr w:type="spellStart"/>
      <w:r w:rsidR="00F63638" w:rsidRPr="00416C4A">
        <w:t>Hartarska</w:t>
      </w:r>
      <w:proofErr w:type="spellEnd"/>
      <w:r w:rsidR="00F63638" w:rsidRPr="00416C4A">
        <w:t xml:space="preserve"> and </w:t>
      </w:r>
      <w:proofErr w:type="spellStart"/>
      <w:r w:rsidR="00F63638" w:rsidRPr="00416C4A">
        <w:t>Nadolnyak</w:t>
      </w:r>
      <w:proofErr w:type="spellEnd"/>
      <w:r w:rsidR="00F63638" w:rsidRPr="00416C4A">
        <w:t xml:space="preserve"> 2012)</w:t>
      </w:r>
      <w:r w:rsidR="00912E02" w:rsidRPr="00416C4A">
        <w:t>.</w:t>
      </w:r>
    </w:p>
    <w:p w14:paraId="00EA57C1" w14:textId="45FB6BC7" w:rsidR="00ED17A1" w:rsidRPr="00416C4A" w:rsidRDefault="00F63638" w:rsidP="00ED17A1">
      <w:pPr>
        <w:spacing w:line="480" w:lineRule="auto"/>
        <w:jc w:val="both"/>
      </w:pPr>
      <w:r>
        <w:tab/>
      </w:r>
      <w:r w:rsidR="00D96DFB" w:rsidRPr="00416C4A">
        <w:t xml:space="preserve">Table 2 presents Pearson correlations between </w:t>
      </w:r>
      <w:r>
        <w:t>test</w:t>
      </w:r>
      <w:r w:rsidR="00D96DFB" w:rsidRPr="00416C4A">
        <w:t xml:space="preserve"> variables. </w:t>
      </w:r>
      <w:r w:rsidR="00750B49" w:rsidRPr="00416C4A">
        <w:t xml:space="preserve">Our main variable of interest, </w:t>
      </w:r>
      <w:r w:rsidR="00750B49" w:rsidRPr="00416C4A">
        <w:rPr>
          <w:i/>
          <w:iCs/>
        </w:rPr>
        <w:t>%Female</w:t>
      </w:r>
      <w:r w:rsidR="00750B49" w:rsidRPr="00416C4A">
        <w:t xml:space="preserve">, </w:t>
      </w:r>
      <w:r w:rsidR="00D96DFB" w:rsidRPr="00416C4A">
        <w:t xml:space="preserve">is positively and significantly correlated </w:t>
      </w:r>
      <w:r w:rsidR="00750B49" w:rsidRPr="00416C4A">
        <w:t xml:space="preserve">with </w:t>
      </w:r>
      <w:r w:rsidR="00587916" w:rsidRPr="00416C4A">
        <w:t>both financial variables of interest (</w:t>
      </w:r>
      <w:r w:rsidR="00D96DFB" w:rsidRPr="00416C4A">
        <w:rPr>
          <w:i/>
          <w:iCs/>
        </w:rPr>
        <w:t>ROA</w:t>
      </w:r>
      <w:r w:rsidR="00587916" w:rsidRPr="00416C4A">
        <w:rPr>
          <w:i/>
          <w:iCs/>
        </w:rPr>
        <w:t xml:space="preserve"> </w:t>
      </w:r>
      <w:r w:rsidR="00587916" w:rsidRPr="00416C4A">
        <w:t>and</w:t>
      </w:r>
      <w:r w:rsidR="00D96DFB" w:rsidRPr="00416C4A">
        <w:t xml:space="preserve"> </w:t>
      </w:r>
      <w:r w:rsidR="00D96DFB" w:rsidRPr="00416C4A">
        <w:rPr>
          <w:i/>
          <w:iCs/>
        </w:rPr>
        <w:t>Tobin’s Q</w:t>
      </w:r>
      <w:r w:rsidR="00587916" w:rsidRPr="0003305C">
        <w:t>)</w:t>
      </w:r>
      <w:r w:rsidR="003D108A" w:rsidRPr="0003305C">
        <w:t>,</w:t>
      </w:r>
      <w:r w:rsidR="00D96DFB" w:rsidRPr="00416C4A">
        <w:t xml:space="preserve"> </w:t>
      </w:r>
      <w:r w:rsidR="00587916" w:rsidRPr="00416C4A">
        <w:t>as well as with the other variables represent</w:t>
      </w:r>
      <w:r w:rsidR="00D96DFB" w:rsidRPr="00416C4A">
        <w:t xml:space="preserve">ing </w:t>
      </w:r>
      <w:r w:rsidR="00587916" w:rsidRPr="00416C4A">
        <w:t xml:space="preserve">the presence </w:t>
      </w:r>
      <w:r w:rsidR="00D96DFB" w:rsidRPr="00416C4A">
        <w:t>of females (</w:t>
      </w:r>
      <w:r w:rsidR="003D108A" w:rsidRPr="00416C4A">
        <w:rPr>
          <w:i/>
          <w:iCs/>
        </w:rPr>
        <w:t>%Executive Female</w:t>
      </w:r>
      <w:r w:rsidR="00B02A9B" w:rsidRPr="0003305C">
        <w:t>,</w:t>
      </w:r>
      <w:r w:rsidR="00B02A9B" w:rsidRPr="00416C4A">
        <w:rPr>
          <w:i/>
          <w:iCs/>
        </w:rPr>
        <w:t xml:space="preserve"> </w:t>
      </w:r>
      <w:proofErr w:type="spellStart"/>
      <w:r w:rsidR="00B02A9B" w:rsidRPr="00416C4A">
        <w:rPr>
          <w:i/>
          <w:iCs/>
        </w:rPr>
        <w:t>Female_Chair</w:t>
      </w:r>
      <w:proofErr w:type="spellEnd"/>
      <w:r w:rsidR="00B02A9B" w:rsidRPr="00416C4A">
        <w:rPr>
          <w:i/>
          <w:iCs/>
        </w:rPr>
        <w:t xml:space="preserve">, </w:t>
      </w:r>
      <w:r w:rsidR="00B02A9B" w:rsidRPr="00416C4A">
        <w:t xml:space="preserve">and </w:t>
      </w:r>
      <w:proofErr w:type="spellStart"/>
      <w:r w:rsidR="00D96DFB" w:rsidRPr="00416C4A">
        <w:rPr>
          <w:i/>
          <w:iCs/>
        </w:rPr>
        <w:t>Female</w:t>
      </w:r>
      <w:r w:rsidR="00B02A9B" w:rsidRPr="00416C4A">
        <w:rPr>
          <w:i/>
          <w:iCs/>
        </w:rPr>
        <w:t>_</w:t>
      </w:r>
      <w:r w:rsidR="00D96DFB" w:rsidRPr="00416C4A">
        <w:rPr>
          <w:i/>
          <w:iCs/>
        </w:rPr>
        <w:t>CEO</w:t>
      </w:r>
      <w:proofErr w:type="spellEnd"/>
      <w:r w:rsidR="00B02A9B" w:rsidRPr="0003305C">
        <w:t>)</w:t>
      </w:r>
      <w:r w:rsidR="00D96DFB" w:rsidRPr="00355EAE">
        <w:t>.</w:t>
      </w:r>
      <w:r w:rsidR="00D96DFB" w:rsidRPr="00416C4A">
        <w:t xml:space="preserve"> T</w:t>
      </w:r>
      <w:r w:rsidR="00204395" w:rsidRPr="00416C4A">
        <w:t>h</w:t>
      </w:r>
      <w:r w:rsidR="00955411" w:rsidRPr="00416C4A">
        <w:t xml:space="preserve">is </w:t>
      </w:r>
      <w:r w:rsidR="00355EAE">
        <w:t xml:space="preserve">provides initial evidence of </w:t>
      </w:r>
      <w:r w:rsidR="00955411" w:rsidRPr="00416C4A">
        <w:t xml:space="preserve">a positive association between </w:t>
      </w:r>
      <w:r w:rsidR="00D10537" w:rsidRPr="00416C4A">
        <w:rPr>
          <w:i/>
          <w:iCs/>
        </w:rPr>
        <w:t>%Female</w:t>
      </w:r>
      <w:r w:rsidR="00D10537" w:rsidRPr="00416C4A">
        <w:t xml:space="preserve"> and </w:t>
      </w:r>
      <w:r w:rsidR="00204395" w:rsidRPr="00416C4A">
        <w:t>(</w:t>
      </w:r>
      <w:proofErr w:type="spellStart"/>
      <w:r w:rsidR="00204395" w:rsidRPr="00416C4A">
        <w:t>i</w:t>
      </w:r>
      <w:proofErr w:type="spellEnd"/>
      <w:r w:rsidR="00204395" w:rsidRPr="00416C4A">
        <w:t xml:space="preserve">) financial performance and (ii) </w:t>
      </w:r>
      <w:r w:rsidR="00355EAE">
        <w:t>firm</w:t>
      </w:r>
      <w:r w:rsidR="00355EAE" w:rsidRPr="00416C4A">
        <w:t xml:space="preserve"> </w:t>
      </w:r>
      <w:r w:rsidR="00204395" w:rsidRPr="00416C4A">
        <w:lastRenderedPageBreak/>
        <w:t>value</w:t>
      </w:r>
      <w:r w:rsidR="00355EAE">
        <w:t xml:space="preserve">. </w:t>
      </w:r>
      <w:r w:rsidR="00F76035" w:rsidRPr="00416C4A">
        <w:t xml:space="preserve">Both </w:t>
      </w:r>
      <w:r w:rsidR="00D96DFB" w:rsidRPr="00416C4A">
        <w:rPr>
          <w:i/>
          <w:iCs/>
        </w:rPr>
        <w:t xml:space="preserve">Board </w:t>
      </w:r>
      <w:r w:rsidR="00F76035" w:rsidRPr="00416C4A">
        <w:rPr>
          <w:i/>
          <w:iCs/>
        </w:rPr>
        <w:t>S</w:t>
      </w:r>
      <w:r w:rsidR="00D96DFB" w:rsidRPr="00416C4A">
        <w:rPr>
          <w:i/>
          <w:iCs/>
        </w:rPr>
        <w:t>ize</w:t>
      </w:r>
      <w:r w:rsidR="00D96DFB" w:rsidRPr="00416C4A">
        <w:t xml:space="preserve"> </w:t>
      </w:r>
      <w:r w:rsidR="00F76035" w:rsidRPr="00416C4A">
        <w:t xml:space="preserve">and </w:t>
      </w:r>
      <w:r w:rsidR="00F76035" w:rsidRPr="00416C4A">
        <w:rPr>
          <w:i/>
          <w:iCs/>
        </w:rPr>
        <w:t>Firm</w:t>
      </w:r>
      <w:r w:rsidR="00F76035" w:rsidRPr="00416C4A">
        <w:t xml:space="preserve"> </w:t>
      </w:r>
      <w:r w:rsidR="00F76035" w:rsidRPr="00416C4A">
        <w:rPr>
          <w:i/>
          <w:iCs/>
        </w:rPr>
        <w:t>Size</w:t>
      </w:r>
      <w:r w:rsidR="00F76035" w:rsidRPr="00416C4A">
        <w:t xml:space="preserve"> are </w:t>
      </w:r>
      <w:r w:rsidR="00D96DFB" w:rsidRPr="00416C4A">
        <w:t xml:space="preserve">significantly and negatively correlated with </w:t>
      </w:r>
      <w:r w:rsidR="00F76035" w:rsidRPr="00416C4A">
        <w:t xml:space="preserve">our </w:t>
      </w:r>
      <w:r w:rsidR="008C51B7" w:rsidRPr="00416C4A">
        <w:t>financial variables of interest (</w:t>
      </w:r>
      <w:r w:rsidR="008C51B7" w:rsidRPr="00416C4A">
        <w:rPr>
          <w:i/>
          <w:iCs/>
        </w:rPr>
        <w:t xml:space="preserve">ROA </w:t>
      </w:r>
      <w:r w:rsidR="008C51B7" w:rsidRPr="00416C4A">
        <w:t xml:space="preserve">and </w:t>
      </w:r>
      <w:r w:rsidR="008C51B7" w:rsidRPr="00416C4A">
        <w:rPr>
          <w:i/>
          <w:iCs/>
        </w:rPr>
        <w:t>Tobin’s Q</w:t>
      </w:r>
      <w:r w:rsidR="008C51B7" w:rsidRPr="0003305C">
        <w:t>)</w:t>
      </w:r>
      <w:r w:rsidR="00D96DFB" w:rsidRPr="00355EAE">
        <w:t>.</w:t>
      </w:r>
    </w:p>
    <w:p w14:paraId="2CA7F807" w14:textId="01680599" w:rsidR="00ED17A1" w:rsidRPr="00416C4A" w:rsidRDefault="00D96DFB" w:rsidP="00ED17A1">
      <w:pPr>
        <w:spacing w:line="480" w:lineRule="auto"/>
        <w:ind w:firstLine="720"/>
        <w:jc w:val="both"/>
      </w:pPr>
      <w:r w:rsidRPr="00416C4A">
        <w:t xml:space="preserve">Figure </w:t>
      </w:r>
      <w:r w:rsidR="00F76035" w:rsidRPr="00416C4A">
        <w:t>1</w:t>
      </w:r>
      <w:r w:rsidRPr="00416C4A">
        <w:t xml:space="preserve"> shows the percentage of female directors </w:t>
      </w:r>
      <w:r w:rsidR="00355EAE">
        <w:t>sitting</w:t>
      </w:r>
      <w:r w:rsidR="00355EAE" w:rsidRPr="00416C4A">
        <w:t xml:space="preserve"> </w:t>
      </w:r>
      <w:r w:rsidRPr="00416C4A">
        <w:t xml:space="preserve">on UK boards across industries. </w:t>
      </w:r>
      <w:r w:rsidR="00E12B43" w:rsidRPr="00416C4A">
        <w:t>Seventeen</w:t>
      </w:r>
      <w:r w:rsidRPr="00416C4A">
        <w:t xml:space="preserve"> </w:t>
      </w:r>
      <w:r w:rsidR="00355EAE">
        <w:t xml:space="preserve">(17) </w:t>
      </w:r>
      <w:r w:rsidRPr="00416C4A">
        <w:t xml:space="preserve">of </w:t>
      </w:r>
      <w:r w:rsidR="00355EAE">
        <w:t>21</w:t>
      </w:r>
      <w:r w:rsidRPr="00416C4A">
        <w:t xml:space="preserve"> industries show a steady, continuous increase in the percentage of female directors. </w:t>
      </w:r>
      <w:r w:rsidR="006D6858" w:rsidRPr="00416C4A">
        <w:t xml:space="preserve">Moreover, </w:t>
      </w:r>
      <w:r w:rsidR="00E12B43" w:rsidRPr="00416C4A">
        <w:t xml:space="preserve">in </w:t>
      </w:r>
      <w:r w:rsidR="00594E01" w:rsidRPr="00416C4A">
        <w:t>201</w:t>
      </w:r>
      <w:r w:rsidR="00A606C2" w:rsidRPr="00416C4A">
        <w:t>8</w:t>
      </w:r>
      <w:r w:rsidR="00D2497A" w:rsidRPr="00416C4A">
        <w:t xml:space="preserve">, </w:t>
      </w:r>
      <w:r w:rsidR="00F1475F" w:rsidRPr="00416C4A">
        <w:t>three</w:t>
      </w:r>
      <w:r w:rsidRPr="00416C4A">
        <w:t xml:space="preserve"> industr</w:t>
      </w:r>
      <w:r w:rsidR="00F1475F" w:rsidRPr="00416C4A">
        <w:t>ies</w:t>
      </w:r>
      <w:r w:rsidRPr="00416C4A">
        <w:t xml:space="preserve"> </w:t>
      </w:r>
      <w:r w:rsidR="00842D5F" w:rsidRPr="00416C4A">
        <w:t>ha</w:t>
      </w:r>
      <w:r w:rsidR="00F1475F" w:rsidRPr="00416C4A">
        <w:t>d</w:t>
      </w:r>
      <w:r w:rsidR="00842D5F" w:rsidRPr="00416C4A">
        <w:t xml:space="preserve"> </w:t>
      </w:r>
      <w:r w:rsidR="00F1475F" w:rsidRPr="00416C4A">
        <w:t xml:space="preserve">already </w:t>
      </w:r>
      <w:r w:rsidR="00842D5F" w:rsidRPr="00416C4A">
        <w:t xml:space="preserve">reached </w:t>
      </w:r>
      <w:r w:rsidRPr="00416C4A">
        <w:t>the 33</w:t>
      </w:r>
      <w:r w:rsidR="00842D5F" w:rsidRPr="00416C4A">
        <w:t xml:space="preserve"> percent</w:t>
      </w:r>
      <w:r w:rsidRPr="00416C4A">
        <w:t xml:space="preserve"> target</w:t>
      </w:r>
      <w:r w:rsidR="00A318EF" w:rsidRPr="00416C4A">
        <w:t>: (</w:t>
      </w:r>
      <w:proofErr w:type="spellStart"/>
      <w:r w:rsidR="00A318EF" w:rsidRPr="00416C4A">
        <w:t>i</w:t>
      </w:r>
      <w:proofErr w:type="spellEnd"/>
      <w:r w:rsidR="00A318EF" w:rsidRPr="00416C4A">
        <w:t xml:space="preserve">) </w:t>
      </w:r>
      <w:r w:rsidR="002E6166" w:rsidRPr="00416C4A">
        <w:t>textiles &amp; clothing manufacturing, with 45 percent;</w:t>
      </w:r>
      <w:r w:rsidR="00A318EF" w:rsidRPr="00416C4A">
        <w:t xml:space="preserve"> (ii) </w:t>
      </w:r>
      <w:r w:rsidR="00F36D46" w:rsidRPr="00416C4A">
        <w:t>media &amp; broadcasting, with 40 percent; and</w:t>
      </w:r>
      <w:r w:rsidR="00A318EF" w:rsidRPr="00416C4A">
        <w:t xml:space="preserve"> (iii) food &amp; tobacco manufacturing, with </w:t>
      </w:r>
      <w:r w:rsidR="00BE0CC3" w:rsidRPr="00416C4A">
        <w:t>35 percent.</w:t>
      </w:r>
      <w:r w:rsidR="00A318EF" w:rsidRPr="00416C4A">
        <w:t xml:space="preserve"> </w:t>
      </w:r>
      <w:r w:rsidRPr="00416C4A">
        <w:t xml:space="preserve">Overall, the </w:t>
      </w:r>
      <w:r w:rsidR="00355EAE">
        <w:t>figure</w:t>
      </w:r>
      <w:r w:rsidRPr="00416C4A">
        <w:t xml:space="preserve"> shows that the percentage of female directors increased over the </w:t>
      </w:r>
      <w:r w:rsidR="00355EAE">
        <w:t>sample period</w:t>
      </w:r>
      <w:r w:rsidR="00462473" w:rsidRPr="00416C4A">
        <w:t xml:space="preserve">, </w:t>
      </w:r>
      <w:r w:rsidR="0044429A" w:rsidRPr="00416C4A">
        <w:t>lead</w:t>
      </w:r>
      <w:r w:rsidR="00987AFF" w:rsidRPr="00416C4A">
        <w:t>ing</w:t>
      </w:r>
      <w:r w:rsidR="0044429A" w:rsidRPr="00416C4A">
        <w:t xml:space="preserve"> us to expect most firms </w:t>
      </w:r>
      <w:r w:rsidR="002E0478" w:rsidRPr="00416C4A">
        <w:t>to</w:t>
      </w:r>
      <w:r w:rsidR="0044429A" w:rsidRPr="00416C4A">
        <w:t xml:space="preserve"> reach the </w:t>
      </w:r>
      <w:r w:rsidR="00462473" w:rsidRPr="00416C4A">
        <w:t>new target by 2020.</w:t>
      </w:r>
      <w:bookmarkStart w:id="14" w:name="_Toc48157847"/>
    </w:p>
    <w:p w14:paraId="2DA384DA" w14:textId="1D98A332" w:rsidR="00AB6E6C" w:rsidRPr="00416C4A" w:rsidRDefault="00D96DFB" w:rsidP="00AB6E6C">
      <w:pPr>
        <w:spacing w:line="480" w:lineRule="auto"/>
        <w:ind w:firstLine="720"/>
        <w:jc w:val="both"/>
      </w:pPr>
      <w:r w:rsidRPr="00416C4A">
        <w:t>To</w:t>
      </w:r>
      <w:r w:rsidR="00EB3337" w:rsidRPr="00416C4A">
        <w:t xml:space="preserve"> provide more </w:t>
      </w:r>
      <w:r w:rsidR="00355EAE">
        <w:t>evidence of</w:t>
      </w:r>
      <w:r w:rsidR="00EB3337" w:rsidRPr="00416C4A">
        <w:t xml:space="preserve"> this progress over </w:t>
      </w:r>
      <w:r w:rsidR="00355EAE">
        <w:t>our sample</w:t>
      </w:r>
      <w:r w:rsidR="00355EAE" w:rsidRPr="00416C4A">
        <w:t xml:space="preserve"> </w:t>
      </w:r>
      <w:r w:rsidR="00EB3337" w:rsidRPr="00416C4A">
        <w:t xml:space="preserve">years, </w:t>
      </w:r>
      <w:r w:rsidR="00875F7A" w:rsidRPr="00416C4A">
        <w:t xml:space="preserve">we present the mean </w:t>
      </w:r>
      <w:r w:rsidR="00711AC7" w:rsidRPr="00416C4A">
        <w:t xml:space="preserve">values of </w:t>
      </w:r>
      <w:r w:rsidR="00711AC7" w:rsidRPr="00416C4A">
        <w:rPr>
          <w:i/>
          <w:iCs/>
        </w:rPr>
        <w:t>%Female</w:t>
      </w:r>
      <w:r w:rsidR="00711AC7" w:rsidRPr="00416C4A">
        <w:t xml:space="preserve"> across the years and </w:t>
      </w:r>
      <w:r w:rsidR="00355EAE">
        <w:t>we estimate</w:t>
      </w:r>
      <w:r w:rsidR="00EB3337" w:rsidRPr="00416C4A">
        <w:t xml:space="preserve"> univariate tests </w:t>
      </w:r>
      <w:r w:rsidR="00355EAE">
        <w:t>using</w:t>
      </w:r>
      <w:r w:rsidR="00EB3337" w:rsidRPr="00416C4A">
        <w:t xml:space="preserve"> the</w:t>
      </w:r>
      <w:r w:rsidR="00711AC7" w:rsidRPr="00416C4A">
        <w:t>se</w:t>
      </w:r>
      <w:r w:rsidR="00EB3337" w:rsidRPr="00416C4A">
        <w:t xml:space="preserve"> </w:t>
      </w:r>
      <w:r w:rsidRPr="00416C4A">
        <w:t>mean</w:t>
      </w:r>
      <w:r w:rsidR="00711AC7" w:rsidRPr="00416C4A">
        <w:t>s</w:t>
      </w:r>
      <w:r w:rsidRPr="00416C4A">
        <w:t xml:space="preserve">. </w:t>
      </w:r>
      <w:r w:rsidR="00711AC7" w:rsidRPr="00416C4A">
        <w:t>Figure 2</w:t>
      </w:r>
      <w:r w:rsidR="007B1262" w:rsidRPr="00416C4A">
        <w:t xml:space="preserve"> shows a clear increase over time</w:t>
      </w:r>
      <w:r w:rsidR="0016266E" w:rsidRPr="00416C4A">
        <w:t xml:space="preserve"> and</w:t>
      </w:r>
      <w:r w:rsidR="00D927D5" w:rsidRPr="00416C4A">
        <w:t xml:space="preserve"> presents t</w:t>
      </w:r>
      <w:r w:rsidRPr="00416C4A">
        <w:t xml:space="preserve">he results </w:t>
      </w:r>
      <w:r w:rsidR="003256F4">
        <w:t xml:space="preserve">from </w:t>
      </w:r>
      <w:r w:rsidR="00D927D5" w:rsidRPr="00416C4A">
        <w:t xml:space="preserve">the </w:t>
      </w:r>
      <w:r w:rsidRPr="00416C4A">
        <w:t xml:space="preserve">t-tests. The p-values are </w:t>
      </w:r>
      <w:r w:rsidR="00355EAE">
        <w:t>less</w:t>
      </w:r>
      <w:r w:rsidR="00355EAE" w:rsidRPr="00416C4A">
        <w:t xml:space="preserve"> </w:t>
      </w:r>
      <w:r w:rsidRPr="00416C4A">
        <w:t>than 0.0</w:t>
      </w:r>
      <w:r w:rsidR="001E4082" w:rsidRPr="00416C4A">
        <w:t>1</w:t>
      </w:r>
      <w:r w:rsidR="00FF0C33" w:rsidRPr="00416C4A">
        <w:t xml:space="preserve">, </w:t>
      </w:r>
      <w:r w:rsidR="00434FA7" w:rsidRPr="00416C4A">
        <w:t>indicating that</w:t>
      </w:r>
      <w:r w:rsidRPr="00416C4A">
        <w:t xml:space="preserve">, in each </w:t>
      </w:r>
      <w:r w:rsidR="00434FA7" w:rsidRPr="00416C4A">
        <w:t xml:space="preserve">year, the mean </w:t>
      </w:r>
      <w:r w:rsidR="00355EAE">
        <w:t>proportion</w:t>
      </w:r>
      <w:r w:rsidR="00355EAE" w:rsidRPr="00416C4A">
        <w:t xml:space="preserve"> </w:t>
      </w:r>
      <w:r w:rsidR="00434FA7" w:rsidRPr="00416C4A">
        <w:t xml:space="preserve">of </w:t>
      </w:r>
      <w:r w:rsidR="00355EAE">
        <w:t xml:space="preserve">female directors </w:t>
      </w:r>
      <w:r w:rsidR="00434FA7" w:rsidRPr="00416C4A">
        <w:t xml:space="preserve">is statistically higher than </w:t>
      </w:r>
      <w:r w:rsidR="00355EAE">
        <w:t>in</w:t>
      </w:r>
      <w:r w:rsidR="00434FA7" w:rsidRPr="00416C4A">
        <w:t xml:space="preserve"> the previous </w:t>
      </w:r>
      <w:r w:rsidR="005430A8" w:rsidRPr="00416C4A">
        <w:t>year</w:t>
      </w:r>
      <w:r w:rsidRPr="00416C4A">
        <w:t xml:space="preserve">. </w:t>
      </w:r>
    </w:p>
    <w:p w14:paraId="6275264A" w14:textId="752C61A7" w:rsidR="00683998" w:rsidRPr="00416C4A" w:rsidRDefault="00683998" w:rsidP="00ED17A1">
      <w:pPr>
        <w:spacing w:line="480" w:lineRule="auto"/>
        <w:ind w:firstLine="720"/>
        <w:jc w:val="both"/>
      </w:pPr>
    </w:p>
    <w:p w14:paraId="67030F10" w14:textId="2710EF7B" w:rsidR="00ED17A1" w:rsidRPr="00416C4A" w:rsidRDefault="00D96DFB" w:rsidP="00E5321F">
      <w:pPr>
        <w:pStyle w:val="Heading1"/>
        <w:numPr>
          <w:ilvl w:val="0"/>
          <w:numId w:val="1"/>
        </w:numPr>
        <w:spacing w:line="480" w:lineRule="auto"/>
        <w:jc w:val="center"/>
        <w:rPr>
          <w:rFonts w:ascii="Times New Roman" w:eastAsia="Times New Roman" w:hAnsi="Times New Roman" w:cs="Times New Roman"/>
          <w:b/>
          <w:bCs/>
          <w:caps/>
          <w:color w:val="auto"/>
          <w:sz w:val="24"/>
          <w:szCs w:val="24"/>
        </w:rPr>
      </w:pPr>
      <w:bookmarkStart w:id="15" w:name="_Toc49414748"/>
      <w:r w:rsidRPr="00416C4A">
        <w:rPr>
          <w:rFonts w:ascii="Times New Roman" w:eastAsia="Times New Roman" w:hAnsi="Times New Roman" w:cs="Times New Roman"/>
          <w:b/>
          <w:bCs/>
          <w:caps/>
          <w:color w:val="auto"/>
          <w:sz w:val="24"/>
          <w:szCs w:val="24"/>
        </w:rPr>
        <w:t>Multivariate results</w:t>
      </w:r>
      <w:bookmarkEnd w:id="14"/>
      <w:bookmarkEnd w:id="15"/>
    </w:p>
    <w:p w14:paraId="15D60D69" w14:textId="05FFB656" w:rsidR="000B127C" w:rsidRPr="00416C4A" w:rsidRDefault="00D96DFB" w:rsidP="00685452">
      <w:pPr>
        <w:pStyle w:val="Heading2"/>
        <w:spacing w:line="480" w:lineRule="auto"/>
        <w:rPr>
          <w:rFonts w:ascii="Times New Roman" w:eastAsia="Times New Roman" w:hAnsi="Times New Roman" w:cs="Times New Roman"/>
          <w:b/>
          <w:bCs/>
          <w:color w:val="auto"/>
          <w:sz w:val="24"/>
          <w:szCs w:val="24"/>
        </w:rPr>
      </w:pPr>
      <w:r w:rsidRPr="00416C4A">
        <w:rPr>
          <w:rFonts w:ascii="Times New Roman" w:eastAsia="Times New Roman" w:hAnsi="Times New Roman" w:cs="Times New Roman"/>
          <w:b/>
          <w:bCs/>
          <w:color w:val="auto"/>
          <w:sz w:val="24"/>
          <w:szCs w:val="24"/>
        </w:rPr>
        <w:t>Main analysis</w:t>
      </w:r>
    </w:p>
    <w:p w14:paraId="7D2482CB" w14:textId="38DE19CE" w:rsidR="00263A4C" w:rsidRPr="00416C4A" w:rsidRDefault="00D96DFB" w:rsidP="003E6485">
      <w:pPr>
        <w:spacing w:line="480" w:lineRule="auto"/>
        <w:jc w:val="both"/>
      </w:pPr>
      <w:r w:rsidRPr="00416C4A">
        <w:tab/>
      </w:r>
      <w:r w:rsidR="00263A4C" w:rsidRPr="00416C4A">
        <w:t xml:space="preserve">The results </w:t>
      </w:r>
      <w:r w:rsidR="003256F4">
        <w:t xml:space="preserve">from </w:t>
      </w:r>
      <w:r w:rsidR="00355EAE">
        <w:t>our</w:t>
      </w:r>
      <w:r w:rsidR="00263A4C" w:rsidRPr="00416C4A">
        <w:t xml:space="preserve"> </w:t>
      </w:r>
      <w:r w:rsidR="00355EAE">
        <w:t>multiple</w:t>
      </w:r>
      <w:r w:rsidR="00355EAE" w:rsidRPr="00416C4A">
        <w:t xml:space="preserve"> </w:t>
      </w:r>
      <w:r w:rsidR="00263A4C" w:rsidRPr="00416C4A">
        <w:t xml:space="preserve">regression </w:t>
      </w:r>
      <w:r w:rsidR="00355EAE">
        <w:t xml:space="preserve">which tests for </w:t>
      </w:r>
      <w:r w:rsidR="009E5AAD" w:rsidRPr="00416C4A">
        <w:t xml:space="preserve">the </w:t>
      </w:r>
      <w:r w:rsidR="00255272" w:rsidRPr="00416C4A">
        <w:t xml:space="preserve">rate at which gender diversity </w:t>
      </w:r>
      <w:r w:rsidR="009E5AAD" w:rsidRPr="00416C4A">
        <w:t>increase</w:t>
      </w:r>
      <w:r w:rsidR="00255272" w:rsidRPr="00416C4A">
        <w:t xml:space="preserve">d over </w:t>
      </w:r>
      <w:r w:rsidR="00355EAE">
        <w:t>our sample period</w:t>
      </w:r>
      <w:r w:rsidR="00355EAE" w:rsidRPr="00416C4A">
        <w:rPr>
          <w:rStyle w:val="Strong"/>
        </w:rPr>
        <w:t> </w:t>
      </w:r>
      <w:r w:rsidR="00263A4C" w:rsidRPr="00416C4A">
        <w:t xml:space="preserve">are </w:t>
      </w:r>
      <w:r w:rsidR="00355EAE">
        <w:t>presented</w:t>
      </w:r>
      <w:r w:rsidR="00355EAE" w:rsidRPr="00416C4A">
        <w:t xml:space="preserve"> </w:t>
      </w:r>
      <w:r w:rsidR="00263A4C" w:rsidRPr="00416C4A">
        <w:t xml:space="preserve">in Table </w:t>
      </w:r>
      <w:r w:rsidR="00E7494E" w:rsidRPr="00416C4A">
        <w:t>3</w:t>
      </w:r>
      <w:r w:rsidR="00263A4C" w:rsidRPr="00416C4A">
        <w:t xml:space="preserve">. The three estimated coefficients </w:t>
      </w:r>
      <w:r w:rsidR="00355EAE">
        <w:t>on</w:t>
      </w:r>
      <w:r w:rsidR="00263A4C" w:rsidRPr="00416C4A">
        <w:t xml:space="preserve"> the year indicator variables are positive and statistically significant, indicating that there has been a significant increase in the percentage of </w:t>
      </w:r>
      <w:r w:rsidR="00541089">
        <w:t xml:space="preserve">females </w:t>
      </w:r>
      <w:r w:rsidR="00263A4C" w:rsidRPr="00416C4A">
        <w:t xml:space="preserve">on </w:t>
      </w:r>
      <w:r w:rsidRPr="00416C4A">
        <w:t xml:space="preserve">boards of directors </w:t>
      </w:r>
      <w:r w:rsidR="00541089">
        <w:t xml:space="preserve">of our UK sample firms </w:t>
      </w:r>
      <w:r w:rsidRPr="00416C4A">
        <w:t>since 2012 (</w:t>
      </w:r>
      <w:r w:rsidR="00265863" w:rsidRPr="00416C4A">
        <w:t xml:space="preserve">the </w:t>
      </w:r>
      <w:r w:rsidR="00263A4C" w:rsidRPr="00416C4A">
        <w:t>base year).</w:t>
      </w:r>
      <w:r w:rsidR="00265863" w:rsidRPr="00416C4A">
        <w:t xml:space="preserve"> </w:t>
      </w:r>
      <w:r w:rsidR="00263A4C" w:rsidRPr="00416C4A">
        <w:t xml:space="preserve"> </w:t>
      </w:r>
      <w:r w:rsidRPr="00416C4A">
        <w:t xml:space="preserve">Moreover, </w:t>
      </w:r>
      <w:r w:rsidR="00541089">
        <w:t xml:space="preserve">the coefficient on </w:t>
      </w:r>
      <w:r w:rsidRPr="00416C4A">
        <w:rPr>
          <w:i/>
          <w:iCs/>
        </w:rPr>
        <w:t>Y2018</w:t>
      </w:r>
      <w:r w:rsidRPr="00416C4A">
        <w:t xml:space="preserve"> </w:t>
      </w:r>
      <w:r w:rsidR="00541089">
        <w:t>is</w:t>
      </w:r>
      <w:r w:rsidRPr="00416C4A">
        <w:t xml:space="preserve"> </w:t>
      </w:r>
      <w:r w:rsidR="0031309E" w:rsidRPr="00416C4A">
        <w:t>larger</w:t>
      </w:r>
      <w:r w:rsidRPr="00416C4A">
        <w:t xml:space="preserve"> (1</w:t>
      </w:r>
      <w:r w:rsidR="00103158" w:rsidRPr="00416C4A">
        <w:t>1</w:t>
      </w:r>
      <w:r w:rsidRPr="00416C4A">
        <w:t>.7</w:t>
      </w:r>
      <w:r w:rsidR="00DF1FE8" w:rsidRPr="00416C4A">
        <w:t>8</w:t>
      </w:r>
      <w:r w:rsidRPr="00416C4A">
        <w:t xml:space="preserve">) than </w:t>
      </w:r>
      <w:r w:rsidR="00541089">
        <w:t xml:space="preserve">that on </w:t>
      </w:r>
      <w:r w:rsidRPr="00416C4A">
        <w:rPr>
          <w:i/>
          <w:iCs/>
        </w:rPr>
        <w:t>Y2016</w:t>
      </w:r>
      <w:r w:rsidRPr="00416C4A">
        <w:t xml:space="preserve"> (</w:t>
      </w:r>
      <w:r w:rsidR="00103158" w:rsidRPr="00416C4A">
        <w:t>7</w:t>
      </w:r>
      <w:r w:rsidR="00DF1FE8" w:rsidRPr="00416C4A">
        <w:t>.</w:t>
      </w:r>
      <w:r w:rsidR="00103158" w:rsidRPr="00416C4A">
        <w:t>35</w:t>
      </w:r>
      <w:r w:rsidRPr="00416C4A">
        <w:t xml:space="preserve">) </w:t>
      </w:r>
      <w:r w:rsidR="00541089">
        <w:t>or</w:t>
      </w:r>
      <w:r w:rsidRPr="00416C4A">
        <w:t xml:space="preserve"> </w:t>
      </w:r>
      <w:r w:rsidR="00541089">
        <w:t xml:space="preserve">on </w:t>
      </w:r>
      <w:r w:rsidRPr="00416C4A">
        <w:rPr>
          <w:i/>
          <w:iCs/>
        </w:rPr>
        <w:t>Y2014</w:t>
      </w:r>
      <w:r w:rsidRPr="00416C4A">
        <w:t xml:space="preserve"> (3.</w:t>
      </w:r>
      <w:r w:rsidR="00292ABB" w:rsidRPr="00416C4A">
        <w:t>7</w:t>
      </w:r>
      <w:r w:rsidR="00DF1FE8" w:rsidRPr="00416C4A">
        <w:t>3</w:t>
      </w:r>
      <w:r w:rsidRPr="00416C4A">
        <w:t xml:space="preserve">). </w:t>
      </w:r>
      <w:r w:rsidR="007B2BD6" w:rsidRPr="00416C4A">
        <w:t>Next</w:t>
      </w:r>
      <w:r w:rsidRPr="00416C4A">
        <w:t xml:space="preserve">, we test </w:t>
      </w:r>
      <w:r w:rsidR="007B2BD6" w:rsidRPr="00416C4A">
        <w:t xml:space="preserve">the differences between these coefficients </w:t>
      </w:r>
      <w:r w:rsidR="00292ABB" w:rsidRPr="00416C4A">
        <w:t>to</w:t>
      </w:r>
      <w:r w:rsidRPr="00416C4A">
        <w:t xml:space="preserve"> ascertain whether the</w:t>
      </w:r>
      <w:r w:rsidR="007B2BD6" w:rsidRPr="00416C4A">
        <w:t>y a</w:t>
      </w:r>
      <w:r w:rsidRPr="00416C4A">
        <w:t>re statistically significant</w:t>
      </w:r>
      <w:r w:rsidR="002834A2" w:rsidRPr="00416C4A">
        <w:t>. We find</w:t>
      </w:r>
      <w:r w:rsidRPr="00416C4A">
        <w:t xml:space="preserve"> that the coefficient o</w:t>
      </w:r>
      <w:r w:rsidR="00541089">
        <w:t>n</w:t>
      </w:r>
      <w:r w:rsidRPr="00416C4A">
        <w:t xml:space="preserve"> </w:t>
      </w:r>
      <w:r w:rsidRPr="00416C4A">
        <w:rPr>
          <w:i/>
          <w:iCs/>
        </w:rPr>
        <w:t>Y2016</w:t>
      </w:r>
      <w:r w:rsidRPr="00416C4A">
        <w:t xml:space="preserve"> is statistically higher than that of </w:t>
      </w:r>
      <w:r w:rsidRPr="00416C4A">
        <w:rPr>
          <w:i/>
          <w:iCs/>
        </w:rPr>
        <w:t>Y2014</w:t>
      </w:r>
      <w:r w:rsidR="00700478" w:rsidRPr="00416C4A">
        <w:t>, and the coefficient o</w:t>
      </w:r>
      <w:r w:rsidR="00541089">
        <w:t>n</w:t>
      </w:r>
      <w:r w:rsidR="00700478" w:rsidRPr="00416C4A">
        <w:t xml:space="preserve"> </w:t>
      </w:r>
      <w:r w:rsidR="00700478" w:rsidRPr="00416C4A">
        <w:rPr>
          <w:i/>
          <w:iCs/>
        </w:rPr>
        <w:t>Y2018</w:t>
      </w:r>
      <w:r w:rsidR="00700478" w:rsidRPr="00416C4A">
        <w:t xml:space="preserve"> is </w:t>
      </w:r>
      <w:r w:rsidR="00700478" w:rsidRPr="00416C4A">
        <w:lastRenderedPageBreak/>
        <w:t>statistically higher than that o</w:t>
      </w:r>
      <w:r w:rsidR="008202A8">
        <w:t>n</w:t>
      </w:r>
      <w:r w:rsidR="00700478" w:rsidRPr="00416C4A">
        <w:t xml:space="preserve"> </w:t>
      </w:r>
      <w:r w:rsidR="00700478" w:rsidRPr="00416C4A">
        <w:rPr>
          <w:i/>
          <w:iCs/>
        </w:rPr>
        <w:t>Y2016</w:t>
      </w:r>
      <w:r w:rsidR="00700478" w:rsidRPr="00416C4A">
        <w:t xml:space="preserve"> (</w:t>
      </w:r>
      <w:r w:rsidRPr="00416C4A">
        <w:t xml:space="preserve">the p-value is </w:t>
      </w:r>
      <w:r w:rsidR="007A3B0F" w:rsidRPr="00416C4A">
        <w:t>0.000</w:t>
      </w:r>
      <w:r w:rsidR="00067868" w:rsidRPr="00416C4A">
        <w:t xml:space="preserve"> in both cases</w:t>
      </w:r>
      <w:r w:rsidR="007A3B0F" w:rsidRPr="00416C4A">
        <w:t>)</w:t>
      </w:r>
      <w:r w:rsidRPr="00416C4A">
        <w:t xml:space="preserve">. </w:t>
      </w:r>
      <w:r w:rsidR="000D08DA">
        <w:t>T</w:t>
      </w:r>
      <w:r w:rsidR="00F31A42" w:rsidRPr="00416C4A">
        <w:t xml:space="preserve">he increase from 2012 </w:t>
      </w:r>
      <w:r w:rsidR="0036497C" w:rsidRPr="00416C4A">
        <w:t xml:space="preserve">to 2014 </w:t>
      </w:r>
      <w:r w:rsidR="00F31A42" w:rsidRPr="00416C4A">
        <w:t xml:space="preserve">was 3.73 and the increase from 2012 to 2018 was 11.78, </w:t>
      </w:r>
      <w:r w:rsidR="000D08DA">
        <w:t xml:space="preserve">so </w:t>
      </w:r>
      <w:r w:rsidR="00F31A42" w:rsidRPr="00416C4A">
        <w:t xml:space="preserve">the difference in these coefficients </w:t>
      </w:r>
      <w:r w:rsidR="00B95E73" w:rsidRPr="00416C4A">
        <w:t>(8.05) reflects a</w:t>
      </w:r>
      <w:r w:rsidR="00F45B68">
        <w:t xml:space="preserve"> larger</w:t>
      </w:r>
      <w:r w:rsidR="00B95E73" w:rsidRPr="00416C4A">
        <w:t xml:space="preserve"> increase </w:t>
      </w:r>
      <w:r w:rsidR="00BE54E7" w:rsidRPr="00416C4A">
        <w:t>in more recent years</w:t>
      </w:r>
      <w:r w:rsidR="00B95E73" w:rsidRPr="00416C4A">
        <w:t>.</w:t>
      </w:r>
      <w:r w:rsidR="0036497C" w:rsidRPr="00416C4A">
        <w:t xml:space="preserve"> </w:t>
      </w:r>
      <w:r w:rsidR="00CE7117" w:rsidRPr="00416C4A">
        <w:t>To</w:t>
      </w:r>
      <w:r w:rsidR="000C122D" w:rsidRPr="00416C4A">
        <w:t xml:space="preserve"> compare </w:t>
      </w:r>
      <w:r w:rsidR="00F45B68">
        <w:t>th</w:t>
      </w:r>
      <w:r w:rsidR="000D08DA">
        <w:t>e</w:t>
      </w:r>
      <w:r w:rsidR="00F45B68">
        <w:t xml:space="preserve"> difference </w:t>
      </w:r>
      <w:r w:rsidR="000D08DA">
        <w:t xml:space="preserve">in recent years </w:t>
      </w:r>
      <w:r w:rsidR="000C122D" w:rsidRPr="00416C4A">
        <w:t>with the increase from 2012 to 2014</w:t>
      </w:r>
      <w:r w:rsidR="00CE7117" w:rsidRPr="00416C4A">
        <w:t>,</w:t>
      </w:r>
      <w:r w:rsidR="000C122D" w:rsidRPr="00416C4A">
        <w:t xml:space="preserve"> we </w:t>
      </w:r>
      <w:r w:rsidR="00886353" w:rsidRPr="00416C4A">
        <w:t>divide</w:t>
      </w:r>
      <w:r w:rsidRPr="00416C4A">
        <w:t xml:space="preserve"> it in</w:t>
      </w:r>
      <w:r w:rsidR="00B95E73" w:rsidRPr="00416C4A">
        <w:t xml:space="preserve"> </w:t>
      </w:r>
      <w:r w:rsidR="00886353" w:rsidRPr="00416C4A">
        <w:t>half, obtaining 4.025</w:t>
      </w:r>
      <w:r w:rsidR="00F45B68">
        <w:t>,</w:t>
      </w:r>
      <w:r w:rsidR="00886353" w:rsidRPr="00416C4A">
        <w:t xml:space="preserve"> which is </w:t>
      </w:r>
      <w:r w:rsidR="00F45B68">
        <w:t xml:space="preserve">still </w:t>
      </w:r>
      <w:r w:rsidR="00886353" w:rsidRPr="00416C4A">
        <w:t xml:space="preserve">higher than </w:t>
      </w:r>
      <w:r w:rsidR="00330F4B" w:rsidRPr="00416C4A">
        <w:t>3.73</w:t>
      </w:r>
      <w:r w:rsidR="00886353" w:rsidRPr="00416C4A">
        <w:t xml:space="preserve">. </w:t>
      </w:r>
      <w:r w:rsidR="00330F4B" w:rsidRPr="00416C4A">
        <w:t xml:space="preserve">This suggests </w:t>
      </w:r>
      <w:r w:rsidRPr="00416C4A">
        <w:t xml:space="preserve">the increase in the number of female directors </w:t>
      </w:r>
      <w:r w:rsidR="000D08DA">
        <w:t>is</w:t>
      </w:r>
      <w:r w:rsidR="007A3B0F" w:rsidRPr="00416C4A">
        <w:t xml:space="preserve"> higher </w:t>
      </w:r>
      <w:r w:rsidR="00B42E15" w:rsidRPr="00416C4A">
        <w:t>in recent years</w:t>
      </w:r>
      <w:r w:rsidRPr="00416C4A">
        <w:t>.</w:t>
      </w:r>
    </w:p>
    <w:p w14:paraId="1E97375F" w14:textId="48ADB1ED" w:rsidR="00263A4C" w:rsidRPr="00416C4A" w:rsidRDefault="00D96DFB" w:rsidP="00263A4C">
      <w:pPr>
        <w:pStyle w:val="NormalWeb"/>
        <w:spacing w:before="0" w:beforeAutospacing="0" w:after="0" w:afterAutospacing="0" w:line="480" w:lineRule="auto"/>
        <w:jc w:val="both"/>
      </w:pPr>
      <w:r w:rsidRPr="00416C4A">
        <w:tab/>
      </w:r>
      <w:r w:rsidR="000D08DA">
        <w:t>Although</w:t>
      </w:r>
      <w:r w:rsidR="000D08DA" w:rsidRPr="00416C4A">
        <w:t xml:space="preserve"> </w:t>
      </w:r>
      <w:r w:rsidR="008B66DC" w:rsidRPr="00416C4A">
        <w:t>t</w:t>
      </w:r>
      <w:r w:rsidRPr="00416C4A">
        <w:t>he independent variable</w:t>
      </w:r>
      <w:r w:rsidR="00B0126D" w:rsidRPr="00416C4A">
        <w:t>s</w:t>
      </w:r>
      <w:r w:rsidR="008B66DC" w:rsidRPr="00416C4A">
        <w:t xml:space="preserve"> </w:t>
      </w:r>
      <w:r w:rsidR="008B66DC" w:rsidRPr="00416C4A">
        <w:rPr>
          <w:i/>
          <w:iCs/>
        </w:rPr>
        <w:t>%Executive Female</w:t>
      </w:r>
      <w:r w:rsidR="008B66DC" w:rsidRPr="00416C4A">
        <w:t xml:space="preserve"> </w:t>
      </w:r>
      <w:r w:rsidR="00B0126D" w:rsidRPr="00416C4A">
        <w:t xml:space="preserve">and </w:t>
      </w:r>
      <w:proofErr w:type="spellStart"/>
      <w:r w:rsidR="00B0126D" w:rsidRPr="00416C4A">
        <w:rPr>
          <w:i/>
          <w:iCs/>
        </w:rPr>
        <w:t>Female_Chair</w:t>
      </w:r>
      <w:proofErr w:type="spellEnd"/>
      <w:r w:rsidR="00B0126D" w:rsidRPr="00416C4A">
        <w:t xml:space="preserve"> </w:t>
      </w:r>
      <w:r w:rsidR="008B66DC" w:rsidRPr="00416C4A">
        <w:t>ha</w:t>
      </w:r>
      <w:r w:rsidR="00B0126D" w:rsidRPr="00416C4A">
        <w:t>ve</w:t>
      </w:r>
      <w:r w:rsidR="008B66DC" w:rsidRPr="00416C4A">
        <w:t xml:space="preserve"> positive and statistically significant coefficient</w:t>
      </w:r>
      <w:r w:rsidR="00B600F4" w:rsidRPr="00416C4A">
        <w:t>s</w:t>
      </w:r>
      <w:r w:rsidR="008B66DC" w:rsidRPr="00416C4A">
        <w:t xml:space="preserve">, </w:t>
      </w:r>
      <w:r w:rsidR="00A91496" w:rsidRPr="00416C4A">
        <w:t xml:space="preserve">the </w:t>
      </w:r>
      <w:r w:rsidR="00B600F4" w:rsidRPr="00416C4A">
        <w:t>estimated coefficient o</w:t>
      </w:r>
      <w:r w:rsidR="00541089">
        <w:t>n</w:t>
      </w:r>
      <w:r w:rsidR="00B600F4" w:rsidRPr="00416C4A">
        <w:t xml:space="preserve"> </w:t>
      </w:r>
      <w:r w:rsidRPr="00416C4A">
        <w:t xml:space="preserve">the </w:t>
      </w:r>
      <w:r w:rsidR="00A91496" w:rsidRPr="00416C4A">
        <w:t>indicator variable</w:t>
      </w:r>
      <w:r w:rsidRPr="00416C4A">
        <w:t xml:space="preserve"> </w:t>
      </w:r>
      <w:proofErr w:type="spellStart"/>
      <w:r w:rsidR="00ED7F5E" w:rsidRPr="00416C4A">
        <w:rPr>
          <w:i/>
          <w:iCs/>
        </w:rPr>
        <w:t>F</w:t>
      </w:r>
      <w:r w:rsidRPr="00416C4A">
        <w:rPr>
          <w:i/>
          <w:iCs/>
        </w:rPr>
        <w:t>emale_CEO</w:t>
      </w:r>
      <w:proofErr w:type="spellEnd"/>
      <w:r w:rsidRPr="00416C4A">
        <w:t xml:space="preserve"> </w:t>
      </w:r>
      <w:r w:rsidR="00B600F4" w:rsidRPr="00416C4A">
        <w:t>is</w:t>
      </w:r>
      <w:r w:rsidR="00A91496" w:rsidRPr="00416C4A">
        <w:t xml:space="preserve"> </w:t>
      </w:r>
      <w:r w:rsidR="004E644D" w:rsidRPr="00416C4A">
        <w:t xml:space="preserve">not significant. </w:t>
      </w:r>
      <w:r w:rsidR="0015531B" w:rsidRPr="00416C4A">
        <w:t>Th</w:t>
      </w:r>
      <w:r w:rsidR="001F43C7" w:rsidRPr="00416C4A">
        <w:t>i</w:t>
      </w:r>
      <w:r w:rsidR="0015531B" w:rsidRPr="00416C4A">
        <w:t>s</w:t>
      </w:r>
      <w:r w:rsidR="001F43C7" w:rsidRPr="00416C4A">
        <w:t xml:space="preserve"> suggests that</w:t>
      </w:r>
      <w:r w:rsidR="0015531B" w:rsidRPr="00416C4A">
        <w:t xml:space="preserve"> </w:t>
      </w:r>
      <w:r w:rsidR="001F43C7" w:rsidRPr="00416C4A">
        <w:t>if a woman chair</w:t>
      </w:r>
      <w:r w:rsidR="000D08DA">
        <w:t>s</w:t>
      </w:r>
      <w:r w:rsidR="001F43C7" w:rsidRPr="00416C4A">
        <w:t xml:space="preserve"> the board of directors, she can </w:t>
      </w:r>
      <w:r w:rsidR="000D08DA">
        <w:t xml:space="preserve">positively </w:t>
      </w:r>
      <w:r w:rsidR="001F43C7" w:rsidRPr="00416C4A">
        <w:t xml:space="preserve">influence gender diversity. </w:t>
      </w:r>
      <w:r w:rsidR="006A2348" w:rsidRPr="00416C4A">
        <w:t xml:space="preserve">However, if </w:t>
      </w:r>
      <w:r w:rsidR="00C929A6" w:rsidRPr="00416C4A">
        <w:t>the woman</w:t>
      </w:r>
      <w:r w:rsidR="00E47F9C" w:rsidRPr="00416C4A">
        <w:t xml:space="preserve"> is </w:t>
      </w:r>
      <w:r w:rsidR="000D08DA">
        <w:t>the</w:t>
      </w:r>
      <w:r w:rsidR="00E47F9C" w:rsidRPr="00416C4A">
        <w:t xml:space="preserve"> CEO</w:t>
      </w:r>
      <w:r w:rsidR="00C929A6" w:rsidRPr="00416C4A">
        <w:t xml:space="preserve">, </w:t>
      </w:r>
      <w:r w:rsidR="000D08DA">
        <w:t>she does not</w:t>
      </w:r>
      <w:r w:rsidR="00080E98" w:rsidRPr="00416C4A">
        <w:t xml:space="preserve"> influence board</w:t>
      </w:r>
      <w:r w:rsidR="000D08DA">
        <w:t xml:space="preserve"> diversity</w:t>
      </w:r>
      <w:r w:rsidR="000425D5" w:rsidRPr="00416C4A">
        <w:t>.</w:t>
      </w:r>
      <w:r w:rsidRPr="00416C4A">
        <w:t xml:space="preserve"> Finally, </w:t>
      </w:r>
      <w:r w:rsidR="00BB401C" w:rsidRPr="00416C4A">
        <w:t>we</w:t>
      </w:r>
      <w:r w:rsidRPr="00416C4A">
        <w:t xml:space="preserve"> </w:t>
      </w:r>
      <w:r w:rsidR="00BB401C" w:rsidRPr="00416C4A">
        <w:t>assess</w:t>
      </w:r>
      <w:r w:rsidRPr="00416C4A">
        <w:t xml:space="preserve"> the degree of collinearity between variables</w:t>
      </w:r>
      <w:r w:rsidR="00E47009" w:rsidRPr="00416C4A">
        <w:t xml:space="preserve">: </w:t>
      </w:r>
      <w:r w:rsidRPr="00416C4A">
        <w:t xml:space="preserve">all variance inflation factors are below </w:t>
      </w:r>
      <w:r w:rsidR="00D03DD8" w:rsidRPr="00416C4A">
        <w:t>two</w:t>
      </w:r>
      <w:r w:rsidRPr="00416C4A">
        <w:t>, which suggests that the coefficients are not biased.</w:t>
      </w:r>
      <w:r w:rsidRPr="00416C4A">
        <w:rPr>
          <w:rStyle w:val="FootnoteReference"/>
        </w:rPr>
        <w:footnoteReference w:id="5"/>
      </w:r>
      <w:r w:rsidR="00491CBE" w:rsidRPr="00416C4A">
        <w:t xml:space="preserve"> </w:t>
      </w:r>
    </w:p>
    <w:p w14:paraId="57138E89" w14:textId="1AD4E90E" w:rsidR="00ED20BF" w:rsidRPr="00416C4A" w:rsidRDefault="00D96DFB" w:rsidP="00263A4C">
      <w:pPr>
        <w:spacing w:line="480" w:lineRule="auto"/>
        <w:jc w:val="both"/>
      </w:pPr>
      <w:r w:rsidRPr="00416C4A">
        <w:tab/>
      </w:r>
      <w:r w:rsidR="00E34107" w:rsidRPr="00416C4A">
        <w:t>Next</w:t>
      </w:r>
      <w:r w:rsidRPr="00416C4A">
        <w:t xml:space="preserve">, we present the results </w:t>
      </w:r>
      <w:r w:rsidR="003256F4">
        <w:t xml:space="preserve">from </w:t>
      </w:r>
      <w:r w:rsidR="00036631" w:rsidRPr="00416C4A">
        <w:t xml:space="preserve">our tests </w:t>
      </w:r>
      <w:r w:rsidR="00AB2AFC">
        <w:t>for an</w:t>
      </w:r>
      <w:r w:rsidR="00690DBB" w:rsidRPr="00416C4A">
        <w:t xml:space="preserve"> </w:t>
      </w:r>
      <w:r w:rsidR="00687ED1" w:rsidRPr="00416C4A">
        <w:t>association</w:t>
      </w:r>
      <w:r w:rsidR="00690DBB" w:rsidRPr="00416C4A">
        <w:t xml:space="preserve"> between the percentage of </w:t>
      </w:r>
      <w:r w:rsidR="00AB2AFC">
        <w:t>female directors</w:t>
      </w:r>
      <w:r w:rsidR="00690DBB" w:rsidRPr="00416C4A">
        <w:t xml:space="preserve"> and firm profitability and value. </w:t>
      </w:r>
      <w:r w:rsidR="00331F96" w:rsidRPr="00416C4A">
        <w:t xml:space="preserve">Panel A </w:t>
      </w:r>
      <w:r w:rsidR="00036631" w:rsidRPr="00416C4A">
        <w:t xml:space="preserve">of Table 4 </w:t>
      </w:r>
      <w:r w:rsidR="0009338E" w:rsidRPr="00416C4A">
        <w:t xml:space="preserve">presents </w:t>
      </w:r>
      <w:r w:rsidR="00036631" w:rsidRPr="00416C4A">
        <w:t>initial</w:t>
      </w:r>
      <w:r w:rsidR="0009338E" w:rsidRPr="00416C4A">
        <w:t xml:space="preserve"> </w:t>
      </w:r>
      <w:r w:rsidR="00495A72">
        <w:t xml:space="preserve">results using the </w:t>
      </w:r>
      <w:r w:rsidRPr="00416C4A">
        <w:t xml:space="preserve">pooled sample. </w:t>
      </w:r>
      <w:r w:rsidR="001E1314" w:rsidRPr="00416C4A">
        <w:t>We estimate</w:t>
      </w:r>
      <w:r w:rsidRPr="00416C4A">
        <w:t xml:space="preserve"> three alternative models for each </w:t>
      </w:r>
      <w:r w:rsidR="00D70851" w:rsidRPr="00416C4A">
        <w:t>financial</w:t>
      </w:r>
      <w:r w:rsidRPr="00416C4A">
        <w:t xml:space="preserve"> measure (</w:t>
      </w:r>
      <w:r w:rsidRPr="00416C4A">
        <w:rPr>
          <w:i/>
          <w:iCs/>
        </w:rPr>
        <w:t>ROA</w:t>
      </w:r>
      <w:r w:rsidRPr="00416C4A">
        <w:t xml:space="preserve"> and </w:t>
      </w:r>
      <w:r w:rsidRPr="00416C4A">
        <w:rPr>
          <w:i/>
          <w:iCs/>
        </w:rPr>
        <w:t>Tobin’s Q</w:t>
      </w:r>
      <w:r w:rsidRPr="00416C4A">
        <w:t>). In the first model,</w:t>
      </w:r>
      <w:r w:rsidR="00D2171C" w:rsidRPr="00416C4A">
        <w:t xml:space="preserve"> we consider the </w:t>
      </w:r>
      <w:r w:rsidR="0066718A" w:rsidRPr="00416C4A">
        <w:t>association</w:t>
      </w:r>
      <w:r w:rsidR="00495A72">
        <w:t>s</w:t>
      </w:r>
      <w:r w:rsidR="0066718A" w:rsidRPr="00416C4A">
        <w:t xml:space="preserve"> between </w:t>
      </w:r>
      <w:r w:rsidR="00D2171C" w:rsidRPr="00416C4A">
        <w:rPr>
          <w:i/>
          <w:iCs/>
        </w:rPr>
        <w:t>%Female</w:t>
      </w:r>
      <w:r w:rsidR="00D2171C" w:rsidRPr="00416C4A">
        <w:t xml:space="preserve"> </w:t>
      </w:r>
      <w:r w:rsidR="00495A72">
        <w:t>and</w:t>
      </w:r>
      <w:r w:rsidR="0066718A" w:rsidRPr="00416C4A">
        <w:t xml:space="preserve"> </w:t>
      </w:r>
      <w:r w:rsidR="00F513C4" w:rsidRPr="00416C4A">
        <w:t xml:space="preserve">the financial </w:t>
      </w:r>
      <w:r w:rsidR="006703CA" w:rsidRPr="00416C4A">
        <w:t>measures but</w:t>
      </w:r>
      <w:r w:rsidR="00D2171C" w:rsidRPr="00416C4A">
        <w:t xml:space="preserve"> </w:t>
      </w:r>
      <w:r w:rsidR="00495A72">
        <w:t xml:space="preserve">we </w:t>
      </w:r>
      <w:r w:rsidR="00D2171C" w:rsidRPr="00416C4A">
        <w:t xml:space="preserve">exclude </w:t>
      </w:r>
      <w:r w:rsidRPr="00416C4A">
        <w:t>the percentage of executive female</w:t>
      </w:r>
      <w:r w:rsidR="006A5BCC" w:rsidRPr="00416C4A">
        <w:t xml:space="preserve"> director</w:t>
      </w:r>
      <w:r w:rsidR="0092229E" w:rsidRPr="00416C4A">
        <w:t>s</w:t>
      </w:r>
      <w:r w:rsidRPr="00416C4A">
        <w:t xml:space="preserve">. In the second model, </w:t>
      </w:r>
      <w:r w:rsidR="0092229E" w:rsidRPr="00416C4A">
        <w:t xml:space="preserve">we </w:t>
      </w:r>
      <w:r w:rsidR="000A664F" w:rsidRPr="00416C4A">
        <w:t>include</w:t>
      </w:r>
      <w:r w:rsidRPr="00416C4A">
        <w:t xml:space="preserve"> </w:t>
      </w:r>
      <w:r w:rsidR="0092229E" w:rsidRPr="00416C4A">
        <w:rPr>
          <w:i/>
          <w:iCs/>
        </w:rPr>
        <w:t xml:space="preserve">%Executive Female </w:t>
      </w:r>
      <w:r w:rsidR="0064496B">
        <w:t>instead of</w:t>
      </w:r>
      <w:r w:rsidR="00495A72" w:rsidRPr="00416C4A">
        <w:t xml:space="preserve"> </w:t>
      </w:r>
      <w:r w:rsidR="003D248D" w:rsidRPr="00416C4A">
        <w:rPr>
          <w:i/>
          <w:iCs/>
        </w:rPr>
        <w:t>%Female</w:t>
      </w:r>
      <w:r w:rsidRPr="00416C4A">
        <w:t xml:space="preserve">. </w:t>
      </w:r>
      <w:r w:rsidR="00495A72">
        <w:t>Finally, we include b</w:t>
      </w:r>
      <w:r w:rsidRPr="00416C4A">
        <w:t xml:space="preserve">oth variables in the final </w:t>
      </w:r>
      <w:r w:rsidR="003D248D" w:rsidRPr="00416C4A">
        <w:t>model</w:t>
      </w:r>
      <w:r w:rsidRPr="00416C4A">
        <w:t>. The results show that</w:t>
      </w:r>
      <w:r w:rsidR="00C84635" w:rsidRPr="00416C4A">
        <w:t xml:space="preserve"> all </w:t>
      </w:r>
      <w:r w:rsidR="00495A72" w:rsidRPr="00416C4A">
        <w:t xml:space="preserve">estimated </w:t>
      </w:r>
      <w:r w:rsidR="00C84635" w:rsidRPr="00416C4A">
        <w:t xml:space="preserve">coefficients </w:t>
      </w:r>
      <w:r w:rsidR="00495A72">
        <w:t>on</w:t>
      </w:r>
      <w:r w:rsidR="00C84635" w:rsidRPr="00416C4A">
        <w:t xml:space="preserve"> </w:t>
      </w:r>
      <w:r w:rsidR="001326B9" w:rsidRPr="00416C4A">
        <w:rPr>
          <w:i/>
          <w:iCs/>
        </w:rPr>
        <w:t>%F</w:t>
      </w:r>
      <w:r w:rsidRPr="00416C4A">
        <w:rPr>
          <w:i/>
          <w:iCs/>
        </w:rPr>
        <w:t>emale</w:t>
      </w:r>
      <w:r w:rsidRPr="00416C4A">
        <w:t xml:space="preserve"> </w:t>
      </w:r>
      <w:r w:rsidR="00C84635" w:rsidRPr="00416C4A">
        <w:t>are</w:t>
      </w:r>
      <w:r w:rsidRPr="00416C4A">
        <w:t xml:space="preserve"> positive </w:t>
      </w:r>
      <w:r w:rsidR="00615DBF" w:rsidRPr="00416C4A">
        <w:t>and statistically significant</w:t>
      </w:r>
      <w:r w:rsidRPr="00416C4A">
        <w:t>. However, the</w:t>
      </w:r>
      <w:r w:rsidR="00615DBF" w:rsidRPr="00416C4A">
        <w:t xml:space="preserve"> level of significance </w:t>
      </w:r>
      <w:r w:rsidRPr="00416C4A">
        <w:t xml:space="preserve">in the </w:t>
      </w:r>
      <w:r w:rsidR="00EA1AE6" w:rsidRPr="00416C4A">
        <w:t xml:space="preserve">first </w:t>
      </w:r>
      <w:r w:rsidR="00E20186" w:rsidRPr="00416C4A">
        <w:t>model</w:t>
      </w:r>
      <w:r w:rsidRPr="00416C4A">
        <w:t xml:space="preserve">, </w:t>
      </w:r>
      <w:r w:rsidR="00495A72">
        <w:t>where</w:t>
      </w:r>
      <w:r w:rsidR="00E20186" w:rsidRPr="00416C4A">
        <w:t xml:space="preserve"> </w:t>
      </w:r>
      <w:r w:rsidR="00E20186" w:rsidRPr="00416C4A">
        <w:rPr>
          <w:i/>
          <w:iCs/>
        </w:rPr>
        <w:t xml:space="preserve">Tobin’s Q </w:t>
      </w:r>
      <w:r w:rsidR="00E20186" w:rsidRPr="00416C4A">
        <w:t xml:space="preserve">is the </w:t>
      </w:r>
      <w:r w:rsidR="00556528" w:rsidRPr="00416C4A">
        <w:t xml:space="preserve">dependent variable, is only marginal. </w:t>
      </w:r>
      <w:r w:rsidR="005E68A7" w:rsidRPr="00416C4A">
        <w:t xml:space="preserve">This may be because </w:t>
      </w:r>
      <w:r w:rsidR="003D064D" w:rsidRPr="00416C4A">
        <w:rPr>
          <w:i/>
          <w:iCs/>
        </w:rPr>
        <w:t>ROA</w:t>
      </w:r>
      <w:r w:rsidR="003D064D" w:rsidRPr="00416C4A">
        <w:t xml:space="preserve">, which is significantly </w:t>
      </w:r>
      <w:r w:rsidR="003D064D" w:rsidRPr="00416C4A">
        <w:lastRenderedPageBreak/>
        <w:t xml:space="preserve">associated with </w:t>
      </w:r>
      <w:r w:rsidR="003D064D" w:rsidRPr="00416C4A">
        <w:rPr>
          <w:i/>
          <w:iCs/>
        </w:rPr>
        <w:t>%Female</w:t>
      </w:r>
      <w:r w:rsidR="003D064D" w:rsidRPr="00416C4A">
        <w:t xml:space="preserve">, is included in these models </w:t>
      </w:r>
      <w:r w:rsidR="00EC61DF" w:rsidRPr="00416C4A">
        <w:t xml:space="preserve">and </w:t>
      </w:r>
      <w:r w:rsidR="00495A72">
        <w:t xml:space="preserve">it </w:t>
      </w:r>
      <w:r w:rsidR="003D064D" w:rsidRPr="00416C4A">
        <w:t xml:space="preserve">always </w:t>
      </w:r>
      <w:r w:rsidR="00EC61DF" w:rsidRPr="00416C4A">
        <w:t xml:space="preserve">has </w:t>
      </w:r>
      <w:r w:rsidR="00F25BBA" w:rsidRPr="00416C4A">
        <w:t xml:space="preserve">positive and statistically significant coefficients. </w:t>
      </w:r>
      <w:r w:rsidR="007764BC" w:rsidRPr="00416C4A">
        <w:t xml:space="preserve">These coefficients </w:t>
      </w:r>
      <w:r w:rsidR="00495A72">
        <w:t>a</w:t>
      </w:r>
      <w:r w:rsidR="007764BC" w:rsidRPr="00416C4A">
        <w:t xml:space="preserve">re </w:t>
      </w:r>
      <w:r w:rsidR="00A96709" w:rsidRPr="00416C4A">
        <w:t>expected because</w:t>
      </w:r>
      <w:r w:rsidR="007764BC" w:rsidRPr="00416C4A">
        <w:t xml:space="preserve"> financial performance </w:t>
      </w:r>
      <w:r w:rsidR="00A96709" w:rsidRPr="00416C4A">
        <w:t xml:space="preserve">positively </w:t>
      </w:r>
      <w:r w:rsidR="007764BC" w:rsidRPr="00416C4A">
        <w:t xml:space="preserve">affects firm value. </w:t>
      </w:r>
      <w:r w:rsidR="00A96709" w:rsidRPr="00416C4A">
        <w:t>To</w:t>
      </w:r>
      <w:r w:rsidR="003010DA" w:rsidRPr="00416C4A">
        <w:t xml:space="preserve"> assess whether </w:t>
      </w:r>
      <w:r w:rsidR="003010DA" w:rsidRPr="00416C4A">
        <w:rPr>
          <w:i/>
          <w:iCs/>
        </w:rPr>
        <w:t>ROA</w:t>
      </w:r>
      <w:r w:rsidR="003010DA" w:rsidRPr="00416C4A">
        <w:t xml:space="preserve"> </w:t>
      </w:r>
      <w:r w:rsidR="00547E02" w:rsidRPr="00416C4A">
        <w:t>mediat</w:t>
      </w:r>
      <w:r w:rsidR="00495A72">
        <w:t>es</w:t>
      </w:r>
      <w:r w:rsidR="00547E02" w:rsidRPr="00416C4A">
        <w:t xml:space="preserve"> the </w:t>
      </w:r>
      <w:r w:rsidR="00487E4C" w:rsidRPr="00416C4A">
        <w:t xml:space="preserve">positive </w:t>
      </w:r>
      <w:r w:rsidR="00C40A9D" w:rsidRPr="00416C4A">
        <w:t xml:space="preserve">association </w:t>
      </w:r>
      <w:r w:rsidR="00487E4C" w:rsidRPr="00416C4A">
        <w:t xml:space="preserve">between </w:t>
      </w:r>
      <w:r w:rsidR="00487E4C" w:rsidRPr="00416C4A">
        <w:rPr>
          <w:i/>
          <w:iCs/>
        </w:rPr>
        <w:t>%Female</w:t>
      </w:r>
      <w:r w:rsidR="00487E4C" w:rsidRPr="00416C4A">
        <w:t xml:space="preserve"> </w:t>
      </w:r>
      <w:r w:rsidR="00C40A9D" w:rsidRPr="00416C4A">
        <w:t>and</w:t>
      </w:r>
      <w:r w:rsidR="00487E4C" w:rsidRPr="00416C4A">
        <w:t xml:space="preserve"> </w:t>
      </w:r>
      <w:r w:rsidR="00487E4C" w:rsidRPr="00416C4A">
        <w:rPr>
          <w:i/>
          <w:iCs/>
        </w:rPr>
        <w:t>Tobin’s Q</w:t>
      </w:r>
      <w:r w:rsidR="00495A72">
        <w:t>,</w:t>
      </w:r>
      <w:r w:rsidR="00487E4C" w:rsidRPr="00416C4A">
        <w:t xml:space="preserve"> we </w:t>
      </w:r>
      <w:r w:rsidR="00B06DF8">
        <w:t>perform</w:t>
      </w:r>
      <w:r w:rsidR="00487E4C" w:rsidRPr="00416C4A">
        <w:t xml:space="preserve"> a Sobel test</w:t>
      </w:r>
      <w:r w:rsidR="00685DA4" w:rsidRPr="00416C4A">
        <w:t xml:space="preserve">. </w:t>
      </w:r>
      <w:r w:rsidR="00F10D00" w:rsidRPr="00416C4A">
        <w:t xml:space="preserve">The value of this statistic is </w:t>
      </w:r>
      <w:r w:rsidR="00B26BBE" w:rsidRPr="00416C4A">
        <w:t>2</w:t>
      </w:r>
      <w:r w:rsidR="00F10D00" w:rsidRPr="00416C4A">
        <w:t>.</w:t>
      </w:r>
      <w:r w:rsidR="00B26BBE" w:rsidRPr="00416C4A">
        <w:t>4</w:t>
      </w:r>
      <w:r w:rsidR="00F10D00" w:rsidRPr="00416C4A">
        <w:t>8</w:t>
      </w:r>
      <w:r w:rsidR="00160037" w:rsidRPr="00416C4A">
        <w:t>8</w:t>
      </w:r>
      <w:r w:rsidR="00F10D00" w:rsidRPr="00416C4A">
        <w:t xml:space="preserve"> </w:t>
      </w:r>
      <w:r w:rsidR="009C5F0C" w:rsidRPr="00416C4A">
        <w:t>and the one-sided p-value is 0.</w:t>
      </w:r>
      <w:r w:rsidR="00092DBA" w:rsidRPr="00416C4A">
        <w:t>0</w:t>
      </w:r>
      <w:r w:rsidR="00160037" w:rsidRPr="00416C4A">
        <w:t>0</w:t>
      </w:r>
      <w:r w:rsidR="00092DBA" w:rsidRPr="00416C4A">
        <w:t xml:space="preserve">6. This confirms </w:t>
      </w:r>
      <w:r w:rsidR="00495A72">
        <w:t xml:space="preserve">that when using </w:t>
      </w:r>
      <w:r w:rsidR="00495A72" w:rsidRPr="00416C4A">
        <w:rPr>
          <w:i/>
          <w:iCs/>
        </w:rPr>
        <w:t>ROA</w:t>
      </w:r>
      <w:r w:rsidR="00495A72">
        <w:t>,</w:t>
      </w:r>
      <w:r w:rsidR="00495A72" w:rsidRPr="00416C4A">
        <w:t xml:space="preserve"> </w:t>
      </w:r>
      <w:r w:rsidR="00092DBA" w:rsidRPr="00416C4A">
        <w:t>the</w:t>
      </w:r>
      <w:r w:rsidR="00495A72">
        <w:t>re is an</w:t>
      </w:r>
      <w:r w:rsidR="00092DBA" w:rsidRPr="00416C4A">
        <w:t xml:space="preserve"> indirect </w:t>
      </w:r>
      <w:r w:rsidR="00C40A9D" w:rsidRPr="00416C4A">
        <w:t>association</w:t>
      </w:r>
      <w:r w:rsidR="00092DBA" w:rsidRPr="00416C4A">
        <w:t xml:space="preserve"> between </w:t>
      </w:r>
      <w:r w:rsidR="00092DBA" w:rsidRPr="00416C4A">
        <w:rPr>
          <w:i/>
          <w:iCs/>
        </w:rPr>
        <w:t>%Female</w:t>
      </w:r>
      <w:r w:rsidR="00092DBA" w:rsidRPr="00416C4A">
        <w:t xml:space="preserve"> </w:t>
      </w:r>
      <w:r w:rsidR="00C40A9D" w:rsidRPr="00416C4A">
        <w:t>an</w:t>
      </w:r>
      <w:r w:rsidR="00254986" w:rsidRPr="00416C4A">
        <w:t>d</w:t>
      </w:r>
      <w:r w:rsidR="00092DBA" w:rsidRPr="00416C4A">
        <w:t xml:space="preserve"> </w:t>
      </w:r>
      <w:r w:rsidR="00092DBA" w:rsidRPr="00416C4A">
        <w:rPr>
          <w:i/>
          <w:iCs/>
        </w:rPr>
        <w:t>Tobin’s Q</w:t>
      </w:r>
      <w:r w:rsidR="00092DBA" w:rsidRPr="00416C4A">
        <w:t>.</w:t>
      </w:r>
      <w:r w:rsidRPr="00416C4A">
        <w:rPr>
          <w:rStyle w:val="FootnoteReference"/>
        </w:rPr>
        <w:footnoteReference w:id="6"/>
      </w:r>
    </w:p>
    <w:p w14:paraId="2A34085C" w14:textId="31D1E36A" w:rsidR="00263A4C" w:rsidRPr="00416C4A" w:rsidRDefault="00D96DFB" w:rsidP="009778C2">
      <w:pPr>
        <w:spacing w:line="480" w:lineRule="auto"/>
        <w:ind w:firstLine="720"/>
        <w:jc w:val="both"/>
      </w:pPr>
      <w:r w:rsidRPr="00416C4A">
        <w:t>As for the control variables</w:t>
      </w:r>
      <w:r w:rsidR="00182313" w:rsidRPr="00416C4A">
        <w:t xml:space="preserve">, </w:t>
      </w:r>
      <w:r w:rsidR="009778C2" w:rsidRPr="00416C4A">
        <w:t>(</w:t>
      </w:r>
      <w:proofErr w:type="spellStart"/>
      <w:r w:rsidR="009778C2" w:rsidRPr="00416C4A">
        <w:t>i</w:t>
      </w:r>
      <w:proofErr w:type="spellEnd"/>
      <w:r w:rsidR="009778C2" w:rsidRPr="00416C4A">
        <w:t xml:space="preserve">) </w:t>
      </w:r>
      <w:r w:rsidR="009778C2" w:rsidRPr="00416C4A">
        <w:rPr>
          <w:i/>
          <w:iCs/>
        </w:rPr>
        <w:t>%Executive Female</w:t>
      </w:r>
      <w:r w:rsidR="009778C2" w:rsidRPr="00416C4A">
        <w:t xml:space="preserve"> is not significantly associated with either </w:t>
      </w:r>
      <w:r w:rsidR="009778C2" w:rsidRPr="00416C4A">
        <w:rPr>
          <w:i/>
          <w:iCs/>
        </w:rPr>
        <w:t>ROA</w:t>
      </w:r>
      <w:r w:rsidR="009778C2" w:rsidRPr="00416C4A">
        <w:t xml:space="preserve"> or </w:t>
      </w:r>
      <w:r w:rsidR="009778C2" w:rsidRPr="00416C4A">
        <w:rPr>
          <w:i/>
          <w:iCs/>
        </w:rPr>
        <w:t>Tobin’s Q</w:t>
      </w:r>
      <w:r w:rsidR="009778C2" w:rsidRPr="00416C4A">
        <w:t xml:space="preserve">, </w:t>
      </w:r>
      <w:r w:rsidR="009E65BD" w:rsidRPr="00416C4A">
        <w:t xml:space="preserve">with the exception of </w:t>
      </w:r>
      <w:r w:rsidR="00200761">
        <w:t xml:space="preserve">in </w:t>
      </w:r>
      <w:r w:rsidR="009E65BD" w:rsidRPr="00416C4A">
        <w:t xml:space="preserve">the </w:t>
      </w:r>
      <w:r w:rsidR="00A62AB9" w:rsidRPr="0033116F">
        <w:rPr>
          <w:i/>
          <w:iCs/>
        </w:rPr>
        <w:t>ROA</w:t>
      </w:r>
      <w:r w:rsidR="00A62AB9" w:rsidRPr="00416C4A">
        <w:t xml:space="preserve"> model that does not include </w:t>
      </w:r>
      <w:r w:rsidR="00A62AB9" w:rsidRPr="00416C4A">
        <w:rPr>
          <w:i/>
          <w:iCs/>
        </w:rPr>
        <w:t>%Female</w:t>
      </w:r>
      <w:r w:rsidR="00A62AB9" w:rsidRPr="00416C4A">
        <w:t xml:space="preserve"> (</w:t>
      </w:r>
      <w:r w:rsidR="00B87784" w:rsidRPr="00416C4A">
        <w:t xml:space="preserve">indicating a possible substitution effect), </w:t>
      </w:r>
      <w:r w:rsidR="00182313" w:rsidRPr="00416C4A">
        <w:t>(</w:t>
      </w:r>
      <w:r w:rsidR="009778C2" w:rsidRPr="00416C4A">
        <w:t>i</w:t>
      </w:r>
      <w:r w:rsidR="00182313" w:rsidRPr="00416C4A">
        <w:t xml:space="preserve">i) </w:t>
      </w:r>
      <w:r w:rsidR="000E1A95" w:rsidRPr="00416C4A">
        <w:rPr>
          <w:i/>
          <w:iCs/>
        </w:rPr>
        <w:t>B</w:t>
      </w:r>
      <w:r w:rsidRPr="00416C4A">
        <w:rPr>
          <w:i/>
          <w:iCs/>
        </w:rPr>
        <w:t xml:space="preserve">oard </w:t>
      </w:r>
      <w:r w:rsidR="000E1A95" w:rsidRPr="00416C4A">
        <w:rPr>
          <w:i/>
          <w:iCs/>
        </w:rPr>
        <w:t>S</w:t>
      </w:r>
      <w:r w:rsidRPr="00416C4A">
        <w:rPr>
          <w:i/>
          <w:iCs/>
        </w:rPr>
        <w:t>ize</w:t>
      </w:r>
      <w:r w:rsidRPr="00416C4A">
        <w:t xml:space="preserve"> is </w:t>
      </w:r>
      <w:r w:rsidR="00E66EB5" w:rsidRPr="00416C4A">
        <w:t>not</w:t>
      </w:r>
      <w:r w:rsidRPr="00416C4A">
        <w:t xml:space="preserve"> </w:t>
      </w:r>
      <w:r w:rsidR="00E72ED0" w:rsidRPr="00416C4A">
        <w:t xml:space="preserve">statistically </w:t>
      </w:r>
      <w:r w:rsidRPr="00416C4A">
        <w:t xml:space="preserve">significant, </w:t>
      </w:r>
      <w:r w:rsidR="000E1A95" w:rsidRPr="00416C4A">
        <w:t>(ii</w:t>
      </w:r>
      <w:r w:rsidR="009778C2" w:rsidRPr="00416C4A">
        <w:t>i</w:t>
      </w:r>
      <w:r w:rsidR="000E1A95" w:rsidRPr="00416C4A">
        <w:t xml:space="preserve">) </w:t>
      </w:r>
      <w:r w:rsidR="00AC3146" w:rsidRPr="00416C4A">
        <w:rPr>
          <w:i/>
          <w:iCs/>
        </w:rPr>
        <w:t>Firm Size</w:t>
      </w:r>
      <w:r w:rsidR="00AC3146" w:rsidRPr="00416C4A">
        <w:t xml:space="preserve"> </w:t>
      </w:r>
      <w:r w:rsidR="007C7E47" w:rsidRPr="00416C4A">
        <w:t>has</w:t>
      </w:r>
      <w:r w:rsidR="00AC3146" w:rsidRPr="00416C4A">
        <w:t xml:space="preserve"> negative </w:t>
      </w:r>
      <w:r w:rsidR="007C7E47" w:rsidRPr="00416C4A">
        <w:t xml:space="preserve">estimated coefficients, which are </w:t>
      </w:r>
      <w:r w:rsidR="00C5597D" w:rsidRPr="00416C4A">
        <w:t xml:space="preserve">statistically significant </w:t>
      </w:r>
      <w:r w:rsidR="007C7E47" w:rsidRPr="00416C4A">
        <w:t xml:space="preserve">at a five percent confidence level </w:t>
      </w:r>
      <w:r w:rsidR="00C5597D" w:rsidRPr="00416C4A">
        <w:t xml:space="preserve">in </w:t>
      </w:r>
      <w:r w:rsidR="007C7E47" w:rsidRPr="00416C4A">
        <w:t>two</w:t>
      </w:r>
      <w:r w:rsidR="00C5597D" w:rsidRPr="00416C4A">
        <w:t xml:space="preserve"> </w:t>
      </w:r>
      <w:r w:rsidR="00AC7E03" w:rsidRPr="00416C4A">
        <w:t xml:space="preserve">of the </w:t>
      </w:r>
      <w:r w:rsidR="00AC7E03" w:rsidRPr="00416C4A">
        <w:rPr>
          <w:i/>
          <w:iCs/>
        </w:rPr>
        <w:t>ROA</w:t>
      </w:r>
      <w:r w:rsidR="00AC7E03" w:rsidRPr="00416C4A">
        <w:t xml:space="preserve"> </w:t>
      </w:r>
      <w:r w:rsidR="00C5597D" w:rsidRPr="00416C4A">
        <w:t xml:space="preserve">models, </w:t>
      </w:r>
      <w:r w:rsidR="00754826" w:rsidRPr="00416C4A">
        <w:t xml:space="preserve">and </w:t>
      </w:r>
      <w:r w:rsidR="000B7AE1" w:rsidRPr="00416C4A">
        <w:t>(i</w:t>
      </w:r>
      <w:r w:rsidR="009778C2" w:rsidRPr="00416C4A">
        <w:t>v</w:t>
      </w:r>
      <w:r w:rsidR="000B7AE1" w:rsidRPr="00416C4A">
        <w:t xml:space="preserve">) </w:t>
      </w:r>
      <w:r w:rsidRPr="00416C4A">
        <w:rPr>
          <w:i/>
          <w:iCs/>
        </w:rPr>
        <w:t>Leverage</w:t>
      </w:r>
      <w:r w:rsidRPr="00416C4A">
        <w:t xml:space="preserve"> </w:t>
      </w:r>
      <w:r w:rsidR="00CE39FE" w:rsidRPr="00416C4A">
        <w:t>has negative and statistic</w:t>
      </w:r>
      <w:r w:rsidRPr="00416C4A">
        <w:t>ally significant</w:t>
      </w:r>
      <w:r w:rsidR="00CE39FE" w:rsidRPr="00416C4A">
        <w:t xml:space="preserve"> coefficients</w:t>
      </w:r>
      <w:r w:rsidR="0053129C" w:rsidRPr="00416C4A">
        <w:t xml:space="preserve">, </w:t>
      </w:r>
      <w:r w:rsidR="00CE39FE" w:rsidRPr="00416C4A">
        <w:t>but</w:t>
      </w:r>
      <w:r w:rsidR="0053129C" w:rsidRPr="00416C4A">
        <w:t xml:space="preserve"> only in the models where </w:t>
      </w:r>
      <w:r w:rsidRPr="00416C4A">
        <w:rPr>
          <w:i/>
          <w:iCs/>
        </w:rPr>
        <w:t>ROA</w:t>
      </w:r>
      <w:r w:rsidR="0053129C" w:rsidRPr="00416C4A">
        <w:t xml:space="preserve"> is the dependent variable</w:t>
      </w:r>
      <w:r w:rsidR="00754826" w:rsidRPr="00416C4A">
        <w:t>.</w:t>
      </w:r>
    </w:p>
    <w:p w14:paraId="0D3A7C83" w14:textId="369E46F5" w:rsidR="006F3154" w:rsidRPr="00416C4A" w:rsidRDefault="00D96DFB" w:rsidP="00263A4C">
      <w:pPr>
        <w:spacing w:line="480" w:lineRule="auto"/>
        <w:ind w:firstLine="720"/>
        <w:jc w:val="both"/>
      </w:pPr>
      <w:r w:rsidRPr="00416C4A">
        <w:t xml:space="preserve">Panel B of Table </w:t>
      </w:r>
      <w:r w:rsidR="006606AE" w:rsidRPr="00416C4A">
        <w:t>4</w:t>
      </w:r>
      <w:r w:rsidR="002D57DF" w:rsidRPr="00416C4A">
        <w:t xml:space="preserve"> presents the results </w:t>
      </w:r>
      <w:r w:rsidR="003256F4">
        <w:t>from</w:t>
      </w:r>
      <w:r w:rsidR="002D57DF" w:rsidRPr="00416C4A">
        <w:t xml:space="preserve"> similar estimations but </w:t>
      </w:r>
      <w:r w:rsidR="00200761">
        <w:t xml:space="preserve">includes </w:t>
      </w:r>
      <w:r w:rsidR="002D57DF" w:rsidRPr="00416C4A">
        <w:t xml:space="preserve">only the two </w:t>
      </w:r>
      <w:r w:rsidR="00F8476F" w:rsidRPr="00416C4A">
        <w:t xml:space="preserve">initial </w:t>
      </w:r>
      <w:r w:rsidR="002D57DF" w:rsidRPr="00416C4A">
        <w:t xml:space="preserve">years </w:t>
      </w:r>
      <w:r w:rsidR="00F8476F" w:rsidRPr="00416C4A">
        <w:t xml:space="preserve">of our sample </w:t>
      </w:r>
      <w:r w:rsidR="00AA0C36" w:rsidRPr="00416C4A">
        <w:t>(2012 and 2014)</w:t>
      </w:r>
      <w:r w:rsidR="002D57DF" w:rsidRPr="00416C4A">
        <w:t xml:space="preserve">. </w:t>
      </w:r>
      <w:r w:rsidR="00263A4C" w:rsidRPr="00416C4A">
        <w:t xml:space="preserve">The </w:t>
      </w:r>
      <w:r w:rsidR="00D42664" w:rsidRPr="00416C4A">
        <w:t xml:space="preserve">estimated coefficients for our variable </w:t>
      </w:r>
      <w:r w:rsidR="00035218" w:rsidRPr="00416C4A">
        <w:t>of interest (</w:t>
      </w:r>
      <w:r w:rsidR="00035218" w:rsidRPr="00416C4A">
        <w:rPr>
          <w:i/>
          <w:iCs/>
        </w:rPr>
        <w:t>%Female</w:t>
      </w:r>
      <w:r w:rsidR="00035218" w:rsidRPr="00416C4A">
        <w:t>) are never statistically significant</w:t>
      </w:r>
      <w:r w:rsidRPr="00416C4A">
        <w:t xml:space="preserve">. Thus, we conclude that </w:t>
      </w:r>
      <w:r w:rsidR="007B6AA7" w:rsidRPr="00416C4A">
        <w:t>during this period</w:t>
      </w:r>
      <w:r w:rsidRPr="00416C4A">
        <w:t xml:space="preserve">, the presence of </w:t>
      </w:r>
      <w:r w:rsidR="00200761">
        <w:t>female directors</w:t>
      </w:r>
      <w:r w:rsidRPr="00416C4A">
        <w:t xml:space="preserve"> </w:t>
      </w:r>
      <w:r w:rsidR="00C163C0" w:rsidRPr="00416C4A">
        <w:t xml:space="preserve">was not associated with </w:t>
      </w:r>
      <w:r w:rsidRPr="00416C4A">
        <w:t>firm</w:t>
      </w:r>
      <w:r w:rsidR="009E79E6" w:rsidRPr="00416C4A">
        <w:t xml:space="preserve"> </w:t>
      </w:r>
      <w:r w:rsidRPr="00416C4A">
        <w:t>performance</w:t>
      </w:r>
      <w:r w:rsidR="00900E7D" w:rsidRPr="00416C4A">
        <w:t xml:space="preserve"> or value</w:t>
      </w:r>
      <w:r w:rsidRPr="00416C4A">
        <w:t xml:space="preserve">. This may be caused by several factors, such as </w:t>
      </w:r>
      <w:r w:rsidR="00F70FB1" w:rsidRPr="00416C4A">
        <w:t xml:space="preserve">tokenism </w:t>
      </w:r>
      <w:r w:rsidR="00110F5C" w:rsidRPr="00416C4A">
        <w:t xml:space="preserve">or the </w:t>
      </w:r>
      <w:r w:rsidR="00E71D1E">
        <w:t xml:space="preserve">allocation </w:t>
      </w:r>
      <w:r w:rsidR="00110F5C" w:rsidRPr="00416C4A">
        <w:t xml:space="preserve">of </w:t>
      </w:r>
      <w:r w:rsidR="000558F7" w:rsidRPr="00416C4A">
        <w:t>riskier</w:t>
      </w:r>
      <w:r w:rsidR="00110F5C" w:rsidRPr="00416C4A">
        <w:t xml:space="preserve"> tasks to women, as discussed in the theory section </w:t>
      </w:r>
      <w:r w:rsidR="00200761">
        <w:t>above</w:t>
      </w:r>
      <w:r w:rsidR="00110F5C" w:rsidRPr="00416C4A">
        <w:t>.</w:t>
      </w:r>
      <w:r w:rsidR="0003239B" w:rsidRPr="00416C4A">
        <w:t xml:space="preserve"> </w:t>
      </w:r>
    </w:p>
    <w:p w14:paraId="3D38C362" w14:textId="187D0483" w:rsidR="009778C2" w:rsidRPr="00416C4A" w:rsidRDefault="00D96DFB" w:rsidP="00263A4C">
      <w:pPr>
        <w:spacing w:line="480" w:lineRule="auto"/>
        <w:ind w:firstLine="720"/>
        <w:jc w:val="both"/>
      </w:pPr>
      <w:r w:rsidRPr="00416C4A">
        <w:t xml:space="preserve">Panel C of Table </w:t>
      </w:r>
      <w:r w:rsidR="00200761">
        <w:t>4</w:t>
      </w:r>
      <w:r w:rsidRPr="00416C4A">
        <w:t xml:space="preserve"> presents the results </w:t>
      </w:r>
      <w:r w:rsidR="00200761">
        <w:t>using</w:t>
      </w:r>
      <w:r w:rsidRPr="00416C4A">
        <w:t xml:space="preserve"> </w:t>
      </w:r>
      <w:r w:rsidR="000D6B81" w:rsidRPr="00416C4A">
        <w:t xml:space="preserve">the two </w:t>
      </w:r>
      <w:r w:rsidR="0003239B" w:rsidRPr="00416C4A">
        <w:t>mo</w:t>
      </w:r>
      <w:r w:rsidR="00200761">
        <w:t>st</w:t>
      </w:r>
      <w:r w:rsidR="0003239B" w:rsidRPr="00416C4A">
        <w:t xml:space="preserve"> recent </w:t>
      </w:r>
      <w:r w:rsidR="000D6B81" w:rsidRPr="00416C4A">
        <w:t xml:space="preserve">years </w:t>
      </w:r>
      <w:r w:rsidR="0073143F" w:rsidRPr="00416C4A">
        <w:t>(2016 and 2018)</w:t>
      </w:r>
      <w:r w:rsidR="000D6B81" w:rsidRPr="00416C4A">
        <w:t xml:space="preserve">. </w:t>
      </w:r>
      <w:r w:rsidR="00480CAA" w:rsidRPr="00416C4A">
        <w:t>The coefficients o</w:t>
      </w:r>
      <w:r w:rsidR="00200761">
        <w:t>n</w:t>
      </w:r>
      <w:r w:rsidR="00480CAA" w:rsidRPr="00416C4A">
        <w:t xml:space="preserve"> our main variable of interest</w:t>
      </w:r>
      <w:r w:rsidR="00E72091" w:rsidRPr="00416C4A">
        <w:t xml:space="preserve"> (</w:t>
      </w:r>
      <w:r w:rsidR="00E72091" w:rsidRPr="00416C4A">
        <w:rPr>
          <w:i/>
          <w:iCs/>
        </w:rPr>
        <w:t>%Female</w:t>
      </w:r>
      <w:r w:rsidR="00E72091" w:rsidRPr="00416C4A">
        <w:t xml:space="preserve">) </w:t>
      </w:r>
      <w:r w:rsidR="00480CAA" w:rsidRPr="00416C4A">
        <w:t xml:space="preserve">are all positive </w:t>
      </w:r>
      <w:r w:rsidR="00560DCE" w:rsidRPr="00416C4A">
        <w:t>and</w:t>
      </w:r>
      <w:r w:rsidR="00480CAA" w:rsidRPr="00416C4A">
        <w:t xml:space="preserve"> statistically significant </w:t>
      </w:r>
      <w:r w:rsidR="0064675A" w:rsidRPr="00416C4A">
        <w:t xml:space="preserve">(albeit only marginally </w:t>
      </w:r>
      <w:r w:rsidR="00480CAA" w:rsidRPr="00416C4A">
        <w:t xml:space="preserve">in </w:t>
      </w:r>
      <w:r w:rsidRPr="00416C4A">
        <w:t xml:space="preserve">the </w:t>
      </w:r>
      <w:r w:rsidR="0064675A" w:rsidRPr="00416C4A">
        <w:t>first model</w:t>
      </w:r>
      <w:r w:rsidRPr="00416C4A">
        <w:t xml:space="preserve">, where </w:t>
      </w:r>
      <w:r w:rsidR="0064675A" w:rsidRPr="00416C4A">
        <w:rPr>
          <w:i/>
          <w:iCs/>
        </w:rPr>
        <w:t>Tobin’s Q</w:t>
      </w:r>
      <w:r w:rsidR="0064675A" w:rsidRPr="00416C4A">
        <w:t xml:space="preserve"> is the dependent variable</w:t>
      </w:r>
      <w:r w:rsidR="00200761">
        <w:t xml:space="preserve">, with a </w:t>
      </w:r>
      <w:r w:rsidR="00643AFF" w:rsidRPr="00416C4A">
        <w:t>p-value</w:t>
      </w:r>
      <w:r w:rsidR="00200761">
        <w:t xml:space="preserve"> of </w:t>
      </w:r>
      <w:r w:rsidR="00643AFF" w:rsidRPr="00416C4A">
        <w:t>0.064</w:t>
      </w:r>
      <w:r w:rsidR="003013A3" w:rsidRPr="00416C4A">
        <w:t>)</w:t>
      </w:r>
      <w:r w:rsidR="00480CAA" w:rsidRPr="00416C4A">
        <w:t xml:space="preserve">. </w:t>
      </w:r>
      <w:r w:rsidR="00A862F6" w:rsidRPr="00416C4A">
        <w:t xml:space="preserve">Thus, </w:t>
      </w:r>
      <w:r w:rsidR="00200761">
        <w:t xml:space="preserve">we find </w:t>
      </w:r>
      <w:r w:rsidR="00A862F6" w:rsidRPr="00416C4A">
        <w:t xml:space="preserve">a direct association between </w:t>
      </w:r>
      <w:r w:rsidR="00A862F6" w:rsidRPr="00416C4A">
        <w:rPr>
          <w:i/>
          <w:iCs/>
        </w:rPr>
        <w:t>%Female</w:t>
      </w:r>
      <w:r w:rsidR="00A862F6" w:rsidRPr="00416C4A">
        <w:t xml:space="preserve"> and </w:t>
      </w:r>
      <w:r w:rsidR="003013A3" w:rsidRPr="00416C4A">
        <w:t xml:space="preserve">both </w:t>
      </w:r>
      <w:r w:rsidR="003013A3" w:rsidRPr="00416C4A">
        <w:lastRenderedPageBreak/>
        <w:t xml:space="preserve">financial </w:t>
      </w:r>
      <w:r w:rsidR="00A862F6" w:rsidRPr="00416C4A">
        <w:t xml:space="preserve">performance </w:t>
      </w:r>
      <w:r w:rsidR="003013A3" w:rsidRPr="00416C4A">
        <w:t xml:space="preserve">and firm value </w:t>
      </w:r>
      <w:r w:rsidR="00A862F6" w:rsidRPr="00416C4A">
        <w:t xml:space="preserve">only in </w:t>
      </w:r>
      <w:r w:rsidR="00B109FA" w:rsidRPr="00416C4A">
        <w:t>recent</w:t>
      </w:r>
      <w:r w:rsidRPr="00416C4A">
        <w:t xml:space="preserve"> </w:t>
      </w:r>
      <w:r w:rsidR="00A862F6" w:rsidRPr="00416C4A">
        <w:t>years</w:t>
      </w:r>
      <w:r w:rsidR="0070116E" w:rsidRPr="00416C4A">
        <w:t>.</w:t>
      </w:r>
      <w:r w:rsidR="00480CAA" w:rsidRPr="00416C4A">
        <w:t xml:space="preserve"> </w:t>
      </w:r>
      <w:r w:rsidR="0070116E" w:rsidRPr="00416C4A">
        <w:t>As in Panel A, the coefficients o</w:t>
      </w:r>
      <w:r w:rsidR="00200761">
        <w:t>n</w:t>
      </w:r>
      <w:r w:rsidR="0070116E" w:rsidRPr="00416C4A">
        <w:t xml:space="preserve"> </w:t>
      </w:r>
      <w:r w:rsidR="0070116E" w:rsidRPr="00416C4A">
        <w:rPr>
          <w:i/>
          <w:iCs/>
        </w:rPr>
        <w:t>ROA</w:t>
      </w:r>
      <w:r w:rsidR="0070116E" w:rsidRPr="00416C4A">
        <w:t xml:space="preserve"> in the models </w:t>
      </w:r>
      <w:r w:rsidR="00200761">
        <w:t>where</w:t>
      </w:r>
      <w:r w:rsidR="0070116E" w:rsidRPr="00416C4A">
        <w:t xml:space="preserve"> </w:t>
      </w:r>
      <w:r w:rsidR="0070116E" w:rsidRPr="00416C4A">
        <w:rPr>
          <w:i/>
          <w:iCs/>
        </w:rPr>
        <w:t>Tobin’s Q</w:t>
      </w:r>
      <w:r w:rsidR="0070116E" w:rsidRPr="00416C4A">
        <w:t xml:space="preserve"> is the dependent variable are positive and statistically significant. Th</w:t>
      </w:r>
      <w:r w:rsidR="00200761">
        <w:t xml:space="preserve">is suggests that </w:t>
      </w:r>
      <w:r w:rsidR="0070116E" w:rsidRPr="00416C4A">
        <w:t xml:space="preserve">there may be an indirect </w:t>
      </w:r>
      <w:r w:rsidR="00E14300" w:rsidRPr="00416C4A">
        <w:t>association between</w:t>
      </w:r>
      <w:r w:rsidR="0070116E" w:rsidRPr="00416C4A">
        <w:t xml:space="preserve"> </w:t>
      </w:r>
      <w:r w:rsidR="0070116E" w:rsidRPr="00416C4A">
        <w:rPr>
          <w:i/>
          <w:iCs/>
        </w:rPr>
        <w:t>%Female</w:t>
      </w:r>
      <w:r w:rsidR="0070116E" w:rsidRPr="00416C4A">
        <w:t xml:space="preserve"> </w:t>
      </w:r>
      <w:r w:rsidR="00E14300" w:rsidRPr="00416C4A">
        <w:t>and</w:t>
      </w:r>
      <w:r w:rsidR="0070116E" w:rsidRPr="00416C4A">
        <w:t xml:space="preserve"> </w:t>
      </w:r>
      <w:r w:rsidR="009109E3" w:rsidRPr="00416C4A">
        <w:t>our market-based measure of performance</w:t>
      </w:r>
      <w:r w:rsidR="00200761">
        <w:t xml:space="preserve"> because female directors</w:t>
      </w:r>
      <w:r w:rsidR="00263A4C" w:rsidRPr="00416C4A">
        <w:t xml:space="preserve"> </w:t>
      </w:r>
      <w:r w:rsidR="00B062D5" w:rsidRPr="00416C4A">
        <w:t xml:space="preserve">are </w:t>
      </w:r>
      <w:r w:rsidR="00263A4C" w:rsidRPr="00416C4A">
        <w:t xml:space="preserve">first </w:t>
      </w:r>
      <w:r w:rsidR="00E14300" w:rsidRPr="00416C4A">
        <w:t>associated with</w:t>
      </w:r>
      <w:r w:rsidR="00263A4C" w:rsidRPr="00416C4A">
        <w:t xml:space="preserve"> firm profitability through </w:t>
      </w:r>
      <w:r w:rsidR="00263A4C" w:rsidRPr="00416C4A">
        <w:rPr>
          <w:i/>
          <w:iCs/>
        </w:rPr>
        <w:t>ROA</w:t>
      </w:r>
      <w:r w:rsidR="00263A4C" w:rsidRPr="00416C4A">
        <w:t xml:space="preserve">. </w:t>
      </w:r>
      <w:r w:rsidR="00200761">
        <w:t>Therefore, w</w:t>
      </w:r>
      <w:r w:rsidR="0048090E" w:rsidRPr="00416C4A">
        <w:t>e perform</w:t>
      </w:r>
      <w:r w:rsidRPr="00416C4A">
        <w:t xml:space="preserve"> a Sobel test, which confirm</w:t>
      </w:r>
      <w:r w:rsidR="0048090E" w:rsidRPr="00416C4A">
        <w:t>s this indirect</w:t>
      </w:r>
      <w:r w:rsidR="00200761">
        <w:t>,</w:t>
      </w:r>
      <w:r w:rsidR="0048090E" w:rsidRPr="00416C4A">
        <w:t xml:space="preserve"> </w:t>
      </w:r>
      <w:r w:rsidR="00DA7225" w:rsidRPr="00416C4A">
        <w:t xml:space="preserve">positive </w:t>
      </w:r>
      <w:r w:rsidR="00E14300" w:rsidRPr="00416C4A">
        <w:t>association</w:t>
      </w:r>
      <w:r w:rsidR="00DA7225" w:rsidRPr="00416C4A">
        <w:t xml:space="preserve"> (Sobel statistic</w:t>
      </w:r>
      <w:r w:rsidR="006438AB" w:rsidRPr="00416C4A">
        <w:t xml:space="preserve"> </w:t>
      </w:r>
      <w:r w:rsidR="00DA7225" w:rsidRPr="00416C4A">
        <w:t>=</w:t>
      </w:r>
      <w:r w:rsidR="006438AB" w:rsidRPr="00416C4A">
        <w:t xml:space="preserve"> 2.</w:t>
      </w:r>
      <w:r w:rsidR="00FF5B2A" w:rsidRPr="00416C4A">
        <w:t>494</w:t>
      </w:r>
      <w:r w:rsidR="006438AB" w:rsidRPr="00416C4A">
        <w:t xml:space="preserve">, one-sided p-value = </w:t>
      </w:r>
      <w:r w:rsidR="00EC28CE" w:rsidRPr="00416C4A">
        <w:t>0.0</w:t>
      </w:r>
      <w:r w:rsidR="00533E9E" w:rsidRPr="00416C4A">
        <w:t>06</w:t>
      </w:r>
      <w:r w:rsidR="00EC28CE" w:rsidRPr="00416C4A">
        <w:t xml:space="preserve">). </w:t>
      </w:r>
      <w:r w:rsidR="006438AB" w:rsidRPr="00416C4A">
        <w:t xml:space="preserve"> </w:t>
      </w:r>
    </w:p>
    <w:p w14:paraId="34ACBAE5" w14:textId="30D36FDE" w:rsidR="00263A4C" w:rsidRPr="00416C4A" w:rsidRDefault="00D96DFB" w:rsidP="00263A4C">
      <w:pPr>
        <w:spacing w:line="480" w:lineRule="auto"/>
        <w:ind w:firstLine="720"/>
        <w:jc w:val="both"/>
      </w:pPr>
      <w:r w:rsidRPr="00416C4A">
        <w:t xml:space="preserve">In the models </w:t>
      </w:r>
      <w:r w:rsidR="00200761">
        <w:t>where</w:t>
      </w:r>
      <w:r w:rsidRPr="00416C4A">
        <w:t xml:space="preserve"> </w:t>
      </w:r>
      <w:r w:rsidRPr="00416C4A">
        <w:rPr>
          <w:i/>
          <w:iCs/>
        </w:rPr>
        <w:t>Tobin’s Q</w:t>
      </w:r>
      <w:r w:rsidRPr="00416C4A">
        <w:t xml:space="preserve"> is the </w:t>
      </w:r>
      <w:r w:rsidR="009C626B" w:rsidRPr="00416C4A">
        <w:t>dependent variable</w:t>
      </w:r>
      <w:r w:rsidRPr="00416C4A">
        <w:t>,</w:t>
      </w:r>
      <w:r w:rsidR="00CC7DFE" w:rsidRPr="00416C4A">
        <w:t xml:space="preserve"> two other control variables (beyond </w:t>
      </w:r>
      <w:r w:rsidR="00CC7DFE" w:rsidRPr="00416C4A">
        <w:rPr>
          <w:i/>
          <w:iCs/>
        </w:rPr>
        <w:t>ROA</w:t>
      </w:r>
      <w:r w:rsidR="00CC7DFE" w:rsidRPr="00416C4A">
        <w:t xml:space="preserve">) are statistically significant. First, </w:t>
      </w:r>
      <w:r w:rsidR="00CC7DFE" w:rsidRPr="00416C4A">
        <w:rPr>
          <w:i/>
          <w:iCs/>
        </w:rPr>
        <w:t>%E</w:t>
      </w:r>
      <w:r w:rsidRPr="00416C4A">
        <w:rPr>
          <w:i/>
          <w:iCs/>
        </w:rPr>
        <w:t xml:space="preserve">xecutive </w:t>
      </w:r>
      <w:r w:rsidR="00CC7DFE" w:rsidRPr="00416C4A">
        <w:rPr>
          <w:i/>
          <w:iCs/>
        </w:rPr>
        <w:t>F</w:t>
      </w:r>
      <w:r w:rsidRPr="00416C4A">
        <w:rPr>
          <w:i/>
          <w:iCs/>
        </w:rPr>
        <w:t>emale</w:t>
      </w:r>
      <w:r w:rsidRPr="00416C4A">
        <w:t xml:space="preserve"> is </w:t>
      </w:r>
      <w:r w:rsidR="00B674A6" w:rsidRPr="00416C4A">
        <w:t xml:space="preserve">negatively associated </w:t>
      </w:r>
      <w:r w:rsidRPr="00416C4A">
        <w:t xml:space="preserve">with </w:t>
      </w:r>
      <w:r w:rsidRPr="00416C4A">
        <w:rPr>
          <w:i/>
          <w:iCs/>
        </w:rPr>
        <w:t>Tobin’s Q</w:t>
      </w:r>
      <w:r w:rsidR="005E5366" w:rsidRPr="00416C4A">
        <w:rPr>
          <w:i/>
          <w:iCs/>
        </w:rPr>
        <w:t xml:space="preserve"> </w:t>
      </w:r>
      <w:r w:rsidR="005E5366" w:rsidRPr="00416C4A">
        <w:t>in the final model</w:t>
      </w:r>
      <w:r w:rsidRPr="00416C4A">
        <w:t xml:space="preserve">. This </w:t>
      </w:r>
      <w:r w:rsidR="00E53C4F" w:rsidRPr="00416C4A">
        <w:t xml:space="preserve">may </w:t>
      </w:r>
      <w:r w:rsidRPr="00416C4A">
        <w:t>indicat</w:t>
      </w:r>
      <w:r w:rsidR="00E53C4F" w:rsidRPr="00416C4A">
        <w:t xml:space="preserve">e </w:t>
      </w:r>
      <w:r w:rsidRPr="00416C4A">
        <w:t xml:space="preserve">that </w:t>
      </w:r>
      <w:r w:rsidR="00E53C4F" w:rsidRPr="00416C4A">
        <w:t>capital</w:t>
      </w:r>
      <w:r w:rsidRPr="00416C4A">
        <w:t xml:space="preserve"> market</w:t>
      </w:r>
      <w:r w:rsidR="008751B3">
        <w:t xml:space="preserve"> participant</w:t>
      </w:r>
      <w:r w:rsidRPr="00416C4A">
        <w:t xml:space="preserve">s </w:t>
      </w:r>
      <w:r w:rsidR="00E53C4F" w:rsidRPr="00416C4A">
        <w:t xml:space="preserve">only </w:t>
      </w:r>
      <w:r w:rsidRPr="00416C4A">
        <w:t xml:space="preserve">value the </w:t>
      </w:r>
      <w:r w:rsidR="0065546C" w:rsidRPr="00416C4A">
        <w:t>presence of non-executive females on the board of directors.</w:t>
      </w:r>
      <w:r w:rsidRPr="00416C4A">
        <w:t xml:space="preserve"> </w:t>
      </w:r>
      <w:r w:rsidR="00130D84" w:rsidRPr="00416C4A">
        <w:t xml:space="preserve">Second, </w:t>
      </w:r>
      <w:r w:rsidR="00200761">
        <w:t xml:space="preserve">the coefficients on </w:t>
      </w:r>
      <w:r w:rsidR="00130D84" w:rsidRPr="00416C4A">
        <w:rPr>
          <w:i/>
          <w:iCs/>
        </w:rPr>
        <w:t>F</w:t>
      </w:r>
      <w:r w:rsidRPr="00416C4A">
        <w:rPr>
          <w:i/>
          <w:iCs/>
        </w:rPr>
        <w:t xml:space="preserve">irm </w:t>
      </w:r>
      <w:r w:rsidR="00130D84" w:rsidRPr="00416C4A">
        <w:rPr>
          <w:i/>
          <w:iCs/>
        </w:rPr>
        <w:t>S</w:t>
      </w:r>
      <w:r w:rsidRPr="00416C4A">
        <w:rPr>
          <w:i/>
          <w:iCs/>
        </w:rPr>
        <w:t>ize</w:t>
      </w:r>
      <w:r w:rsidRPr="00416C4A">
        <w:t xml:space="preserve"> </w:t>
      </w:r>
      <w:r w:rsidR="00200761">
        <w:t xml:space="preserve">are </w:t>
      </w:r>
      <w:r w:rsidRPr="00416C4A">
        <w:t xml:space="preserve">negative in all the </w:t>
      </w:r>
      <w:r w:rsidR="00E4392E" w:rsidRPr="00416C4A">
        <w:t>models, as expected</w:t>
      </w:r>
      <w:r w:rsidRPr="00416C4A">
        <w:t xml:space="preserve">. </w:t>
      </w:r>
    </w:p>
    <w:p w14:paraId="6A07018D" w14:textId="361EF074" w:rsidR="00263A4C" w:rsidRDefault="00200761" w:rsidP="00ED17A1">
      <w:pPr>
        <w:spacing w:line="480" w:lineRule="auto"/>
        <w:ind w:right="24" w:firstLine="709"/>
        <w:jc w:val="both"/>
      </w:pPr>
      <w:r>
        <w:t>Next, we present t</w:t>
      </w:r>
      <w:r w:rsidR="00D96DFB" w:rsidRPr="00416C4A">
        <w:t xml:space="preserve">he results </w:t>
      </w:r>
      <w:r w:rsidR="003256F4">
        <w:t xml:space="preserve">from </w:t>
      </w:r>
      <w:r w:rsidR="003B2F52">
        <w:t xml:space="preserve">estimating </w:t>
      </w:r>
      <w:r w:rsidR="00D96DFB" w:rsidRPr="00416C4A">
        <w:t>simultaneous equation</w:t>
      </w:r>
      <w:r>
        <w:t>s</w:t>
      </w:r>
      <w:r w:rsidR="00D96DFB" w:rsidRPr="00416C4A">
        <w:t xml:space="preserve"> model</w:t>
      </w:r>
      <w:r w:rsidR="00E163EA" w:rsidRPr="00416C4A">
        <w:t xml:space="preserve"> using all observations</w:t>
      </w:r>
      <w:r w:rsidR="00D96DFB" w:rsidRPr="00416C4A">
        <w:t xml:space="preserve"> in </w:t>
      </w:r>
      <w:r w:rsidR="000D5A67" w:rsidRPr="00416C4A">
        <w:t>T</w:t>
      </w:r>
      <w:r w:rsidR="00D96DFB" w:rsidRPr="00416C4A">
        <w:t xml:space="preserve">able </w:t>
      </w:r>
      <w:r w:rsidR="00AA57DC" w:rsidRPr="00416C4A">
        <w:t>5</w:t>
      </w:r>
      <w:r w:rsidR="00D96DFB" w:rsidRPr="00416C4A">
        <w:t>.</w:t>
      </w:r>
      <w:r w:rsidR="00D96DFB" w:rsidRPr="00416C4A">
        <w:rPr>
          <w:rStyle w:val="FootnoteReference"/>
        </w:rPr>
        <w:footnoteReference w:id="7"/>
      </w:r>
      <w:r w:rsidR="00D96DFB" w:rsidRPr="00416C4A">
        <w:t xml:space="preserve"> </w:t>
      </w:r>
      <w:r w:rsidR="003B2F52">
        <w:t>The results show</w:t>
      </w:r>
      <w:r w:rsidR="00D96DFB" w:rsidRPr="00416C4A">
        <w:t xml:space="preserve"> that </w:t>
      </w:r>
      <w:r w:rsidR="00370EF7" w:rsidRPr="00416C4A">
        <w:rPr>
          <w:i/>
          <w:iCs/>
        </w:rPr>
        <w:t>%Female</w:t>
      </w:r>
      <w:r w:rsidR="00370EF7" w:rsidRPr="00416C4A">
        <w:t xml:space="preserve"> </w:t>
      </w:r>
      <w:r w:rsidR="00D96DFB" w:rsidRPr="00416C4A">
        <w:t xml:space="preserve">has positive coefficients and is statistically significant </w:t>
      </w:r>
      <w:r w:rsidR="00E93B5D" w:rsidRPr="00416C4A">
        <w:t xml:space="preserve">in </w:t>
      </w:r>
      <w:r w:rsidR="003B2F52">
        <w:t>both</w:t>
      </w:r>
      <w:r w:rsidR="00E93B5D" w:rsidRPr="00416C4A">
        <w:t xml:space="preserve"> models. </w:t>
      </w:r>
      <w:r w:rsidR="00CD2F6F" w:rsidRPr="00416C4A">
        <w:t xml:space="preserve">This confirms that </w:t>
      </w:r>
      <w:r w:rsidR="00CD2F6F" w:rsidRPr="00416C4A">
        <w:rPr>
          <w:i/>
          <w:iCs/>
        </w:rPr>
        <w:t>%Female</w:t>
      </w:r>
      <w:r w:rsidR="00CD2F6F" w:rsidRPr="00416C4A">
        <w:t xml:space="preserve"> </w:t>
      </w:r>
      <w:r w:rsidR="00540188" w:rsidRPr="00416C4A">
        <w:t xml:space="preserve">is associated with both </w:t>
      </w:r>
      <w:r w:rsidR="00A703DB" w:rsidRPr="00416C4A">
        <w:t xml:space="preserve">financial </w:t>
      </w:r>
      <w:r w:rsidR="00540188" w:rsidRPr="00416C4A">
        <w:t xml:space="preserve">measures </w:t>
      </w:r>
      <w:r w:rsidR="00A703DB" w:rsidRPr="00416C4A">
        <w:t>(</w:t>
      </w:r>
      <w:r w:rsidR="003B2F52">
        <w:t xml:space="preserve">i.e., </w:t>
      </w:r>
      <w:r w:rsidR="00540188" w:rsidRPr="00416C4A">
        <w:t>performance</w:t>
      </w:r>
      <w:r w:rsidR="00A703DB" w:rsidRPr="00416C4A">
        <w:t xml:space="preserve"> and value)</w:t>
      </w:r>
      <w:r w:rsidR="00EE4BD2" w:rsidRPr="00416C4A">
        <w:t>.</w:t>
      </w:r>
      <w:r w:rsidR="00D96DFB" w:rsidRPr="00416C4A">
        <w:t xml:space="preserve"> As expected, </w:t>
      </w:r>
      <w:r w:rsidR="00D121F4" w:rsidRPr="00416C4A">
        <w:t xml:space="preserve">the </w:t>
      </w:r>
      <w:r w:rsidR="00D96DFB" w:rsidRPr="00416C4A">
        <w:t xml:space="preserve">financial performance measure </w:t>
      </w:r>
      <w:r w:rsidR="00D96DFB" w:rsidRPr="00416C4A">
        <w:rPr>
          <w:i/>
          <w:iCs/>
        </w:rPr>
        <w:t>ROA</w:t>
      </w:r>
      <w:r w:rsidR="00D96DFB" w:rsidRPr="00416C4A">
        <w:t xml:space="preserve"> is positively associated with firm value as measured by </w:t>
      </w:r>
      <w:r w:rsidR="00D96DFB" w:rsidRPr="00416C4A">
        <w:rPr>
          <w:i/>
          <w:iCs/>
        </w:rPr>
        <w:t>Tobin’s Q</w:t>
      </w:r>
      <w:r w:rsidR="00D96DFB" w:rsidRPr="00416C4A">
        <w:t xml:space="preserve">. </w:t>
      </w:r>
      <w:r w:rsidR="00EE4BD2" w:rsidRPr="00416C4A">
        <w:t xml:space="preserve">Moreover, </w:t>
      </w:r>
      <w:r w:rsidR="00DA4D33" w:rsidRPr="00416C4A">
        <w:t>the coefficient o</w:t>
      </w:r>
      <w:r w:rsidR="00541089">
        <w:t>n</w:t>
      </w:r>
      <w:r w:rsidR="00DA4D33" w:rsidRPr="00416C4A">
        <w:t xml:space="preserve"> </w:t>
      </w:r>
      <w:r w:rsidR="00EE4BD2" w:rsidRPr="00416C4A">
        <w:rPr>
          <w:i/>
          <w:iCs/>
        </w:rPr>
        <w:t>%Executive Female</w:t>
      </w:r>
      <w:r w:rsidR="00EE4BD2" w:rsidRPr="00416C4A">
        <w:t xml:space="preserve"> is negative </w:t>
      </w:r>
      <w:r w:rsidR="003B2F52">
        <w:t xml:space="preserve">and significant </w:t>
      </w:r>
      <w:r w:rsidR="00EE4BD2" w:rsidRPr="00416C4A">
        <w:t xml:space="preserve">in the </w:t>
      </w:r>
      <w:r w:rsidR="00EE4BD2" w:rsidRPr="00416C4A">
        <w:rPr>
          <w:i/>
          <w:iCs/>
        </w:rPr>
        <w:t>Tobin’s Q</w:t>
      </w:r>
      <w:r w:rsidR="00EE4BD2" w:rsidRPr="00416C4A">
        <w:t xml:space="preserve"> equation, again </w:t>
      </w:r>
      <w:r w:rsidR="00A4029B" w:rsidRPr="00416C4A">
        <w:t>suggesting</w:t>
      </w:r>
      <w:r w:rsidR="00EE4BD2" w:rsidRPr="00416C4A">
        <w:t xml:space="preserve"> that </w:t>
      </w:r>
      <w:r w:rsidR="008A58E2" w:rsidRPr="00416C4A">
        <w:t>capital market</w:t>
      </w:r>
      <w:r w:rsidR="008751B3">
        <w:t xml:space="preserve"> participant</w:t>
      </w:r>
      <w:r w:rsidR="008A58E2" w:rsidRPr="00416C4A">
        <w:t xml:space="preserve">s </w:t>
      </w:r>
      <w:r w:rsidR="00373521" w:rsidRPr="00416C4A">
        <w:t>value</w:t>
      </w:r>
      <w:r w:rsidR="008A58E2" w:rsidRPr="00416C4A">
        <w:t xml:space="preserve"> the presence of female </w:t>
      </w:r>
      <w:r w:rsidR="00373521" w:rsidRPr="00416C4A">
        <w:t>non-</w:t>
      </w:r>
      <w:r w:rsidR="008A58E2" w:rsidRPr="00416C4A">
        <w:t xml:space="preserve">executives on the board </w:t>
      </w:r>
      <w:r w:rsidR="00373521" w:rsidRPr="00416C4A">
        <w:t>more</w:t>
      </w:r>
      <w:r w:rsidR="002A639D" w:rsidRPr="00416C4A">
        <w:t xml:space="preserve"> than </w:t>
      </w:r>
      <w:r w:rsidR="003B2F52">
        <w:t xml:space="preserve">they value </w:t>
      </w:r>
      <w:r w:rsidR="002A639D" w:rsidRPr="00416C4A">
        <w:t>the presence of female executives</w:t>
      </w:r>
      <w:r w:rsidR="00373521" w:rsidRPr="00416C4A">
        <w:t>.</w:t>
      </w:r>
      <w:r w:rsidR="00A4029B" w:rsidRPr="00416C4A">
        <w:t xml:space="preserve"> </w:t>
      </w:r>
      <w:r w:rsidR="008A58E2" w:rsidRPr="00416C4A">
        <w:t xml:space="preserve">Future research </w:t>
      </w:r>
      <w:r w:rsidR="003B2F52">
        <w:t>c</w:t>
      </w:r>
      <w:r w:rsidR="008A58E2" w:rsidRPr="00416C4A">
        <w:t xml:space="preserve">ould </w:t>
      </w:r>
      <w:r w:rsidR="003B2F52">
        <w:t xml:space="preserve">further </w:t>
      </w:r>
      <w:r w:rsidR="008A58E2" w:rsidRPr="00416C4A">
        <w:t xml:space="preserve">investigate </w:t>
      </w:r>
      <w:r w:rsidR="003B2F52">
        <w:t xml:space="preserve">this association to understand its </w:t>
      </w:r>
      <w:r w:rsidR="008A58E2" w:rsidRPr="00416C4A">
        <w:t xml:space="preserve">causes and </w:t>
      </w:r>
      <w:r w:rsidR="003B2F52">
        <w:t xml:space="preserve">the </w:t>
      </w:r>
      <w:r w:rsidR="00372F1B" w:rsidRPr="00416C4A">
        <w:t xml:space="preserve">circumstances </w:t>
      </w:r>
      <w:r w:rsidR="003B2F52">
        <w:t>in which it arises</w:t>
      </w:r>
      <w:r w:rsidR="00372F1B" w:rsidRPr="00416C4A">
        <w:t>.</w:t>
      </w:r>
      <w:r w:rsidR="00B96A43" w:rsidRPr="00416C4A">
        <w:t xml:space="preserve"> </w:t>
      </w:r>
      <w:r w:rsidR="00E975FE" w:rsidRPr="00416C4A">
        <w:t>Finally, we re-</w:t>
      </w:r>
      <w:r w:rsidR="003B2F52">
        <w:t>estimate</w:t>
      </w:r>
      <w:r w:rsidR="00E975FE" w:rsidRPr="00416C4A">
        <w:t xml:space="preserve"> this model </w:t>
      </w:r>
      <w:r w:rsidR="003B2F52">
        <w:t>using</w:t>
      </w:r>
      <w:r w:rsidR="003B2F52" w:rsidRPr="00416C4A">
        <w:t xml:space="preserve"> </w:t>
      </w:r>
      <w:r w:rsidR="00D96DFB" w:rsidRPr="00416C4A">
        <w:t xml:space="preserve">only </w:t>
      </w:r>
      <w:r w:rsidR="00E975FE" w:rsidRPr="00416C4A">
        <w:t xml:space="preserve">data </w:t>
      </w:r>
      <w:r w:rsidR="00A95A80" w:rsidRPr="00416C4A">
        <w:t xml:space="preserve">from the two </w:t>
      </w:r>
      <w:r w:rsidR="003B2F52">
        <w:t xml:space="preserve">most </w:t>
      </w:r>
      <w:r w:rsidR="00A95A80" w:rsidRPr="00416C4A">
        <w:t>recent years (</w:t>
      </w:r>
      <w:r w:rsidR="00E975FE" w:rsidRPr="00416C4A">
        <w:t xml:space="preserve">2016 and 2018). </w:t>
      </w:r>
      <w:r w:rsidR="003B2F52">
        <w:t>Inferences</w:t>
      </w:r>
      <w:r w:rsidR="003B2F52" w:rsidRPr="00416C4A">
        <w:t xml:space="preserve"> </w:t>
      </w:r>
      <w:r w:rsidR="003B2F52">
        <w:t xml:space="preserve">from </w:t>
      </w:r>
      <w:r w:rsidR="001149EA" w:rsidRPr="00416C4A">
        <w:t xml:space="preserve">untabulated </w:t>
      </w:r>
      <w:r w:rsidR="00E975FE" w:rsidRPr="00416C4A">
        <w:t>results are consistent with th</w:t>
      </w:r>
      <w:r w:rsidR="00D96DFB" w:rsidRPr="00416C4A">
        <w:t xml:space="preserve">ose </w:t>
      </w:r>
      <w:r w:rsidR="003B2F52">
        <w:t>using</w:t>
      </w:r>
      <w:r w:rsidR="00E163EA" w:rsidRPr="00416C4A">
        <w:t xml:space="preserve"> all observations.</w:t>
      </w:r>
      <w:r w:rsidR="0067490E" w:rsidRPr="00416C4A">
        <w:t xml:space="preserve"> </w:t>
      </w:r>
      <w:r w:rsidR="00A732EC">
        <w:lastRenderedPageBreak/>
        <w:t>However</w:t>
      </w:r>
      <w:r w:rsidR="001149EA" w:rsidRPr="00416C4A">
        <w:t xml:space="preserve">, </w:t>
      </w:r>
      <w:r w:rsidR="003B2F52">
        <w:t>estimating</w:t>
      </w:r>
      <w:r w:rsidR="003B2F52" w:rsidRPr="00416C4A">
        <w:t xml:space="preserve"> </w:t>
      </w:r>
      <w:r w:rsidR="001149EA" w:rsidRPr="00416C4A">
        <w:t xml:space="preserve">the model </w:t>
      </w:r>
      <w:r w:rsidR="003B2F52">
        <w:t xml:space="preserve">using only </w:t>
      </w:r>
      <w:r w:rsidR="001149EA" w:rsidRPr="00416C4A">
        <w:t xml:space="preserve">data from 2012 and 2014 results in </w:t>
      </w:r>
      <w:r w:rsidR="00961208" w:rsidRPr="00416C4A">
        <w:t>an</w:t>
      </w:r>
      <w:r w:rsidR="00597E64" w:rsidRPr="00416C4A">
        <w:t xml:space="preserve"> insignificant association between </w:t>
      </w:r>
      <w:r w:rsidR="001149EA" w:rsidRPr="00416C4A">
        <w:rPr>
          <w:i/>
          <w:iCs/>
        </w:rPr>
        <w:t>%Female</w:t>
      </w:r>
      <w:r w:rsidR="001149EA" w:rsidRPr="00416C4A">
        <w:t xml:space="preserve"> </w:t>
      </w:r>
      <w:r w:rsidR="00597E64" w:rsidRPr="00416C4A">
        <w:t xml:space="preserve">and </w:t>
      </w:r>
      <w:r w:rsidR="00597E64" w:rsidRPr="00416C4A">
        <w:rPr>
          <w:i/>
          <w:iCs/>
        </w:rPr>
        <w:t>ROA</w:t>
      </w:r>
      <w:r w:rsidR="00B92082" w:rsidRPr="00416C4A">
        <w:rPr>
          <w:i/>
          <w:iCs/>
        </w:rPr>
        <w:t xml:space="preserve">, </w:t>
      </w:r>
      <w:r w:rsidR="00B92082" w:rsidRPr="00416C4A">
        <w:t xml:space="preserve">but a positive and statistically significant association between </w:t>
      </w:r>
      <w:r w:rsidR="00822C58" w:rsidRPr="00416C4A">
        <w:rPr>
          <w:i/>
          <w:iCs/>
        </w:rPr>
        <w:t xml:space="preserve">%Female </w:t>
      </w:r>
      <w:r w:rsidR="00822C58" w:rsidRPr="00416C4A">
        <w:t xml:space="preserve">and </w:t>
      </w:r>
      <w:r w:rsidR="00822C58" w:rsidRPr="00416C4A">
        <w:rPr>
          <w:i/>
          <w:iCs/>
        </w:rPr>
        <w:t>Tobin’s Q</w:t>
      </w:r>
      <w:r w:rsidR="00333109" w:rsidRPr="00416C4A">
        <w:t xml:space="preserve">. Thus, the positive association between </w:t>
      </w:r>
      <w:r w:rsidR="00333109" w:rsidRPr="00416C4A">
        <w:rPr>
          <w:i/>
          <w:iCs/>
        </w:rPr>
        <w:t>%Female</w:t>
      </w:r>
      <w:r w:rsidR="00333109" w:rsidRPr="00416C4A">
        <w:t xml:space="preserve"> and </w:t>
      </w:r>
      <w:r w:rsidR="00B950FA" w:rsidRPr="00416C4A">
        <w:t>financial</w:t>
      </w:r>
      <w:r w:rsidR="00333109" w:rsidRPr="00416C4A">
        <w:t xml:space="preserve"> performance is only present in more </w:t>
      </w:r>
      <w:r w:rsidR="00C3521D" w:rsidRPr="00416C4A">
        <w:t>recent</w:t>
      </w:r>
      <w:r w:rsidR="00333109" w:rsidRPr="00416C4A">
        <w:t xml:space="preserve"> years.</w:t>
      </w:r>
    </w:p>
    <w:p w14:paraId="630DCEE7" w14:textId="65D82699" w:rsidR="001D4241" w:rsidRDefault="00D8406B" w:rsidP="001412B1">
      <w:pPr>
        <w:spacing w:line="480" w:lineRule="auto"/>
        <w:ind w:firstLine="720"/>
        <w:jc w:val="both"/>
      </w:pPr>
      <w:r w:rsidRPr="004700BE">
        <w:t>T</w:t>
      </w:r>
      <w:r w:rsidR="001412B1" w:rsidRPr="004700BE">
        <w:t xml:space="preserve">he </w:t>
      </w:r>
      <w:r w:rsidR="00CD3921" w:rsidRPr="004700BE">
        <w:t xml:space="preserve">results discussed </w:t>
      </w:r>
      <w:r w:rsidR="00394B00" w:rsidRPr="004700BE">
        <w:t>above</w:t>
      </w:r>
      <w:r w:rsidR="00CD3921" w:rsidRPr="004700BE">
        <w:t xml:space="preserve"> provide evidence of a</w:t>
      </w:r>
      <w:r w:rsidR="001D4241">
        <w:t xml:space="preserve"> significant </w:t>
      </w:r>
      <w:r w:rsidR="00CD3921" w:rsidRPr="004700BE">
        <w:t xml:space="preserve">association </w:t>
      </w:r>
      <w:r w:rsidR="000B011C" w:rsidRPr="004700BE">
        <w:t xml:space="preserve">between the current level of </w:t>
      </w:r>
      <w:r w:rsidR="000B011C" w:rsidRPr="004700BE">
        <w:rPr>
          <w:i/>
          <w:iCs/>
        </w:rPr>
        <w:t xml:space="preserve">%Female </w:t>
      </w:r>
      <w:r w:rsidR="000B011C" w:rsidRPr="004700BE">
        <w:t>and our dependent variables</w:t>
      </w:r>
      <w:r w:rsidR="0015101A" w:rsidRPr="004700BE">
        <w:t xml:space="preserve"> in </w:t>
      </w:r>
      <w:r w:rsidR="009D6761" w:rsidRPr="004700BE">
        <w:t>more</w:t>
      </w:r>
      <w:r w:rsidR="0015101A" w:rsidRPr="004700BE">
        <w:t xml:space="preserve"> recent years</w:t>
      </w:r>
      <w:r w:rsidRPr="004700BE">
        <w:t>. However</w:t>
      </w:r>
      <w:r w:rsidR="000B011C" w:rsidRPr="004700BE">
        <w:t>,</w:t>
      </w:r>
      <w:r w:rsidR="000B011C" w:rsidRPr="004700BE">
        <w:rPr>
          <w:i/>
          <w:iCs/>
        </w:rPr>
        <w:t xml:space="preserve"> </w:t>
      </w:r>
      <w:r w:rsidR="001412B1" w:rsidRPr="004700BE">
        <w:fldChar w:fldCharType="begin" w:fldLock="1"/>
      </w:r>
      <w:r w:rsidR="001412B1" w:rsidRPr="004700BE">
        <w:instrText>ADDIN CSL_CITATION {"citationItems":[{"id":"ITEM-1","itemData":{"DOI":"10.1016/j.leaqua.2017.06.001","ISSN":"1048-9843","abstract":"In recent years, the composition of boards and, particularly, the inclusion of women on boards has attracted significant scholarly interest and public debate. In this article, I comprehensively review the academic literature on board gender composition. Using the systematic review method, I ask whether women directors really are different from men on boards, what factors shape board gender composition, how board gender composition affects organizational outcomes, and finally, why board gender quotas and other forms of regulation are in- troduced and what outcomes can be expected. Based on my findings, I develop a conceptual framework that clarifies the causal processes underlying both women's access to boards and the effects of women's presence on boards. Finally, I offer a research agenda designed to enrich our understanding of board gender composition.","author":[{"dropping-particle":"","family":"Kirsch","given":"Anja","non-dropping-particle":"","parse-names":false,"suffix":""}],"container-title":"The Leadership Quarterly","id":"ITEM-1","issue":"2","issued":{"date-parts":[["2018"]]},"page":"346-364","publisher":"Elsevier","title":"The Gender Composition of Corporate Boards: A Review and Research Agenda","type":"article-journal","volume":"29"},"uris":["http://www.mendeley.com/documents/?uuid=b92978a4-5a73-4b74-963b-a7e689e094a6"]}],"mendeley":{"formattedCitation":"(Kirsch 2018)","manualFormatting":"Kirsch (2018)","plainTextFormattedCitation":"(Kirsch 2018)","previouslyFormattedCitation":"(Kirsch, 2018)"},"properties":{"noteIndex":0},"schema":"https://github.com/citation-style-language/schema/raw/master/csl-citation.json"}</w:instrText>
      </w:r>
      <w:r w:rsidR="001412B1" w:rsidRPr="004700BE">
        <w:fldChar w:fldCharType="separate"/>
      </w:r>
      <w:r w:rsidR="001412B1" w:rsidRPr="004700BE">
        <w:rPr>
          <w:noProof/>
        </w:rPr>
        <w:t>Kirsch (2018)</w:t>
      </w:r>
      <w:r w:rsidR="001412B1" w:rsidRPr="004700BE">
        <w:fldChar w:fldCharType="end"/>
      </w:r>
      <w:r w:rsidR="001412B1" w:rsidRPr="004700BE">
        <w:t xml:space="preserve"> </w:t>
      </w:r>
      <w:r w:rsidR="001D4241">
        <w:t>suggests</w:t>
      </w:r>
      <w:r w:rsidR="001D4241" w:rsidRPr="004700BE">
        <w:t xml:space="preserve"> </w:t>
      </w:r>
      <w:r w:rsidR="001412B1" w:rsidRPr="004700BE">
        <w:t xml:space="preserve">that it is not clear how much time </w:t>
      </w:r>
      <w:r w:rsidR="001D4241">
        <w:t>must</w:t>
      </w:r>
      <w:r w:rsidR="001412B1" w:rsidRPr="004700BE">
        <w:t xml:space="preserve"> pass </w:t>
      </w:r>
      <w:r w:rsidR="001D4241">
        <w:t>for</w:t>
      </w:r>
      <w:r w:rsidR="001D4241" w:rsidRPr="004700BE">
        <w:t xml:space="preserve"> </w:t>
      </w:r>
      <w:r w:rsidR="001412B1" w:rsidRPr="004700BE">
        <w:t xml:space="preserve">an increase in the proportion of board seats held by </w:t>
      </w:r>
      <w:r w:rsidR="001D4241">
        <w:t>females to</w:t>
      </w:r>
      <w:r w:rsidR="001412B1" w:rsidRPr="004700BE">
        <w:t xml:space="preserve"> impact firm performance and for it to be measurable.</w:t>
      </w:r>
      <w:r w:rsidR="009D6761" w:rsidRPr="004700BE">
        <w:t xml:space="preserve"> </w:t>
      </w:r>
      <w:r w:rsidR="00846C3A" w:rsidRPr="004700BE">
        <w:t xml:space="preserve">Given that </w:t>
      </w:r>
      <w:r w:rsidR="001412B1" w:rsidRPr="004700BE">
        <w:t>capital market</w:t>
      </w:r>
      <w:r w:rsidR="008751B3" w:rsidRPr="004700BE">
        <w:t xml:space="preserve"> participant</w:t>
      </w:r>
      <w:r w:rsidR="001412B1" w:rsidRPr="004700BE">
        <w:t>s react quickly to firms’ announcements, we believe that our valuation results do not suffer from this problem.</w:t>
      </w:r>
      <w:r w:rsidR="001412B1" w:rsidRPr="001D4241">
        <w:t xml:space="preserve"> </w:t>
      </w:r>
      <w:r w:rsidR="001D4241">
        <w:t>However, t</w:t>
      </w:r>
      <w:r w:rsidR="001412B1" w:rsidRPr="004700BE">
        <w:t xml:space="preserve">o assess </w:t>
      </w:r>
      <w:r w:rsidR="001D4241">
        <w:t xml:space="preserve">whether </w:t>
      </w:r>
      <w:r w:rsidR="00EE2C09" w:rsidRPr="004700BE">
        <w:t>we are correct</w:t>
      </w:r>
      <w:r w:rsidR="001412B1" w:rsidRPr="004700BE">
        <w:t xml:space="preserve">, we collect data for </w:t>
      </w:r>
      <w:r w:rsidR="001412B1" w:rsidRPr="004700BE">
        <w:rPr>
          <w:i/>
          <w:iCs/>
        </w:rPr>
        <w:t>ROA</w:t>
      </w:r>
      <w:r w:rsidR="001412B1" w:rsidRPr="004700BE">
        <w:t xml:space="preserve"> and </w:t>
      </w:r>
      <w:r w:rsidR="001412B1" w:rsidRPr="004700BE">
        <w:rPr>
          <w:i/>
          <w:iCs/>
        </w:rPr>
        <w:t>Tobin’s Q</w:t>
      </w:r>
      <w:r w:rsidR="001412B1" w:rsidRPr="004700BE">
        <w:t xml:space="preserve"> for the years 2013, 2015, 2017, 2019, and 2020, and </w:t>
      </w:r>
      <w:r w:rsidR="001D4241">
        <w:t xml:space="preserve">we </w:t>
      </w:r>
      <w:r w:rsidR="001412B1" w:rsidRPr="004700BE">
        <w:t>generate two new sets of variables (</w:t>
      </w:r>
      <w:r w:rsidR="001412B1" w:rsidRPr="004700BE">
        <w:rPr>
          <w:i/>
          <w:iCs/>
        </w:rPr>
        <w:t>ROA</w:t>
      </w:r>
      <w:r w:rsidR="001412B1" w:rsidRPr="004700BE">
        <w:t xml:space="preserve"> and </w:t>
      </w:r>
      <w:r w:rsidR="001412B1" w:rsidRPr="004700BE">
        <w:rPr>
          <w:i/>
          <w:iCs/>
        </w:rPr>
        <w:t>Tobin’s Q</w:t>
      </w:r>
      <w:r w:rsidR="001412B1" w:rsidRPr="004700BE">
        <w:t xml:space="preserve"> one</w:t>
      </w:r>
      <w:r w:rsidR="001D4241">
        <w:t>-</w:t>
      </w:r>
      <w:r w:rsidR="001412B1" w:rsidRPr="004700BE">
        <w:t>year</w:t>
      </w:r>
      <w:r w:rsidR="001D4241">
        <w:t>-</w:t>
      </w:r>
      <w:r w:rsidR="001412B1" w:rsidRPr="004700BE">
        <w:t>ahead and two</w:t>
      </w:r>
      <w:r w:rsidR="001D4241">
        <w:t>-</w:t>
      </w:r>
      <w:r w:rsidR="001412B1" w:rsidRPr="004700BE">
        <w:t>years</w:t>
      </w:r>
      <w:r w:rsidR="001D4241">
        <w:t>-</w:t>
      </w:r>
      <w:r w:rsidR="001412B1" w:rsidRPr="004700BE">
        <w:t xml:space="preserve">ahead of the independent variables). </w:t>
      </w:r>
    </w:p>
    <w:p w14:paraId="38FA9D81" w14:textId="1CCD6B81" w:rsidR="001412B1" w:rsidRPr="00747111" w:rsidRDefault="001412B1" w:rsidP="001412B1">
      <w:pPr>
        <w:spacing w:line="480" w:lineRule="auto"/>
        <w:ind w:firstLine="720"/>
        <w:jc w:val="both"/>
      </w:pPr>
      <w:r w:rsidRPr="004700BE">
        <w:t xml:space="preserve">The results are present in Table </w:t>
      </w:r>
      <w:r w:rsidR="005D22FF" w:rsidRPr="004700BE">
        <w:t>6</w:t>
      </w:r>
      <w:r w:rsidR="001D4241">
        <w:t xml:space="preserve">. </w:t>
      </w:r>
      <w:r w:rsidRPr="004700BE">
        <w:t xml:space="preserve">Panel A </w:t>
      </w:r>
      <w:r w:rsidR="001D4241">
        <w:t>includes</w:t>
      </w:r>
      <w:r w:rsidR="001D4241" w:rsidRPr="004700BE">
        <w:t xml:space="preserve"> </w:t>
      </w:r>
      <w:r w:rsidRPr="004700BE">
        <w:t>all years</w:t>
      </w:r>
      <w:r w:rsidR="001D4241">
        <w:t xml:space="preserve"> and</w:t>
      </w:r>
      <w:r w:rsidRPr="004700BE">
        <w:t xml:space="preserve"> Panel B </w:t>
      </w:r>
      <w:r w:rsidR="001D4241">
        <w:t xml:space="preserve">includes only </w:t>
      </w:r>
      <w:r w:rsidRPr="004700BE">
        <w:t xml:space="preserve">recent years. We find that all </w:t>
      </w:r>
      <w:r w:rsidR="001D4241">
        <w:t xml:space="preserve">of </w:t>
      </w:r>
      <w:r w:rsidRPr="004700BE">
        <w:t xml:space="preserve">the estimated coefficients </w:t>
      </w:r>
      <w:r w:rsidR="001D4241">
        <w:t>on</w:t>
      </w:r>
      <w:r w:rsidRPr="004700BE">
        <w:t xml:space="preserve"> </w:t>
      </w:r>
      <w:r w:rsidRPr="004700BE">
        <w:rPr>
          <w:i/>
          <w:iCs/>
        </w:rPr>
        <w:t xml:space="preserve">%Female </w:t>
      </w:r>
      <w:r w:rsidRPr="004700BE">
        <w:t xml:space="preserve">in the </w:t>
      </w:r>
      <w:r w:rsidRPr="004700BE">
        <w:rPr>
          <w:i/>
          <w:iCs/>
        </w:rPr>
        <w:t>ROA</w:t>
      </w:r>
      <w:r w:rsidRPr="004700BE">
        <w:t xml:space="preserve"> models are positive and statistically significant. Thus, this variable is associated with higher future financial performance. However, </w:t>
      </w:r>
      <w:r w:rsidR="001D4241">
        <w:t>we do not find a</w:t>
      </w:r>
      <w:r w:rsidRPr="004700BE">
        <w:t xml:space="preserve"> positive association between </w:t>
      </w:r>
      <w:r w:rsidRPr="004700BE">
        <w:rPr>
          <w:i/>
          <w:iCs/>
        </w:rPr>
        <w:t xml:space="preserve">%Female </w:t>
      </w:r>
      <w:r w:rsidRPr="004700BE">
        <w:t xml:space="preserve">and future firm value. This result, taken together with </w:t>
      </w:r>
      <w:r w:rsidR="001D4241">
        <w:t>results</w:t>
      </w:r>
      <w:r w:rsidRPr="004700BE">
        <w:t xml:space="preserve"> from Table</w:t>
      </w:r>
      <w:r w:rsidR="001D4241">
        <w:t>s</w:t>
      </w:r>
      <w:r w:rsidRPr="004700BE">
        <w:t xml:space="preserve"> 4</w:t>
      </w:r>
      <w:r w:rsidR="003447C3" w:rsidRPr="004700BE">
        <w:t xml:space="preserve"> and 5</w:t>
      </w:r>
      <w:r w:rsidRPr="004700BE">
        <w:t>, suggest</w:t>
      </w:r>
      <w:r w:rsidR="001D4241">
        <w:t>s</w:t>
      </w:r>
      <w:r w:rsidRPr="004700BE">
        <w:t xml:space="preserve"> that capital market</w:t>
      </w:r>
      <w:r w:rsidR="008751B3" w:rsidRPr="004700BE">
        <w:t xml:space="preserve"> participant</w:t>
      </w:r>
      <w:r w:rsidRPr="004700BE">
        <w:t xml:space="preserve">s react immediately to the level of gender diversity on the board. Overall, our results </w:t>
      </w:r>
      <w:r w:rsidR="001D4241">
        <w:t xml:space="preserve">provide </w:t>
      </w:r>
      <w:r w:rsidRPr="004700BE">
        <w:t xml:space="preserve">consistent </w:t>
      </w:r>
      <w:r w:rsidR="001D4241">
        <w:t xml:space="preserve">evidence of </w:t>
      </w:r>
      <w:r w:rsidRPr="004700BE">
        <w:t xml:space="preserve">with an association </w:t>
      </w:r>
      <w:r w:rsidR="001D4241">
        <w:t xml:space="preserve">between </w:t>
      </w:r>
      <w:r w:rsidRPr="004700BE">
        <w:t xml:space="preserve">board gender diversity </w:t>
      </w:r>
      <w:r w:rsidR="001D4241">
        <w:t>and</w:t>
      </w:r>
      <w:r w:rsidR="001D4241" w:rsidRPr="004700BE">
        <w:t xml:space="preserve"> </w:t>
      </w:r>
      <w:r w:rsidRPr="004700BE">
        <w:t xml:space="preserve">both current and future performance, and an association </w:t>
      </w:r>
      <w:r w:rsidR="001D4241">
        <w:t xml:space="preserve">between </w:t>
      </w:r>
      <w:r w:rsidRPr="004700BE">
        <w:t xml:space="preserve">board gender diversity </w:t>
      </w:r>
      <w:r w:rsidR="001D4241">
        <w:t>and</w:t>
      </w:r>
      <w:r w:rsidRPr="004700BE">
        <w:t xml:space="preserve"> current </w:t>
      </w:r>
      <w:r w:rsidR="001D4241">
        <w:t>firm value</w:t>
      </w:r>
      <w:r w:rsidRPr="004700BE">
        <w:t>.</w:t>
      </w:r>
    </w:p>
    <w:p w14:paraId="46AF848C" w14:textId="3F889B9B" w:rsidR="0043216B" w:rsidRPr="00416C4A" w:rsidRDefault="00D96DFB" w:rsidP="00685452">
      <w:pPr>
        <w:pStyle w:val="Heading2"/>
        <w:spacing w:line="480" w:lineRule="auto"/>
        <w:rPr>
          <w:rFonts w:ascii="Times New Roman" w:eastAsia="Times New Roman" w:hAnsi="Times New Roman" w:cs="Times New Roman"/>
          <w:b/>
          <w:bCs/>
          <w:color w:val="auto"/>
          <w:sz w:val="24"/>
          <w:szCs w:val="24"/>
        </w:rPr>
      </w:pPr>
      <w:r w:rsidRPr="00416C4A">
        <w:rPr>
          <w:rFonts w:ascii="Times New Roman" w:eastAsia="Times New Roman" w:hAnsi="Times New Roman" w:cs="Times New Roman"/>
          <w:b/>
          <w:bCs/>
          <w:color w:val="auto"/>
          <w:sz w:val="24"/>
          <w:szCs w:val="24"/>
        </w:rPr>
        <w:t>Additional analyses</w:t>
      </w:r>
    </w:p>
    <w:p w14:paraId="404FDEF6" w14:textId="1A9DA3F3" w:rsidR="00F955CE" w:rsidRPr="00416C4A" w:rsidRDefault="00D96DFB" w:rsidP="0043216B">
      <w:pPr>
        <w:spacing w:line="480" w:lineRule="auto"/>
        <w:ind w:firstLine="720"/>
        <w:jc w:val="both"/>
      </w:pPr>
      <w:r w:rsidRPr="00416C4A">
        <w:t xml:space="preserve">As discussed </w:t>
      </w:r>
      <w:r w:rsidR="001D4241">
        <w:t>above</w:t>
      </w:r>
      <w:r w:rsidRPr="00416C4A">
        <w:t xml:space="preserve">, several studies </w:t>
      </w:r>
      <w:r w:rsidR="001D4241" w:rsidRPr="00416C4A">
        <w:t>f</w:t>
      </w:r>
      <w:r w:rsidR="001D4241">
        <w:t>ind</w:t>
      </w:r>
      <w:r w:rsidR="001D4241" w:rsidRPr="00416C4A">
        <w:t xml:space="preserve"> </w:t>
      </w:r>
      <w:r w:rsidRPr="00416C4A">
        <w:t xml:space="preserve">that </w:t>
      </w:r>
      <w:r w:rsidR="00B323A8" w:rsidRPr="00416C4A">
        <w:t xml:space="preserve">having </w:t>
      </w:r>
      <w:r w:rsidR="0043216B" w:rsidRPr="00416C4A">
        <w:t xml:space="preserve">three women on </w:t>
      </w:r>
      <w:r w:rsidR="0096464C" w:rsidRPr="00416C4A">
        <w:t xml:space="preserve">the </w:t>
      </w:r>
      <w:r w:rsidR="0043216B" w:rsidRPr="00416C4A">
        <w:t>board is the minimum necessary for them to impact the firm (</w:t>
      </w:r>
      <w:r w:rsidR="00ED79B3" w:rsidRPr="00416C4A">
        <w:t>Erkut </w:t>
      </w:r>
      <w:r w:rsidR="00ED79B3" w:rsidRPr="00416C4A">
        <w:rPr>
          <w:rStyle w:val="Emphasis"/>
        </w:rPr>
        <w:t>et al</w:t>
      </w:r>
      <w:r w:rsidR="00ED79B3" w:rsidRPr="00416C4A">
        <w:t>.</w:t>
      </w:r>
      <w:r w:rsidR="00ED79B3" w:rsidRPr="00416C4A">
        <w:rPr>
          <w:rStyle w:val="Emphasis"/>
        </w:rPr>
        <w:t> </w:t>
      </w:r>
      <w:r w:rsidR="00ED79B3" w:rsidRPr="00416C4A">
        <w:t xml:space="preserve">2008; </w:t>
      </w:r>
      <w:r w:rsidR="001D4241" w:rsidRPr="00416C4A">
        <w:t>Konrad </w:t>
      </w:r>
      <w:r w:rsidR="001D4241" w:rsidRPr="00416C4A">
        <w:rPr>
          <w:rStyle w:val="Emphasis"/>
        </w:rPr>
        <w:t>et al</w:t>
      </w:r>
      <w:r w:rsidR="001D4241" w:rsidRPr="00416C4A">
        <w:t>.</w:t>
      </w:r>
      <w:r w:rsidR="001D4241" w:rsidRPr="00416C4A">
        <w:rPr>
          <w:rStyle w:val="Emphasis"/>
        </w:rPr>
        <w:t> </w:t>
      </w:r>
      <w:r w:rsidR="001D4241" w:rsidRPr="00416C4A">
        <w:t xml:space="preserve">2008; </w:t>
      </w:r>
      <w:r w:rsidR="00ED79B3" w:rsidRPr="00416C4A">
        <w:lastRenderedPageBreak/>
        <w:t>Torchia </w:t>
      </w:r>
      <w:r w:rsidR="00ED79B3" w:rsidRPr="00416C4A">
        <w:rPr>
          <w:rStyle w:val="Emphasis"/>
        </w:rPr>
        <w:t>et al. </w:t>
      </w:r>
      <w:r w:rsidR="00ED79B3" w:rsidRPr="00416C4A">
        <w:t>2011)</w:t>
      </w:r>
      <w:r w:rsidR="00687856" w:rsidRPr="00416C4A">
        <w:t>. Th</w:t>
      </w:r>
      <w:r w:rsidR="001D4241">
        <w:t>erefore</w:t>
      </w:r>
      <w:r w:rsidR="00687856" w:rsidRPr="00416C4A">
        <w:t>, we re-</w:t>
      </w:r>
      <w:r w:rsidR="001D4241">
        <w:t>estimate</w:t>
      </w:r>
      <w:r w:rsidR="00687856" w:rsidRPr="00416C4A">
        <w:t xml:space="preserve"> our </w:t>
      </w:r>
      <w:r w:rsidR="00DA533A" w:rsidRPr="00416C4A">
        <w:t>simultaneous</w:t>
      </w:r>
      <w:r w:rsidR="00687856" w:rsidRPr="00416C4A">
        <w:t xml:space="preserve"> equations model replacing </w:t>
      </w:r>
      <w:r w:rsidR="00687856" w:rsidRPr="00416C4A">
        <w:rPr>
          <w:i/>
          <w:iCs/>
        </w:rPr>
        <w:t>%Female</w:t>
      </w:r>
      <w:r w:rsidR="00687856" w:rsidRPr="00416C4A">
        <w:t xml:space="preserve"> </w:t>
      </w:r>
      <w:r w:rsidR="001D4241">
        <w:t>with</w:t>
      </w:r>
      <w:r w:rsidR="001D4241" w:rsidRPr="00416C4A">
        <w:t xml:space="preserve"> </w:t>
      </w:r>
      <w:r w:rsidR="00687856" w:rsidRPr="00416C4A">
        <w:rPr>
          <w:i/>
          <w:iCs/>
        </w:rPr>
        <w:t>Female_3</w:t>
      </w:r>
      <w:r w:rsidR="00DA533A" w:rsidRPr="00956C36">
        <w:t>,</w:t>
      </w:r>
      <w:r w:rsidR="00DA533A" w:rsidRPr="00416C4A">
        <w:rPr>
          <w:i/>
          <w:iCs/>
        </w:rPr>
        <w:t xml:space="preserve"> </w:t>
      </w:r>
      <w:r w:rsidR="001D4241">
        <w:t xml:space="preserve">which is </w:t>
      </w:r>
      <w:r w:rsidR="0043216B" w:rsidRPr="00416C4A">
        <w:t>a</w:t>
      </w:r>
      <w:r w:rsidR="00DA533A" w:rsidRPr="00416C4A">
        <w:t xml:space="preserve">n indicator </w:t>
      </w:r>
      <w:r w:rsidR="00666261" w:rsidRPr="00416C4A">
        <w:t>v</w:t>
      </w:r>
      <w:r w:rsidR="0043216B" w:rsidRPr="00416C4A">
        <w:t xml:space="preserve">ariable </w:t>
      </w:r>
      <w:r w:rsidR="00666261" w:rsidRPr="00416C4A">
        <w:t xml:space="preserve">coded as one when </w:t>
      </w:r>
      <w:r w:rsidR="0043216B" w:rsidRPr="00416C4A">
        <w:t xml:space="preserve">there are </w:t>
      </w:r>
      <w:r w:rsidR="000F1A91" w:rsidRPr="00416C4A">
        <w:t xml:space="preserve">three or </w:t>
      </w:r>
      <w:r w:rsidR="0043216B" w:rsidRPr="00416C4A">
        <w:t xml:space="preserve">more </w:t>
      </w:r>
      <w:r w:rsidR="001D4241">
        <w:t>female</w:t>
      </w:r>
      <w:r w:rsidR="000F1A91" w:rsidRPr="00416C4A">
        <w:t xml:space="preserve"> directors, </w:t>
      </w:r>
      <w:r w:rsidR="0043216B" w:rsidRPr="00416C4A">
        <w:t xml:space="preserve">and </w:t>
      </w:r>
      <w:r w:rsidR="000F1A91" w:rsidRPr="00416C4A">
        <w:t>zero</w:t>
      </w:r>
      <w:r w:rsidR="0043216B" w:rsidRPr="00416C4A">
        <w:t xml:space="preserve"> otherwise.</w:t>
      </w:r>
      <w:r w:rsidRPr="00416C4A">
        <w:rPr>
          <w:rStyle w:val="FootnoteReference"/>
        </w:rPr>
        <w:footnoteReference w:id="8"/>
      </w:r>
      <w:r w:rsidR="0043216B" w:rsidRPr="00416C4A">
        <w:t xml:space="preserve"> </w:t>
      </w:r>
      <w:r w:rsidRPr="00416C4A">
        <w:t xml:space="preserve">The </w:t>
      </w:r>
      <w:r w:rsidR="0043216B" w:rsidRPr="00416C4A">
        <w:t xml:space="preserve">results in </w:t>
      </w:r>
      <w:r w:rsidR="000F1A91" w:rsidRPr="00416C4A">
        <w:t>T</w:t>
      </w:r>
      <w:r w:rsidR="0043216B" w:rsidRPr="00416C4A">
        <w:t xml:space="preserve">able </w:t>
      </w:r>
      <w:r w:rsidR="00B82CF8">
        <w:t>7</w:t>
      </w:r>
      <w:r w:rsidR="004377C1" w:rsidRPr="00416C4A">
        <w:t xml:space="preserve"> </w:t>
      </w:r>
      <w:r w:rsidR="00185F5D" w:rsidRPr="00416C4A">
        <w:t xml:space="preserve">indicate that our </w:t>
      </w:r>
      <w:r w:rsidR="00BB5EEC" w:rsidRPr="00416C4A">
        <w:t>financial</w:t>
      </w:r>
      <w:r w:rsidR="00185F5D" w:rsidRPr="00416C4A">
        <w:t xml:space="preserve"> performance measure (</w:t>
      </w:r>
      <w:r w:rsidR="00185F5D" w:rsidRPr="00416C4A">
        <w:rPr>
          <w:i/>
          <w:iCs/>
        </w:rPr>
        <w:t>ROA</w:t>
      </w:r>
      <w:r w:rsidR="00185F5D" w:rsidRPr="00416C4A">
        <w:t xml:space="preserve">) is not associated with </w:t>
      </w:r>
      <w:r w:rsidR="00185F5D" w:rsidRPr="00416C4A">
        <w:rPr>
          <w:i/>
          <w:iCs/>
        </w:rPr>
        <w:t>Female_3</w:t>
      </w:r>
      <w:r w:rsidR="00185F5D" w:rsidRPr="00416C4A">
        <w:t xml:space="preserve">. </w:t>
      </w:r>
      <w:r w:rsidR="00673DCF" w:rsidRPr="00416C4A">
        <w:t xml:space="preserve">Given </w:t>
      </w:r>
      <w:r w:rsidR="00AF5339" w:rsidRPr="00416C4A">
        <w:t xml:space="preserve">that </w:t>
      </w:r>
      <w:r w:rsidR="001333AE">
        <w:t>based on</w:t>
      </w:r>
      <w:r w:rsidR="001333AE" w:rsidRPr="00416C4A">
        <w:t xml:space="preserve"> </w:t>
      </w:r>
      <w:r w:rsidR="00673DCF" w:rsidRPr="00416C4A">
        <w:t>our previous results</w:t>
      </w:r>
      <w:r w:rsidR="001333AE">
        <w:t>,</w:t>
      </w:r>
      <w:r w:rsidRPr="00416C4A">
        <w:t xml:space="preserve"> we conclude that </w:t>
      </w:r>
      <w:r w:rsidR="00AF5339" w:rsidRPr="00416C4A">
        <w:t xml:space="preserve">the percentage </w:t>
      </w:r>
      <w:r w:rsidR="00E47D88" w:rsidRPr="00416C4A">
        <w:t xml:space="preserve">of </w:t>
      </w:r>
      <w:r w:rsidR="001333AE">
        <w:t>females</w:t>
      </w:r>
      <w:r w:rsidR="001333AE" w:rsidRPr="00416C4A">
        <w:t xml:space="preserve"> </w:t>
      </w:r>
      <w:r w:rsidRPr="00416C4A">
        <w:t xml:space="preserve">on boards </w:t>
      </w:r>
      <w:r w:rsidR="00E47D88" w:rsidRPr="00416C4A">
        <w:t>is</w:t>
      </w:r>
      <w:r w:rsidRPr="00416C4A">
        <w:t xml:space="preserve"> associated with </w:t>
      </w:r>
      <w:r w:rsidRPr="00416C4A">
        <w:rPr>
          <w:i/>
          <w:iCs/>
        </w:rPr>
        <w:t>ROA</w:t>
      </w:r>
      <w:r w:rsidRPr="00416C4A">
        <w:t xml:space="preserve">, </w:t>
      </w:r>
      <w:r w:rsidR="00E47D88" w:rsidRPr="00416C4A">
        <w:t xml:space="preserve">it seems that the absolute number of </w:t>
      </w:r>
      <w:r w:rsidR="001333AE">
        <w:t>females</w:t>
      </w:r>
      <w:r w:rsidR="001333AE" w:rsidRPr="00416C4A">
        <w:t xml:space="preserve"> </w:t>
      </w:r>
      <w:r w:rsidR="00E47D88" w:rsidRPr="00416C4A">
        <w:t xml:space="preserve">(in this case, three) is not the relevant aspect of </w:t>
      </w:r>
      <w:r w:rsidR="00A732EC">
        <w:t>female</w:t>
      </w:r>
      <w:r w:rsidRPr="00416C4A">
        <w:t xml:space="preserve"> </w:t>
      </w:r>
      <w:r w:rsidR="001333AE">
        <w:t>representation</w:t>
      </w:r>
      <w:r w:rsidRPr="00416C4A">
        <w:t xml:space="preserve">. </w:t>
      </w:r>
      <w:r w:rsidR="00956C36">
        <w:t>However</w:t>
      </w:r>
      <w:r w:rsidR="004377C1" w:rsidRPr="00416C4A">
        <w:t>, capital market</w:t>
      </w:r>
      <w:r w:rsidR="008751B3">
        <w:t xml:space="preserve"> participant</w:t>
      </w:r>
      <w:r w:rsidR="004377C1" w:rsidRPr="00416C4A">
        <w:t>s seem to value the presen</w:t>
      </w:r>
      <w:r w:rsidR="00765CB0" w:rsidRPr="00416C4A">
        <w:t xml:space="preserve">ce of at least three women on boards, as </w:t>
      </w:r>
      <w:r w:rsidR="001333AE">
        <w:t xml:space="preserve">evidence by </w:t>
      </w:r>
      <w:r w:rsidR="00765CB0" w:rsidRPr="00416C4A">
        <w:t xml:space="preserve">the </w:t>
      </w:r>
      <w:r w:rsidR="001333AE" w:rsidRPr="00416C4A">
        <w:t xml:space="preserve">positive and statistically significant </w:t>
      </w:r>
      <w:r w:rsidR="00765CB0" w:rsidRPr="00416C4A">
        <w:t>coefficient o</w:t>
      </w:r>
      <w:r w:rsidR="00541089">
        <w:t>n</w:t>
      </w:r>
      <w:r w:rsidR="00765CB0" w:rsidRPr="00416C4A">
        <w:t xml:space="preserve"> this variable in the </w:t>
      </w:r>
      <w:r w:rsidR="00765CB0" w:rsidRPr="00416C4A">
        <w:rPr>
          <w:i/>
          <w:iCs/>
        </w:rPr>
        <w:t>Tobin’s Q</w:t>
      </w:r>
      <w:r w:rsidR="00765CB0" w:rsidRPr="00416C4A">
        <w:t xml:space="preserve"> model.</w:t>
      </w:r>
      <w:r w:rsidR="00D71553" w:rsidRPr="00416C4A">
        <w:t xml:space="preserve"> </w:t>
      </w:r>
      <w:r w:rsidR="001333AE">
        <w:t>Overall, we conclude that t</w:t>
      </w:r>
      <w:r w:rsidR="00D71553" w:rsidRPr="00416C4A">
        <w:t>his differe</w:t>
      </w:r>
      <w:r w:rsidR="00697788" w:rsidRPr="00416C4A">
        <w:t xml:space="preserve">nce in </w:t>
      </w:r>
      <w:r w:rsidR="00EB63F6" w:rsidRPr="00416C4A">
        <w:t>significance</w:t>
      </w:r>
      <w:r w:rsidR="00697788" w:rsidRPr="00416C4A">
        <w:t xml:space="preserve"> across different </w:t>
      </w:r>
      <w:r w:rsidR="00E47D88" w:rsidRPr="00416C4A">
        <w:t>financial</w:t>
      </w:r>
      <w:r w:rsidR="00697788" w:rsidRPr="00416C4A">
        <w:t xml:space="preserve"> measures may </w:t>
      </w:r>
      <w:r w:rsidR="001333AE">
        <w:t>explain</w:t>
      </w:r>
      <w:r w:rsidRPr="00416C4A">
        <w:t xml:space="preserve"> some</w:t>
      </w:r>
      <w:r w:rsidR="00697788" w:rsidRPr="00416C4A">
        <w:t xml:space="preserve"> </w:t>
      </w:r>
      <w:r w:rsidR="001333AE">
        <w:t xml:space="preserve">of the </w:t>
      </w:r>
      <w:r w:rsidR="00697788" w:rsidRPr="00416C4A">
        <w:t>previous mixed results.</w:t>
      </w:r>
    </w:p>
    <w:p w14:paraId="7A8877F6" w14:textId="79674BCC" w:rsidR="00EC3764" w:rsidRPr="00416C4A" w:rsidRDefault="00D96DFB" w:rsidP="00EC3764">
      <w:pPr>
        <w:spacing w:line="480" w:lineRule="auto"/>
        <w:ind w:firstLine="720"/>
        <w:jc w:val="both"/>
      </w:pPr>
      <w:r w:rsidRPr="00416C4A">
        <w:t>As mentioned in the literature review</w:t>
      </w:r>
      <w:r w:rsidR="001333AE">
        <w:t xml:space="preserve"> section</w:t>
      </w:r>
      <w:r w:rsidRPr="00416C4A">
        <w:t>, a positive outcome of gender quota</w:t>
      </w:r>
      <w:r w:rsidR="006D1A71" w:rsidRPr="00416C4A">
        <w:t>s</w:t>
      </w:r>
      <w:r w:rsidRPr="00416C4A">
        <w:t xml:space="preserve"> </w:t>
      </w:r>
      <w:r w:rsidR="001333AE">
        <w:t xml:space="preserve">can occur because </w:t>
      </w:r>
      <w:r w:rsidRPr="00416C4A">
        <w:t xml:space="preserve">female directors </w:t>
      </w:r>
      <w:r w:rsidR="001333AE">
        <w:t>are</w:t>
      </w:r>
      <w:r w:rsidRPr="00416C4A">
        <w:t xml:space="preserve"> </w:t>
      </w:r>
      <w:r w:rsidR="001333AE">
        <w:t xml:space="preserve">more </w:t>
      </w:r>
      <w:r w:rsidRPr="00416C4A">
        <w:t>independent (</w:t>
      </w:r>
      <w:proofErr w:type="spellStart"/>
      <w:r w:rsidRPr="00416C4A">
        <w:t>Bohren</w:t>
      </w:r>
      <w:proofErr w:type="spellEnd"/>
      <w:r w:rsidRPr="00416C4A">
        <w:t xml:space="preserve"> and </w:t>
      </w:r>
      <w:proofErr w:type="spellStart"/>
      <w:r w:rsidRPr="00416C4A">
        <w:t>Staubo</w:t>
      </w:r>
      <w:proofErr w:type="spellEnd"/>
      <w:r w:rsidRPr="00416C4A">
        <w:t xml:space="preserve"> 2014). </w:t>
      </w:r>
      <w:r w:rsidR="001333AE">
        <w:t>In our sample, w</w:t>
      </w:r>
      <w:r w:rsidR="007370F8" w:rsidRPr="00416C4A">
        <w:t xml:space="preserve">e find </w:t>
      </w:r>
      <w:r w:rsidRPr="00416C4A">
        <w:t xml:space="preserve">that there are more independent female directors than executive female directors. </w:t>
      </w:r>
      <w:r w:rsidR="001333AE">
        <w:t>Moreover, i</w:t>
      </w:r>
      <w:r w:rsidRPr="00416C4A">
        <w:t>n 2012, on average, there were 1</w:t>
      </w:r>
      <w:r w:rsidR="0014573A" w:rsidRPr="00416C4A">
        <w:t>3</w:t>
      </w:r>
      <w:r w:rsidRPr="00416C4A">
        <w:t>.</w:t>
      </w:r>
      <w:r w:rsidR="0014573A" w:rsidRPr="00416C4A">
        <w:t>93</w:t>
      </w:r>
      <w:r w:rsidRPr="00416C4A">
        <w:t xml:space="preserve"> percent independent females on board</w:t>
      </w:r>
      <w:r w:rsidR="0073291C" w:rsidRPr="00416C4A">
        <w:t xml:space="preserve">s, whereas </w:t>
      </w:r>
      <w:r w:rsidRPr="00416C4A">
        <w:t>in 2018, independent females reached 2</w:t>
      </w:r>
      <w:r w:rsidR="002E107A" w:rsidRPr="00416C4A">
        <w:t>6</w:t>
      </w:r>
      <w:r w:rsidRPr="00416C4A">
        <w:t>.3</w:t>
      </w:r>
      <w:r w:rsidR="002E107A" w:rsidRPr="00416C4A">
        <w:t>7</w:t>
      </w:r>
      <w:r w:rsidRPr="00416C4A">
        <w:t xml:space="preserve"> percent. Th</w:t>
      </w:r>
      <w:r w:rsidR="002C3F3F" w:rsidRPr="00416C4A">
        <w:t>us</w:t>
      </w:r>
      <w:r w:rsidRPr="00416C4A">
        <w:t xml:space="preserve">, </w:t>
      </w:r>
      <w:r w:rsidR="002C3F3F" w:rsidRPr="00416C4A">
        <w:t xml:space="preserve">we extend the findings </w:t>
      </w:r>
      <w:r w:rsidR="001333AE">
        <w:t xml:space="preserve">in </w:t>
      </w:r>
      <w:proofErr w:type="spellStart"/>
      <w:r w:rsidRPr="00416C4A">
        <w:t>Bohren</w:t>
      </w:r>
      <w:proofErr w:type="spellEnd"/>
      <w:r w:rsidRPr="00416C4A">
        <w:t xml:space="preserve"> and </w:t>
      </w:r>
      <w:proofErr w:type="spellStart"/>
      <w:r w:rsidRPr="00416C4A">
        <w:t>Staubo</w:t>
      </w:r>
      <w:proofErr w:type="spellEnd"/>
      <w:r w:rsidRPr="00416C4A">
        <w:t xml:space="preserve"> (2014) </w:t>
      </w:r>
      <w:r w:rsidR="002C3F3F" w:rsidRPr="00416C4A">
        <w:t xml:space="preserve">by showing that an increase in the percentage of independent </w:t>
      </w:r>
      <w:r w:rsidR="001333AE">
        <w:t xml:space="preserve">female directors </w:t>
      </w:r>
      <w:r w:rsidR="002C3F3F" w:rsidRPr="00416C4A">
        <w:t xml:space="preserve">can also be reached </w:t>
      </w:r>
      <w:r w:rsidR="00B06DF8">
        <w:t>using</w:t>
      </w:r>
      <w:r w:rsidR="002C3F3F" w:rsidRPr="00416C4A">
        <w:t xml:space="preserve"> voluntary targets, a</w:t>
      </w:r>
      <w:r w:rsidR="001333AE">
        <w:t xml:space="preserve">t least </w:t>
      </w:r>
      <w:r w:rsidR="002C3F3F" w:rsidRPr="00416C4A">
        <w:t>in the UK.</w:t>
      </w:r>
    </w:p>
    <w:p w14:paraId="0BF48F4D" w14:textId="0B20F57F" w:rsidR="00722545" w:rsidRPr="00416C4A" w:rsidRDefault="00722545" w:rsidP="00722545">
      <w:pPr>
        <w:spacing w:line="480" w:lineRule="auto"/>
        <w:jc w:val="both"/>
      </w:pPr>
    </w:p>
    <w:p w14:paraId="0AF784A3" w14:textId="54A82207" w:rsidR="00045FEE" w:rsidRPr="00416C4A" w:rsidRDefault="00D96DFB" w:rsidP="00E5321F">
      <w:pPr>
        <w:pStyle w:val="Heading1"/>
        <w:numPr>
          <w:ilvl w:val="0"/>
          <w:numId w:val="1"/>
        </w:numPr>
        <w:spacing w:line="480" w:lineRule="auto"/>
        <w:jc w:val="center"/>
        <w:rPr>
          <w:rFonts w:ascii="Times New Roman" w:eastAsia="Times New Roman" w:hAnsi="Times New Roman" w:cs="Times New Roman"/>
          <w:b/>
          <w:bCs/>
          <w:caps/>
          <w:color w:val="auto"/>
          <w:sz w:val="24"/>
          <w:szCs w:val="24"/>
        </w:rPr>
      </w:pPr>
      <w:bookmarkStart w:id="16" w:name="_Toc49414750"/>
      <w:r w:rsidRPr="00416C4A">
        <w:rPr>
          <w:rFonts w:ascii="Times New Roman" w:eastAsia="Times New Roman" w:hAnsi="Times New Roman" w:cs="Times New Roman"/>
          <w:b/>
          <w:bCs/>
          <w:caps/>
          <w:color w:val="auto"/>
          <w:sz w:val="24"/>
          <w:szCs w:val="24"/>
        </w:rPr>
        <w:t>Conclusion</w:t>
      </w:r>
      <w:bookmarkEnd w:id="16"/>
    </w:p>
    <w:p w14:paraId="0D0FE6BD" w14:textId="74FD79E0" w:rsidR="00FD45B9" w:rsidRPr="00416C4A" w:rsidRDefault="00F063FB" w:rsidP="00FD45B9">
      <w:pPr>
        <w:spacing w:line="480" w:lineRule="auto"/>
        <w:ind w:firstLine="720"/>
        <w:jc w:val="both"/>
      </w:pPr>
      <w:r>
        <w:t>Advances in the</w:t>
      </w:r>
      <w:r w:rsidR="00D96DFB" w:rsidRPr="00416C4A">
        <w:t xml:space="preserve"> gender diversity of boards </w:t>
      </w:r>
      <w:r w:rsidR="002E29A6">
        <w:t>are</w:t>
      </w:r>
      <w:r w:rsidR="00D96DFB" w:rsidRPr="00416C4A">
        <w:t xml:space="preserve">, in several countries, </w:t>
      </w:r>
      <w:r>
        <w:t xml:space="preserve">made </w:t>
      </w:r>
      <w:r w:rsidR="00D96DFB" w:rsidRPr="00416C4A">
        <w:t>through the establishment of quotas</w:t>
      </w:r>
      <w:r w:rsidR="008510FF" w:rsidRPr="00416C4A">
        <w:t>. However, in o</w:t>
      </w:r>
      <w:r w:rsidR="00D96DFB" w:rsidRPr="00416C4A">
        <w:t>ther countries</w:t>
      </w:r>
      <w:r w:rsidR="008510FF" w:rsidRPr="00416C4A">
        <w:t>,</w:t>
      </w:r>
      <w:r w:rsidR="00D96DFB" w:rsidRPr="00416C4A">
        <w:t xml:space="preserve"> voluntary targets </w:t>
      </w:r>
      <w:r>
        <w:t>for</w:t>
      </w:r>
      <w:r w:rsidR="00D96DFB" w:rsidRPr="00416C4A">
        <w:t xml:space="preserve"> gender diversity o</w:t>
      </w:r>
      <w:r>
        <w:t>f</w:t>
      </w:r>
      <w:r w:rsidR="00D96DFB" w:rsidRPr="00416C4A">
        <w:t xml:space="preserve"> boards of directors</w:t>
      </w:r>
      <w:r w:rsidR="008510FF" w:rsidRPr="00416C4A">
        <w:t xml:space="preserve"> have been set</w:t>
      </w:r>
      <w:r w:rsidR="00D96DFB" w:rsidRPr="00416C4A">
        <w:t xml:space="preserve">. </w:t>
      </w:r>
      <w:r>
        <w:t>We</w:t>
      </w:r>
      <w:r w:rsidR="008510FF" w:rsidRPr="00416C4A">
        <w:t xml:space="preserve"> investigate whether gender equality</w:t>
      </w:r>
      <w:r w:rsidR="00C21D28" w:rsidRPr="00416C4A">
        <w:t xml:space="preserve"> and </w:t>
      </w:r>
      <w:r>
        <w:t>any</w:t>
      </w:r>
      <w:r w:rsidRPr="00416C4A">
        <w:t xml:space="preserve"> </w:t>
      </w:r>
      <w:r>
        <w:t xml:space="preserve">associated </w:t>
      </w:r>
      <w:r w:rsidR="00C21D28" w:rsidRPr="00416C4A">
        <w:lastRenderedPageBreak/>
        <w:t xml:space="preserve">financial benefits (in terms of performance and value) can be achieved without establishing mandatory quotas. </w:t>
      </w:r>
      <w:r w:rsidR="00D96DFB" w:rsidRPr="00416C4A">
        <w:t>Given that the UK</w:t>
      </w:r>
      <w:r w:rsidR="00BA47F6" w:rsidRPr="00416C4A">
        <w:t xml:space="preserve"> </w:t>
      </w:r>
      <w:r w:rsidR="00D96DFB" w:rsidRPr="00416C4A">
        <w:t xml:space="preserve">established a voluntary target of 33 percent of </w:t>
      </w:r>
      <w:r>
        <w:t xml:space="preserve">female </w:t>
      </w:r>
      <w:r w:rsidR="00D96DFB" w:rsidRPr="00416C4A">
        <w:t xml:space="preserve">directors by 2020 for large firms, </w:t>
      </w:r>
      <w:r>
        <w:t xml:space="preserve">the UK provides an ideal </w:t>
      </w:r>
      <w:r w:rsidR="00D96DFB" w:rsidRPr="00416C4A">
        <w:t>setting</w:t>
      </w:r>
      <w:r>
        <w:t xml:space="preserve"> for our tests</w:t>
      </w:r>
      <w:r w:rsidR="00D96DFB" w:rsidRPr="00416C4A">
        <w:t xml:space="preserve">. </w:t>
      </w:r>
    </w:p>
    <w:p w14:paraId="0A76CF33" w14:textId="13A7C9E9" w:rsidR="00045FEE" w:rsidRPr="00416C4A" w:rsidRDefault="00D96DFB" w:rsidP="00BD46E1">
      <w:pPr>
        <w:spacing w:line="480" w:lineRule="auto"/>
        <w:ind w:firstLine="720"/>
        <w:jc w:val="both"/>
      </w:pPr>
      <w:r w:rsidRPr="00416C4A">
        <w:t xml:space="preserve">We </w:t>
      </w:r>
      <w:r w:rsidR="00482266" w:rsidRPr="00416C4A">
        <w:t>collect</w:t>
      </w:r>
      <w:r w:rsidRPr="00416C4A">
        <w:t xml:space="preserve"> data </w:t>
      </w:r>
      <w:r w:rsidR="00F063FB" w:rsidRPr="00416C4A">
        <w:t>f</w:t>
      </w:r>
      <w:r w:rsidR="00F063FB">
        <w:t>rom</w:t>
      </w:r>
      <w:r w:rsidR="00F063FB" w:rsidRPr="00416C4A">
        <w:t xml:space="preserve"> </w:t>
      </w:r>
      <w:r w:rsidRPr="00416C4A">
        <w:t>four years</w:t>
      </w:r>
      <w:r w:rsidR="002C43A4" w:rsidRPr="00416C4A">
        <w:t xml:space="preserve"> after</w:t>
      </w:r>
      <w:r w:rsidR="009E37CD" w:rsidRPr="00416C4A">
        <w:t xml:space="preserve"> the initial UK report on board diversity</w:t>
      </w:r>
      <w:r w:rsidR="00482266" w:rsidRPr="00416C4A">
        <w:t xml:space="preserve"> (</w:t>
      </w:r>
      <w:r w:rsidR="00F063FB">
        <w:t xml:space="preserve">specifically, in </w:t>
      </w:r>
      <w:r w:rsidR="002C43A4" w:rsidRPr="00416C4A">
        <w:t>2012, 2014, 2016, and 2018</w:t>
      </w:r>
      <w:r w:rsidRPr="00416C4A">
        <w:t>)</w:t>
      </w:r>
      <w:r w:rsidR="00482266" w:rsidRPr="00416C4A">
        <w:t xml:space="preserve">. </w:t>
      </w:r>
      <w:r w:rsidR="00F54275" w:rsidRPr="00416C4A">
        <w:t xml:space="preserve">Our results indicate that the percentage of </w:t>
      </w:r>
      <w:r w:rsidR="00F063FB">
        <w:t>female directors</w:t>
      </w:r>
      <w:r w:rsidR="00F54275" w:rsidRPr="00416C4A">
        <w:t xml:space="preserve"> has been increasing steadily, and that this increase is higher in </w:t>
      </w:r>
      <w:r w:rsidR="009E37CD" w:rsidRPr="00416C4A">
        <w:t xml:space="preserve">recent </w:t>
      </w:r>
      <w:r w:rsidR="00F54275" w:rsidRPr="00416C4A">
        <w:t xml:space="preserve">years </w:t>
      </w:r>
      <w:r w:rsidR="0030762B" w:rsidRPr="00416C4A">
        <w:t>(</w:t>
      </w:r>
      <w:r w:rsidR="009E37CD" w:rsidRPr="00416C4A">
        <w:t>2016 and 2018</w:t>
      </w:r>
      <w:r w:rsidR="0030762B" w:rsidRPr="00416C4A">
        <w:t>)</w:t>
      </w:r>
      <w:r w:rsidR="00F54275" w:rsidRPr="00416C4A">
        <w:t xml:space="preserve">. </w:t>
      </w:r>
      <w:r w:rsidR="009705BD" w:rsidRPr="00416C4A">
        <w:t>Th</w:t>
      </w:r>
      <w:r w:rsidR="00F063FB">
        <w:t xml:space="preserve">is </w:t>
      </w:r>
      <w:r w:rsidR="002F7731" w:rsidRPr="00416C4A">
        <w:t xml:space="preserve">suggests </w:t>
      </w:r>
      <w:r w:rsidRPr="00416C4A">
        <w:t xml:space="preserve">that </w:t>
      </w:r>
      <w:r w:rsidR="009705BD" w:rsidRPr="00416C4A">
        <w:t xml:space="preserve">a quota system </w:t>
      </w:r>
      <w:r w:rsidR="002F7731" w:rsidRPr="00416C4A">
        <w:t xml:space="preserve">is not necessary </w:t>
      </w:r>
      <w:r w:rsidR="00770620" w:rsidRPr="00416C4A">
        <w:t xml:space="preserve">to increase the </w:t>
      </w:r>
      <w:r w:rsidR="002F7731" w:rsidRPr="00416C4A">
        <w:t>gender diversity of</w:t>
      </w:r>
      <w:r w:rsidR="00D17B55" w:rsidRPr="00416C4A">
        <w:t xml:space="preserve"> </w:t>
      </w:r>
      <w:r w:rsidRPr="00416C4A">
        <w:t>the boards of directors</w:t>
      </w:r>
      <w:r w:rsidR="00AA3089" w:rsidRPr="00416C4A">
        <w:t>.</w:t>
      </w:r>
      <w:r w:rsidR="00D17B55" w:rsidRPr="00416C4A">
        <w:t xml:space="preserve"> </w:t>
      </w:r>
      <w:r w:rsidR="00B42BF2" w:rsidRPr="00416C4A">
        <w:t>These findings should be of interest to governments</w:t>
      </w:r>
      <w:r w:rsidR="00D17707" w:rsidRPr="00416C4A">
        <w:t xml:space="preserve"> </w:t>
      </w:r>
      <w:r w:rsidR="00F063FB">
        <w:t xml:space="preserve">around the globe as they </w:t>
      </w:r>
      <w:r w:rsidRPr="00416C4A">
        <w:t>consider the implementation of gender quotas</w:t>
      </w:r>
      <w:r w:rsidR="00DF065A" w:rsidRPr="00416C4A">
        <w:t>.</w:t>
      </w:r>
    </w:p>
    <w:p w14:paraId="29F9CAB6" w14:textId="5CA60FD4" w:rsidR="00B42BF2" w:rsidRPr="00416C4A" w:rsidRDefault="00D96DFB" w:rsidP="00B42BF2">
      <w:pPr>
        <w:autoSpaceDE w:val="0"/>
        <w:autoSpaceDN w:val="0"/>
        <w:adjustRightInd w:val="0"/>
        <w:spacing w:line="480" w:lineRule="auto"/>
        <w:ind w:firstLine="720"/>
        <w:jc w:val="both"/>
      </w:pPr>
      <w:r w:rsidRPr="00416C4A">
        <w:t xml:space="preserve">Our analysis of the </w:t>
      </w:r>
      <w:r w:rsidR="00F432CA" w:rsidRPr="00416C4A">
        <w:t xml:space="preserve">association between </w:t>
      </w:r>
      <w:r w:rsidRPr="00416C4A">
        <w:t xml:space="preserve">the percentage of </w:t>
      </w:r>
      <w:r w:rsidR="00F063FB">
        <w:t>female directors</w:t>
      </w:r>
      <w:r w:rsidRPr="00416C4A">
        <w:t xml:space="preserve"> </w:t>
      </w:r>
      <w:r w:rsidR="009B4D84" w:rsidRPr="00416C4A">
        <w:t>and</w:t>
      </w:r>
      <w:r w:rsidRPr="00416C4A">
        <w:t xml:space="preserve"> firm </w:t>
      </w:r>
      <w:r w:rsidR="00F432CA" w:rsidRPr="00416C4A">
        <w:t xml:space="preserve">financial </w:t>
      </w:r>
      <w:r w:rsidRPr="00416C4A">
        <w:t>performance</w:t>
      </w:r>
      <w:r w:rsidR="00F432CA" w:rsidRPr="00416C4A">
        <w:t xml:space="preserve"> and value</w:t>
      </w:r>
      <w:r w:rsidRPr="00416C4A">
        <w:t xml:space="preserve"> indicates that</w:t>
      </w:r>
      <w:r w:rsidR="00C50A40" w:rsidRPr="00416C4A">
        <w:t xml:space="preserve"> </w:t>
      </w:r>
      <w:r w:rsidR="00D94793" w:rsidRPr="00416C4A">
        <w:t xml:space="preserve">female representation </w:t>
      </w:r>
      <w:r w:rsidR="00B10F4B" w:rsidRPr="00416C4A">
        <w:t xml:space="preserve">is positively associated with </w:t>
      </w:r>
      <w:r w:rsidR="00D94793" w:rsidRPr="00416C4A">
        <w:t xml:space="preserve">both </w:t>
      </w:r>
      <w:r w:rsidR="00B10F4B" w:rsidRPr="00416C4A">
        <w:t>financial</w:t>
      </w:r>
      <w:r w:rsidR="00D94793" w:rsidRPr="00416C4A">
        <w:t xml:space="preserve"> measures</w:t>
      </w:r>
      <w:r w:rsidR="00F063FB">
        <w:t xml:space="preserve">, although </w:t>
      </w:r>
      <w:r w:rsidR="00BF4BCD" w:rsidRPr="00416C4A">
        <w:t>th</w:t>
      </w:r>
      <w:r w:rsidR="00F063FB">
        <w:t>e</w:t>
      </w:r>
      <w:r w:rsidR="00BF4BCD" w:rsidRPr="00416C4A">
        <w:t>s</w:t>
      </w:r>
      <w:r w:rsidR="00F063FB">
        <w:t>e</w:t>
      </w:r>
      <w:r w:rsidR="00BF4BCD" w:rsidRPr="00416C4A">
        <w:t xml:space="preserve"> association</w:t>
      </w:r>
      <w:r w:rsidR="00F063FB">
        <w:t xml:space="preserve">s are </w:t>
      </w:r>
      <w:r w:rsidRPr="00416C4A">
        <w:t xml:space="preserve">only </w:t>
      </w:r>
      <w:r w:rsidR="00BF4BCD" w:rsidRPr="00416C4A">
        <w:t>observed</w:t>
      </w:r>
      <w:r w:rsidR="00223BEA" w:rsidRPr="00416C4A">
        <w:t xml:space="preserve"> </w:t>
      </w:r>
      <w:r w:rsidR="00BF4BCD" w:rsidRPr="00416C4A">
        <w:t xml:space="preserve">in </w:t>
      </w:r>
      <w:r w:rsidR="006F3EF8" w:rsidRPr="00416C4A">
        <w:t>recent years</w:t>
      </w:r>
      <w:r w:rsidR="00BF4BCD" w:rsidRPr="00416C4A">
        <w:t xml:space="preserve">. </w:t>
      </w:r>
      <w:r w:rsidR="00F063FB">
        <w:t>Moreover</w:t>
      </w:r>
      <w:r w:rsidR="00587F55" w:rsidRPr="00416C4A">
        <w:t xml:space="preserve">, the association between gender diversity and financial performance </w:t>
      </w:r>
      <w:r w:rsidR="00F063FB">
        <w:t xml:space="preserve">lasts for </w:t>
      </w:r>
      <w:r w:rsidR="00587F55" w:rsidRPr="00416C4A">
        <w:t xml:space="preserve">at least </w:t>
      </w:r>
      <w:r w:rsidR="00F063FB">
        <w:t>three</w:t>
      </w:r>
      <w:r w:rsidR="00F063FB" w:rsidRPr="00416C4A">
        <w:t xml:space="preserve"> </w:t>
      </w:r>
      <w:r w:rsidR="00587F55" w:rsidRPr="00416C4A">
        <w:t xml:space="preserve">years. </w:t>
      </w:r>
      <w:r w:rsidR="00E62289" w:rsidRPr="00416C4A">
        <w:t>Combining our results</w:t>
      </w:r>
      <w:r w:rsidR="000E290C" w:rsidRPr="00416C4A">
        <w:t xml:space="preserve">, </w:t>
      </w:r>
      <w:r w:rsidR="00E62289" w:rsidRPr="00416C4A">
        <w:t xml:space="preserve">we conclude that </w:t>
      </w:r>
      <w:r w:rsidR="00762475" w:rsidRPr="00416C4A">
        <w:t>after a voluntary target is set for gender diversity</w:t>
      </w:r>
      <w:r w:rsidR="00F063FB">
        <w:t>,</w:t>
      </w:r>
      <w:r w:rsidR="000E290C" w:rsidRPr="00416C4A">
        <w:t xml:space="preserve"> the </w:t>
      </w:r>
      <w:r w:rsidR="00F063FB">
        <w:t xml:space="preserve">female </w:t>
      </w:r>
      <w:r w:rsidR="000E290C" w:rsidRPr="00416C4A">
        <w:t>representation increase</w:t>
      </w:r>
      <w:r w:rsidR="00762475" w:rsidRPr="00416C4A">
        <w:t xml:space="preserve">s and </w:t>
      </w:r>
      <w:r w:rsidR="000E290C" w:rsidRPr="00416C4A">
        <w:t>f</w:t>
      </w:r>
      <w:r w:rsidR="00005E37" w:rsidRPr="00416C4A">
        <w:t xml:space="preserve">irms </w:t>
      </w:r>
      <w:r w:rsidR="00F063FB">
        <w:t xml:space="preserve">reap </w:t>
      </w:r>
      <w:r w:rsidR="00E62289" w:rsidRPr="00416C4A">
        <w:t xml:space="preserve">significant financial </w:t>
      </w:r>
      <w:r w:rsidR="0085697D" w:rsidRPr="00416C4A">
        <w:t>benefits</w:t>
      </w:r>
      <w:r w:rsidR="00F063FB">
        <w:t>, on average</w:t>
      </w:r>
      <w:r w:rsidR="0085697D" w:rsidRPr="00416C4A">
        <w:t xml:space="preserve">. Future studies </w:t>
      </w:r>
      <w:r w:rsidR="00F063FB">
        <w:t>c</w:t>
      </w:r>
      <w:r w:rsidR="0007154A" w:rsidRPr="00416C4A">
        <w:t>ould</w:t>
      </w:r>
      <w:r w:rsidR="0085697D" w:rsidRPr="00416C4A">
        <w:t xml:space="preserve"> investigate whether there is a limit to this increase in performance, perhaps when the percentage of females on boards </w:t>
      </w:r>
      <w:r w:rsidR="00CD243D" w:rsidRPr="00416C4A">
        <w:t>approaches</w:t>
      </w:r>
      <w:r w:rsidR="0085697D" w:rsidRPr="00416C4A">
        <w:t xml:space="preserve"> 50 percent.</w:t>
      </w:r>
      <w:r w:rsidR="00D94793" w:rsidRPr="00416C4A">
        <w:t xml:space="preserve"> </w:t>
      </w:r>
      <w:r w:rsidR="00A152F7" w:rsidRPr="00416C4A">
        <w:t>Finally, we find that capital market</w:t>
      </w:r>
      <w:r w:rsidR="008751B3">
        <w:t xml:space="preserve"> participant</w:t>
      </w:r>
      <w:r w:rsidR="00A152F7" w:rsidRPr="00416C4A">
        <w:t>s value non-executive female directors more</w:t>
      </w:r>
      <w:r w:rsidR="00F063FB">
        <w:t xml:space="preserve"> than executive female directors</w:t>
      </w:r>
      <w:r w:rsidR="00A152F7" w:rsidRPr="00416C4A">
        <w:t>.</w:t>
      </w:r>
      <w:r w:rsidRPr="00416C4A">
        <w:t xml:space="preserve"> These results should be of interest to </w:t>
      </w:r>
      <w:r w:rsidR="00F063FB">
        <w:t>managers and shareholders because they indicate</w:t>
      </w:r>
      <w:r w:rsidR="00F063FB" w:rsidRPr="00416C4A">
        <w:t xml:space="preserve"> </w:t>
      </w:r>
      <w:r w:rsidRPr="00416C4A">
        <w:t xml:space="preserve">that </w:t>
      </w:r>
      <w:r w:rsidR="00F063FB">
        <w:t xml:space="preserve">firms </w:t>
      </w:r>
      <w:r w:rsidRPr="00416C4A">
        <w:t xml:space="preserve">can benefit from increasing the presence of </w:t>
      </w:r>
      <w:r w:rsidR="00F063FB">
        <w:t>females</w:t>
      </w:r>
      <w:r w:rsidR="00F063FB" w:rsidRPr="00416C4A">
        <w:t xml:space="preserve"> </w:t>
      </w:r>
      <w:r w:rsidRPr="00416C4A">
        <w:t xml:space="preserve">on their boards, and to analysts </w:t>
      </w:r>
      <w:r w:rsidR="00F063FB">
        <w:t xml:space="preserve">and investors </w:t>
      </w:r>
      <w:r w:rsidRPr="00416C4A">
        <w:t xml:space="preserve">who should consider board diversity </w:t>
      </w:r>
      <w:r w:rsidR="00F063FB">
        <w:t xml:space="preserve">when making </w:t>
      </w:r>
      <w:r w:rsidRPr="00416C4A">
        <w:t>investment decisions.</w:t>
      </w:r>
    </w:p>
    <w:p w14:paraId="1EF85975" w14:textId="15D99A07" w:rsidR="00CC42E0" w:rsidRPr="00416C4A" w:rsidRDefault="00D96DFB" w:rsidP="004115EA">
      <w:pPr>
        <w:autoSpaceDE w:val="0"/>
        <w:autoSpaceDN w:val="0"/>
        <w:adjustRightInd w:val="0"/>
        <w:spacing w:line="480" w:lineRule="auto"/>
        <w:ind w:firstLine="720"/>
        <w:jc w:val="both"/>
      </w:pPr>
      <w:r w:rsidRPr="00416C4A">
        <w:t xml:space="preserve">As </w:t>
      </w:r>
      <w:r w:rsidR="00087371" w:rsidRPr="00416C4A">
        <w:t>is always the case</w:t>
      </w:r>
      <w:r w:rsidRPr="00416C4A">
        <w:t xml:space="preserve">, </w:t>
      </w:r>
      <w:r w:rsidR="00087371" w:rsidRPr="00416C4A">
        <w:t>our study</w:t>
      </w:r>
      <w:r w:rsidRPr="00416C4A">
        <w:t xml:space="preserve"> </w:t>
      </w:r>
      <w:r w:rsidR="00087371" w:rsidRPr="00416C4A">
        <w:t>has</w:t>
      </w:r>
      <w:r w:rsidRPr="00416C4A">
        <w:t xml:space="preserve"> some limitation</w:t>
      </w:r>
      <w:r w:rsidR="00504289" w:rsidRPr="00416C4A">
        <w:t>s</w:t>
      </w:r>
      <w:r w:rsidRPr="00416C4A">
        <w:t xml:space="preserve">. </w:t>
      </w:r>
      <w:r w:rsidR="00504289" w:rsidRPr="00416C4A">
        <w:t xml:space="preserve">First, </w:t>
      </w:r>
      <w:r w:rsidR="00822798" w:rsidRPr="00416C4A">
        <w:t>because</w:t>
      </w:r>
      <w:r w:rsidR="00200D43" w:rsidRPr="00416C4A">
        <w:t xml:space="preserve"> </w:t>
      </w:r>
      <w:r w:rsidR="002A408A" w:rsidRPr="00416C4A">
        <w:rPr>
          <w:lang w:val="en-US"/>
        </w:rPr>
        <w:t>(</w:t>
      </w:r>
      <w:proofErr w:type="spellStart"/>
      <w:r w:rsidR="002A408A" w:rsidRPr="00416C4A">
        <w:rPr>
          <w:lang w:val="en-US"/>
        </w:rPr>
        <w:t>i</w:t>
      </w:r>
      <w:proofErr w:type="spellEnd"/>
      <w:r w:rsidR="002A408A" w:rsidRPr="00416C4A">
        <w:rPr>
          <w:lang w:val="en-US"/>
        </w:rPr>
        <w:t xml:space="preserve">) </w:t>
      </w:r>
      <w:r w:rsidR="00004B49" w:rsidRPr="00416C4A">
        <w:rPr>
          <w:lang w:val="en-US"/>
        </w:rPr>
        <w:t xml:space="preserve">the </w:t>
      </w:r>
      <w:r w:rsidR="00826425" w:rsidRPr="00416C4A">
        <w:rPr>
          <w:lang w:val="en-US"/>
        </w:rPr>
        <w:t xml:space="preserve">2015 Davies </w:t>
      </w:r>
      <w:r w:rsidR="0080594D">
        <w:rPr>
          <w:lang w:val="en-US"/>
        </w:rPr>
        <w:t>R</w:t>
      </w:r>
      <w:r w:rsidR="00826425" w:rsidRPr="00416C4A">
        <w:rPr>
          <w:lang w:val="en-US"/>
        </w:rPr>
        <w:t xml:space="preserve">eport was not the first </w:t>
      </w:r>
      <w:r w:rsidR="00004B49" w:rsidRPr="00416C4A">
        <w:rPr>
          <w:lang w:val="en-US"/>
        </w:rPr>
        <w:t xml:space="preserve">gender diversity </w:t>
      </w:r>
      <w:r w:rsidR="00826425" w:rsidRPr="00416C4A">
        <w:rPr>
          <w:lang w:val="en-US"/>
        </w:rPr>
        <w:t>target set for firms in the UK</w:t>
      </w:r>
      <w:r w:rsidR="00822798" w:rsidRPr="00416C4A">
        <w:rPr>
          <w:lang w:val="en-US"/>
        </w:rPr>
        <w:t xml:space="preserve">, </w:t>
      </w:r>
      <w:r w:rsidR="002A408A" w:rsidRPr="00416C4A">
        <w:rPr>
          <w:lang w:val="en-US"/>
        </w:rPr>
        <w:t xml:space="preserve">(ii) </w:t>
      </w:r>
      <w:r w:rsidR="004D6546">
        <w:rPr>
          <w:lang w:val="en-US"/>
        </w:rPr>
        <w:t xml:space="preserve">we have </w:t>
      </w:r>
      <w:r w:rsidR="002A408A" w:rsidRPr="00416C4A">
        <w:rPr>
          <w:lang w:val="en-US"/>
        </w:rPr>
        <w:t>no</w:t>
      </w:r>
      <w:r w:rsidR="00800BC9" w:rsidRPr="00416C4A">
        <w:t xml:space="preserve"> exogenous shock, </w:t>
      </w:r>
      <w:r w:rsidR="00504289" w:rsidRPr="00416C4A">
        <w:t xml:space="preserve">and (iii) </w:t>
      </w:r>
      <w:r w:rsidR="002A408A" w:rsidRPr="00416C4A">
        <w:t xml:space="preserve">we do not have data for all years, </w:t>
      </w:r>
      <w:r w:rsidR="004D6546">
        <w:t>the</w:t>
      </w:r>
      <w:r w:rsidR="00200D43" w:rsidRPr="00416C4A">
        <w:t xml:space="preserve"> link between the introduction </w:t>
      </w:r>
      <w:r w:rsidR="00200D43" w:rsidRPr="00416C4A">
        <w:lastRenderedPageBreak/>
        <w:t xml:space="preserve">of the </w:t>
      </w:r>
      <w:r w:rsidR="004D6546">
        <w:t xml:space="preserve">diversity </w:t>
      </w:r>
      <w:r w:rsidR="00200D43" w:rsidRPr="00416C4A">
        <w:t>target</w:t>
      </w:r>
      <w:r w:rsidR="008F5F97" w:rsidRPr="00416C4A">
        <w:t xml:space="preserve"> </w:t>
      </w:r>
      <w:r w:rsidR="00C86710" w:rsidRPr="00416C4A">
        <w:t xml:space="preserve">in 2015 </w:t>
      </w:r>
      <w:r w:rsidR="008F5F97" w:rsidRPr="00416C4A">
        <w:t>and</w:t>
      </w:r>
      <w:r w:rsidR="00800BC9" w:rsidRPr="00416C4A">
        <w:t xml:space="preserve"> </w:t>
      </w:r>
      <w:r w:rsidR="00200D43" w:rsidRPr="00416C4A">
        <w:t>the</w:t>
      </w:r>
      <w:r w:rsidR="00800BC9" w:rsidRPr="00416C4A">
        <w:t xml:space="preserve"> increase in </w:t>
      </w:r>
      <w:r w:rsidR="008F5F97" w:rsidRPr="00416C4A">
        <w:t>gender diversity in UK boards of directors</w:t>
      </w:r>
      <w:r w:rsidR="004D6546">
        <w:t xml:space="preserve"> may not be causal. Instead, this increase is </w:t>
      </w:r>
      <w:r w:rsidR="008F5F97" w:rsidRPr="00416C4A">
        <w:t>associate</w:t>
      </w:r>
      <w:r w:rsidR="004D6546">
        <w:t>d</w:t>
      </w:r>
      <w:r w:rsidR="008F5F97" w:rsidRPr="00416C4A">
        <w:t xml:space="preserve"> with f</w:t>
      </w:r>
      <w:r w:rsidR="0006153A" w:rsidRPr="00416C4A">
        <w:t xml:space="preserve">irm performance and value. </w:t>
      </w:r>
      <w:r w:rsidR="00720741" w:rsidRPr="00416C4A">
        <w:t xml:space="preserve">Second, </w:t>
      </w:r>
      <w:r w:rsidR="00595672" w:rsidRPr="00416C4A">
        <w:t xml:space="preserve">given </w:t>
      </w:r>
      <w:r w:rsidR="00586ED3" w:rsidRPr="00416C4A">
        <w:t>that our sample include</w:t>
      </w:r>
      <w:r w:rsidR="00784C23" w:rsidRPr="00416C4A">
        <w:t>s</w:t>
      </w:r>
      <w:r w:rsidR="00586ED3" w:rsidRPr="00416C4A">
        <w:t xml:space="preserve"> only large firms</w:t>
      </w:r>
      <w:r w:rsidR="00784C23" w:rsidRPr="00416C4A">
        <w:t xml:space="preserve"> (</w:t>
      </w:r>
      <w:r w:rsidR="004D6546">
        <w:t xml:space="preserve">which were subject to </w:t>
      </w:r>
      <w:r w:rsidR="00784C23" w:rsidRPr="00416C4A">
        <w:t xml:space="preserve">the </w:t>
      </w:r>
      <w:r w:rsidR="00784C23" w:rsidRPr="001333AE">
        <w:t>voluntary target)</w:t>
      </w:r>
      <w:r w:rsidR="00586ED3" w:rsidRPr="001333AE">
        <w:t xml:space="preserve">, </w:t>
      </w:r>
      <w:r w:rsidR="00784C23" w:rsidRPr="001333AE">
        <w:t xml:space="preserve">our findings </w:t>
      </w:r>
      <w:r w:rsidR="004D6546">
        <w:t xml:space="preserve">may </w:t>
      </w:r>
      <w:r w:rsidR="00784C23" w:rsidRPr="001333AE">
        <w:t>not generali</w:t>
      </w:r>
      <w:r w:rsidR="004D6546">
        <w:t>ze</w:t>
      </w:r>
      <w:r w:rsidR="00784C23" w:rsidRPr="001333AE">
        <w:t xml:space="preserve"> to small</w:t>
      </w:r>
      <w:r w:rsidR="004D6546">
        <w:t>er</w:t>
      </w:r>
      <w:r w:rsidR="00784C23" w:rsidRPr="001333AE">
        <w:t xml:space="preserve"> firms.</w:t>
      </w:r>
      <w:r w:rsidR="004115EA" w:rsidRPr="001333AE">
        <w:t xml:space="preserve"> </w:t>
      </w:r>
      <w:r w:rsidR="0052144F" w:rsidRPr="005E1551">
        <w:t>Third,</w:t>
      </w:r>
      <w:r w:rsidR="00252E0C" w:rsidRPr="005E1551">
        <w:t xml:space="preserve"> </w:t>
      </w:r>
      <w:r w:rsidR="00C60E7F" w:rsidRPr="005E1551">
        <w:t xml:space="preserve">because this study examines outcomes </w:t>
      </w:r>
      <w:r w:rsidR="004D6546">
        <w:t xml:space="preserve">only </w:t>
      </w:r>
      <w:r w:rsidR="00C60E7F" w:rsidRPr="005E1551">
        <w:t xml:space="preserve">in the UK, </w:t>
      </w:r>
      <w:r w:rsidR="00252E0C" w:rsidRPr="005E1551">
        <w:t>our</w:t>
      </w:r>
      <w:r w:rsidR="00C60E7F" w:rsidRPr="005E1551">
        <w:t xml:space="preserve"> </w:t>
      </w:r>
      <w:r w:rsidR="004D6546">
        <w:t xml:space="preserve">findings </w:t>
      </w:r>
      <w:r w:rsidR="00C60E7F" w:rsidRPr="00097F96">
        <w:t xml:space="preserve">might </w:t>
      </w:r>
      <w:r w:rsidR="004D6546">
        <w:t xml:space="preserve">apply only </w:t>
      </w:r>
      <w:r w:rsidR="00C60E7F" w:rsidRPr="00097F96">
        <w:t>to countries with similar legal and shareholder protection environments.</w:t>
      </w:r>
      <w:r w:rsidR="00252E0C" w:rsidRPr="001333AE">
        <w:t xml:space="preserve"> </w:t>
      </w:r>
      <w:r w:rsidRPr="001333AE">
        <w:t>Fin</w:t>
      </w:r>
      <w:r w:rsidRPr="00416C4A">
        <w:t xml:space="preserve">ally, </w:t>
      </w:r>
      <w:r w:rsidR="004D6546">
        <w:t xml:space="preserve">because </w:t>
      </w:r>
      <w:r w:rsidRPr="00416C4A">
        <w:t>we do not include firm fixed effects in our models (because of the low number of observations per firm), we recogni</w:t>
      </w:r>
      <w:r w:rsidR="00B06DF8">
        <w:t>z</w:t>
      </w:r>
      <w:r w:rsidRPr="00416C4A">
        <w:t xml:space="preserve">e that </w:t>
      </w:r>
      <w:r w:rsidR="006571EF" w:rsidRPr="00416C4A">
        <w:t>some</w:t>
      </w:r>
      <w:r w:rsidRPr="00416C4A">
        <w:t xml:space="preserve"> relevant variables may be omitted from our models.</w:t>
      </w:r>
    </w:p>
    <w:p w14:paraId="4C913569" w14:textId="387A2F65" w:rsidR="00045FEE" w:rsidRPr="00416C4A" w:rsidRDefault="00045FEE" w:rsidP="00045FEE">
      <w:pPr>
        <w:spacing w:line="480" w:lineRule="auto"/>
        <w:ind w:firstLine="709"/>
        <w:jc w:val="both"/>
      </w:pPr>
    </w:p>
    <w:p w14:paraId="42791347" w14:textId="77777777" w:rsidR="00045FEE" w:rsidRPr="00416C4A" w:rsidRDefault="00D96DFB">
      <w:r w:rsidRPr="00416C4A">
        <w:br w:type="page"/>
      </w:r>
    </w:p>
    <w:p w14:paraId="7C2F2A64" w14:textId="39E55F9D" w:rsidR="00045FEE" w:rsidRPr="00416C4A" w:rsidRDefault="00D96DFB" w:rsidP="00045FEE">
      <w:pPr>
        <w:pStyle w:val="Heading1"/>
        <w:spacing w:line="480" w:lineRule="auto"/>
        <w:ind w:firstLine="709"/>
        <w:rPr>
          <w:rFonts w:ascii="Times New Roman" w:eastAsia="Times New Roman" w:hAnsi="Times New Roman" w:cs="Times New Roman"/>
          <w:b/>
          <w:bCs/>
          <w:i/>
          <w:iCs/>
          <w:color w:val="auto"/>
          <w:sz w:val="24"/>
          <w:szCs w:val="24"/>
        </w:rPr>
      </w:pPr>
      <w:bookmarkStart w:id="17" w:name="_Toc48157848"/>
      <w:bookmarkStart w:id="18" w:name="_Toc49414751"/>
      <w:r w:rsidRPr="00416C4A">
        <w:rPr>
          <w:rFonts w:ascii="Times New Roman" w:eastAsia="Times New Roman" w:hAnsi="Times New Roman" w:cs="Times New Roman"/>
          <w:b/>
          <w:bCs/>
          <w:i/>
          <w:iCs/>
          <w:color w:val="auto"/>
          <w:sz w:val="24"/>
          <w:szCs w:val="24"/>
        </w:rPr>
        <w:lastRenderedPageBreak/>
        <w:t>References</w:t>
      </w:r>
      <w:bookmarkEnd w:id="17"/>
      <w:bookmarkEnd w:id="18"/>
    </w:p>
    <w:p w14:paraId="021BF798" w14:textId="139A7500" w:rsidR="00392642" w:rsidRPr="00416C4A" w:rsidRDefault="00D96DFB" w:rsidP="00392642">
      <w:pPr>
        <w:spacing w:line="480" w:lineRule="auto"/>
        <w:ind w:left="720" w:hanging="720"/>
        <w:jc w:val="both"/>
      </w:pPr>
      <w:r w:rsidRPr="00416C4A">
        <w:t>2020 Women on Board</w:t>
      </w:r>
      <w:r w:rsidR="0070136B" w:rsidRPr="00416C4A">
        <w:t>.</w:t>
      </w:r>
      <w:r w:rsidRPr="00416C4A">
        <w:t xml:space="preserve"> 2020</w:t>
      </w:r>
      <w:r w:rsidR="0070136B" w:rsidRPr="00416C4A">
        <w:t>.</w:t>
      </w:r>
      <w:r w:rsidRPr="00416C4A">
        <w:t xml:space="preserve"> Accelerating Women into Corporate Boardrooms. Available at: </w:t>
      </w:r>
      <w:hyperlink r:id="rId8" w:history="1">
        <w:r w:rsidRPr="00416C4A">
          <w:rPr>
            <w:rStyle w:val="Hyperlink"/>
            <w:color w:val="auto"/>
            <w:u w:val="none"/>
          </w:rPr>
          <w:t>https://2020wob.com/</w:t>
        </w:r>
      </w:hyperlink>
      <w:r w:rsidRPr="00416C4A">
        <w:t xml:space="preserve"> (Accessed: 13 February 2020).</w:t>
      </w:r>
    </w:p>
    <w:p w14:paraId="05F630D4" w14:textId="3546460A" w:rsidR="00392642" w:rsidRPr="00416C4A" w:rsidRDefault="00D96DFB" w:rsidP="00392642">
      <w:pPr>
        <w:spacing w:line="480" w:lineRule="auto"/>
        <w:ind w:left="720" w:hanging="720"/>
        <w:jc w:val="both"/>
      </w:pPr>
      <w:r w:rsidRPr="00416C4A">
        <w:t>Abdullah, S., Ismail, K. and Nachum, L. 2016</w:t>
      </w:r>
      <w:r w:rsidR="0070136B" w:rsidRPr="00416C4A">
        <w:t>.</w:t>
      </w:r>
      <w:r w:rsidRPr="00416C4A">
        <w:t xml:space="preserve"> Does having women on boards create value? The impact of societal perceptions and corporate governance in emerging markets</w:t>
      </w:r>
      <w:r w:rsidR="00A955B6" w:rsidRPr="00416C4A">
        <w:t>.</w:t>
      </w:r>
      <w:r w:rsidRPr="00416C4A">
        <w:t xml:space="preserve"> </w:t>
      </w:r>
      <w:r w:rsidRPr="00416C4A">
        <w:rPr>
          <w:i/>
          <w:iCs/>
        </w:rPr>
        <w:t>Strategic Management Journal</w:t>
      </w:r>
      <w:r w:rsidRPr="00416C4A">
        <w:t>, 37(3), 466-476.</w:t>
      </w:r>
    </w:p>
    <w:p w14:paraId="50BBE7BE" w14:textId="1908B0C8" w:rsidR="00392642" w:rsidRPr="00416C4A" w:rsidRDefault="00D96DFB" w:rsidP="00392642">
      <w:pPr>
        <w:spacing w:line="480" w:lineRule="auto"/>
        <w:ind w:left="720" w:hanging="720"/>
        <w:jc w:val="both"/>
        <w:rPr>
          <w:rFonts w:ascii="Times" w:hAnsi="Times"/>
        </w:rPr>
      </w:pPr>
      <w:r w:rsidRPr="00416C4A">
        <w:rPr>
          <w:rFonts w:ascii="Times" w:hAnsi="Times"/>
        </w:rPr>
        <w:t>Adams, R. 2016</w:t>
      </w:r>
      <w:r w:rsidR="0070136B" w:rsidRPr="00416C4A">
        <w:rPr>
          <w:rFonts w:ascii="Times" w:hAnsi="Times"/>
        </w:rPr>
        <w:t>.</w:t>
      </w:r>
      <w:r w:rsidRPr="00416C4A">
        <w:rPr>
          <w:rFonts w:ascii="Times" w:hAnsi="Times"/>
        </w:rPr>
        <w:t xml:space="preserve"> Women on boards: The superheroes of tomorrow? </w:t>
      </w:r>
      <w:r w:rsidRPr="00416C4A">
        <w:rPr>
          <w:rFonts w:ascii="Times" w:hAnsi="Times"/>
          <w:i/>
          <w:iCs/>
        </w:rPr>
        <w:t>The Leadership Quarterly</w:t>
      </w:r>
      <w:r w:rsidRPr="00416C4A">
        <w:rPr>
          <w:rFonts w:ascii="Times" w:hAnsi="Times"/>
        </w:rPr>
        <w:t>, 27(3), 371-386.</w:t>
      </w:r>
    </w:p>
    <w:p w14:paraId="1E011A82" w14:textId="77777777" w:rsidR="00FF3D67" w:rsidRPr="00416C4A" w:rsidRDefault="00D96DFB" w:rsidP="00FF3D67">
      <w:pPr>
        <w:spacing w:line="480" w:lineRule="auto"/>
        <w:ind w:left="720" w:hanging="720"/>
        <w:jc w:val="both"/>
        <w:rPr>
          <w:rFonts w:ascii="Times" w:hAnsi="Times"/>
        </w:rPr>
      </w:pPr>
      <w:r w:rsidRPr="00416C4A">
        <w:rPr>
          <w:rFonts w:ascii="Times" w:hAnsi="Times"/>
        </w:rPr>
        <w:t>Adams, R., and D. Ferreira. 2009. Women in the boardroom and their impact on governance and performance. </w:t>
      </w:r>
      <w:r w:rsidRPr="00416C4A">
        <w:rPr>
          <w:rFonts w:ascii="Times" w:hAnsi="Times"/>
          <w:i/>
          <w:iCs/>
        </w:rPr>
        <w:t>Journal of Financial Economics</w:t>
      </w:r>
      <w:r w:rsidRPr="00416C4A">
        <w:rPr>
          <w:rFonts w:ascii="Times" w:hAnsi="Times"/>
        </w:rPr>
        <w:t>, 94(2), 291-309.</w:t>
      </w:r>
    </w:p>
    <w:p w14:paraId="53B653BB" w14:textId="113F5F73" w:rsidR="00392642" w:rsidRPr="00416C4A" w:rsidRDefault="00D96DFB" w:rsidP="00392642">
      <w:pPr>
        <w:spacing w:line="480" w:lineRule="auto"/>
        <w:ind w:left="720" w:hanging="720"/>
        <w:jc w:val="both"/>
        <w:rPr>
          <w:rFonts w:ascii="Times" w:hAnsi="Times"/>
        </w:rPr>
      </w:pPr>
      <w:r w:rsidRPr="00416C4A">
        <w:rPr>
          <w:rFonts w:ascii="Times" w:hAnsi="Times"/>
        </w:rPr>
        <w:t xml:space="preserve">Adams, R., and </w:t>
      </w:r>
      <w:r w:rsidR="00F5336F" w:rsidRPr="00416C4A">
        <w:rPr>
          <w:rFonts w:ascii="Times" w:hAnsi="Times"/>
        </w:rPr>
        <w:t xml:space="preserve">P. </w:t>
      </w:r>
      <w:r w:rsidRPr="00416C4A">
        <w:rPr>
          <w:rFonts w:ascii="Times" w:hAnsi="Times"/>
        </w:rPr>
        <w:t>Funk. 2012</w:t>
      </w:r>
      <w:r w:rsidR="0070136B" w:rsidRPr="00416C4A">
        <w:rPr>
          <w:rFonts w:ascii="Times" w:hAnsi="Times"/>
        </w:rPr>
        <w:t>.</w:t>
      </w:r>
      <w:r w:rsidRPr="00416C4A">
        <w:rPr>
          <w:rFonts w:ascii="Times" w:hAnsi="Times"/>
        </w:rPr>
        <w:t xml:space="preserve"> Beyond the glass ceiling: Does gender matter? </w:t>
      </w:r>
      <w:r w:rsidRPr="00416C4A">
        <w:rPr>
          <w:rFonts w:ascii="Times" w:hAnsi="Times"/>
          <w:i/>
          <w:iCs/>
        </w:rPr>
        <w:t>Management Science</w:t>
      </w:r>
      <w:r w:rsidRPr="00416C4A">
        <w:rPr>
          <w:rFonts w:ascii="Times" w:hAnsi="Times"/>
        </w:rPr>
        <w:t>, 58(2), 219–235.</w:t>
      </w:r>
    </w:p>
    <w:p w14:paraId="4F012F47" w14:textId="28A8B300" w:rsidR="00392642" w:rsidRPr="00416C4A" w:rsidRDefault="00D96DFB" w:rsidP="00392642">
      <w:pPr>
        <w:spacing w:line="480" w:lineRule="auto"/>
        <w:ind w:left="720" w:hanging="720"/>
        <w:jc w:val="both"/>
        <w:rPr>
          <w:rFonts w:ascii="Times" w:hAnsi="Times"/>
        </w:rPr>
      </w:pPr>
      <w:r w:rsidRPr="00416C4A">
        <w:rPr>
          <w:rFonts w:ascii="Times" w:hAnsi="Times"/>
        </w:rPr>
        <w:t xml:space="preserve">Bertrand, M., Black, S., Jensen, S. and </w:t>
      </w:r>
      <w:proofErr w:type="spellStart"/>
      <w:r w:rsidRPr="00416C4A">
        <w:rPr>
          <w:rFonts w:ascii="Times" w:hAnsi="Times"/>
        </w:rPr>
        <w:t>Lleras-Muney</w:t>
      </w:r>
      <w:proofErr w:type="spellEnd"/>
      <w:r w:rsidRPr="00416C4A">
        <w:rPr>
          <w:rFonts w:ascii="Times" w:hAnsi="Times"/>
        </w:rPr>
        <w:t>, A. 201</w:t>
      </w:r>
      <w:r w:rsidR="003B2627" w:rsidRPr="00416C4A">
        <w:rPr>
          <w:rFonts w:ascii="Times" w:hAnsi="Times"/>
        </w:rPr>
        <w:t>9</w:t>
      </w:r>
      <w:r w:rsidR="0070136B" w:rsidRPr="00416C4A">
        <w:rPr>
          <w:rFonts w:ascii="Times" w:hAnsi="Times"/>
        </w:rPr>
        <w:t>.</w:t>
      </w:r>
      <w:r w:rsidRPr="00416C4A">
        <w:rPr>
          <w:rFonts w:ascii="Times" w:hAnsi="Times"/>
        </w:rPr>
        <w:t xml:space="preserve"> Breaking the </w:t>
      </w:r>
      <w:r w:rsidR="001532EA" w:rsidRPr="00416C4A">
        <w:rPr>
          <w:rFonts w:ascii="Times" w:hAnsi="Times"/>
        </w:rPr>
        <w:t>g</w:t>
      </w:r>
      <w:r w:rsidRPr="00416C4A">
        <w:rPr>
          <w:rFonts w:ascii="Times" w:hAnsi="Times"/>
        </w:rPr>
        <w:t xml:space="preserve">lass </w:t>
      </w:r>
      <w:r w:rsidR="001532EA" w:rsidRPr="00416C4A">
        <w:rPr>
          <w:rFonts w:ascii="Times" w:hAnsi="Times"/>
        </w:rPr>
        <w:t>c</w:t>
      </w:r>
      <w:r w:rsidRPr="00416C4A">
        <w:rPr>
          <w:rFonts w:ascii="Times" w:hAnsi="Times"/>
        </w:rPr>
        <w:t xml:space="preserve">eiling? The </w:t>
      </w:r>
      <w:r w:rsidR="001532EA" w:rsidRPr="00416C4A">
        <w:rPr>
          <w:rFonts w:ascii="Times" w:hAnsi="Times"/>
        </w:rPr>
        <w:t>e</w:t>
      </w:r>
      <w:r w:rsidRPr="00416C4A">
        <w:rPr>
          <w:rFonts w:ascii="Times" w:hAnsi="Times"/>
        </w:rPr>
        <w:t xml:space="preserve">ffect of </w:t>
      </w:r>
      <w:r w:rsidR="001532EA" w:rsidRPr="00416C4A">
        <w:rPr>
          <w:rFonts w:ascii="Times" w:hAnsi="Times"/>
        </w:rPr>
        <w:t>b</w:t>
      </w:r>
      <w:r w:rsidRPr="00416C4A">
        <w:rPr>
          <w:rFonts w:ascii="Times" w:hAnsi="Times"/>
        </w:rPr>
        <w:t xml:space="preserve">oard </w:t>
      </w:r>
      <w:r w:rsidR="001532EA" w:rsidRPr="00416C4A">
        <w:rPr>
          <w:rFonts w:ascii="Times" w:hAnsi="Times"/>
        </w:rPr>
        <w:t>q</w:t>
      </w:r>
      <w:r w:rsidRPr="00416C4A">
        <w:rPr>
          <w:rFonts w:ascii="Times" w:hAnsi="Times"/>
        </w:rPr>
        <w:t xml:space="preserve">uotas on </w:t>
      </w:r>
      <w:r w:rsidR="001532EA" w:rsidRPr="00416C4A">
        <w:rPr>
          <w:rFonts w:ascii="Times" w:hAnsi="Times"/>
        </w:rPr>
        <w:t>f</w:t>
      </w:r>
      <w:r w:rsidRPr="00416C4A">
        <w:rPr>
          <w:rFonts w:ascii="Times" w:hAnsi="Times"/>
        </w:rPr>
        <w:t xml:space="preserve">emale </w:t>
      </w:r>
      <w:r w:rsidR="001532EA" w:rsidRPr="00416C4A">
        <w:rPr>
          <w:rFonts w:ascii="Times" w:hAnsi="Times"/>
        </w:rPr>
        <w:t>l</w:t>
      </w:r>
      <w:r w:rsidRPr="00416C4A">
        <w:rPr>
          <w:rFonts w:ascii="Times" w:hAnsi="Times"/>
        </w:rPr>
        <w:t xml:space="preserve">abour </w:t>
      </w:r>
      <w:r w:rsidR="001532EA" w:rsidRPr="00416C4A">
        <w:rPr>
          <w:rFonts w:ascii="Times" w:hAnsi="Times"/>
        </w:rPr>
        <w:t>m</w:t>
      </w:r>
      <w:r w:rsidRPr="00416C4A">
        <w:rPr>
          <w:rFonts w:ascii="Times" w:hAnsi="Times"/>
        </w:rPr>
        <w:t xml:space="preserve">arket </w:t>
      </w:r>
      <w:r w:rsidR="001532EA" w:rsidRPr="00416C4A">
        <w:rPr>
          <w:rFonts w:ascii="Times" w:hAnsi="Times"/>
        </w:rPr>
        <w:t>o</w:t>
      </w:r>
      <w:r w:rsidRPr="00416C4A">
        <w:rPr>
          <w:rFonts w:ascii="Times" w:hAnsi="Times"/>
        </w:rPr>
        <w:t>utcomes in Norway</w:t>
      </w:r>
      <w:r w:rsidR="00C372C3" w:rsidRPr="00416C4A">
        <w:rPr>
          <w:rFonts w:ascii="Times" w:hAnsi="Times"/>
        </w:rPr>
        <w:t>.</w:t>
      </w:r>
      <w:r w:rsidRPr="00416C4A">
        <w:rPr>
          <w:rFonts w:ascii="Times" w:hAnsi="Times"/>
        </w:rPr>
        <w:t> </w:t>
      </w:r>
      <w:r w:rsidRPr="00416C4A">
        <w:rPr>
          <w:rFonts w:ascii="Times" w:hAnsi="Times"/>
          <w:i/>
          <w:iCs/>
        </w:rPr>
        <w:t>The Review of Economic Studies</w:t>
      </w:r>
      <w:r w:rsidRPr="00416C4A">
        <w:rPr>
          <w:rFonts w:ascii="Times" w:hAnsi="Times"/>
        </w:rPr>
        <w:t>, 86, 191–239.</w:t>
      </w:r>
    </w:p>
    <w:p w14:paraId="7B7FA263" w14:textId="43E390D5" w:rsidR="00392642" w:rsidRPr="00416C4A" w:rsidRDefault="00D96DFB" w:rsidP="00392642">
      <w:pPr>
        <w:spacing w:line="480" w:lineRule="auto"/>
        <w:ind w:left="720" w:hanging="720"/>
        <w:jc w:val="both"/>
        <w:rPr>
          <w:rFonts w:ascii="Times" w:hAnsi="Times"/>
        </w:rPr>
      </w:pPr>
      <w:proofErr w:type="spellStart"/>
      <w:r w:rsidRPr="00416C4A">
        <w:rPr>
          <w:rFonts w:ascii="Times" w:hAnsi="Times"/>
        </w:rPr>
        <w:t>Bohren</w:t>
      </w:r>
      <w:proofErr w:type="spellEnd"/>
      <w:r w:rsidRPr="00416C4A">
        <w:rPr>
          <w:rFonts w:ascii="Times" w:hAnsi="Times"/>
        </w:rPr>
        <w:t>, O.</w:t>
      </w:r>
      <w:r w:rsidR="00A37048" w:rsidRPr="00416C4A">
        <w:rPr>
          <w:rFonts w:ascii="Times" w:hAnsi="Times"/>
        </w:rPr>
        <w:t>,</w:t>
      </w:r>
      <w:r w:rsidRPr="00416C4A">
        <w:rPr>
          <w:rFonts w:ascii="Times" w:hAnsi="Times"/>
        </w:rPr>
        <w:t xml:space="preserve"> and </w:t>
      </w:r>
      <w:r w:rsidR="00F5336F" w:rsidRPr="00416C4A">
        <w:rPr>
          <w:rFonts w:ascii="Times" w:hAnsi="Times"/>
        </w:rPr>
        <w:t xml:space="preserve">S. </w:t>
      </w:r>
      <w:proofErr w:type="spellStart"/>
      <w:r w:rsidRPr="00416C4A">
        <w:rPr>
          <w:rFonts w:ascii="Times" w:hAnsi="Times"/>
        </w:rPr>
        <w:t>Staubo</w:t>
      </w:r>
      <w:proofErr w:type="spellEnd"/>
      <w:r w:rsidRPr="00416C4A">
        <w:rPr>
          <w:rFonts w:ascii="Times" w:hAnsi="Times"/>
        </w:rPr>
        <w:t>. 2014</w:t>
      </w:r>
      <w:r w:rsidR="0070136B" w:rsidRPr="00416C4A">
        <w:rPr>
          <w:rFonts w:ascii="Times" w:hAnsi="Times"/>
        </w:rPr>
        <w:t>.</w:t>
      </w:r>
      <w:r w:rsidRPr="00416C4A">
        <w:rPr>
          <w:rFonts w:ascii="Times" w:hAnsi="Times"/>
        </w:rPr>
        <w:t xml:space="preserve"> Does mandatory gender balance work? Changing organizational form to avoid board upheaval</w:t>
      </w:r>
      <w:r w:rsidR="00C372C3" w:rsidRPr="00416C4A">
        <w:rPr>
          <w:rFonts w:ascii="Times" w:hAnsi="Times"/>
        </w:rPr>
        <w:t>.</w:t>
      </w:r>
      <w:r w:rsidRPr="00416C4A">
        <w:rPr>
          <w:rFonts w:ascii="Times" w:hAnsi="Times"/>
        </w:rPr>
        <w:t> </w:t>
      </w:r>
      <w:r w:rsidRPr="00416C4A">
        <w:rPr>
          <w:rFonts w:ascii="Times" w:hAnsi="Times"/>
          <w:i/>
          <w:iCs/>
        </w:rPr>
        <w:t>Journal of Corporate Finance</w:t>
      </w:r>
      <w:r w:rsidRPr="00416C4A">
        <w:rPr>
          <w:rFonts w:ascii="Times" w:hAnsi="Times"/>
        </w:rPr>
        <w:t>, 28, 152-168.</w:t>
      </w:r>
    </w:p>
    <w:p w14:paraId="6A85A9DF" w14:textId="44E31D4A" w:rsidR="00392642" w:rsidRPr="00416C4A" w:rsidRDefault="00D96DFB" w:rsidP="00392642">
      <w:pPr>
        <w:spacing w:line="480" w:lineRule="auto"/>
        <w:ind w:left="720" w:hanging="720"/>
        <w:jc w:val="both"/>
        <w:rPr>
          <w:rFonts w:ascii="Times" w:hAnsi="Times"/>
        </w:rPr>
      </w:pPr>
      <w:r w:rsidRPr="00416C4A">
        <w:rPr>
          <w:rFonts w:ascii="Times" w:hAnsi="Times"/>
        </w:rPr>
        <w:t>Burke, R. 2019</w:t>
      </w:r>
      <w:r w:rsidR="00C372C3" w:rsidRPr="00416C4A">
        <w:rPr>
          <w:rFonts w:ascii="Times" w:hAnsi="Times"/>
        </w:rPr>
        <w:t>.</w:t>
      </w:r>
      <w:r w:rsidRPr="00416C4A">
        <w:rPr>
          <w:rFonts w:ascii="Times" w:hAnsi="Times"/>
        </w:rPr>
        <w:t xml:space="preserve"> Women in management and on corporate boards of directors: accelerating progress</w:t>
      </w:r>
      <w:r w:rsidR="00C372C3" w:rsidRPr="00416C4A">
        <w:rPr>
          <w:rFonts w:ascii="Times" w:hAnsi="Times"/>
        </w:rPr>
        <w:t>.</w:t>
      </w:r>
      <w:r w:rsidRPr="00416C4A">
        <w:rPr>
          <w:rFonts w:ascii="Times" w:hAnsi="Times"/>
        </w:rPr>
        <w:t xml:space="preserve"> </w:t>
      </w:r>
      <w:r w:rsidRPr="00416C4A">
        <w:rPr>
          <w:rFonts w:ascii="Times" w:hAnsi="Times"/>
          <w:i/>
          <w:iCs/>
        </w:rPr>
        <w:t>Women, Business and Leadership</w:t>
      </w:r>
      <w:r w:rsidRPr="00416C4A">
        <w:rPr>
          <w:rFonts w:ascii="Times" w:hAnsi="Times"/>
        </w:rPr>
        <w:t>, 19-40.</w:t>
      </w:r>
    </w:p>
    <w:p w14:paraId="43D8BEB1" w14:textId="520FD177" w:rsidR="00392642" w:rsidRPr="00416C4A" w:rsidRDefault="00D96DFB" w:rsidP="00392642">
      <w:pPr>
        <w:spacing w:line="480" w:lineRule="auto"/>
        <w:ind w:left="720" w:hanging="720"/>
        <w:jc w:val="both"/>
      </w:pPr>
      <w:r w:rsidRPr="00416C4A">
        <w:t>Campbell, K.</w:t>
      </w:r>
      <w:r w:rsidR="00A37048" w:rsidRPr="00416C4A">
        <w:t>,</w:t>
      </w:r>
      <w:r w:rsidRPr="00416C4A">
        <w:t xml:space="preserve"> and </w:t>
      </w:r>
      <w:r w:rsidR="00F5336F" w:rsidRPr="00416C4A">
        <w:t xml:space="preserve">A. </w:t>
      </w:r>
      <w:proofErr w:type="spellStart"/>
      <w:r w:rsidRPr="00416C4A">
        <w:t>Mínguez</w:t>
      </w:r>
      <w:proofErr w:type="spellEnd"/>
      <w:r w:rsidRPr="00416C4A">
        <w:t>-Vera. 2008</w:t>
      </w:r>
      <w:r w:rsidR="0070136B" w:rsidRPr="00416C4A">
        <w:t>.</w:t>
      </w:r>
      <w:r w:rsidRPr="00416C4A">
        <w:t xml:space="preserve"> Gender diversity in the boardroom and firm financial performance</w:t>
      </w:r>
      <w:r w:rsidR="00C372C3" w:rsidRPr="00416C4A">
        <w:t>.</w:t>
      </w:r>
      <w:r w:rsidRPr="00416C4A">
        <w:t xml:space="preserve"> </w:t>
      </w:r>
      <w:r w:rsidRPr="00416C4A">
        <w:rPr>
          <w:i/>
          <w:iCs/>
        </w:rPr>
        <w:t>Journal of Business Ethics</w:t>
      </w:r>
      <w:r w:rsidRPr="00416C4A">
        <w:t>, 83(3), 435-451.</w:t>
      </w:r>
    </w:p>
    <w:p w14:paraId="5AC01402" w14:textId="27C99780" w:rsidR="00392642" w:rsidRPr="00416C4A" w:rsidRDefault="00D96DFB" w:rsidP="00392642">
      <w:pPr>
        <w:spacing w:line="480" w:lineRule="auto"/>
        <w:ind w:left="720" w:hanging="720"/>
        <w:jc w:val="both"/>
        <w:rPr>
          <w:rFonts w:ascii="Times" w:hAnsi="Times"/>
        </w:rPr>
      </w:pPr>
      <w:r w:rsidRPr="00416C4A">
        <w:rPr>
          <w:rFonts w:ascii="Times" w:hAnsi="Times"/>
        </w:rPr>
        <w:t>Caspar, R. 2007</w:t>
      </w:r>
      <w:r w:rsidR="0070136B" w:rsidRPr="00416C4A">
        <w:rPr>
          <w:rFonts w:ascii="Times" w:hAnsi="Times"/>
        </w:rPr>
        <w:t>.</w:t>
      </w:r>
      <w:r w:rsidRPr="00416C4A">
        <w:rPr>
          <w:rFonts w:ascii="Times" w:hAnsi="Times"/>
        </w:rPr>
        <w:t xml:space="preserve"> Does </w:t>
      </w:r>
      <w:r w:rsidR="00BD1DEF" w:rsidRPr="00416C4A">
        <w:rPr>
          <w:rFonts w:ascii="Times" w:hAnsi="Times"/>
        </w:rPr>
        <w:t>f</w:t>
      </w:r>
      <w:r w:rsidRPr="00416C4A">
        <w:rPr>
          <w:rFonts w:ascii="Times" w:hAnsi="Times"/>
        </w:rPr>
        <w:t xml:space="preserve">emale </w:t>
      </w:r>
      <w:r w:rsidR="00BD1DEF" w:rsidRPr="00416C4A">
        <w:rPr>
          <w:rFonts w:ascii="Times" w:hAnsi="Times"/>
        </w:rPr>
        <w:t>b</w:t>
      </w:r>
      <w:r w:rsidRPr="00416C4A">
        <w:rPr>
          <w:rFonts w:ascii="Times" w:hAnsi="Times"/>
        </w:rPr>
        <w:t xml:space="preserve">oard </w:t>
      </w:r>
      <w:r w:rsidR="00BD1DEF" w:rsidRPr="00416C4A">
        <w:rPr>
          <w:rFonts w:ascii="Times" w:hAnsi="Times"/>
        </w:rPr>
        <w:t>r</w:t>
      </w:r>
      <w:r w:rsidRPr="00416C4A">
        <w:rPr>
          <w:rFonts w:ascii="Times" w:hAnsi="Times"/>
        </w:rPr>
        <w:t xml:space="preserve">epresentation </w:t>
      </w:r>
      <w:r w:rsidR="00BD1DEF" w:rsidRPr="00416C4A">
        <w:rPr>
          <w:rFonts w:ascii="Times" w:hAnsi="Times"/>
        </w:rPr>
        <w:t>i</w:t>
      </w:r>
      <w:r w:rsidRPr="00416C4A">
        <w:rPr>
          <w:rFonts w:ascii="Times" w:hAnsi="Times"/>
        </w:rPr>
        <w:t xml:space="preserve">nfluence </w:t>
      </w:r>
      <w:r w:rsidR="00BD1DEF" w:rsidRPr="00416C4A">
        <w:rPr>
          <w:rFonts w:ascii="Times" w:hAnsi="Times"/>
        </w:rPr>
        <w:t>f</w:t>
      </w:r>
      <w:r w:rsidRPr="00416C4A">
        <w:rPr>
          <w:rFonts w:ascii="Times" w:hAnsi="Times"/>
        </w:rPr>
        <w:t xml:space="preserve">irm </w:t>
      </w:r>
      <w:r w:rsidR="00BD1DEF" w:rsidRPr="00416C4A">
        <w:rPr>
          <w:rFonts w:ascii="Times" w:hAnsi="Times"/>
        </w:rPr>
        <w:t>p</w:t>
      </w:r>
      <w:r w:rsidRPr="00416C4A">
        <w:rPr>
          <w:rFonts w:ascii="Times" w:hAnsi="Times"/>
        </w:rPr>
        <w:t xml:space="preserve">erformance? The Danish </w:t>
      </w:r>
      <w:r w:rsidR="00BD1DEF" w:rsidRPr="00416C4A">
        <w:rPr>
          <w:rFonts w:ascii="Times" w:hAnsi="Times"/>
        </w:rPr>
        <w:t>e</w:t>
      </w:r>
      <w:r w:rsidRPr="00416C4A">
        <w:rPr>
          <w:rFonts w:ascii="Times" w:hAnsi="Times"/>
        </w:rPr>
        <w:t>vidence</w:t>
      </w:r>
      <w:r w:rsidR="00C372C3" w:rsidRPr="00416C4A">
        <w:rPr>
          <w:rFonts w:ascii="Times" w:hAnsi="Times"/>
        </w:rPr>
        <w:t>.</w:t>
      </w:r>
      <w:r w:rsidRPr="00416C4A">
        <w:rPr>
          <w:rFonts w:ascii="Times" w:hAnsi="Times"/>
        </w:rPr>
        <w:t xml:space="preserve"> </w:t>
      </w:r>
      <w:r w:rsidRPr="00416C4A">
        <w:rPr>
          <w:rFonts w:ascii="Times" w:hAnsi="Times"/>
          <w:i/>
          <w:iCs/>
        </w:rPr>
        <w:t>Corporate Governance: An International Review</w:t>
      </w:r>
      <w:r w:rsidRPr="00416C4A">
        <w:rPr>
          <w:rFonts w:ascii="Times" w:hAnsi="Times"/>
        </w:rPr>
        <w:t>, 15(2), 404-413.</w:t>
      </w:r>
    </w:p>
    <w:p w14:paraId="15CC840B" w14:textId="259AA664" w:rsidR="00392642" w:rsidRPr="00416C4A" w:rsidRDefault="00D96DFB" w:rsidP="00392642">
      <w:pPr>
        <w:spacing w:line="480" w:lineRule="auto"/>
        <w:ind w:left="720" w:hanging="720"/>
        <w:jc w:val="both"/>
        <w:rPr>
          <w:rFonts w:ascii="Times" w:hAnsi="Times"/>
        </w:rPr>
      </w:pPr>
      <w:r w:rsidRPr="00416C4A">
        <w:rPr>
          <w:rFonts w:ascii="Times" w:hAnsi="Times"/>
        </w:rPr>
        <w:lastRenderedPageBreak/>
        <w:t>Davies, L. 2011</w:t>
      </w:r>
      <w:r w:rsidR="009C5DDF" w:rsidRPr="00416C4A">
        <w:rPr>
          <w:rFonts w:ascii="Times" w:hAnsi="Times"/>
        </w:rPr>
        <w:t>.</w:t>
      </w:r>
      <w:r w:rsidRPr="00416C4A">
        <w:rPr>
          <w:rFonts w:ascii="Times" w:hAnsi="Times"/>
        </w:rPr>
        <w:t xml:space="preserve"> Women on boards. Available at: </w:t>
      </w:r>
      <w:hyperlink r:id="rId9" w:history="1">
        <w:r w:rsidRPr="00416C4A">
          <w:rPr>
            <w:rStyle w:val="Hyperlink"/>
            <w:rFonts w:ascii="Times" w:hAnsi="Times"/>
            <w:color w:val="auto"/>
            <w:u w:val="none"/>
          </w:rPr>
          <w:t>https://assets.publishing.service.gov.uk/government/uploads/system/uploads/attachment_data/file/31480/11-745-women-on-boards.pdf</w:t>
        </w:r>
      </w:hyperlink>
      <w:r w:rsidRPr="00416C4A">
        <w:rPr>
          <w:rFonts w:ascii="Times" w:hAnsi="Times"/>
        </w:rPr>
        <w:t xml:space="preserve"> (Accessed: 2 February 2020). </w:t>
      </w:r>
    </w:p>
    <w:p w14:paraId="61F26260" w14:textId="6C435ACE" w:rsidR="00392642" w:rsidRPr="00416C4A" w:rsidRDefault="00D96DFB" w:rsidP="00392642">
      <w:pPr>
        <w:spacing w:line="480" w:lineRule="auto"/>
        <w:ind w:left="709" w:hanging="709"/>
        <w:jc w:val="both"/>
        <w:rPr>
          <w:rFonts w:ascii="Times" w:hAnsi="Times"/>
        </w:rPr>
      </w:pPr>
      <w:r w:rsidRPr="00416C4A">
        <w:rPr>
          <w:rFonts w:ascii="Times" w:hAnsi="Times"/>
        </w:rPr>
        <w:t>Davies, L. 2015</w:t>
      </w:r>
      <w:r w:rsidR="009C5DDF" w:rsidRPr="00416C4A">
        <w:rPr>
          <w:rFonts w:ascii="Times" w:hAnsi="Times"/>
        </w:rPr>
        <w:t>.</w:t>
      </w:r>
      <w:r w:rsidRPr="00416C4A">
        <w:rPr>
          <w:rFonts w:ascii="Times" w:hAnsi="Times"/>
        </w:rPr>
        <w:t xml:space="preserve"> Improving the </w:t>
      </w:r>
      <w:r w:rsidR="00195F97" w:rsidRPr="00416C4A">
        <w:rPr>
          <w:rFonts w:ascii="Times" w:hAnsi="Times"/>
        </w:rPr>
        <w:t>g</w:t>
      </w:r>
      <w:r w:rsidRPr="00416C4A">
        <w:rPr>
          <w:rFonts w:ascii="Times" w:hAnsi="Times"/>
        </w:rPr>
        <w:t xml:space="preserve">ender </w:t>
      </w:r>
      <w:r w:rsidR="00195F97" w:rsidRPr="00416C4A">
        <w:rPr>
          <w:rFonts w:ascii="Times" w:hAnsi="Times"/>
        </w:rPr>
        <w:t>b</w:t>
      </w:r>
      <w:r w:rsidRPr="00416C4A">
        <w:rPr>
          <w:rFonts w:ascii="Times" w:hAnsi="Times"/>
        </w:rPr>
        <w:t xml:space="preserve">alance on British </w:t>
      </w:r>
      <w:r w:rsidR="00195F97" w:rsidRPr="00416C4A">
        <w:rPr>
          <w:rFonts w:ascii="Times" w:hAnsi="Times"/>
        </w:rPr>
        <w:t>b</w:t>
      </w:r>
      <w:r w:rsidRPr="00416C4A">
        <w:rPr>
          <w:rFonts w:ascii="Times" w:hAnsi="Times"/>
        </w:rPr>
        <w:t xml:space="preserve">oards. Available at:  </w:t>
      </w:r>
      <w:hyperlink r:id="rId10" w:history="1">
        <w:r w:rsidRPr="00416C4A">
          <w:rPr>
            <w:rStyle w:val="Hyperlink"/>
            <w:color w:val="auto"/>
            <w:u w:val="none"/>
          </w:rPr>
          <w:t>https://assets.publishing.service.gov.uk/government/uploads/system/uploads/attachment_data/file/482059/BIS-15-585-women-on-boards-davies-review-5-year-summary-october-2015.pdf</w:t>
        </w:r>
      </w:hyperlink>
      <w:r w:rsidRPr="00416C4A">
        <w:t xml:space="preserve"> </w:t>
      </w:r>
      <w:r w:rsidRPr="00416C4A">
        <w:rPr>
          <w:rFonts w:ascii="Times" w:hAnsi="Times"/>
        </w:rPr>
        <w:t>(Accessed: 27 July 2020)</w:t>
      </w:r>
    </w:p>
    <w:p w14:paraId="585E7893" w14:textId="3A3496D4" w:rsidR="00E3365A" w:rsidRPr="00416C4A" w:rsidRDefault="00D96DFB" w:rsidP="00E3365A">
      <w:pPr>
        <w:spacing w:line="480" w:lineRule="auto"/>
        <w:ind w:left="720" w:hanging="720"/>
        <w:jc w:val="both"/>
        <w:rPr>
          <w:rFonts w:ascii="Times" w:hAnsi="Times"/>
        </w:rPr>
      </w:pPr>
      <w:r w:rsidRPr="00416C4A">
        <w:rPr>
          <w:rFonts w:ascii="Times" w:hAnsi="Times"/>
        </w:rPr>
        <w:t xml:space="preserve">Deloitte Global </w:t>
      </w:r>
      <w:proofErr w:type="spellStart"/>
      <w:r w:rsidRPr="00416C4A">
        <w:rPr>
          <w:rFonts w:ascii="Times" w:hAnsi="Times"/>
        </w:rPr>
        <w:t>Center</w:t>
      </w:r>
      <w:proofErr w:type="spellEnd"/>
      <w:r w:rsidRPr="00416C4A">
        <w:rPr>
          <w:rFonts w:ascii="Times" w:hAnsi="Times"/>
        </w:rPr>
        <w:t xml:space="preserve"> for Corporate Governance. 2019. Data-driven Change Women in the Boardroom: A Global Perspective. In Deloitte Global </w:t>
      </w:r>
      <w:proofErr w:type="spellStart"/>
      <w:r w:rsidRPr="00416C4A">
        <w:rPr>
          <w:rFonts w:ascii="Times" w:hAnsi="Times"/>
        </w:rPr>
        <w:t>Center</w:t>
      </w:r>
      <w:proofErr w:type="spellEnd"/>
      <w:r w:rsidRPr="00416C4A">
        <w:rPr>
          <w:rFonts w:ascii="Times" w:hAnsi="Times"/>
        </w:rPr>
        <w:t xml:space="preserve"> for Corporate Governance (Vol. 6th). https://www2.deloitte.com/global/en/pages/risk/articles/women-in-the-boardroom-global-perspective.html (Accessed: 8 July 2021)</w:t>
      </w:r>
    </w:p>
    <w:p w14:paraId="794A1D5F" w14:textId="580BBBD1" w:rsidR="00392642" w:rsidRPr="00416C4A" w:rsidRDefault="00D96DFB" w:rsidP="00392642">
      <w:pPr>
        <w:spacing w:line="480" w:lineRule="auto"/>
        <w:ind w:left="720" w:hanging="720"/>
        <w:jc w:val="both"/>
        <w:rPr>
          <w:rFonts w:ascii="Times" w:hAnsi="Times"/>
        </w:rPr>
      </w:pPr>
      <w:r w:rsidRPr="00416C4A">
        <w:rPr>
          <w:rFonts w:ascii="Times" w:hAnsi="Times"/>
        </w:rPr>
        <w:t>Ellwood, S.</w:t>
      </w:r>
      <w:r w:rsidR="00DD2E97" w:rsidRPr="00416C4A">
        <w:rPr>
          <w:rFonts w:ascii="Times" w:hAnsi="Times"/>
        </w:rPr>
        <w:t>,</w:t>
      </w:r>
      <w:r w:rsidRPr="00416C4A">
        <w:rPr>
          <w:rFonts w:ascii="Times" w:hAnsi="Times"/>
        </w:rPr>
        <w:t xml:space="preserve"> and </w:t>
      </w:r>
      <w:r w:rsidR="000E1A99" w:rsidRPr="00416C4A">
        <w:rPr>
          <w:rFonts w:ascii="Times" w:hAnsi="Times"/>
        </w:rPr>
        <w:t xml:space="preserve">J. </w:t>
      </w:r>
      <w:r w:rsidRPr="00416C4A">
        <w:rPr>
          <w:rFonts w:ascii="Times" w:hAnsi="Times"/>
        </w:rPr>
        <w:t>Garcia-</w:t>
      </w:r>
      <w:proofErr w:type="spellStart"/>
      <w:r w:rsidRPr="00416C4A">
        <w:rPr>
          <w:rFonts w:ascii="Times" w:hAnsi="Times"/>
        </w:rPr>
        <w:t>Lacalle</w:t>
      </w:r>
      <w:proofErr w:type="spellEnd"/>
      <w:r w:rsidRPr="00416C4A">
        <w:rPr>
          <w:rFonts w:ascii="Times" w:hAnsi="Times"/>
        </w:rPr>
        <w:t>. 2015</w:t>
      </w:r>
      <w:r w:rsidR="009C5DDF" w:rsidRPr="00416C4A">
        <w:rPr>
          <w:rFonts w:ascii="Times" w:hAnsi="Times"/>
        </w:rPr>
        <w:t>.</w:t>
      </w:r>
      <w:r w:rsidRPr="00416C4A">
        <w:rPr>
          <w:rFonts w:ascii="Times" w:hAnsi="Times"/>
        </w:rPr>
        <w:t xml:space="preserve"> The influence of presence and position of women on the boards of directors: The case of NHS foundation trusts</w:t>
      </w:r>
      <w:r w:rsidR="00C372C3" w:rsidRPr="00416C4A">
        <w:rPr>
          <w:rFonts w:ascii="Times" w:hAnsi="Times"/>
        </w:rPr>
        <w:t>.</w:t>
      </w:r>
      <w:r w:rsidRPr="00416C4A">
        <w:rPr>
          <w:rFonts w:ascii="Times" w:hAnsi="Times"/>
        </w:rPr>
        <w:t> </w:t>
      </w:r>
      <w:r w:rsidRPr="00416C4A">
        <w:rPr>
          <w:rFonts w:ascii="Times" w:hAnsi="Times"/>
          <w:i/>
          <w:iCs/>
        </w:rPr>
        <w:t>Journal of Business Ethics</w:t>
      </w:r>
      <w:r w:rsidRPr="00416C4A">
        <w:rPr>
          <w:rFonts w:ascii="Times" w:hAnsi="Times"/>
        </w:rPr>
        <w:t>, 130(1), 69-84.</w:t>
      </w:r>
    </w:p>
    <w:p w14:paraId="113BF583" w14:textId="532172CD" w:rsidR="00392642" w:rsidRPr="00416C4A" w:rsidRDefault="00D96DFB" w:rsidP="00392642">
      <w:pPr>
        <w:spacing w:line="480" w:lineRule="auto"/>
        <w:ind w:left="720" w:hanging="720"/>
        <w:jc w:val="both"/>
      </w:pPr>
      <w:r w:rsidRPr="00416C4A">
        <w:rPr>
          <w:rFonts w:ascii="Times" w:hAnsi="Times" w:cstheme="minorBidi"/>
        </w:rPr>
        <w:t>Erkut, S., Konrad, V. and Kramer, A. 2008</w:t>
      </w:r>
      <w:r w:rsidR="009C5DDF" w:rsidRPr="00416C4A">
        <w:rPr>
          <w:rFonts w:ascii="Times" w:hAnsi="Times" w:cstheme="minorBidi"/>
        </w:rPr>
        <w:t>.</w:t>
      </w:r>
      <w:r w:rsidRPr="00416C4A">
        <w:rPr>
          <w:rFonts w:ascii="Times" w:hAnsi="Times" w:cstheme="minorBidi"/>
        </w:rPr>
        <w:t xml:space="preserve"> Does the number of women on a corporate board make a difference</w:t>
      </w:r>
      <w:r w:rsidR="002A3C98" w:rsidRPr="00416C4A">
        <w:rPr>
          <w:rFonts w:ascii="Times" w:hAnsi="Times" w:cstheme="minorBidi"/>
        </w:rPr>
        <w:t>?</w:t>
      </w:r>
      <w:r w:rsidRPr="00416C4A">
        <w:rPr>
          <w:rFonts w:ascii="Times" w:hAnsi="Times" w:cstheme="minorBidi"/>
        </w:rPr>
        <w:t xml:space="preserve"> </w:t>
      </w:r>
      <w:r w:rsidRPr="00416C4A">
        <w:rPr>
          <w:i/>
          <w:iCs/>
        </w:rPr>
        <w:t xml:space="preserve">Women on </w:t>
      </w:r>
      <w:r w:rsidR="00C231EE" w:rsidRPr="00416C4A">
        <w:rPr>
          <w:i/>
          <w:iCs/>
        </w:rPr>
        <w:t>c</w:t>
      </w:r>
      <w:r w:rsidRPr="00416C4A">
        <w:rPr>
          <w:i/>
          <w:iCs/>
        </w:rPr>
        <w:t xml:space="preserve">orporate </w:t>
      </w:r>
      <w:r w:rsidR="00C231EE" w:rsidRPr="00416C4A">
        <w:rPr>
          <w:i/>
          <w:iCs/>
        </w:rPr>
        <w:t>b</w:t>
      </w:r>
      <w:r w:rsidRPr="00416C4A">
        <w:rPr>
          <w:i/>
          <w:iCs/>
        </w:rPr>
        <w:t xml:space="preserve">oards of </w:t>
      </w:r>
      <w:r w:rsidR="00C231EE" w:rsidRPr="00416C4A">
        <w:rPr>
          <w:i/>
          <w:iCs/>
        </w:rPr>
        <w:t>d</w:t>
      </w:r>
      <w:r w:rsidRPr="00416C4A">
        <w:rPr>
          <w:i/>
          <w:iCs/>
        </w:rPr>
        <w:t xml:space="preserve">irectors: International </w:t>
      </w:r>
      <w:r w:rsidR="00C231EE" w:rsidRPr="00416C4A">
        <w:rPr>
          <w:i/>
          <w:iCs/>
        </w:rPr>
        <w:t>r</w:t>
      </w:r>
      <w:r w:rsidRPr="00416C4A">
        <w:rPr>
          <w:i/>
          <w:iCs/>
        </w:rPr>
        <w:t xml:space="preserve">esearch and </w:t>
      </w:r>
      <w:r w:rsidR="00C231EE" w:rsidRPr="00416C4A">
        <w:rPr>
          <w:i/>
          <w:iCs/>
        </w:rPr>
        <w:t>p</w:t>
      </w:r>
      <w:r w:rsidRPr="00416C4A">
        <w:rPr>
          <w:i/>
          <w:iCs/>
        </w:rPr>
        <w:t>ractice</w:t>
      </w:r>
      <w:r w:rsidRPr="00416C4A">
        <w:t>, London: Edward Elgar, 222-232.</w:t>
      </w:r>
    </w:p>
    <w:p w14:paraId="444654CB" w14:textId="65420026" w:rsidR="00392642" w:rsidRPr="00416C4A" w:rsidRDefault="00D96DFB" w:rsidP="00392642">
      <w:pPr>
        <w:spacing w:line="480" w:lineRule="auto"/>
        <w:ind w:left="720" w:hanging="720"/>
        <w:jc w:val="both"/>
      </w:pPr>
      <w:r w:rsidRPr="00416C4A">
        <w:rPr>
          <w:rFonts w:ascii="Times" w:hAnsi="Times"/>
        </w:rPr>
        <w:t>European Commission</w:t>
      </w:r>
      <w:r w:rsidR="009C5DDF" w:rsidRPr="00416C4A">
        <w:rPr>
          <w:rFonts w:ascii="Times" w:hAnsi="Times"/>
        </w:rPr>
        <w:t>.</w:t>
      </w:r>
      <w:r w:rsidRPr="00416C4A">
        <w:rPr>
          <w:rFonts w:ascii="Times" w:hAnsi="Times"/>
        </w:rPr>
        <w:t xml:space="preserve"> 2012</w:t>
      </w:r>
      <w:r w:rsidR="009C5DDF" w:rsidRPr="00416C4A">
        <w:rPr>
          <w:rFonts w:ascii="Times" w:hAnsi="Times"/>
        </w:rPr>
        <w:t>.</w:t>
      </w:r>
      <w:r w:rsidRPr="00416C4A">
        <w:rPr>
          <w:rFonts w:ascii="Times" w:hAnsi="Times"/>
        </w:rPr>
        <w:t xml:space="preserve"> </w:t>
      </w:r>
      <w:r w:rsidRPr="00416C4A">
        <w:rPr>
          <w:rFonts w:ascii="Times" w:hAnsi="Times"/>
          <w:i/>
          <w:iCs/>
        </w:rPr>
        <w:t>Directive of the European Parliament and of the Council on improving the gender balance among non-executive directors of companies listed on stock exchanges and related measures</w:t>
      </w:r>
      <w:r w:rsidRPr="00416C4A">
        <w:rPr>
          <w:rFonts w:ascii="Times" w:hAnsi="Times"/>
        </w:rPr>
        <w:t>. Brussels: EU Bookshop.</w:t>
      </w:r>
    </w:p>
    <w:p w14:paraId="592FBE0C" w14:textId="0F4C2FB0" w:rsidR="00392642" w:rsidRPr="00416C4A" w:rsidRDefault="00D96DFB" w:rsidP="00392642">
      <w:pPr>
        <w:shd w:val="clear" w:color="auto" w:fill="FFFFFF"/>
        <w:spacing w:line="480" w:lineRule="auto"/>
        <w:ind w:left="720" w:hanging="720"/>
        <w:jc w:val="both"/>
        <w:rPr>
          <w:rFonts w:ascii="Times" w:hAnsi="Times"/>
        </w:rPr>
      </w:pPr>
      <w:r w:rsidRPr="00416C4A">
        <w:rPr>
          <w:rFonts w:ascii="Times" w:hAnsi="Times"/>
        </w:rPr>
        <w:t>European Commission</w:t>
      </w:r>
      <w:r w:rsidR="009C5DDF" w:rsidRPr="00416C4A">
        <w:rPr>
          <w:rFonts w:ascii="Times" w:hAnsi="Times"/>
        </w:rPr>
        <w:t>.</w:t>
      </w:r>
      <w:r w:rsidRPr="00416C4A">
        <w:rPr>
          <w:rFonts w:ascii="Times" w:hAnsi="Times"/>
        </w:rPr>
        <w:t xml:space="preserve"> 2019</w:t>
      </w:r>
      <w:r w:rsidR="009C5DDF" w:rsidRPr="00416C4A">
        <w:rPr>
          <w:rFonts w:ascii="Times" w:hAnsi="Times"/>
        </w:rPr>
        <w:t>.</w:t>
      </w:r>
      <w:r w:rsidRPr="00416C4A">
        <w:rPr>
          <w:rFonts w:ascii="Times" w:hAnsi="Times"/>
        </w:rPr>
        <w:t xml:space="preserve"> </w:t>
      </w:r>
      <w:r w:rsidRPr="00416C4A">
        <w:rPr>
          <w:rFonts w:ascii="Times" w:hAnsi="Times"/>
          <w:i/>
          <w:iCs/>
        </w:rPr>
        <w:t>2019 Report on equality between women and men in the EU</w:t>
      </w:r>
      <w:r w:rsidRPr="00416C4A">
        <w:rPr>
          <w:rFonts w:ascii="Times" w:hAnsi="Times"/>
        </w:rPr>
        <w:t>. Luxembourg: EU Bookshop.</w:t>
      </w:r>
    </w:p>
    <w:p w14:paraId="22BBDE7D" w14:textId="0812E5EF" w:rsidR="00392642" w:rsidRPr="00416C4A" w:rsidRDefault="00D96DFB" w:rsidP="00392642">
      <w:pPr>
        <w:spacing w:line="480" w:lineRule="auto"/>
        <w:ind w:left="720" w:hanging="720"/>
        <w:jc w:val="both"/>
        <w:rPr>
          <w:rFonts w:ascii="Times" w:eastAsiaTheme="minorHAnsi" w:hAnsi="Times" w:cstheme="minorBidi"/>
          <w:lang w:eastAsia="en-US"/>
        </w:rPr>
      </w:pPr>
      <w:r w:rsidRPr="00416C4A">
        <w:rPr>
          <w:rFonts w:ascii="Times" w:eastAsiaTheme="minorHAnsi" w:hAnsi="Times" w:cstheme="minorBidi"/>
          <w:lang w:eastAsia="en-US"/>
        </w:rPr>
        <w:t>Farrell, K.</w:t>
      </w:r>
      <w:r w:rsidR="00DD2E97" w:rsidRPr="00416C4A">
        <w:rPr>
          <w:rFonts w:ascii="Times" w:eastAsiaTheme="minorHAnsi" w:hAnsi="Times" w:cstheme="minorBidi"/>
          <w:lang w:eastAsia="en-US"/>
        </w:rPr>
        <w:t>,</w:t>
      </w:r>
      <w:r w:rsidRPr="00416C4A">
        <w:rPr>
          <w:rFonts w:ascii="Times" w:eastAsiaTheme="minorHAnsi" w:hAnsi="Times" w:cstheme="minorBidi"/>
          <w:lang w:eastAsia="en-US"/>
        </w:rPr>
        <w:t xml:space="preserve"> and </w:t>
      </w:r>
      <w:r w:rsidR="00B37757" w:rsidRPr="00416C4A">
        <w:rPr>
          <w:rFonts w:ascii="Times" w:eastAsiaTheme="minorHAnsi" w:hAnsi="Times" w:cstheme="minorBidi"/>
          <w:lang w:eastAsia="en-US"/>
        </w:rPr>
        <w:t xml:space="preserve">P. </w:t>
      </w:r>
      <w:r w:rsidRPr="00416C4A">
        <w:rPr>
          <w:rFonts w:ascii="Times" w:eastAsiaTheme="minorHAnsi" w:hAnsi="Times" w:cstheme="minorBidi"/>
          <w:lang w:eastAsia="en-US"/>
        </w:rPr>
        <w:t>Hersch. 2005</w:t>
      </w:r>
      <w:r w:rsidR="009C5DDF" w:rsidRPr="00416C4A">
        <w:rPr>
          <w:rFonts w:ascii="Times" w:eastAsiaTheme="minorHAnsi" w:hAnsi="Times" w:cstheme="minorBidi"/>
          <w:lang w:eastAsia="en-US"/>
        </w:rPr>
        <w:t>.</w:t>
      </w:r>
      <w:r w:rsidRPr="00416C4A">
        <w:rPr>
          <w:rFonts w:ascii="Times" w:eastAsiaTheme="minorHAnsi" w:hAnsi="Times" w:cstheme="minorBidi"/>
          <w:lang w:eastAsia="en-US"/>
        </w:rPr>
        <w:t xml:space="preserve"> Additions to corporate boards: the effect of gender</w:t>
      </w:r>
      <w:r w:rsidR="002A3C98" w:rsidRPr="00416C4A">
        <w:rPr>
          <w:rFonts w:ascii="Times" w:eastAsiaTheme="minorHAnsi" w:hAnsi="Times" w:cstheme="minorBidi"/>
          <w:lang w:eastAsia="en-US"/>
        </w:rPr>
        <w:t>.</w:t>
      </w:r>
      <w:r w:rsidRPr="00416C4A">
        <w:rPr>
          <w:rFonts w:ascii="Times" w:eastAsiaTheme="minorHAnsi" w:hAnsi="Times" w:cstheme="minorBidi"/>
          <w:lang w:eastAsia="en-US"/>
        </w:rPr>
        <w:t> </w:t>
      </w:r>
      <w:r w:rsidRPr="00416C4A">
        <w:rPr>
          <w:rFonts w:ascii="Times" w:eastAsiaTheme="minorHAnsi" w:hAnsi="Times" w:cstheme="minorBidi"/>
          <w:i/>
          <w:iCs/>
          <w:lang w:eastAsia="en-US"/>
        </w:rPr>
        <w:t>Journal of Corporate Finance</w:t>
      </w:r>
      <w:r w:rsidRPr="00416C4A">
        <w:rPr>
          <w:rFonts w:ascii="Times" w:eastAsiaTheme="minorHAnsi" w:hAnsi="Times" w:cstheme="minorBidi"/>
          <w:lang w:eastAsia="en-US"/>
        </w:rPr>
        <w:t>, 11(1-2), 85-106.</w:t>
      </w:r>
    </w:p>
    <w:p w14:paraId="57643186" w14:textId="19F8862D" w:rsidR="00975624" w:rsidRPr="00416C4A" w:rsidRDefault="00D96DFB" w:rsidP="00727D3F">
      <w:pPr>
        <w:spacing w:line="480" w:lineRule="auto"/>
        <w:ind w:left="720" w:hanging="720"/>
        <w:jc w:val="both"/>
      </w:pPr>
      <w:r w:rsidRPr="00416C4A">
        <w:lastRenderedPageBreak/>
        <w:t xml:space="preserve">Gormley, </w:t>
      </w:r>
      <w:r w:rsidR="006B37A2" w:rsidRPr="00416C4A">
        <w:t xml:space="preserve">T., Gupta, V., </w:t>
      </w:r>
      <w:proofErr w:type="spellStart"/>
      <w:r w:rsidR="006B37A2" w:rsidRPr="00416C4A">
        <w:t>Matsa</w:t>
      </w:r>
      <w:proofErr w:type="spellEnd"/>
      <w:r w:rsidR="006B37A2" w:rsidRPr="00416C4A">
        <w:t xml:space="preserve">, D., </w:t>
      </w:r>
      <w:r w:rsidR="00727D3F" w:rsidRPr="00416C4A">
        <w:t>Mortal, S. and Yang, L. 202</w:t>
      </w:r>
      <w:r w:rsidR="003A2774" w:rsidRPr="00416C4A">
        <w:t>1</w:t>
      </w:r>
      <w:r w:rsidR="009C5DDF" w:rsidRPr="00416C4A">
        <w:t>.</w:t>
      </w:r>
      <w:r w:rsidR="00727D3F" w:rsidRPr="00416C4A">
        <w:t xml:space="preserve"> The big three and board gender diversity: The effectiveness of shareholder voice. </w:t>
      </w:r>
      <w:r w:rsidRPr="00416C4A">
        <w:rPr>
          <w:i/>
          <w:iCs/>
        </w:rPr>
        <w:t>ECGI Working Paper Series in Finance</w:t>
      </w:r>
      <w:r w:rsidRPr="00416C4A">
        <w:t>.</w:t>
      </w:r>
      <w:r w:rsidR="00E73659" w:rsidRPr="00416C4A">
        <w:t xml:space="preserve"> https://papers.ssrn.com/sol3/papers.cfm?abstract_id=3724653</w:t>
      </w:r>
    </w:p>
    <w:p w14:paraId="6DBA001B" w14:textId="6EC4D784" w:rsidR="00392642" w:rsidRPr="00416C4A" w:rsidRDefault="00D96DFB" w:rsidP="00392642">
      <w:pPr>
        <w:spacing w:line="480" w:lineRule="auto"/>
        <w:ind w:left="709" w:hanging="709"/>
        <w:jc w:val="both"/>
      </w:pPr>
      <w:r w:rsidRPr="00416C4A">
        <w:t>Green, C.</w:t>
      </w:r>
      <w:r w:rsidR="00DD2E97" w:rsidRPr="00416C4A">
        <w:t>, and</w:t>
      </w:r>
      <w:r w:rsidRPr="00416C4A">
        <w:t xml:space="preserve"> </w:t>
      </w:r>
      <w:r w:rsidR="00DD2E97" w:rsidRPr="00416C4A">
        <w:t xml:space="preserve">S. </w:t>
      </w:r>
      <w:proofErr w:type="spellStart"/>
      <w:r w:rsidRPr="00416C4A">
        <w:t>Homroy</w:t>
      </w:r>
      <w:proofErr w:type="spellEnd"/>
      <w:r w:rsidRPr="00416C4A">
        <w:t>. 2018</w:t>
      </w:r>
      <w:r w:rsidR="00B92B88" w:rsidRPr="00416C4A">
        <w:t>.</w:t>
      </w:r>
      <w:r w:rsidRPr="00416C4A">
        <w:t xml:space="preserve"> Female directors, board committees and firm performance</w:t>
      </w:r>
      <w:r w:rsidR="002A3C98" w:rsidRPr="00416C4A">
        <w:t>.</w:t>
      </w:r>
      <w:r w:rsidRPr="00416C4A">
        <w:t> </w:t>
      </w:r>
      <w:r w:rsidRPr="00416C4A">
        <w:rPr>
          <w:i/>
          <w:iCs/>
        </w:rPr>
        <w:t>European Economic Review</w:t>
      </w:r>
      <w:r w:rsidRPr="00416C4A">
        <w:t>, 102, 19-38.</w:t>
      </w:r>
    </w:p>
    <w:p w14:paraId="13A2FA8E" w14:textId="7AA28A63" w:rsidR="00392642" w:rsidRPr="00416C4A" w:rsidRDefault="00D96DFB" w:rsidP="00392642">
      <w:pPr>
        <w:spacing w:line="480" w:lineRule="auto"/>
        <w:ind w:left="720" w:hanging="720"/>
        <w:jc w:val="both"/>
        <w:rPr>
          <w:rFonts w:ascii="Times" w:hAnsi="Times"/>
        </w:rPr>
      </w:pPr>
      <w:r w:rsidRPr="00416C4A">
        <w:rPr>
          <w:rFonts w:ascii="Times" w:hAnsi="Times"/>
        </w:rPr>
        <w:t>Gregory</w:t>
      </w:r>
      <w:r w:rsidRPr="00416C4A">
        <w:rPr>
          <w:rFonts w:ascii="Cambria Math" w:hAnsi="Cambria Math" w:cs="Cambria Math"/>
        </w:rPr>
        <w:t>‐</w:t>
      </w:r>
      <w:r w:rsidRPr="00416C4A">
        <w:rPr>
          <w:rFonts w:ascii="Times" w:hAnsi="Times"/>
        </w:rPr>
        <w:t>Smith, I., Main, B. and O'Reilly III, C. 2014</w:t>
      </w:r>
      <w:r w:rsidR="00B92B88" w:rsidRPr="00416C4A">
        <w:rPr>
          <w:rFonts w:ascii="Times" w:hAnsi="Times"/>
        </w:rPr>
        <w:t>.</w:t>
      </w:r>
      <w:r w:rsidRPr="00416C4A">
        <w:rPr>
          <w:rFonts w:ascii="Times" w:hAnsi="Times"/>
        </w:rPr>
        <w:t xml:space="preserve"> Appointments, pay and performance in UK boardrooms by gender</w:t>
      </w:r>
      <w:r w:rsidR="002A3C98" w:rsidRPr="00416C4A">
        <w:rPr>
          <w:rFonts w:ascii="Times" w:hAnsi="Times"/>
        </w:rPr>
        <w:t>.</w:t>
      </w:r>
      <w:r w:rsidRPr="00416C4A">
        <w:rPr>
          <w:rFonts w:ascii="Times" w:hAnsi="Times"/>
        </w:rPr>
        <w:t xml:space="preserve"> </w:t>
      </w:r>
      <w:r w:rsidRPr="00416C4A">
        <w:rPr>
          <w:rFonts w:ascii="Times" w:hAnsi="Times"/>
          <w:i/>
          <w:iCs/>
        </w:rPr>
        <w:t>The Economic Journal</w:t>
      </w:r>
      <w:r w:rsidRPr="00416C4A">
        <w:rPr>
          <w:rFonts w:ascii="Times" w:hAnsi="Times"/>
        </w:rPr>
        <w:t>, 124(574), 109-128.</w:t>
      </w:r>
    </w:p>
    <w:p w14:paraId="6E72DF0B" w14:textId="55B27612" w:rsidR="00392642" w:rsidRPr="00416C4A" w:rsidRDefault="00D96DFB" w:rsidP="00392642">
      <w:pPr>
        <w:spacing w:line="480" w:lineRule="auto"/>
        <w:ind w:left="720" w:hanging="720"/>
        <w:jc w:val="both"/>
      </w:pPr>
      <w:proofErr w:type="spellStart"/>
      <w:r w:rsidRPr="00416C4A">
        <w:t>Hafsi</w:t>
      </w:r>
      <w:proofErr w:type="spellEnd"/>
      <w:r w:rsidRPr="00416C4A">
        <w:t>, T.</w:t>
      </w:r>
      <w:r w:rsidR="00A37048" w:rsidRPr="00416C4A">
        <w:t>,</w:t>
      </w:r>
      <w:r w:rsidRPr="00416C4A">
        <w:t xml:space="preserve"> and </w:t>
      </w:r>
      <w:r w:rsidR="00A37048" w:rsidRPr="00416C4A">
        <w:t xml:space="preserve">G. </w:t>
      </w:r>
      <w:r w:rsidRPr="00416C4A">
        <w:t>Turgut. 2013</w:t>
      </w:r>
      <w:r w:rsidR="00B92B88" w:rsidRPr="00416C4A">
        <w:t>.</w:t>
      </w:r>
      <w:r w:rsidRPr="00416C4A">
        <w:t xml:space="preserve"> Boardroom diversity and its effect on social performance: Conceptualization and empirical evidence</w:t>
      </w:r>
      <w:r w:rsidR="00A74207" w:rsidRPr="00416C4A">
        <w:t>.</w:t>
      </w:r>
      <w:r w:rsidRPr="00416C4A">
        <w:t xml:space="preserve"> </w:t>
      </w:r>
      <w:r w:rsidRPr="00416C4A">
        <w:rPr>
          <w:i/>
          <w:iCs/>
        </w:rPr>
        <w:t>Journal of Business Ethics</w:t>
      </w:r>
      <w:r w:rsidRPr="00416C4A">
        <w:t>, 112(3), 463-479.</w:t>
      </w:r>
    </w:p>
    <w:p w14:paraId="47E39172" w14:textId="6E09C369" w:rsidR="00392642" w:rsidRPr="00416C4A" w:rsidRDefault="00D96DFB" w:rsidP="00392642">
      <w:pPr>
        <w:spacing w:line="480" w:lineRule="auto"/>
        <w:ind w:left="720" w:hanging="720"/>
        <w:jc w:val="both"/>
        <w:rPr>
          <w:rFonts w:ascii="Times" w:hAnsi="Times"/>
        </w:rPr>
      </w:pPr>
      <w:r w:rsidRPr="00416C4A">
        <w:rPr>
          <w:rFonts w:ascii="Times" w:hAnsi="Times"/>
        </w:rPr>
        <w:t>Haley, U., Haley, G. and Markova, G. 2019</w:t>
      </w:r>
      <w:r w:rsidR="00B92B88" w:rsidRPr="00416C4A">
        <w:rPr>
          <w:rFonts w:ascii="Times" w:hAnsi="Times"/>
        </w:rPr>
        <w:t>.</w:t>
      </w:r>
      <w:r w:rsidRPr="00416C4A">
        <w:rPr>
          <w:rFonts w:ascii="Times" w:hAnsi="Times"/>
        </w:rPr>
        <w:t xml:space="preserve"> Getting on </w:t>
      </w:r>
      <w:r w:rsidR="003F5424" w:rsidRPr="00416C4A">
        <w:rPr>
          <w:rFonts w:ascii="Times" w:hAnsi="Times"/>
        </w:rPr>
        <w:t>b</w:t>
      </w:r>
      <w:r w:rsidRPr="00416C4A">
        <w:rPr>
          <w:rFonts w:ascii="Times" w:hAnsi="Times"/>
        </w:rPr>
        <w:t xml:space="preserve">oard: A </w:t>
      </w:r>
      <w:r w:rsidR="003F5424" w:rsidRPr="00416C4A">
        <w:rPr>
          <w:rFonts w:ascii="Times" w:hAnsi="Times"/>
        </w:rPr>
        <w:t>c</w:t>
      </w:r>
      <w:r w:rsidRPr="00416C4A">
        <w:rPr>
          <w:rFonts w:ascii="Times" w:hAnsi="Times"/>
        </w:rPr>
        <w:t xml:space="preserve">ritical </w:t>
      </w:r>
      <w:r w:rsidR="003F5424" w:rsidRPr="00416C4A">
        <w:rPr>
          <w:rFonts w:ascii="Times" w:hAnsi="Times"/>
        </w:rPr>
        <w:t>a</w:t>
      </w:r>
      <w:r w:rsidRPr="00416C4A">
        <w:rPr>
          <w:rFonts w:ascii="Times" w:hAnsi="Times"/>
        </w:rPr>
        <w:t xml:space="preserve">nalysis of </w:t>
      </w:r>
      <w:r w:rsidR="003F5424" w:rsidRPr="00416C4A">
        <w:rPr>
          <w:rFonts w:ascii="Times" w:hAnsi="Times"/>
        </w:rPr>
        <w:t>w</w:t>
      </w:r>
      <w:r w:rsidRPr="00416C4A">
        <w:rPr>
          <w:rFonts w:ascii="Times" w:hAnsi="Times"/>
        </w:rPr>
        <w:t xml:space="preserve">omen on </w:t>
      </w:r>
      <w:r w:rsidR="003F5424" w:rsidRPr="00416C4A">
        <w:rPr>
          <w:rFonts w:ascii="Times" w:hAnsi="Times"/>
        </w:rPr>
        <w:t>i</w:t>
      </w:r>
      <w:r w:rsidRPr="00416C4A">
        <w:rPr>
          <w:rFonts w:ascii="Times" w:hAnsi="Times"/>
        </w:rPr>
        <w:t xml:space="preserve">nternational </w:t>
      </w:r>
      <w:r w:rsidR="003F5424" w:rsidRPr="00416C4A">
        <w:rPr>
          <w:rFonts w:ascii="Times" w:hAnsi="Times"/>
        </w:rPr>
        <w:t>c</w:t>
      </w:r>
      <w:r w:rsidRPr="00416C4A">
        <w:rPr>
          <w:rFonts w:ascii="Times" w:hAnsi="Times"/>
        </w:rPr>
        <w:t xml:space="preserve">orporate </w:t>
      </w:r>
      <w:r w:rsidR="003F5424" w:rsidRPr="00416C4A">
        <w:rPr>
          <w:rFonts w:ascii="Times" w:hAnsi="Times"/>
        </w:rPr>
        <w:t>b</w:t>
      </w:r>
      <w:r w:rsidRPr="00416C4A">
        <w:rPr>
          <w:rFonts w:ascii="Times" w:hAnsi="Times"/>
        </w:rPr>
        <w:t>oards</w:t>
      </w:r>
      <w:r w:rsidR="00A74207" w:rsidRPr="00416C4A">
        <w:rPr>
          <w:rFonts w:ascii="Times" w:hAnsi="Times"/>
        </w:rPr>
        <w:t>.</w:t>
      </w:r>
      <w:r w:rsidRPr="00416C4A">
        <w:rPr>
          <w:rFonts w:ascii="Times" w:hAnsi="Times"/>
        </w:rPr>
        <w:t> </w:t>
      </w:r>
      <w:r w:rsidRPr="00416C4A">
        <w:rPr>
          <w:rFonts w:ascii="Times" w:hAnsi="Times"/>
          <w:i/>
          <w:iCs/>
        </w:rPr>
        <w:t>Board Leadership</w:t>
      </w:r>
      <w:r w:rsidRPr="00416C4A">
        <w:rPr>
          <w:rFonts w:ascii="Times" w:hAnsi="Times"/>
        </w:rPr>
        <w:t>, 165, 1-8.</w:t>
      </w:r>
    </w:p>
    <w:p w14:paraId="004FA459" w14:textId="68E80F58" w:rsidR="00392642" w:rsidRPr="00416C4A" w:rsidRDefault="00D96DFB" w:rsidP="00392642">
      <w:pPr>
        <w:spacing w:line="480" w:lineRule="auto"/>
        <w:ind w:left="709" w:hanging="709"/>
        <w:jc w:val="both"/>
        <w:rPr>
          <w:shd w:val="clear" w:color="auto" w:fill="FFFFFF"/>
        </w:rPr>
      </w:pPr>
      <w:r w:rsidRPr="00416C4A">
        <w:rPr>
          <w:shd w:val="clear" w:color="auto" w:fill="FFFFFF"/>
        </w:rPr>
        <w:t xml:space="preserve">Hartarska, V., and </w:t>
      </w:r>
      <w:r w:rsidR="00A37048" w:rsidRPr="00416C4A">
        <w:rPr>
          <w:shd w:val="clear" w:color="auto" w:fill="FFFFFF"/>
        </w:rPr>
        <w:t xml:space="preserve">D. </w:t>
      </w:r>
      <w:proofErr w:type="spellStart"/>
      <w:r w:rsidRPr="00416C4A">
        <w:rPr>
          <w:shd w:val="clear" w:color="auto" w:fill="FFFFFF"/>
        </w:rPr>
        <w:t>Nadolnyak</w:t>
      </w:r>
      <w:proofErr w:type="spellEnd"/>
      <w:r w:rsidRPr="00416C4A">
        <w:rPr>
          <w:shd w:val="clear" w:color="auto" w:fill="FFFFFF"/>
        </w:rPr>
        <w:t>. 2012</w:t>
      </w:r>
      <w:r w:rsidR="00B92B88" w:rsidRPr="00416C4A">
        <w:rPr>
          <w:shd w:val="clear" w:color="auto" w:fill="FFFFFF"/>
        </w:rPr>
        <w:t>.</w:t>
      </w:r>
      <w:r w:rsidRPr="00416C4A">
        <w:rPr>
          <w:shd w:val="clear" w:color="auto" w:fill="FFFFFF"/>
        </w:rPr>
        <w:t xml:space="preserve"> Board size and diversity as governance mechanisms in community development loan funds in the USA</w:t>
      </w:r>
      <w:r w:rsidR="00A74207" w:rsidRPr="00416C4A">
        <w:rPr>
          <w:shd w:val="clear" w:color="auto" w:fill="FFFFFF"/>
        </w:rPr>
        <w:t>.</w:t>
      </w:r>
      <w:r w:rsidRPr="00416C4A">
        <w:rPr>
          <w:shd w:val="clear" w:color="auto" w:fill="FFFFFF"/>
        </w:rPr>
        <w:t> </w:t>
      </w:r>
      <w:r w:rsidRPr="00416C4A">
        <w:rPr>
          <w:i/>
          <w:iCs/>
          <w:shd w:val="clear" w:color="auto" w:fill="FFFFFF"/>
        </w:rPr>
        <w:t>Applied Economics</w:t>
      </w:r>
      <w:r w:rsidRPr="00416C4A">
        <w:rPr>
          <w:shd w:val="clear" w:color="auto" w:fill="FFFFFF"/>
        </w:rPr>
        <w:t>, </w:t>
      </w:r>
      <w:r w:rsidRPr="00416C4A">
        <w:rPr>
          <w:i/>
          <w:iCs/>
          <w:shd w:val="clear" w:color="auto" w:fill="FFFFFF"/>
        </w:rPr>
        <w:t>44</w:t>
      </w:r>
      <w:r w:rsidRPr="00416C4A">
        <w:rPr>
          <w:shd w:val="clear" w:color="auto" w:fill="FFFFFF"/>
        </w:rPr>
        <w:t>(33), 4313-4329.</w:t>
      </w:r>
    </w:p>
    <w:p w14:paraId="34BC4B2C" w14:textId="46DD3A3F" w:rsidR="001324E7" w:rsidRPr="00416C4A" w:rsidRDefault="00D96DFB" w:rsidP="001324E7">
      <w:pPr>
        <w:spacing w:line="480" w:lineRule="auto"/>
        <w:ind w:left="709" w:hanging="709"/>
        <w:jc w:val="both"/>
        <w:rPr>
          <w:shd w:val="clear" w:color="auto" w:fill="FFFFFF"/>
        </w:rPr>
      </w:pPr>
      <w:r w:rsidRPr="00416C4A">
        <w:rPr>
          <w:shd w:val="clear" w:color="auto" w:fill="FFFFFF"/>
        </w:rPr>
        <w:t xml:space="preserve">Haslam, S., Ryan, M., Kulich, C., </w:t>
      </w:r>
      <w:proofErr w:type="spellStart"/>
      <w:r w:rsidRPr="00416C4A">
        <w:rPr>
          <w:shd w:val="clear" w:color="auto" w:fill="FFFFFF"/>
        </w:rPr>
        <w:t>Trojanowski</w:t>
      </w:r>
      <w:proofErr w:type="spellEnd"/>
      <w:r w:rsidRPr="00416C4A">
        <w:rPr>
          <w:shd w:val="clear" w:color="auto" w:fill="FFFFFF"/>
        </w:rPr>
        <w:t>, G.</w:t>
      </w:r>
      <w:r w:rsidR="00CE5277" w:rsidRPr="00416C4A">
        <w:rPr>
          <w:shd w:val="clear" w:color="auto" w:fill="FFFFFF"/>
        </w:rPr>
        <w:t xml:space="preserve"> and</w:t>
      </w:r>
      <w:r w:rsidRPr="00416C4A">
        <w:rPr>
          <w:shd w:val="clear" w:color="auto" w:fill="FFFFFF"/>
        </w:rPr>
        <w:t xml:space="preserve"> Atkins, C. 2010. Investing with</w:t>
      </w:r>
      <w:r w:rsidR="00CE5277" w:rsidRPr="00416C4A">
        <w:rPr>
          <w:shd w:val="clear" w:color="auto" w:fill="FFFFFF"/>
        </w:rPr>
        <w:t xml:space="preserve"> </w:t>
      </w:r>
      <w:r w:rsidRPr="00416C4A">
        <w:rPr>
          <w:shd w:val="clear" w:color="auto" w:fill="FFFFFF"/>
        </w:rPr>
        <w:t>prejudice: The relationship between women</w:t>
      </w:r>
      <w:r w:rsidR="00A732EC">
        <w:rPr>
          <w:shd w:val="clear" w:color="auto" w:fill="FFFFFF"/>
        </w:rPr>
        <w:t>’</w:t>
      </w:r>
      <w:r w:rsidRPr="00416C4A">
        <w:rPr>
          <w:shd w:val="clear" w:color="auto" w:fill="FFFFFF"/>
        </w:rPr>
        <w:t>s presence on company boards and objective</w:t>
      </w:r>
      <w:r w:rsidR="00CE5277" w:rsidRPr="00416C4A">
        <w:rPr>
          <w:shd w:val="clear" w:color="auto" w:fill="FFFFFF"/>
        </w:rPr>
        <w:t xml:space="preserve"> </w:t>
      </w:r>
      <w:r w:rsidRPr="00416C4A">
        <w:rPr>
          <w:shd w:val="clear" w:color="auto" w:fill="FFFFFF"/>
        </w:rPr>
        <w:t xml:space="preserve">and subjective measures of company performance. </w:t>
      </w:r>
      <w:r w:rsidRPr="00416C4A">
        <w:rPr>
          <w:i/>
          <w:iCs/>
          <w:shd w:val="clear" w:color="auto" w:fill="FFFFFF"/>
        </w:rPr>
        <w:t>British Journal of</w:t>
      </w:r>
      <w:r w:rsidR="00CE5277" w:rsidRPr="00416C4A">
        <w:rPr>
          <w:i/>
          <w:iCs/>
          <w:shd w:val="clear" w:color="auto" w:fill="FFFFFF"/>
        </w:rPr>
        <w:t xml:space="preserve"> </w:t>
      </w:r>
      <w:r w:rsidRPr="00416C4A">
        <w:rPr>
          <w:i/>
          <w:iCs/>
          <w:shd w:val="clear" w:color="auto" w:fill="FFFFFF"/>
        </w:rPr>
        <w:t>Management</w:t>
      </w:r>
      <w:r w:rsidRPr="00416C4A">
        <w:rPr>
          <w:shd w:val="clear" w:color="auto" w:fill="FFFFFF"/>
        </w:rPr>
        <w:t>, 21, 484–497.</w:t>
      </w:r>
    </w:p>
    <w:p w14:paraId="107C7A2C" w14:textId="5119B4CC" w:rsidR="00C87C76" w:rsidRPr="00416C4A" w:rsidRDefault="00D96DFB" w:rsidP="001324E7">
      <w:pPr>
        <w:spacing w:line="480" w:lineRule="auto"/>
        <w:ind w:left="709" w:hanging="709"/>
        <w:jc w:val="both"/>
        <w:rPr>
          <w:shd w:val="clear" w:color="auto" w:fill="FFFFFF"/>
        </w:rPr>
      </w:pPr>
      <w:r w:rsidRPr="00416C4A">
        <w:rPr>
          <w:shd w:val="clear" w:color="auto" w:fill="FFFFFF"/>
        </w:rPr>
        <w:t>Isidro, H.</w:t>
      </w:r>
      <w:r w:rsidR="00BC5CC8" w:rsidRPr="00416C4A">
        <w:rPr>
          <w:shd w:val="clear" w:color="auto" w:fill="FFFFFF"/>
        </w:rPr>
        <w:t xml:space="preserve">, and M. </w:t>
      </w:r>
      <w:proofErr w:type="spellStart"/>
      <w:r w:rsidR="00BC5CC8" w:rsidRPr="00416C4A">
        <w:rPr>
          <w:shd w:val="clear" w:color="auto" w:fill="FFFFFF"/>
        </w:rPr>
        <w:t>Sobral</w:t>
      </w:r>
      <w:proofErr w:type="spellEnd"/>
      <w:r w:rsidR="00BC5CC8" w:rsidRPr="00416C4A">
        <w:rPr>
          <w:shd w:val="clear" w:color="auto" w:fill="FFFFFF"/>
        </w:rPr>
        <w:t>. 201</w:t>
      </w:r>
      <w:r w:rsidR="000E51D4" w:rsidRPr="00416C4A">
        <w:rPr>
          <w:shd w:val="clear" w:color="auto" w:fill="FFFFFF"/>
        </w:rPr>
        <w:t>5</w:t>
      </w:r>
      <w:r w:rsidR="00BC5CC8" w:rsidRPr="00416C4A">
        <w:rPr>
          <w:shd w:val="clear" w:color="auto" w:fill="FFFFFF"/>
        </w:rPr>
        <w:t xml:space="preserve">. The effects of women on corporate boards </w:t>
      </w:r>
      <w:r w:rsidR="0032386C" w:rsidRPr="00416C4A">
        <w:rPr>
          <w:shd w:val="clear" w:color="auto" w:fill="FFFFFF"/>
        </w:rPr>
        <w:t xml:space="preserve">on firm value, financial performance, and ethical and social compliance. </w:t>
      </w:r>
      <w:r w:rsidR="0032386C" w:rsidRPr="00416C4A">
        <w:rPr>
          <w:i/>
          <w:iCs/>
          <w:shd w:val="clear" w:color="auto" w:fill="FFFFFF"/>
        </w:rPr>
        <w:t>Journal of Business Ethics</w:t>
      </w:r>
      <w:r w:rsidR="0032386C" w:rsidRPr="00416C4A">
        <w:rPr>
          <w:shd w:val="clear" w:color="auto" w:fill="FFFFFF"/>
        </w:rPr>
        <w:t xml:space="preserve">, </w:t>
      </w:r>
      <w:r w:rsidR="000E51D4" w:rsidRPr="00416C4A">
        <w:rPr>
          <w:shd w:val="clear" w:color="auto" w:fill="FFFFFF"/>
        </w:rPr>
        <w:t>132, 1-19.</w:t>
      </w:r>
    </w:p>
    <w:p w14:paraId="6EA368DE" w14:textId="21F14EB5" w:rsidR="00A148AB" w:rsidRPr="00416C4A" w:rsidRDefault="00D96DFB" w:rsidP="00A148AB">
      <w:pPr>
        <w:spacing w:line="480" w:lineRule="auto"/>
        <w:ind w:left="720" w:hanging="720"/>
        <w:jc w:val="both"/>
      </w:pPr>
      <w:r w:rsidRPr="00416C4A">
        <w:t>Karuna, C. 2020</w:t>
      </w:r>
      <w:r w:rsidR="00B92B88" w:rsidRPr="00416C4A">
        <w:t>.</w:t>
      </w:r>
      <w:r w:rsidRPr="00416C4A">
        <w:t xml:space="preserve"> Discussion of: Do female directors on corporate boards make a difference in family-owned businesses? </w:t>
      </w:r>
      <w:r w:rsidRPr="00416C4A">
        <w:rPr>
          <w:i/>
          <w:iCs/>
        </w:rPr>
        <w:t>Journal of International Accounting Research</w:t>
      </w:r>
      <w:r w:rsidRPr="00416C4A">
        <w:t>, 19(</w:t>
      </w:r>
      <w:r w:rsidR="00804473" w:rsidRPr="00416C4A">
        <w:t>2</w:t>
      </w:r>
      <w:r w:rsidRPr="00416C4A">
        <w:t xml:space="preserve">), </w:t>
      </w:r>
      <w:r w:rsidR="00804473" w:rsidRPr="00416C4A">
        <w:t>163-166</w:t>
      </w:r>
      <w:r w:rsidRPr="00416C4A">
        <w:t>.</w:t>
      </w:r>
    </w:p>
    <w:p w14:paraId="416534B2" w14:textId="61B76D50" w:rsidR="006E4F94" w:rsidRPr="00416C4A" w:rsidRDefault="00D96DFB" w:rsidP="00A148AB">
      <w:pPr>
        <w:spacing w:line="480" w:lineRule="auto"/>
        <w:ind w:left="720" w:hanging="720"/>
        <w:jc w:val="both"/>
      </w:pPr>
      <w:r w:rsidRPr="00416C4A">
        <w:lastRenderedPageBreak/>
        <w:t xml:space="preserve">Kirsch, A. 2018. The Gender Composition of Corporate Boards: A Review and Research Agenda. </w:t>
      </w:r>
      <w:r w:rsidRPr="00416C4A">
        <w:rPr>
          <w:i/>
          <w:iCs/>
        </w:rPr>
        <w:t>The Leadership Quarterly</w:t>
      </w:r>
      <w:r w:rsidRPr="00416C4A">
        <w:t xml:space="preserve">, 29(2), 346–364. </w:t>
      </w:r>
    </w:p>
    <w:p w14:paraId="4392F525" w14:textId="75EB2AB2" w:rsidR="00392642" w:rsidRPr="00416C4A" w:rsidRDefault="00D96DFB" w:rsidP="00392642">
      <w:pPr>
        <w:spacing w:line="480" w:lineRule="auto"/>
        <w:ind w:left="720" w:hanging="720"/>
        <w:jc w:val="both"/>
      </w:pPr>
      <w:r w:rsidRPr="00416C4A">
        <w:t>Konrad, A., Kramer, V. and Erkut, S. 2008</w:t>
      </w:r>
      <w:r w:rsidR="00B92B88" w:rsidRPr="00416C4A">
        <w:t>.</w:t>
      </w:r>
      <w:r w:rsidRPr="00416C4A">
        <w:t xml:space="preserve"> The impact of three or more women on corporate boards</w:t>
      </w:r>
      <w:r w:rsidR="00A74207" w:rsidRPr="00416C4A">
        <w:t>.</w:t>
      </w:r>
      <w:r w:rsidRPr="00416C4A">
        <w:t xml:space="preserve"> </w:t>
      </w:r>
      <w:r w:rsidRPr="00416C4A">
        <w:rPr>
          <w:i/>
          <w:iCs/>
        </w:rPr>
        <w:t>Organizational Dynamics</w:t>
      </w:r>
      <w:r w:rsidRPr="00416C4A">
        <w:t>, 37(2), 145-164.</w:t>
      </w:r>
    </w:p>
    <w:p w14:paraId="77D36DC5" w14:textId="5B3E86AA" w:rsidR="00392642" w:rsidRPr="00416C4A" w:rsidRDefault="00D96DFB" w:rsidP="00392642">
      <w:pPr>
        <w:spacing w:line="480" w:lineRule="auto"/>
        <w:ind w:left="720" w:hanging="720"/>
        <w:jc w:val="both"/>
        <w:rPr>
          <w:rFonts w:ascii="Times" w:hAnsi="Times"/>
        </w:rPr>
      </w:pPr>
      <w:r w:rsidRPr="00416C4A">
        <w:rPr>
          <w:rFonts w:ascii="Times" w:hAnsi="Times"/>
        </w:rPr>
        <w:t>Liu, Y., Wei, Z. and Xie, F. 2014</w:t>
      </w:r>
      <w:r w:rsidR="00B92B88" w:rsidRPr="00416C4A">
        <w:rPr>
          <w:rFonts w:ascii="Times" w:hAnsi="Times"/>
        </w:rPr>
        <w:t>.</w:t>
      </w:r>
      <w:r w:rsidRPr="00416C4A">
        <w:rPr>
          <w:rFonts w:ascii="Times" w:hAnsi="Times"/>
        </w:rPr>
        <w:t xml:space="preserve"> Do women directors improve firm performance in China? </w:t>
      </w:r>
      <w:r w:rsidRPr="00416C4A">
        <w:rPr>
          <w:rFonts w:ascii="Times" w:hAnsi="Times"/>
          <w:i/>
          <w:iCs/>
        </w:rPr>
        <w:t>Journal of Corporate Finance</w:t>
      </w:r>
      <w:r w:rsidRPr="00416C4A">
        <w:rPr>
          <w:rFonts w:ascii="Times" w:hAnsi="Times"/>
        </w:rPr>
        <w:t>, 28, 169-184.</w:t>
      </w:r>
    </w:p>
    <w:p w14:paraId="05271CE6" w14:textId="3DA8FCDB" w:rsidR="00392642" w:rsidRPr="00416C4A" w:rsidRDefault="00D96DFB" w:rsidP="00392642">
      <w:pPr>
        <w:spacing w:line="480" w:lineRule="auto"/>
        <w:ind w:left="720" w:hanging="720"/>
        <w:jc w:val="both"/>
        <w:rPr>
          <w:rFonts w:ascii="Times" w:hAnsi="Times" w:cstheme="minorBidi"/>
        </w:rPr>
      </w:pPr>
      <w:r w:rsidRPr="00416C4A">
        <w:rPr>
          <w:rFonts w:ascii="Times" w:hAnsi="Times" w:cstheme="minorBidi"/>
        </w:rPr>
        <w:t>Lynn</w:t>
      </w:r>
      <w:r w:rsidR="00851C70" w:rsidRPr="00416C4A">
        <w:rPr>
          <w:rFonts w:ascii="Times" w:hAnsi="Times" w:cstheme="minorBidi"/>
        </w:rPr>
        <w:t>,</w:t>
      </w:r>
      <w:r w:rsidRPr="00416C4A">
        <w:rPr>
          <w:rFonts w:ascii="Times" w:hAnsi="Times" w:cstheme="minorBidi"/>
        </w:rPr>
        <w:t xml:space="preserve"> Z. 1988</w:t>
      </w:r>
      <w:r w:rsidR="00B92B88" w:rsidRPr="00416C4A">
        <w:rPr>
          <w:rFonts w:ascii="Times" w:hAnsi="Times" w:cstheme="minorBidi"/>
        </w:rPr>
        <w:t>.</w:t>
      </w:r>
      <w:r w:rsidRPr="00416C4A">
        <w:rPr>
          <w:rFonts w:ascii="Times" w:hAnsi="Times" w:cstheme="minorBidi"/>
        </w:rPr>
        <w:t xml:space="preserve"> Tokenism and </w:t>
      </w:r>
      <w:r w:rsidR="00A9262F" w:rsidRPr="00416C4A">
        <w:rPr>
          <w:rFonts w:ascii="Times" w:hAnsi="Times" w:cstheme="minorBidi"/>
        </w:rPr>
        <w:t>w</w:t>
      </w:r>
      <w:r w:rsidRPr="00416C4A">
        <w:rPr>
          <w:rFonts w:ascii="Times" w:hAnsi="Times" w:cstheme="minorBidi"/>
        </w:rPr>
        <w:t xml:space="preserve">omen in the </w:t>
      </w:r>
      <w:r w:rsidR="00A9262F" w:rsidRPr="00416C4A">
        <w:rPr>
          <w:rFonts w:ascii="Times" w:hAnsi="Times" w:cstheme="minorBidi"/>
        </w:rPr>
        <w:t>w</w:t>
      </w:r>
      <w:r w:rsidRPr="00416C4A">
        <w:rPr>
          <w:rFonts w:ascii="Times" w:hAnsi="Times" w:cstheme="minorBidi"/>
        </w:rPr>
        <w:t xml:space="preserve">orkplace: The </w:t>
      </w:r>
      <w:r w:rsidR="00A9262F" w:rsidRPr="00416C4A">
        <w:rPr>
          <w:rFonts w:ascii="Times" w:hAnsi="Times" w:cstheme="minorBidi"/>
        </w:rPr>
        <w:t>l</w:t>
      </w:r>
      <w:r w:rsidRPr="00416C4A">
        <w:rPr>
          <w:rFonts w:ascii="Times" w:hAnsi="Times" w:cstheme="minorBidi"/>
        </w:rPr>
        <w:t xml:space="preserve">imits of </w:t>
      </w:r>
      <w:r w:rsidR="00A9262F" w:rsidRPr="00416C4A">
        <w:rPr>
          <w:rFonts w:ascii="Times" w:hAnsi="Times" w:cstheme="minorBidi"/>
        </w:rPr>
        <w:t>g</w:t>
      </w:r>
      <w:r w:rsidRPr="00416C4A">
        <w:rPr>
          <w:rFonts w:ascii="Times" w:hAnsi="Times" w:cstheme="minorBidi"/>
        </w:rPr>
        <w:t>ender-</w:t>
      </w:r>
      <w:r w:rsidR="00A9262F" w:rsidRPr="00416C4A">
        <w:rPr>
          <w:rFonts w:ascii="Times" w:hAnsi="Times" w:cstheme="minorBidi"/>
        </w:rPr>
        <w:t>n</w:t>
      </w:r>
      <w:r w:rsidRPr="00416C4A">
        <w:rPr>
          <w:rFonts w:ascii="Times" w:hAnsi="Times" w:cstheme="minorBidi"/>
        </w:rPr>
        <w:t>eutral Theory</w:t>
      </w:r>
      <w:r w:rsidR="00A74207" w:rsidRPr="00416C4A">
        <w:rPr>
          <w:rFonts w:ascii="Times" w:hAnsi="Times" w:cstheme="minorBidi"/>
        </w:rPr>
        <w:t>.</w:t>
      </w:r>
      <w:r w:rsidRPr="00416C4A">
        <w:rPr>
          <w:rFonts w:ascii="Times" w:hAnsi="Times" w:cstheme="minorBidi"/>
        </w:rPr>
        <w:t xml:space="preserve"> </w:t>
      </w:r>
      <w:r w:rsidRPr="00416C4A">
        <w:rPr>
          <w:rFonts w:ascii="Times" w:hAnsi="Times" w:cstheme="minorBidi"/>
          <w:i/>
          <w:iCs/>
        </w:rPr>
        <w:t>Social Problems</w:t>
      </w:r>
      <w:r w:rsidRPr="00416C4A">
        <w:rPr>
          <w:rFonts w:ascii="Times" w:hAnsi="Times" w:cstheme="minorBidi"/>
        </w:rPr>
        <w:t>, 35(1), 64-77.</w:t>
      </w:r>
    </w:p>
    <w:p w14:paraId="017C1F9E" w14:textId="61B83620" w:rsidR="002D1E2A" w:rsidRPr="00416C4A" w:rsidRDefault="00D96DFB" w:rsidP="00392642">
      <w:pPr>
        <w:spacing w:line="480" w:lineRule="auto"/>
        <w:ind w:left="720" w:hanging="720"/>
        <w:jc w:val="both"/>
        <w:rPr>
          <w:rFonts w:ascii="Times" w:hAnsi="Times" w:cstheme="minorBidi"/>
        </w:rPr>
      </w:pPr>
      <w:proofErr w:type="spellStart"/>
      <w:r w:rsidRPr="00416C4A">
        <w:t>Magnanelli</w:t>
      </w:r>
      <w:proofErr w:type="spellEnd"/>
      <w:r w:rsidR="00334B98" w:rsidRPr="00416C4A">
        <w:t xml:space="preserve">, </w:t>
      </w:r>
      <w:r w:rsidR="00DC2A61" w:rsidRPr="00416C4A">
        <w:t xml:space="preserve">B., </w:t>
      </w:r>
      <w:proofErr w:type="spellStart"/>
      <w:r w:rsidR="00DC2A61" w:rsidRPr="00416C4A">
        <w:t>Nasta</w:t>
      </w:r>
      <w:proofErr w:type="spellEnd"/>
      <w:r w:rsidR="00DC2A61" w:rsidRPr="00416C4A">
        <w:t xml:space="preserve">, L. and </w:t>
      </w:r>
      <w:proofErr w:type="spellStart"/>
      <w:r w:rsidR="00DC2A61" w:rsidRPr="00416C4A">
        <w:t>Raoli</w:t>
      </w:r>
      <w:proofErr w:type="spellEnd"/>
      <w:r w:rsidR="00DC2A61" w:rsidRPr="00416C4A">
        <w:t xml:space="preserve">, </w:t>
      </w:r>
      <w:r w:rsidR="00D559F1" w:rsidRPr="00416C4A">
        <w:t>E. 2020</w:t>
      </w:r>
      <w:r w:rsidR="00B92B88" w:rsidRPr="00416C4A">
        <w:t>.</w:t>
      </w:r>
      <w:r w:rsidR="00D559F1" w:rsidRPr="00416C4A">
        <w:t xml:space="preserve"> Do female directors</w:t>
      </w:r>
      <w:r w:rsidR="00A9262F" w:rsidRPr="00416C4A">
        <w:t xml:space="preserve"> on corporate boards </w:t>
      </w:r>
      <w:r w:rsidR="00A84489" w:rsidRPr="00416C4A">
        <w:t xml:space="preserve">make a difference in family-owned businesses? </w:t>
      </w:r>
      <w:r w:rsidR="00A84489" w:rsidRPr="00416C4A">
        <w:rPr>
          <w:i/>
          <w:iCs/>
        </w:rPr>
        <w:t>Journal of International Accounting Resea</w:t>
      </w:r>
      <w:r w:rsidR="009B1C92" w:rsidRPr="00416C4A">
        <w:rPr>
          <w:i/>
          <w:iCs/>
        </w:rPr>
        <w:t>rch</w:t>
      </w:r>
      <w:r w:rsidR="009B1C92" w:rsidRPr="00416C4A">
        <w:t>, 19(1)</w:t>
      </w:r>
      <w:r w:rsidR="003F5424" w:rsidRPr="00416C4A">
        <w:t>, 85-102.</w:t>
      </w:r>
    </w:p>
    <w:p w14:paraId="488C609F" w14:textId="42F6B2ED" w:rsidR="00392642" w:rsidRPr="00416C4A" w:rsidRDefault="00D96DFB" w:rsidP="00392642">
      <w:pPr>
        <w:spacing w:line="480" w:lineRule="auto"/>
        <w:ind w:left="720" w:hanging="720"/>
        <w:jc w:val="both"/>
        <w:rPr>
          <w:rFonts w:ascii="Times" w:hAnsi="Times"/>
        </w:rPr>
      </w:pPr>
      <w:proofErr w:type="spellStart"/>
      <w:r w:rsidRPr="00416C4A">
        <w:rPr>
          <w:rFonts w:ascii="Times" w:hAnsi="Times"/>
        </w:rPr>
        <w:t>Marinova</w:t>
      </w:r>
      <w:proofErr w:type="spellEnd"/>
      <w:r w:rsidRPr="00416C4A">
        <w:rPr>
          <w:rFonts w:ascii="Times" w:hAnsi="Times"/>
        </w:rPr>
        <w:t xml:space="preserve">, J., </w:t>
      </w:r>
      <w:proofErr w:type="spellStart"/>
      <w:r w:rsidRPr="00416C4A">
        <w:rPr>
          <w:rFonts w:ascii="Times" w:hAnsi="Times"/>
        </w:rPr>
        <w:t>Plantenga</w:t>
      </w:r>
      <w:proofErr w:type="spellEnd"/>
      <w:r w:rsidRPr="00416C4A">
        <w:rPr>
          <w:rFonts w:ascii="Times" w:hAnsi="Times"/>
        </w:rPr>
        <w:t xml:space="preserve">, J. and </w:t>
      </w:r>
      <w:proofErr w:type="spellStart"/>
      <w:r w:rsidRPr="00416C4A">
        <w:rPr>
          <w:rFonts w:ascii="Times" w:hAnsi="Times"/>
        </w:rPr>
        <w:t>Remery</w:t>
      </w:r>
      <w:proofErr w:type="spellEnd"/>
      <w:r w:rsidRPr="00416C4A">
        <w:rPr>
          <w:rFonts w:ascii="Times" w:hAnsi="Times"/>
        </w:rPr>
        <w:t>, C. 2016</w:t>
      </w:r>
      <w:r w:rsidR="00B92B88" w:rsidRPr="00416C4A">
        <w:rPr>
          <w:rFonts w:ascii="Times" w:hAnsi="Times"/>
        </w:rPr>
        <w:t>.</w:t>
      </w:r>
      <w:r w:rsidRPr="00416C4A">
        <w:rPr>
          <w:rFonts w:ascii="Times" w:hAnsi="Times"/>
        </w:rPr>
        <w:t xml:space="preserve"> Gender diversity and firm performance: Evidence from Dutch and Danish boardrooms</w:t>
      </w:r>
      <w:r w:rsidR="00A74207" w:rsidRPr="00416C4A">
        <w:rPr>
          <w:rFonts w:ascii="Times" w:hAnsi="Times"/>
        </w:rPr>
        <w:t>.</w:t>
      </w:r>
      <w:r w:rsidRPr="00416C4A">
        <w:rPr>
          <w:rFonts w:ascii="Times" w:hAnsi="Times"/>
        </w:rPr>
        <w:t xml:space="preserve"> </w:t>
      </w:r>
      <w:r w:rsidRPr="00416C4A">
        <w:rPr>
          <w:rFonts w:ascii="Times" w:hAnsi="Times"/>
          <w:i/>
          <w:iCs/>
        </w:rPr>
        <w:t>The International Journal of Human Resource Management</w:t>
      </w:r>
      <w:r w:rsidRPr="00416C4A">
        <w:rPr>
          <w:rFonts w:ascii="Times" w:hAnsi="Times"/>
        </w:rPr>
        <w:t>, 27(15), 1777-1790.</w:t>
      </w:r>
    </w:p>
    <w:p w14:paraId="2B61C2BC" w14:textId="1E8A6A91" w:rsidR="009C65A9" w:rsidRPr="00416C4A" w:rsidRDefault="00D96DFB" w:rsidP="009C65A9">
      <w:pPr>
        <w:spacing w:line="480" w:lineRule="auto"/>
        <w:ind w:left="720" w:hanging="720"/>
        <w:jc w:val="both"/>
        <w:rPr>
          <w:rFonts w:ascii="Times" w:hAnsi="Times"/>
        </w:rPr>
      </w:pPr>
      <w:r w:rsidRPr="00416C4A">
        <w:rPr>
          <w:rFonts w:ascii="Times" w:hAnsi="Times"/>
        </w:rPr>
        <w:t xml:space="preserve">Marriage, M. 2017. All-Male boards in the US face investor backlash. </w:t>
      </w:r>
      <w:r w:rsidRPr="00416C4A">
        <w:rPr>
          <w:rFonts w:ascii="Times" w:hAnsi="Times"/>
          <w:i/>
          <w:iCs/>
        </w:rPr>
        <w:t>Financial Times</w:t>
      </w:r>
      <w:r w:rsidRPr="00416C4A">
        <w:rPr>
          <w:rFonts w:ascii="Times" w:hAnsi="Times"/>
        </w:rPr>
        <w:t>. https://www.ft.com/content/2b915d48-1f81-11e7-a454-ab04428977f9</w:t>
      </w:r>
    </w:p>
    <w:p w14:paraId="4C638F06" w14:textId="75560D3F" w:rsidR="00392642" w:rsidRPr="00416C4A" w:rsidRDefault="00D96DFB" w:rsidP="00392642">
      <w:pPr>
        <w:spacing w:line="480" w:lineRule="auto"/>
        <w:ind w:left="720" w:hanging="720"/>
        <w:jc w:val="both"/>
        <w:rPr>
          <w:rFonts w:ascii="Times" w:hAnsi="Times"/>
        </w:rPr>
      </w:pPr>
      <w:proofErr w:type="spellStart"/>
      <w:r w:rsidRPr="00416C4A">
        <w:rPr>
          <w:rFonts w:ascii="Times" w:hAnsi="Times"/>
        </w:rPr>
        <w:t>Matsa</w:t>
      </w:r>
      <w:proofErr w:type="spellEnd"/>
      <w:r w:rsidRPr="00416C4A">
        <w:rPr>
          <w:rFonts w:ascii="Times" w:hAnsi="Times"/>
        </w:rPr>
        <w:t>, D.</w:t>
      </w:r>
      <w:r w:rsidR="00851C70" w:rsidRPr="00416C4A">
        <w:rPr>
          <w:rFonts w:ascii="Times" w:hAnsi="Times"/>
        </w:rPr>
        <w:t>,</w:t>
      </w:r>
      <w:r w:rsidRPr="00416C4A">
        <w:rPr>
          <w:rFonts w:ascii="Times" w:hAnsi="Times"/>
        </w:rPr>
        <w:t xml:space="preserve"> and </w:t>
      </w:r>
      <w:r w:rsidR="00851C70" w:rsidRPr="00416C4A">
        <w:rPr>
          <w:rFonts w:ascii="Times" w:hAnsi="Times"/>
        </w:rPr>
        <w:t xml:space="preserve">A. </w:t>
      </w:r>
      <w:r w:rsidRPr="00416C4A">
        <w:rPr>
          <w:rFonts w:ascii="Times" w:hAnsi="Times"/>
        </w:rPr>
        <w:t>Miller. 2013</w:t>
      </w:r>
      <w:r w:rsidR="00B92B88" w:rsidRPr="00416C4A">
        <w:rPr>
          <w:rFonts w:ascii="Times" w:hAnsi="Times"/>
        </w:rPr>
        <w:t>.</w:t>
      </w:r>
      <w:r w:rsidRPr="00416C4A">
        <w:rPr>
          <w:rFonts w:ascii="Times" w:hAnsi="Times"/>
        </w:rPr>
        <w:t xml:space="preserve"> A Female Style in Corporate Leadership? Evidence from Quotas</w:t>
      </w:r>
      <w:r w:rsidR="00A74207" w:rsidRPr="00416C4A">
        <w:rPr>
          <w:rFonts w:ascii="Times" w:hAnsi="Times"/>
        </w:rPr>
        <w:t>.</w:t>
      </w:r>
      <w:r w:rsidRPr="00416C4A">
        <w:rPr>
          <w:rFonts w:ascii="Times" w:hAnsi="Times"/>
        </w:rPr>
        <w:t xml:space="preserve"> </w:t>
      </w:r>
      <w:r w:rsidRPr="00416C4A">
        <w:rPr>
          <w:rFonts w:ascii="Times" w:hAnsi="Times"/>
          <w:i/>
          <w:iCs/>
        </w:rPr>
        <w:t>Applied Economics</w:t>
      </w:r>
      <w:r w:rsidRPr="00416C4A">
        <w:rPr>
          <w:rFonts w:ascii="Times" w:hAnsi="Times"/>
        </w:rPr>
        <w:t>, 5(3), 136-169.</w:t>
      </w:r>
    </w:p>
    <w:p w14:paraId="26A948B6" w14:textId="4F8C9E3D" w:rsidR="00392642" w:rsidRPr="00416C4A" w:rsidRDefault="00D96DFB" w:rsidP="00392642">
      <w:pPr>
        <w:spacing w:line="480" w:lineRule="auto"/>
        <w:ind w:left="720" w:hanging="720"/>
        <w:jc w:val="both"/>
        <w:rPr>
          <w:rFonts w:ascii="Times" w:eastAsiaTheme="minorHAnsi" w:hAnsi="Times" w:cstheme="minorBidi"/>
          <w:lang w:eastAsia="en-US"/>
        </w:rPr>
      </w:pPr>
      <w:proofErr w:type="spellStart"/>
      <w:r w:rsidRPr="00416C4A">
        <w:rPr>
          <w:rFonts w:ascii="Times" w:eastAsiaTheme="minorHAnsi" w:hAnsi="Times" w:cstheme="minorBidi"/>
          <w:lang w:eastAsia="en-US"/>
        </w:rPr>
        <w:t>Niederle</w:t>
      </w:r>
      <w:proofErr w:type="spellEnd"/>
      <w:r w:rsidRPr="00416C4A">
        <w:rPr>
          <w:rFonts w:ascii="Times" w:eastAsiaTheme="minorHAnsi" w:hAnsi="Times" w:cstheme="minorBidi"/>
          <w:lang w:eastAsia="en-US"/>
        </w:rPr>
        <w:t xml:space="preserve">, M., Segal, C. and </w:t>
      </w:r>
      <w:proofErr w:type="spellStart"/>
      <w:r w:rsidRPr="00416C4A">
        <w:rPr>
          <w:rFonts w:ascii="Times" w:eastAsiaTheme="minorHAnsi" w:hAnsi="Times" w:cstheme="minorBidi"/>
          <w:lang w:eastAsia="en-US"/>
        </w:rPr>
        <w:t>Vesterlund</w:t>
      </w:r>
      <w:proofErr w:type="spellEnd"/>
      <w:r w:rsidRPr="00416C4A">
        <w:rPr>
          <w:rFonts w:ascii="Times" w:eastAsiaTheme="minorHAnsi" w:hAnsi="Times" w:cstheme="minorBidi"/>
          <w:lang w:eastAsia="en-US"/>
        </w:rPr>
        <w:t>, L. 2013</w:t>
      </w:r>
      <w:r w:rsidR="00B92B88" w:rsidRPr="00416C4A">
        <w:rPr>
          <w:rFonts w:ascii="Times" w:eastAsiaTheme="minorHAnsi" w:hAnsi="Times" w:cstheme="minorBidi"/>
          <w:lang w:eastAsia="en-US"/>
        </w:rPr>
        <w:t>.</w:t>
      </w:r>
      <w:r w:rsidRPr="00416C4A">
        <w:rPr>
          <w:rFonts w:ascii="Times" w:eastAsiaTheme="minorHAnsi" w:hAnsi="Times" w:cstheme="minorBidi"/>
          <w:lang w:eastAsia="en-US"/>
        </w:rPr>
        <w:t xml:space="preserve"> How costly is diversity? Affirmative action in light of gender differences in competitiveness</w:t>
      </w:r>
      <w:r w:rsidR="002E6174" w:rsidRPr="00416C4A">
        <w:rPr>
          <w:rFonts w:ascii="Times" w:eastAsiaTheme="minorHAnsi" w:hAnsi="Times" w:cstheme="minorBidi"/>
          <w:lang w:eastAsia="en-US"/>
        </w:rPr>
        <w:t>.</w:t>
      </w:r>
      <w:r w:rsidRPr="00416C4A">
        <w:rPr>
          <w:rFonts w:ascii="Times" w:eastAsiaTheme="minorHAnsi" w:hAnsi="Times" w:cstheme="minorBidi"/>
          <w:lang w:eastAsia="en-US"/>
        </w:rPr>
        <w:t> </w:t>
      </w:r>
      <w:r w:rsidRPr="00416C4A">
        <w:rPr>
          <w:rFonts w:ascii="Times" w:eastAsiaTheme="minorHAnsi" w:hAnsi="Times" w:cstheme="minorBidi"/>
          <w:i/>
          <w:iCs/>
          <w:lang w:eastAsia="en-US"/>
        </w:rPr>
        <w:t>Management Science</w:t>
      </w:r>
      <w:r w:rsidRPr="00416C4A">
        <w:rPr>
          <w:rFonts w:ascii="Times" w:eastAsiaTheme="minorHAnsi" w:hAnsi="Times" w:cstheme="minorBidi"/>
          <w:lang w:eastAsia="en-US"/>
        </w:rPr>
        <w:t>, 59(1), 1-16.</w:t>
      </w:r>
    </w:p>
    <w:p w14:paraId="47574376" w14:textId="76EEABD2" w:rsidR="00392642" w:rsidRPr="00416C4A" w:rsidRDefault="00D96DFB" w:rsidP="00392642">
      <w:pPr>
        <w:spacing w:line="480" w:lineRule="auto"/>
        <w:ind w:left="720" w:hanging="720"/>
        <w:jc w:val="both"/>
        <w:rPr>
          <w:rFonts w:ascii="Times" w:hAnsi="Times"/>
        </w:rPr>
      </w:pPr>
      <w:r w:rsidRPr="00416C4A">
        <w:rPr>
          <w:rFonts w:ascii="Times" w:hAnsi="Times"/>
        </w:rPr>
        <w:t>Norway Statistics</w:t>
      </w:r>
      <w:r w:rsidR="00B92B88" w:rsidRPr="00416C4A">
        <w:rPr>
          <w:rFonts w:ascii="Times" w:hAnsi="Times"/>
        </w:rPr>
        <w:t>.</w:t>
      </w:r>
      <w:r w:rsidRPr="00416C4A">
        <w:rPr>
          <w:rFonts w:ascii="Times" w:hAnsi="Times"/>
        </w:rPr>
        <w:t xml:space="preserve"> 2018</w:t>
      </w:r>
      <w:r w:rsidR="00B92B88" w:rsidRPr="00416C4A">
        <w:rPr>
          <w:rFonts w:ascii="Times" w:hAnsi="Times"/>
        </w:rPr>
        <w:t>.</w:t>
      </w:r>
      <w:r w:rsidRPr="00416C4A">
        <w:rPr>
          <w:rFonts w:ascii="Times" w:hAnsi="Times"/>
        </w:rPr>
        <w:t> </w:t>
      </w:r>
      <w:r w:rsidRPr="00416C4A">
        <w:rPr>
          <w:rFonts w:ascii="Times" w:hAnsi="Times"/>
          <w:i/>
          <w:iCs/>
        </w:rPr>
        <w:t>Women and men in Norway</w:t>
      </w:r>
      <w:r w:rsidRPr="00416C4A">
        <w:rPr>
          <w:rFonts w:ascii="Times" w:hAnsi="Times"/>
        </w:rPr>
        <w:t>. Available at: </w:t>
      </w:r>
      <w:hyperlink r:id="rId11" w:history="1">
        <w:r w:rsidRPr="00416C4A">
          <w:rPr>
            <w:rStyle w:val="Hyperlink"/>
            <w:rFonts w:ascii="Times" w:hAnsi="Times"/>
            <w:color w:val="auto"/>
            <w:u w:val="none"/>
          </w:rPr>
          <w:t>https://www.ssb.no/en/befolkning/artikler-og-publikasjoner/_attachment/347081?_ts=1632b8bcba0</w:t>
        </w:r>
      </w:hyperlink>
      <w:r w:rsidRPr="00416C4A">
        <w:rPr>
          <w:rFonts w:ascii="Times" w:hAnsi="Times"/>
        </w:rPr>
        <w:t xml:space="preserve"> (Accessed: 2 February 2020).</w:t>
      </w:r>
    </w:p>
    <w:p w14:paraId="79C3DB6F" w14:textId="19D3F480" w:rsidR="00392642" w:rsidRPr="00416C4A" w:rsidRDefault="00D96DFB" w:rsidP="00392642">
      <w:pPr>
        <w:spacing w:line="480" w:lineRule="auto"/>
        <w:ind w:left="709" w:hanging="709"/>
        <w:jc w:val="both"/>
      </w:pPr>
      <w:r w:rsidRPr="00416C4A">
        <w:t>Petersen, M. 2009</w:t>
      </w:r>
      <w:r w:rsidR="006B5D34" w:rsidRPr="00416C4A">
        <w:t>.</w:t>
      </w:r>
      <w:r w:rsidRPr="00416C4A">
        <w:t xml:space="preserve"> Estimating </w:t>
      </w:r>
      <w:r w:rsidR="00600224" w:rsidRPr="00416C4A">
        <w:t>s</w:t>
      </w:r>
      <w:r w:rsidRPr="00416C4A">
        <w:t xml:space="preserve">tandard </w:t>
      </w:r>
      <w:r w:rsidR="00600224" w:rsidRPr="00416C4A">
        <w:t>e</w:t>
      </w:r>
      <w:r w:rsidRPr="00416C4A">
        <w:t xml:space="preserve">rrors in </w:t>
      </w:r>
      <w:r w:rsidR="00600224" w:rsidRPr="00416C4A">
        <w:t>f</w:t>
      </w:r>
      <w:r w:rsidRPr="00416C4A">
        <w:t xml:space="preserve">inance </w:t>
      </w:r>
      <w:r w:rsidR="00600224" w:rsidRPr="00416C4A">
        <w:t>p</w:t>
      </w:r>
      <w:r w:rsidRPr="00416C4A">
        <w:t xml:space="preserve">anel </w:t>
      </w:r>
      <w:r w:rsidR="00600224" w:rsidRPr="00416C4A">
        <w:t>d</w:t>
      </w:r>
      <w:r w:rsidRPr="00416C4A">
        <w:t xml:space="preserve">ata </w:t>
      </w:r>
      <w:r w:rsidR="00600224" w:rsidRPr="00416C4A">
        <w:t>s</w:t>
      </w:r>
      <w:r w:rsidRPr="00416C4A">
        <w:t xml:space="preserve">ets: Comparing </w:t>
      </w:r>
      <w:r w:rsidR="00600224" w:rsidRPr="00416C4A">
        <w:t>a</w:t>
      </w:r>
      <w:r w:rsidRPr="00416C4A">
        <w:t>pproaches</w:t>
      </w:r>
      <w:r w:rsidR="002E6174" w:rsidRPr="00416C4A">
        <w:t>.</w:t>
      </w:r>
      <w:r w:rsidR="00600224" w:rsidRPr="00416C4A">
        <w:t xml:space="preserve"> </w:t>
      </w:r>
      <w:r w:rsidRPr="00416C4A">
        <w:rPr>
          <w:rStyle w:val="Emphasis"/>
        </w:rPr>
        <w:t>The Review of Financial Studies</w:t>
      </w:r>
      <w:r w:rsidRPr="00416C4A">
        <w:rPr>
          <w:rStyle w:val="Strong"/>
        </w:rPr>
        <w:t>,</w:t>
      </w:r>
      <w:r w:rsidRPr="00416C4A">
        <w:t> 22(1), 435-480.</w:t>
      </w:r>
    </w:p>
    <w:p w14:paraId="42EF7C2D" w14:textId="502B8447" w:rsidR="001D734C" w:rsidRPr="00416C4A" w:rsidRDefault="00D96DFB" w:rsidP="001D734C">
      <w:pPr>
        <w:spacing w:line="480" w:lineRule="auto"/>
        <w:ind w:left="709" w:hanging="709"/>
        <w:jc w:val="both"/>
      </w:pPr>
      <w:r w:rsidRPr="00416C4A">
        <w:lastRenderedPageBreak/>
        <w:t xml:space="preserve">Post, C., </w:t>
      </w:r>
      <w:r w:rsidR="002773F7" w:rsidRPr="00416C4A">
        <w:t>and</w:t>
      </w:r>
      <w:r w:rsidRPr="00416C4A">
        <w:t xml:space="preserve"> Byron, K. 2015. Women on Boards and Firm Financial Performance: A Meta-Analysis. </w:t>
      </w:r>
      <w:r w:rsidRPr="00416C4A">
        <w:rPr>
          <w:i/>
          <w:iCs/>
        </w:rPr>
        <w:t>Academy of Management Journal</w:t>
      </w:r>
      <w:r w:rsidRPr="00416C4A">
        <w:t>, 58(5), 1546–1571.</w:t>
      </w:r>
    </w:p>
    <w:p w14:paraId="5FFA0672" w14:textId="78063BEF" w:rsidR="00392642" w:rsidRPr="00416C4A" w:rsidRDefault="00D96DFB" w:rsidP="00392642">
      <w:pPr>
        <w:spacing w:line="480" w:lineRule="auto"/>
        <w:ind w:left="720" w:hanging="720"/>
        <w:jc w:val="both"/>
      </w:pPr>
      <w:r w:rsidRPr="00416C4A">
        <w:t>Prat, B.</w:t>
      </w:r>
      <w:r w:rsidR="00221D8E" w:rsidRPr="00416C4A">
        <w:t>,</w:t>
      </w:r>
      <w:r w:rsidRPr="00416C4A">
        <w:t xml:space="preserve"> and </w:t>
      </w:r>
      <w:r w:rsidR="00221D8E" w:rsidRPr="00416C4A">
        <w:t xml:space="preserve">H. </w:t>
      </w:r>
      <w:r w:rsidRPr="00416C4A">
        <w:t>Mueller. 2016</w:t>
      </w:r>
      <w:r w:rsidR="006B5D34" w:rsidRPr="00416C4A">
        <w:t>.</w:t>
      </w:r>
      <w:r w:rsidRPr="00416C4A">
        <w:t xml:space="preserve"> Board-level gender quotas in the UK, France and Germany</w:t>
      </w:r>
      <w:r w:rsidR="002E6174" w:rsidRPr="00416C4A">
        <w:t>.</w:t>
      </w:r>
      <w:r w:rsidRPr="00416C4A">
        <w:t xml:space="preserve"> </w:t>
      </w:r>
      <w:r w:rsidRPr="00416C4A">
        <w:rPr>
          <w:i/>
          <w:iCs/>
        </w:rPr>
        <w:t>News</w:t>
      </w:r>
      <w:r w:rsidRPr="00416C4A">
        <w:t>, 14(1), 1-17.</w:t>
      </w:r>
    </w:p>
    <w:p w14:paraId="09C7D06C" w14:textId="77777777" w:rsidR="00A5138C" w:rsidRPr="00416C4A" w:rsidRDefault="00D96DFB" w:rsidP="00A5138C">
      <w:pPr>
        <w:spacing w:line="480" w:lineRule="auto"/>
        <w:ind w:left="720" w:hanging="720"/>
        <w:jc w:val="both"/>
        <w:rPr>
          <w:rFonts w:ascii="Times" w:hAnsi="Times"/>
        </w:rPr>
      </w:pPr>
      <w:r w:rsidRPr="00416C4A">
        <w:rPr>
          <w:rFonts w:ascii="Times" w:hAnsi="Times"/>
        </w:rPr>
        <w:t>Ryan, M., and S. Haslam. 2005. The glass cliff: Evidence that women are over</w:t>
      </w:r>
      <w:r w:rsidRPr="00416C4A">
        <w:rPr>
          <w:rFonts w:ascii="Cambria Math" w:hAnsi="Cambria Math" w:cs="Cambria Math"/>
        </w:rPr>
        <w:t>‐</w:t>
      </w:r>
      <w:r w:rsidRPr="00416C4A">
        <w:rPr>
          <w:rFonts w:ascii="Times" w:hAnsi="Times"/>
        </w:rPr>
        <w:t xml:space="preserve">represented in precarious leadership positions. </w:t>
      </w:r>
      <w:r w:rsidRPr="00416C4A">
        <w:rPr>
          <w:rFonts w:ascii="Times" w:hAnsi="Times"/>
          <w:i/>
          <w:iCs/>
        </w:rPr>
        <w:t>British Journal of Management</w:t>
      </w:r>
      <w:r w:rsidRPr="00416C4A">
        <w:rPr>
          <w:rFonts w:ascii="Times" w:hAnsi="Times"/>
        </w:rPr>
        <w:t>, 16(2), 81-90.</w:t>
      </w:r>
    </w:p>
    <w:p w14:paraId="15D63A54" w14:textId="78510580" w:rsidR="00392642" w:rsidRPr="00416C4A" w:rsidRDefault="00D96DFB" w:rsidP="00392642">
      <w:pPr>
        <w:spacing w:line="480" w:lineRule="auto"/>
        <w:ind w:left="720" w:hanging="720"/>
        <w:jc w:val="both"/>
        <w:rPr>
          <w:rFonts w:ascii="Times" w:eastAsiaTheme="minorHAnsi" w:hAnsi="Times" w:cstheme="minorBidi"/>
          <w:lang w:eastAsia="en-US"/>
        </w:rPr>
      </w:pPr>
      <w:r w:rsidRPr="00416C4A">
        <w:rPr>
          <w:rFonts w:ascii="Times" w:eastAsiaTheme="minorHAnsi" w:hAnsi="Times" w:cstheme="minorBidi"/>
          <w:lang w:eastAsia="en-US"/>
        </w:rPr>
        <w:t>Ryan, M.</w:t>
      </w:r>
      <w:r w:rsidR="00221D8E" w:rsidRPr="00416C4A">
        <w:rPr>
          <w:rFonts w:ascii="Times" w:eastAsiaTheme="minorHAnsi" w:hAnsi="Times" w:cstheme="minorBidi"/>
          <w:lang w:eastAsia="en-US"/>
        </w:rPr>
        <w:t>,</w:t>
      </w:r>
      <w:r w:rsidRPr="00416C4A">
        <w:rPr>
          <w:rFonts w:ascii="Times" w:eastAsiaTheme="minorHAnsi" w:hAnsi="Times" w:cstheme="minorBidi"/>
          <w:lang w:eastAsia="en-US"/>
        </w:rPr>
        <w:t xml:space="preserve"> and </w:t>
      </w:r>
      <w:r w:rsidR="00221D8E" w:rsidRPr="00416C4A">
        <w:rPr>
          <w:rFonts w:ascii="Times" w:eastAsiaTheme="minorHAnsi" w:hAnsi="Times" w:cstheme="minorBidi"/>
          <w:lang w:eastAsia="en-US"/>
        </w:rPr>
        <w:t xml:space="preserve">S. </w:t>
      </w:r>
      <w:r w:rsidRPr="00416C4A">
        <w:rPr>
          <w:rFonts w:ascii="Times" w:eastAsiaTheme="minorHAnsi" w:hAnsi="Times" w:cstheme="minorBidi"/>
          <w:lang w:eastAsia="en-US"/>
        </w:rPr>
        <w:t>Haslam. 2007</w:t>
      </w:r>
      <w:r w:rsidR="006B5D34" w:rsidRPr="00416C4A">
        <w:rPr>
          <w:rFonts w:ascii="Times" w:eastAsiaTheme="minorHAnsi" w:hAnsi="Times" w:cstheme="minorBidi"/>
          <w:lang w:eastAsia="en-US"/>
        </w:rPr>
        <w:t>.</w:t>
      </w:r>
      <w:r w:rsidRPr="00416C4A">
        <w:rPr>
          <w:rFonts w:ascii="Times" w:eastAsiaTheme="minorHAnsi" w:hAnsi="Times" w:cstheme="minorBidi"/>
          <w:lang w:eastAsia="en-US"/>
        </w:rPr>
        <w:t xml:space="preserve"> The glass cliff: </w:t>
      </w:r>
      <w:r w:rsidR="00A5138C" w:rsidRPr="00416C4A">
        <w:rPr>
          <w:rFonts w:ascii="Times" w:eastAsiaTheme="minorHAnsi" w:hAnsi="Times" w:cstheme="minorBidi"/>
          <w:lang w:eastAsia="en-US"/>
        </w:rPr>
        <w:t>E</w:t>
      </w:r>
      <w:r w:rsidRPr="00416C4A">
        <w:rPr>
          <w:rFonts w:ascii="Times" w:eastAsiaTheme="minorHAnsi" w:hAnsi="Times" w:cstheme="minorBidi"/>
          <w:lang w:eastAsia="en-US"/>
        </w:rPr>
        <w:t>xploring the dynamics surrounding women’s appointment to precarious leadership positions</w:t>
      </w:r>
      <w:r w:rsidR="002E6174" w:rsidRPr="00416C4A">
        <w:rPr>
          <w:rFonts w:ascii="Times" w:eastAsiaTheme="minorHAnsi" w:hAnsi="Times" w:cstheme="minorBidi"/>
          <w:lang w:eastAsia="en-US"/>
        </w:rPr>
        <w:t>.</w:t>
      </w:r>
      <w:r w:rsidRPr="00416C4A">
        <w:rPr>
          <w:rFonts w:ascii="Times" w:eastAsiaTheme="minorHAnsi" w:hAnsi="Times" w:cstheme="minorBidi"/>
          <w:lang w:eastAsia="en-US"/>
        </w:rPr>
        <w:t xml:space="preserve"> </w:t>
      </w:r>
      <w:r w:rsidRPr="00416C4A">
        <w:rPr>
          <w:rFonts w:ascii="Times" w:eastAsiaTheme="minorHAnsi" w:hAnsi="Times" w:cstheme="minorBidi"/>
          <w:i/>
          <w:iCs/>
          <w:lang w:eastAsia="en-US"/>
        </w:rPr>
        <w:t>Academy of Management Review</w:t>
      </w:r>
      <w:r w:rsidRPr="00416C4A">
        <w:rPr>
          <w:rFonts w:ascii="Times" w:eastAsiaTheme="minorHAnsi" w:hAnsi="Times" w:cstheme="minorBidi"/>
          <w:lang w:eastAsia="en-US"/>
        </w:rPr>
        <w:t>, 32(2), 549-572.</w:t>
      </w:r>
    </w:p>
    <w:p w14:paraId="5688661B" w14:textId="53CD67E9" w:rsidR="00392642" w:rsidRPr="00416C4A" w:rsidRDefault="00D96DFB" w:rsidP="00392642">
      <w:pPr>
        <w:spacing w:line="480" w:lineRule="auto"/>
        <w:ind w:left="720" w:hanging="720"/>
        <w:jc w:val="both"/>
        <w:rPr>
          <w:rFonts w:ascii="Times" w:eastAsiaTheme="minorHAnsi" w:hAnsi="Times" w:cstheme="minorBidi"/>
          <w:lang w:eastAsia="en-US"/>
        </w:rPr>
      </w:pPr>
      <w:r w:rsidRPr="00416C4A">
        <w:rPr>
          <w:rFonts w:ascii="Times" w:eastAsiaTheme="minorHAnsi" w:hAnsi="Times" w:cstheme="minorBidi"/>
          <w:lang w:eastAsia="en-US"/>
        </w:rPr>
        <w:t xml:space="preserve">Ryan, M., Haslam, S., </w:t>
      </w:r>
      <w:proofErr w:type="spellStart"/>
      <w:r w:rsidRPr="00416C4A">
        <w:rPr>
          <w:rFonts w:ascii="Times" w:eastAsiaTheme="minorHAnsi" w:hAnsi="Times" w:cstheme="minorBidi"/>
          <w:lang w:eastAsia="en-US"/>
        </w:rPr>
        <w:t>Hersby</w:t>
      </w:r>
      <w:proofErr w:type="spellEnd"/>
      <w:r w:rsidRPr="00416C4A">
        <w:rPr>
          <w:rFonts w:ascii="Times" w:eastAsiaTheme="minorHAnsi" w:hAnsi="Times" w:cstheme="minorBidi"/>
          <w:lang w:eastAsia="en-US"/>
        </w:rPr>
        <w:t xml:space="preserve">, M. and </w:t>
      </w:r>
      <w:proofErr w:type="spellStart"/>
      <w:r w:rsidRPr="00416C4A">
        <w:rPr>
          <w:rFonts w:ascii="Times" w:eastAsiaTheme="minorHAnsi" w:hAnsi="Times" w:cstheme="minorBidi"/>
          <w:lang w:eastAsia="en-US"/>
        </w:rPr>
        <w:t>Bongiorno</w:t>
      </w:r>
      <w:proofErr w:type="spellEnd"/>
      <w:r w:rsidRPr="00416C4A">
        <w:rPr>
          <w:rFonts w:ascii="Times" w:eastAsiaTheme="minorHAnsi" w:hAnsi="Times" w:cstheme="minorBidi"/>
          <w:lang w:eastAsia="en-US"/>
        </w:rPr>
        <w:t>, R. 2011</w:t>
      </w:r>
      <w:r w:rsidR="006B5D34" w:rsidRPr="00416C4A">
        <w:rPr>
          <w:rFonts w:ascii="Times" w:eastAsiaTheme="minorHAnsi" w:hAnsi="Times" w:cstheme="minorBidi"/>
          <w:lang w:eastAsia="en-US"/>
        </w:rPr>
        <w:t>.</w:t>
      </w:r>
      <w:r w:rsidRPr="00416C4A">
        <w:rPr>
          <w:rFonts w:ascii="Times" w:eastAsiaTheme="minorHAnsi" w:hAnsi="Times" w:cstheme="minorBidi"/>
          <w:lang w:eastAsia="en-US"/>
        </w:rPr>
        <w:t xml:space="preserve"> Think Crisis–Think Female: The Glass Cliff and Contextual Variation in the Think Manager–Think Male Stereotype</w:t>
      </w:r>
      <w:r w:rsidR="002E6174" w:rsidRPr="00416C4A">
        <w:rPr>
          <w:rFonts w:ascii="Times" w:eastAsiaTheme="minorHAnsi" w:hAnsi="Times" w:cstheme="minorBidi"/>
          <w:lang w:eastAsia="en-US"/>
        </w:rPr>
        <w:t>.</w:t>
      </w:r>
      <w:r w:rsidRPr="00416C4A">
        <w:rPr>
          <w:rFonts w:ascii="Times" w:eastAsiaTheme="minorHAnsi" w:hAnsi="Times" w:cstheme="minorBidi"/>
          <w:lang w:eastAsia="en-US"/>
        </w:rPr>
        <w:t xml:space="preserve"> </w:t>
      </w:r>
      <w:r w:rsidRPr="00416C4A">
        <w:rPr>
          <w:rFonts w:ascii="Times" w:eastAsiaTheme="minorHAnsi" w:hAnsi="Times" w:cstheme="minorBidi"/>
          <w:i/>
          <w:iCs/>
          <w:lang w:eastAsia="en-US"/>
        </w:rPr>
        <w:t>Journal of Applied Psychology</w:t>
      </w:r>
      <w:r w:rsidRPr="00416C4A">
        <w:rPr>
          <w:rFonts w:ascii="Times" w:eastAsiaTheme="minorHAnsi" w:hAnsi="Times" w:cstheme="minorBidi"/>
          <w:lang w:eastAsia="en-US"/>
        </w:rPr>
        <w:t>, 96(3), 470-484.</w:t>
      </w:r>
    </w:p>
    <w:p w14:paraId="3273248B" w14:textId="425FB5F8" w:rsidR="00392642" w:rsidRPr="00416C4A" w:rsidRDefault="00D96DFB" w:rsidP="00392642">
      <w:pPr>
        <w:spacing w:line="480" w:lineRule="auto"/>
        <w:ind w:left="720" w:hanging="720"/>
        <w:jc w:val="both"/>
        <w:rPr>
          <w:rFonts w:ascii="Times" w:hAnsi="Times"/>
        </w:rPr>
      </w:pPr>
      <w:r w:rsidRPr="00416C4A">
        <w:rPr>
          <w:rFonts w:ascii="Times" w:hAnsi="Times"/>
        </w:rPr>
        <w:t>Sabharwal, M. 2015</w:t>
      </w:r>
      <w:r w:rsidR="006B5D34" w:rsidRPr="00416C4A">
        <w:rPr>
          <w:rFonts w:ascii="Times" w:hAnsi="Times"/>
        </w:rPr>
        <w:t>.</w:t>
      </w:r>
      <w:r w:rsidRPr="00416C4A">
        <w:rPr>
          <w:rFonts w:ascii="Times" w:hAnsi="Times"/>
        </w:rPr>
        <w:t xml:space="preserve"> From glass ceiling to glass cliff: Women in senior executive service</w:t>
      </w:r>
      <w:r w:rsidR="002E6174" w:rsidRPr="00416C4A">
        <w:rPr>
          <w:rFonts w:ascii="Times" w:hAnsi="Times"/>
        </w:rPr>
        <w:t>.</w:t>
      </w:r>
      <w:r w:rsidRPr="00416C4A">
        <w:rPr>
          <w:rFonts w:ascii="Times" w:hAnsi="Times"/>
        </w:rPr>
        <w:t> </w:t>
      </w:r>
      <w:r w:rsidRPr="00416C4A">
        <w:rPr>
          <w:rFonts w:ascii="Times" w:hAnsi="Times"/>
          <w:i/>
          <w:iCs/>
        </w:rPr>
        <w:t>Journal of Public Administration Research and Theory</w:t>
      </w:r>
      <w:r w:rsidRPr="00416C4A">
        <w:rPr>
          <w:rFonts w:ascii="Times" w:hAnsi="Times"/>
        </w:rPr>
        <w:t>, 25(2), 399-426.</w:t>
      </w:r>
    </w:p>
    <w:p w14:paraId="064DC2F0" w14:textId="1703D941" w:rsidR="00392642" w:rsidRPr="00416C4A" w:rsidRDefault="00D96DFB" w:rsidP="00392642">
      <w:pPr>
        <w:spacing w:line="480" w:lineRule="auto"/>
        <w:ind w:left="720" w:hanging="720"/>
        <w:jc w:val="both"/>
        <w:rPr>
          <w:rFonts w:ascii="Times" w:hAnsi="Times"/>
        </w:rPr>
      </w:pPr>
      <w:r w:rsidRPr="00416C4A">
        <w:rPr>
          <w:rFonts w:ascii="Times" w:hAnsi="Times"/>
        </w:rPr>
        <w:t>Schein, V.</w:t>
      </w:r>
      <w:r w:rsidR="00F63DB5" w:rsidRPr="00416C4A">
        <w:rPr>
          <w:rFonts w:ascii="Times" w:hAnsi="Times"/>
        </w:rPr>
        <w:t>,</w:t>
      </w:r>
      <w:r w:rsidRPr="00416C4A">
        <w:rPr>
          <w:rFonts w:ascii="Times" w:hAnsi="Times"/>
        </w:rPr>
        <w:t xml:space="preserve"> and </w:t>
      </w:r>
      <w:r w:rsidR="00F63DB5" w:rsidRPr="00416C4A">
        <w:rPr>
          <w:rFonts w:ascii="Times" w:hAnsi="Times"/>
        </w:rPr>
        <w:t xml:space="preserve">R. </w:t>
      </w:r>
      <w:r w:rsidRPr="00416C4A">
        <w:rPr>
          <w:rFonts w:ascii="Times" w:hAnsi="Times"/>
        </w:rPr>
        <w:t>Mueller. 1992</w:t>
      </w:r>
      <w:r w:rsidR="006B5D34" w:rsidRPr="00416C4A">
        <w:rPr>
          <w:rFonts w:ascii="Times" w:hAnsi="Times"/>
        </w:rPr>
        <w:t>.</w:t>
      </w:r>
      <w:r w:rsidRPr="00416C4A">
        <w:rPr>
          <w:rFonts w:ascii="Times" w:hAnsi="Times"/>
        </w:rPr>
        <w:t xml:space="preserve"> Sex </w:t>
      </w:r>
      <w:r w:rsidR="004047AE" w:rsidRPr="00416C4A">
        <w:rPr>
          <w:rFonts w:ascii="Times" w:hAnsi="Times"/>
        </w:rPr>
        <w:t>r</w:t>
      </w:r>
      <w:r w:rsidRPr="00416C4A">
        <w:rPr>
          <w:rFonts w:ascii="Times" w:hAnsi="Times"/>
        </w:rPr>
        <w:t xml:space="preserve">ole </w:t>
      </w:r>
      <w:r w:rsidR="004047AE" w:rsidRPr="00416C4A">
        <w:rPr>
          <w:rFonts w:ascii="Times" w:hAnsi="Times"/>
        </w:rPr>
        <w:t>s</w:t>
      </w:r>
      <w:r w:rsidRPr="00416C4A">
        <w:rPr>
          <w:rFonts w:ascii="Times" w:hAnsi="Times"/>
        </w:rPr>
        <w:t xml:space="preserve">tereo-typing and </w:t>
      </w:r>
      <w:r w:rsidR="004047AE" w:rsidRPr="00416C4A">
        <w:rPr>
          <w:rFonts w:ascii="Times" w:hAnsi="Times"/>
        </w:rPr>
        <w:t>r</w:t>
      </w:r>
      <w:r w:rsidRPr="00416C4A">
        <w:rPr>
          <w:rFonts w:ascii="Times" w:hAnsi="Times"/>
        </w:rPr>
        <w:t xml:space="preserve">equisite </w:t>
      </w:r>
      <w:r w:rsidR="004047AE" w:rsidRPr="00416C4A">
        <w:rPr>
          <w:rFonts w:ascii="Times" w:hAnsi="Times"/>
        </w:rPr>
        <w:t>m</w:t>
      </w:r>
      <w:r w:rsidRPr="00416C4A">
        <w:rPr>
          <w:rFonts w:ascii="Times" w:hAnsi="Times"/>
        </w:rPr>
        <w:t xml:space="preserve">anagement </w:t>
      </w:r>
      <w:r w:rsidR="004047AE" w:rsidRPr="00416C4A">
        <w:rPr>
          <w:rFonts w:ascii="Times" w:hAnsi="Times"/>
        </w:rPr>
        <w:t>c</w:t>
      </w:r>
      <w:r w:rsidRPr="00416C4A">
        <w:rPr>
          <w:rFonts w:ascii="Times" w:hAnsi="Times"/>
        </w:rPr>
        <w:t xml:space="preserve">haracteristics: A </w:t>
      </w:r>
      <w:r w:rsidR="004047AE" w:rsidRPr="00416C4A">
        <w:rPr>
          <w:rFonts w:ascii="Times" w:hAnsi="Times"/>
        </w:rPr>
        <w:t>c</w:t>
      </w:r>
      <w:r w:rsidRPr="00416C4A">
        <w:rPr>
          <w:rFonts w:ascii="Times" w:hAnsi="Times"/>
        </w:rPr>
        <w:t>ross-</w:t>
      </w:r>
      <w:r w:rsidR="004047AE" w:rsidRPr="00416C4A">
        <w:rPr>
          <w:rFonts w:ascii="Times" w:hAnsi="Times"/>
        </w:rPr>
        <w:t>c</w:t>
      </w:r>
      <w:r w:rsidRPr="00416C4A">
        <w:rPr>
          <w:rFonts w:ascii="Times" w:hAnsi="Times"/>
        </w:rPr>
        <w:t xml:space="preserve">ultural </w:t>
      </w:r>
      <w:r w:rsidR="004047AE" w:rsidRPr="00416C4A">
        <w:rPr>
          <w:rFonts w:ascii="Times" w:hAnsi="Times"/>
        </w:rPr>
        <w:t>l</w:t>
      </w:r>
      <w:r w:rsidRPr="00416C4A">
        <w:rPr>
          <w:rFonts w:ascii="Times" w:hAnsi="Times"/>
        </w:rPr>
        <w:t>ook</w:t>
      </w:r>
      <w:r w:rsidR="002E6174" w:rsidRPr="00416C4A">
        <w:rPr>
          <w:rFonts w:ascii="Times" w:hAnsi="Times"/>
        </w:rPr>
        <w:t>.</w:t>
      </w:r>
      <w:r w:rsidRPr="00416C4A">
        <w:rPr>
          <w:rFonts w:ascii="Times" w:hAnsi="Times"/>
        </w:rPr>
        <w:t xml:space="preserve"> </w:t>
      </w:r>
      <w:r w:rsidRPr="00416C4A">
        <w:rPr>
          <w:rFonts w:ascii="Times" w:hAnsi="Times"/>
          <w:i/>
          <w:iCs/>
        </w:rPr>
        <w:t xml:space="preserve">Journal of Organizational </w:t>
      </w:r>
      <w:proofErr w:type="spellStart"/>
      <w:r w:rsidRPr="00416C4A">
        <w:rPr>
          <w:rFonts w:ascii="Times" w:hAnsi="Times"/>
          <w:i/>
          <w:iCs/>
        </w:rPr>
        <w:t>Behavior</w:t>
      </w:r>
      <w:proofErr w:type="spellEnd"/>
      <w:r w:rsidRPr="00416C4A">
        <w:rPr>
          <w:rFonts w:ascii="Times" w:hAnsi="Times"/>
        </w:rPr>
        <w:t>, 13, 439–447.</w:t>
      </w:r>
    </w:p>
    <w:p w14:paraId="703C2DE0" w14:textId="2D794714" w:rsidR="00392642" w:rsidRPr="00416C4A" w:rsidRDefault="00D96DFB" w:rsidP="00392642">
      <w:pPr>
        <w:spacing w:line="480" w:lineRule="auto"/>
        <w:ind w:left="720" w:hanging="720"/>
        <w:jc w:val="both"/>
        <w:rPr>
          <w:rFonts w:ascii="Times" w:hAnsi="Times" w:cstheme="minorBidi"/>
        </w:rPr>
      </w:pPr>
      <w:r w:rsidRPr="00416C4A">
        <w:rPr>
          <w:rFonts w:ascii="Times" w:hAnsi="Times" w:cstheme="minorBidi"/>
        </w:rPr>
        <w:t xml:space="preserve">Shehata, N., </w:t>
      </w:r>
      <w:proofErr w:type="spellStart"/>
      <w:r w:rsidRPr="00416C4A">
        <w:rPr>
          <w:rFonts w:ascii="Times" w:hAnsi="Times" w:cstheme="minorBidi"/>
        </w:rPr>
        <w:t>Salhin</w:t>
      </w:r>
      <w:proofErr w:type="spellEnd"/>
      <w:r w:rsidRPr="00416C4A">
        <w:rPr>
          <w:rFonts w:ascii="Times" w:hAnsi="Times" w:cstheme="minorBidi"/>
        </w:rPr>
        <w:t>, A. and El-</w:t>
      </w:r>
      <w:proofErr w:type="spellStart"/>
      <w:r w:rsidRPr="00416C4A">
        <w:rPr>
          <w:rFonts w:ascii="Times" w:hAnsi="Times" w:cstheme="minorBidi"/>
        </w:rPr>
        <w:t>Helaly</w:t>
      </w:r>
      <w:proofErr w:type="spellEnd"/>
      <w:r w:rsidRPr="00416C4A">
        <w:rPr>
          <w:rFonts w:ascii="Times" w:hAnsi="Times" w:cstheme="minorBidi"/>
        </w:rPr>
        <w:t>, M. 2017</w:t>
      </w:r>
      <w:r w:rsidR="006B5D34" w:rsidRPr="00416C4A">
        <w:rPr>
          <w:rFonts w:ascii="Times" w:hAnsi="Times" w:cstheme="minorBidi"/>
        </w:rPr>
        <w:t>.</w:t>
      </w:r>
      <w:r w:rsidRPr="00416C4A">
        <w:rPr>
          <w:rFonts w:ascii="Times" w:hAnsi="Times" w:cstheme="minorBidi"/>
        </w:rPr>
        <w:t xml:space="preserve"> Board diversity and firm performance: evidence from the UK SMEs</w:t>
      </w:r>
      <w:r w:rsidR="002E6174" w:rsidRPr="00416C4A">
        <w:rPr>
          <w:rFonts w:ascii="Times" w:hAnsi="Times" w:cstheme="minorBidi"/>
        </w:rPr>
        <w:t>.</w:t>
      </w:r>
      <w:r w:rsidRPr="00416C4A">
        <w:rPr>
          <w:rFonts w:ascii="Times" w:hAnsi="Times" w:cstheme="minorBidi"/>
        </w:rPr>
        <w:t xml:space="preserve"> </w:t>
      </w:r>
      <w:r w:rsidRPr="00416C4A">
        <w:rPr>
          <w:rFonts w:ascii="Times" w:hAnsi="Times" w:cstheme="minorBidi"/>
          <w:i/>
          <w:iCs/>
        </w:rPr>
        <w:t>Applied Economics</w:t>
      </w:r>
      <w:r w:rsidRPr="00416C4A">
        <w:rPr>
          <w:rFonts w:ascii="Times" w:hAnsi="Times" w:cstheme="minorBidi"/>
        </w:rPr>
        <w:t>, 49(48), 4817-4832.</w:t>
      </w:r>
    </w:p>
    <w:p w14:paraId="4FB8EF86" w14:textId="5F08F801" w:rsidR="00392642" w:rsidRPr="00416C4A" w:rsidRDefault="00D96DFB" w:rsidP="00392642">
      <w:pPr>
        <w:spacing w:line="480" w:lineRule="auto"/>
        <w:ind w:left="720" w:hanging="720"/>
        <w:jc w:val="both"/>
        <w:rPr>
          <w:rFonts w:ascii="Times" w:hAnsi="Times"/>
        </w:rPr>
      </w:pPr>
      <w:r w:rsidRPr="00416C4A">
        <w:rPr>
          <w:rFonts w:ascii="Times" w:hAnsi="Times"/>
        </w:rPr>
        <w:t>Simpson, W., Carter, D. and D'Souza, F. 2010</w:t>
      </w:r>
      <w:r w:rsidR="006B5D34" w:rsidRPr="00416C4A">
        <w:rPr>
          <w:rFonts w:ascii="Times" w:hAnsi="Times"/>
        </w:rPr>
        <w:t>.</w:t>
      </w:r>
      <w:r w:rsidRPr="00416C4A">
        <w:rPr>
          <w:rFonts w:ascii="Times" w:hAnsi="Times"/>
        </w:rPr>
        <w:t xml:space="preserve"> What do we know about women on boards? </w:t>
      </w:r>
      <w:r w:rsidRPr="00416C4A">
        <w:rPr>
          <w:rFonts w:ascii="Times" w:hAnsi="Times"/>
          <w:i/>
          <w:iCs/>
        </w:rPr>
        <w:t>Journal of Applied Finance</w:t>
      </w:r>
      <w:r w:rsidRPr="00416C4A">
        <w:rPr>
          <w:rFonts w:ascii="Times" w:hAnsi="Times"/>
        </w:rPr>
        <w:t>, 20(2), 1-13.</w:t>
      </w:r>
    </w:p>
    <w:p w14:paraId="04C9B8FB" w14:textId="61B95B26" w:rsidR="00392642" w:rsidRPr="00416C4A" w:rsidRDefault="00D96DFB" w:rsidP="00392642">
      <w:pPr>
        <w:spacing w:line="480" w:lineRule="auto"/>
        <w:ind w:left="720" w:hanging="720"/>
        <w:jc w:val="both"/>
        <w:rPr>
          <w:rFonts w:ascii="Times" w:hAnsi="Times"/>
        </w:rPr>
      </w:pPr>
      <w:r w:rsidRPr="00416C4A">
        <w:rPr>
          <w:rFonts w:ascii="Times" w:hAnsi="Times"/>
        </w:rPr>
        <w:t>Singh, V.</w:t>
      </w:r>
      <w:r w:rsidR="00F63DB5" w:rsidRPr="00416C4A">
        <w:rPr>
          <w:rFonts w:ascii="Times" w:hAnsi="Times"/>
        </w:rPr>
        <w:t>,</w:t>
      </w:r>
      <w:r w:rsidRPr="00416C4A">
        <w:rPr>
          <w:rFonts w:ascii="Times" w:hAnsi="Times"/>
        </w:rPr>
        <w:t xml:space="preserve"> and </w:t>
      </w:r>
      <w:r w:rsidR="00F63DB5" w:rsidRPr="00416C4A">
        <w:rPr>
          <w:rFonts w:ascii="Times" w:hAnsi="Times"/>
        </w:rPr>
        <w:t xml:space="preserve">S. </w:t>
      </w:r>
      <w:proofErr w:type="spellStart"/>
      <w:r w:rsidRPr="00416C4A">
        <w:rPr>
          <w:rFonts w:ascii="Times" w:hAnsi="Times"/>
        </w:rPr>
        <w:t>Vinnicombe</w:t>
      </w:r>
      <w:proofErr w:type="spellEnd"/>
      <w:r w:rsidRPr="00416C4A">
        <w:rPr>
          <w:rFonts w:ascii="Times" w:hAnsi="Times"/>
        </w:rPr>
        <w:t>. 2004</w:t>
      </w:r>
      <w:r w:rsidR="006B5D34" w:rsidRPr="00416C4A">
        <w:rPr>
          <w:rFonts w:ascii="Times" w:hAnsi="Times"/>
        </w:rPr>
        <w:t>.</w:t>
      </w:r>
      <w:r w:rsidRPr="00416C4A">
        <w:rPr>
          <w:rFonts w:ascii="Times" w:hAnsi="Times"/>
        </w:rPr>
        <w:t xml:space="preserve"> Why so few women directors in top UK boardrooms? Evidence and theoretical explanations</w:t>
      </w:r>
      <w:r w:rsidR="002E6174" w:rsidRPr="00416C4A">
        <w:rPr>
          <w:rFonts w:ascii="Times" w:hAnsi="Times"/>
        </w:rPr>
        <w:t>.</w:t>
      </w:r>
      <w:r w:rsidRPr="00416C4A">
        <w:rPr>
          <w:rFonts w:ascii="Times" w:hAnsi="Times"/>
        </w:rPr>
        <w:t xml:space="preserve"> </w:t>
      </w:r>
      <w:r w:rsidRPr="00416C4A">
        <w:rPr>
          <w:rFonts w:ascii="Times" w:hAnsi="Times"/>
          <w:i/>
          <w:iCs/>
        </w:rPr>
        <w:t>Corporate Governance: An International Review</w:t>
      </w:r>
      <w:r w:rsidRPr="00416C4A">
        <w:rPr>
          <w:rFonts w:ascii="Times" w:hAnsi="Times"/>
        </w:rPr>
        <w:t>, 12(4), 479-488.</w:t>
      </w:r>
    </w:p>
    <w:p w14:paraId="49CA2BBB" w14:textId="400CC17F" w:rsidR="00392642" w:rsidRPr="00416C4A" w:rsidRDefault="00D96DFB" w:rsidP="00392642">
      <w:pPr>
        <w:spacing w:line="480" w:lineRule="auto"/>
        <w:ind w:left="720" w:hanging="720"/>
        <w:jc w:val="both"/>
        <w:rPr>
          <w:rFonts w:ascii="Times" w:eastAsiaTheme="minorHAnsi" w:hAnsi="Times" w:cstheme="minorBidi"/>
          <w:lang w:eastAsia="en-US"/>
        </w:rPr>
      </w:pPr>
      <w:r w:rsidRPr="00416C4A">
        <w:rPr>
          <w:rFonts w:ascii="Times" w:eastAsiaTheme="minorHAnsi" w:hAnsi="Times" w:cstheme="minorBidi"/>
          <w:lang w:eastAsia="en-US"/>
        </w:rPr>
        <w:lastRenderedPageBreak/>
        <w:t>Singh, V.</w:t>
      </w:r>
      <w:r w:rsidR="00F63DB5" w:rsidRPr="00416C4A">
        <w:rPr>
          <w:rFonts w:ascii="Times" w:eastAsiaTheme="minorHAnsi" w:hAnsi="Times" w:cstheme="minorBidi"/>
          <w:lang w:eastAsia="en-US"/>
        </w:rPr>
        <w:t>,</w:t>
      </w:r>
      <w:r w:rsidRPr="00416C4A">
        <w:rPr>
          <w:rFonts w:ascii="Times" w:eastAsiaTheme="minorHAnsi" w:hAnsi="Times" w:cstheme="minorBidi"/>
          <w:lang w:eastAsia="en-US"/>
        </w:rPr>
        <w:t xml:space="preserve"> and </w:t>
      </w:r>
      <w:r w:rsidR="00F63DB5" w:rsidRPr="00416C4A">
        <w:rPr>
          <w:rFonts w:ascii="Times" w:eastAsiaTheme="minorHAnsi" w:hAnsi="Times" w:cstheme="minorBidi"/>
          <w:lang w:eastAsia="en-US"/>
        </w:rPr>
        <w:t xml:space="preserve">S. </w:t>
      </w:r>
      <w:proofErr w:type="spellStart"/>
      <w:r w:rsidRPr="00416C4A">
        <w:rPr>
          <w:rFonts w:ascii="Times" w:eastAsiaTheme="minorHAnsi" w:hAnsi="Times" w:cstheme="minorBidi"/>
          <w:lang w:eastAsia="en-US"/>
        </w:rPr>
        <w:t>Vinnicombe</w:t>
      </w:r>
      <w:proofErr w:type="spellEnd"/>
      <w:r w:rsidRPr="00416C4A">
        <w:rPr>
          <w:rFonts w:ascii="Times" w:eastAsiaTheme="minorHAnsi" w:hAnsi="Times" w:cstheme="minorBidi"/>
          <w:lang w:eastAsia="en-US"/>
        </w:rPr>
        <w:t>. 2006</w:t>
      </w:r>
      <w:r w:rsidR="006B5D34" w:rsidRPr="00416C4A">
        <w:rPr>
          <w:rFonts w:ascii="Times" w:eastAsiaTheme="minorHAnsi" w:hAnsi="Times" w:cstheme="minorBidi"/>
          <w:lang w:eastAsia="en-US"/>
        </w:rPr>
        <w:t>.</w:t>
      </w:r>
      <w:r w:rsidRPr="00416C4A">
        <w:rPr>
          <w:rFonts w:ascii="Times" w:eastAsiaTheme="minorHAnsi" w:hAnsi="Times" w:cstheme="minorBidi"/>
          <w:lang w:eastAsia="en-US"/>
        </w:rPr>
        <w:t xml:space="preserve"> Opening the boardroom doors to women directors', in McTavish, D. and Miller, K. (ed.) </w:t>
      </w:r>
      <w:r w:rsidRPr="00416C4A">
        <w:rPr>
          <w:rFonts w:ascii="Times" w:eastAsiaTheme="minorHAnsi" w:hAnsi="Times" w:cstheme="minorBidi"/>
          <w:i/>
          <w:iCs/>
          <w:lang w:eastAsia="en-US"/>
        </w:rPr>
        <w:t>Women in Leadership and Management: A European Perspective</w:t>
      </w:r>
      <w:r w:rsidRPr="00416C4A">
        <w:rPr>
          <w:rFonts w:ascii="Times" w:eastAsiaTheme="minorHAnsi" w:hAnsi="Times" w:cstheme="minorBidi"/>
          <w:lang w:eastAsia="en-US"/>
        </w:rPr>
        <w:t>.  Glasgow: Edward Elgar Publishing, 1-17.</w:t>
      </w:r>
    </w:p>
    <w:p w14:paraId="2D67E75E" w14:textId="47ADF325" w:rsidR="00392642" w:rsidRPr="00416C4A" w:rsidRDefault="00D96DFB" w:rsidP="00392642">
      <w:pPr>
        <w:spacing w:line="480" w:lineRule="auto"/>
        <w:ind w:left="720" w:hanging="720"/>
        <w:jc w:val="both"/>
        <w:rPr>
          <w:rFonts w:ascii="Times" w:eastAsiaTheme="minorHAnsi" w:hAnsi="Times" w:cstheme="minorBidi"/>
          <w:lang w:eastAsia="en-US"/>
        </w:rPr>
      </w:pPr>
      <w:r w:rsidRPr="00416C4A">
        <w:rPr>
          <w:rFonts w:ascii="Times" w:eastAsiaTheme="minorHAnsi" w:hAnsi="Times" w:cstheme="minorBidi"/>
          <w:lang w:eastAsia="en-US"/>
        </w:rPr>
        <w:t>Tajfel, H. 1982</w:t>
      </w:r>
      <w:r w:rsidR="006B5D34" w:rsidRPr="00416C4A">
        <w:rPr>
          <w:rFonts w:ascii="Times" w:eastAsiaTheme="minorHAnsi" w:hAnsi="Times" w:cstheme="minorBidi"/>
          <w:lang w:eastAsia="en-US"/>
        </w:rPr>
        <w:t>.</w:t>
      </w:r>
      <w:r w:rsidRPr="00416C4A">
        <w:rPr>
          <w:rFonts w:ascii="Times" w:eastAsiaTheme="minorHAnsi" w:hAnsi="Times" w:cstheme="minorBidi"/>
          <w:lang w:eastAsia="en-US"/>
        </w:rPr>
        <w:t> Social identity and intergroup relations. Cambridge: Cambridge University Press.</w:t>
      </w:r>
    </w:p>
    <w:p w14:paraId="0623BD8B" w14:textId="59E597DC" w:rsidR="00392642" w:rsidRPr="00416C4A" w:rsidRDefault="00D96DFB" w:rsidP="00392642">
      <w:pPr>
        <w:spacing w:line="480" w:lineRule="auto"/>
        <w:ind w:left="720" w:hanging="720"/>
        <w:jc w:val="both"/>
        <w:rPr>
          <w:rFonts w:ascii="Times" w:hAnsi="Times"/>
        </w:rPr>
      </w:pPr>
      <w:proofErr w:type="spellStart"/>
      <w:r w:rsidRPr="00416C4A">
        <w:rPr>
          <w:rFonts w:ascii="Times" w:hAnsi="Times"/>
        </w:rPr>
        <w:t>Tanen</w:t>
      </w:r>
      <w:proofErr w:type="spellEnd"/>
      <w:r w:rsidRPr="00416C4A">
        <w:rPr>
          <w:rFonts w:ascii="Times" w:hAnsi="Times"/>
        </w:rPr>
        <w:t>, D. 1994</w:t>
      </w:r>
      <w:r w:rsidR="006B5D34" w:rsidRPr="00416C4A">
        <w:rPr>
          <w:rFonts w:ascii="Times" w:hAnsi="Times"/>
        </w:rPr>
        <w:t>.</w:t>
      </w:r>
      <w:r w:rsidRPr="00416C4A">
        <w:rPr>
          <w:rFonts w:ascii="Times" w:hAnsi="Times"/>
        </w:rPr>
        <w:t xml:space="preserve"> </w:t>
      </w:r>
      <w:r w:rsidRPr="00416C4A">
        <w:rPr>
          <w:rFonts w:ascii="Times" w:hAnsi="Times"/>
          <w:i/>
          <w:iCs/>
        </w:rPr>
        <w:t xml:space="preserve">Talking 9 to 5: How </w:t>
      </w:r>
      <w:r w:rsidR="00952564" w:rsidRPr="00416C4A">
        <w:rPr>
          <w:rFonts w:ascii="Times" w:hAnsi="Times"/>
          <w:i/>
          <w:iCs/>
        </w:rPr>
        <w:t>w</w:t>
      </w:r>
      <w:r w:rsidRPr="00416C4A">
        <w:rPr>
          <w:rFonts w:ascii="Times" w:hAnsi="Times"/>
          <w:i/>
          <w:iCs/>
        </w:rPr>
        <w:t xml:space="preserve">omen’s and </w:t>
      </w:r>
      <w:r w:rsidR="00952564" w:rsidRPr="00416C4A">
        <w:rPr>
          <w:rFonts w:ascii="Times" w:hAnsi="Times"/>
          <w:i/>
          <w:iCs/>
        </w:rPr>
        <w:t>m</w:t>
      </w:r>
      <w:r w:rsidRPr="00416C4A">
        <w:rPr>
          <w:rFonts w:ascii="Times" w:hAnsi="Times"/>
          <w:i/>
          <w:iCs/>
        </w:rPr>
        <w:t xml:space="preserve">en’s </w:t>
      </w:r>
      <w:r w:rsidR="00952564" w:rsidRPr="00416C4A">
        <w:rPr>
          <w:rFonts w:ascii="Times" w:hAnsi="Times"/>
          <w:i/>
          <w:iCs/>
        </w:rPr>
        <w:t>c</w:t>
      </w:r>
      <w:r w:rsidRPr="00416C4A">
        <w:rPr>
          <w:rFonts w:ascii="Times" w:hAnsi="Times"/>
          <w:i/>
          <w:iCs/>
        </w:rPr>
        <w:t xml:space="preserve">onversational </w:t>
      </w:r>
      <w:r w:rsidR="00952564" w:rsidRPr="00416C4A">
        <w:rPr>
          <w:rFonts w:ascii="Times" w:hAnsi="Times"/>
          <w:i/>
          <w:iCs/>
        </w:rPr>
        <w:t>s</w:t>
      </w:r>
      <w:r w:rsidRPr="00416C4A">
        <w:rPr>
          <w:rFonts w:ascii="Times" w:hAnsi="Times"/>
          <w:i/>
          <w:iCs/>
        </w:rPr>
        <w:t xml:space="preserve">tyles </w:t>
      </w:r>
      <w:r w:rsidR="00952564" w:rsidRPr="00416C4A">
        <w:rPr>
          <w:rFonts w:ascii="Times" w:hAnsi="Times"/>
          <w:i/>
          <w:iCs/>
        </w:rPr>
        <w:t>a</w:t>
      </w:r>
      <w:r w:rsidRPr="00416C4A">
        <w:rPr>
          <w:rFonts w:ascii="Times" w:hAnsi="Times"/>
          <w:i/>
          <w:iCs/>
        </w:rPr>
        <w:t xml:space="preserve">ffect </w:t>
      </w:r>
      <w:r w:rsidR="00952564" w:rsidRPr="00416C4A">
        <w:rPr>
          <w:rFonts w:ascii="Times" w:hAnsi="Times"/>
          <w:i/>
          <w:iCs/>
        </w:rPr>
        <w:t>w</w:t>
      </w:r>
      <w:r w:rsidRPr="00416C4A">
        <w:rPr>
          <w:rFonts w:ascii="Times" w:hAnsi="Times"/>
          <w:i/>
          <w:iCs/>
        </w:rPr>
        <w:t xml:space="preserve">ho gets </w:t>
      </w:r>
      <w:r w:rsidR="00952564" w:rsidRPr="00416C4A">
        <w:rPr>
          <w:rFonts w:ascii="Times" w:hAnsi="Times"/>
          <w:i/>
          <w:iCs/>
        </w:rPr>
        <w:t>a</w:t>
      </w:r>
      <w:r w:rsidRPr="00416C4A">
        <w:rPr>
          <w:rFonts w:ascii="Times" w:hAnsi="Times"/>
          <w:i/>
          <w:iCs/>
        </w:rPr>
        <w:t xml:space="preserve">head, </w:t>
      </w:r>
      <w:r w:rsidR="00952564" w:rsidRPr="00416C4A">
        <w:rPr>
          <w:rFonts w:ascii="Times" w:hAnsi="Times"/>
          <w:i/>
          <w:iCs/>
        </w:rPr>
        <w:t>w</w:t>
      </w:r>
      <w:r w:rsidRPr="00416C4A">
        <w:rPr>
          <w:rFonts w:ascii="Times" w:hAnsi="Times"/>
          <w:i/>
          <w:iCs/>
        </w:rPr>
        <w:t xml:space="preserve">ho </w:t>
      </w:r>
      <w:r w:rsidR="00952564" w:rsidRPr="00416C4A">
        <w:rPr>
          <w:rFonts w:ascii="Times" w:hAnsi="Times"/>
          <w:i/>
          <w:iCs/>
        </w:rPr>
        <w:t>g</w:t>
      </w:r>
      <w:r w:rsidRPr="00416C4A">
        <w:rPr>
          <w:rFonts w:ascii="Times" w:hAnsi="Times"/>
          <w:i/>
          <w:iCs/>
        </w:rPr>
        <w:t xml:space="preserve">ets </w:t>
      </w:r>
      <w:r w:rsidR="00952564" w:rsidRPr="00416C4A">
        <w:rPr>
          <w:rFonts w:ascii="Times" w:hAnsi="Times"/>
          <w:i/>
          <w:iCs/>
        </w:rPr>
        <w:t>c</w:t>
      </w:r>
      <w:r w:rsidRPr="00416C4A">
        <w:rPr>
          <w:rFonts w:ascii="Times" w:hAnsi="Times"/>
          <w:i/>
          <w:iCs/>
        </w:rPr>
        <w:t xml:space="preserve">redit and </w:t>
      </w:r>
      <w:r w:rsidR="00952564" w:rsidRPr="00416C4A">
        <w:rPr>
          <w:rFonts w:ascii="Times" w:hAnsi="Times"/>
          <w:i/>
          <w:iCs/>
        </w:rPr>
        <w:t>w</w:t>
      </w:r>
      <w:r w:rsidRPr="00416C4A">
        <w:rPr>
          <w:rFonts w:ascii="Times" w:hAnsi="Times"/>
          <w:i/>
          <w:iCs/>
        </w:rPr>
        <w:t xml:space="preserve">hat </w:t>
      </w:r>
      <w:r w:rsidR="00952564" w:rsidRPr="00416C4A">
        <w:rPr>
          <w:rFonts w:ascii="Times" w:hAnsi="Times"/>
          <w:i/>
          <w:iCs/>
        </w:rPr>
        <w:t>g</w:t>
      </w:r>
      <w:r w:rsidRPr="00416C4A">
        <w:rPr>
          <w:rFonts w:ascii="Times" w:hAnsi="Times"/>
          <w:i/>
          <w:iCs/>
        </w:rPr>
        <w:t xml:space="preserve">ets </w:t>
      </w:r>
      <w:r w:rsidR="00952564" w:rsidRPr="00416C4A">
        <w:rPr>
          <w:rFonts w:ascii="Times" w:hAnsi="Times"/>
          <w:i/>
          <w:iCs/>
        </w:rPr>
        <w:t>d</w:t>
      </w:r>
      <w:r w:rsidRPr="00416C4A">
        <w:rPr>
          <w:rFonts w:ascii="Times" w:hAnsi="Times"/>
          <w:i/>
          <w:iCs/>
        </w:rPr>
        <w:t>one</w:t>
      </w:r>
      <w:r w:rsidRPr="00416C4A">
        <w:rPr>
          <w:rFonts w:ascii="Times" w:hAnsi="Times"/>
        </w:rPr>
        <w:t>. New York: William Morrow and Co.</w:t>
      </w:r>
    </w:p>
    <w:p w14:paraId="2A52B77D" w14:textId="2F0DE593" w:rsidR="00392642" w:rsidRPr="00416C4A" w:rsidRDefault="00D96DFB" w:rsidP="00392642">
      <w:pPr>
        <w:spacing w:line="480" w:lineRule="auto"/>
        <w:ind w:left="720" w:hanging="720"/>
        <w:jc w:val="both"/>
        <w:rPr>
          <w:rFonts w:ascii="Times" w:hAnsi="Times" w:cstheme="minorBidi"/>
        </w:rPr>
      </w:pPr>
      <w:r w:rsidRPr="00416C4A">
        <w:rPr>
          <w:rFonts w:ascii="Times" w:hAnsi="Times" w:cstheme="minorBidi"/>
        </w:rPr>
        <w:t>Thirty Percent Coalition</w:t>
      </w:r>
      <w:r w:rsidR="00EF70ED" w:rsidRPr="00416C4A">
        <w:rPr>
          <w:rFonts w:ascii="Times" w:hAnsi="Times" w:cstheme="minorBidi"/>
        </w:rPr>
        <w:t>.</w:t>
      </w:r>
      <w:r w:rsidRPr="00416C4A">
        <w:rPr>
          <w:rFonts w:ascii="Times" w:hAnsi="Times" w:cstheme="minorBidi"/>
        </w:rPr>
        <w:t xml:space="preserve"> 2020</w:t>
      </w:r>
      <w:r w:rsidR="00EF70ED" w:rsidRPr="00416C4A">
        <w:rPr>
          <w:rFonts w:ascii="Times" w:hAnsi="Times" w:cstheme="minorBidi"/>
        </w:rPr>
        <w:t>.</w:t>
      </w:r>
      <w:r w:rsidRPr="00416C4A">
        <w:rPr>
          <w:rFonts w:ascii="Times" w:hAnsi="Times" w:cstheme="minorBidi"/>
        </w:rPr>
        <w:t xml:space="preserve"> Who we are. Available at: </w:t>
      </w:r>
      <w:hyperlink r:id="rId12" w:history="1">
        <w:r w:rsidRPr="00416C4A">
          <w:rPr>
            <w:rStyle w:val="Hyperlink"/>
            <w:rFonts w:ascii="Times" w:hAnsi="Times" w:cstheme="minorBidi"/>
            <w:color w:val="auto"/>
            <w:u w:val="none"/>
          </w:rPr>
          <w:t>https://www.30percentcoalition.org/who-we-are</w:t>
        </w:r>
      </w:hyperlink>
      <w:r w:rsidRPr="00416C4A">
        <w:rPr>
          <w:rFonts w:ascii="Times" w:hAnsi="Times" w:cstheme="minorBidi"/>
        </w:rPr>
        <w:t xml:space="preserve"> (Accessed: 13 February 2020).</w:t>
      </w:r>
    </w:p>
    <w:p w14:paraId="42560ADB" w14:textId="566D2405" w:rsidR="00392642" w:rsidRPr="00416C4A" w:rsidRDefault="00D96DFB" w:rsidP="00392642">
      <w:pPr>
        <w:spacing w:line="480" w:lineRule="auto"/>
        <w:ind w:left="720" w:hanging="720"/>
        <w:jc w:val="both"/>
        <w:rPr>
          <w:rFonts w:ascii="Times" w:hAnsi="Times"/>
        </w:rPr>
      </w:pPr>
      <w:r w:rsidRPr="00416C4A">
        <w:rPr>
          <w:rFonts w:ascii="Times" w:hAnsi="Times"/>
        </w:rPr>
        <w:t xml:space="preserve">Torchia, M., Calabro, A., and </w:t>
      </w:r>
      <w:proofErr w:type="spellStart"/>
      <w:r w:rsidRPr="00416C4A">
        <w:rPr>
          <w:rFonts w:ascii="Times" w:hAnsi="Times"/>
        </w:rPr>
        <w:t>Huse</w:t>
      </w:r>
      <w:proofErr w:type="spellEnd"/>
      <w:r w:rsidRPr="00416C4A">
        <w:rPr>
          <w:rFonts w:ascii="Times" w:hAnsi="Times"/>
        </w:rPr>
        <w:t>, M. 2011</w:t>
      </w:r>
      <w:r w:rsidR="00EF70ED" w:rsidRPr="00416C4A">
        <w:rPr>
          <w:rFonts w:ascii="Times" w:hAnsi="Times"/>
        </w:rPr>
        <w:t>.</w:t>
      </w:r>
      <w:r w:rsidRPr="00416C4A">
        <w:rPr>
          <w:rFonts w:ascii="Times" w:hAnsi="Times"/>
        </w:rPr>
        <w:t xml:space="preserve"> Women directors on corporate boards: From tokenism to critical mass</w:t>
      </w:r>
      <w:r w:rsidR="006D53E3" w:rsidRPr="00416C4A">
        <w:rPr>
          <w:rFonts w:ascii="Times" w:hAnsi="Times"/>
        </w:rPr>
        <w:t>.</w:t>
      </w:r>
      <w:r w:rsidRPr="00416C4A">
        <w:rPr>
          <w:rFonts w:ascii="Times" w:hAnsi="Times"/>
        </w:rPr>
        <w:t xml:space="preserve"> </w:t>
      </w:r>
      <w:r w:rsidRPr="00416C4A">
        <w:rPr>
          <w:rFonts w:ascii="Times" w:hAnsi="Times"/>
          <w:i/>
          <w:iCs/>
        </w:rPr>
        <w:t>Journal of Business Ethics</w:t>
      </w:r>
      <w:r w:rsidRPr="00416C4A">
        <w:rPr>
          <w:rFonts w:ascii="Times" w:hAnsi="Times"/>
        </w:rPr>
        <w:t>, 102(2), 299–317.</w:t>
      </w:r>
    </w:p>
    <w:p w14:paraId="6B9947EC" w14:textId="77777777" w:rsidR="00B92B88" w:rsidRPr="00416C4A" w:rsidRDefault="00D96DFB" w:rsidP="00B92B88">
      <w:pPr>
        <w:spacing w:line="480" w:lineRule="auto"/>
        <w:ind w:left="720" w:hanging="720"/>
        <w:jc w:val="both"/>
      </w:pPr>
      <w:r w:rsidRPr="00416C4A">
        <w:t xml:space="preserve">UK Government. 2015. Lord Davies: FTSE 350 boards should be 33% female by 2020. Available at: </w:t>
      </w:r>
      <w:hyperlink r:id="rId13" w:history="1">
        <w:r w:rsidRPr="00416C4A">
          <w:rPr>
            <w:rStyle w:val="Hyperlink"/>
            <w:color w:val="auto"/>
            <w:u w:val="none"/>
          </w:rPr>
          <w:t>https://www.gov.uk/government/news/lord-davies-ftse-350-boards-should-be-33-female-by-2020</w:t>
        </w:r>
      </w:hyperlink>
      <w:r w:rsidRPr="00416C4A">
        <w:t xml:space="preserve"> (Accessed on: 21 February 2020).</w:t>
      </w:r>
    </w:p>
    <w:p w14:paraId="6A24E393" w14:textId="7736144D" w:rsidR="00392642" w:rsidRPr="00416C4A" w:rsidRDefault="00D96DFB" w:rsidP="00392642">
      <w:pPr>
        <w:spacing w:line="480" w:lineRule="auto"/>
        <w:ind w:left="720" w:hanging="720"/>
        <w:jc w:val="both"/>
        <w:rPr>
          <w:rFonts w:ascii="Times" w:eastAsiaTheme="minorHAnsi" w:hAnsi="Times" w:cstheme="minorBidi"/>
          <w:lang w:eastAsia="en-US"/>
        </w:rPr>
      </w:pPr>
      <w:r w:rsidRPr="00416C4A">
        <w:rPr>
          <w:rFonts w:ascii="Times" w:eastAsiaTheme="minorHAnsi" w:hAnsi="Times" w:cstheme="minorBidi"/>
          <w:lang w:eastAsia="en-US"/>
        </w:rPr>
        <w:t>You, J. 20</w:t>
      </w:r>
      <w:r w:rsidR="00280EF5" w:rsidRPr="00416C4A">
        <w:rPr>
          <w:rFonts w:ascii="Times" w:eastAsiaTheme="minorHAnsi" w:hAnsi="Times" w:cstheme="minorBidi"/>
          <w:lang w:eastAsia="en-US"/>
        </w:rPr>
        <w:t>21</w:t>
      </w:r>
      <w:r w:rsidR="00EF70ED" w:rsidRPr="00416C4A">
        <w:rPr>
          <w:rFonts w:ascii="Times" w:eastAsiaTheme="minorHAnsi" w:hAnsi="Times" w:cstheme="minorBidi"/>
          <w:lang w:eastAsia="en-US"/>
        </w:rPr>
        <w:t>.</w:t>
      </w:r>
      <w:r w:rsidRPr="00416C4A">
        <w:rPr>
          <w:rFonts w:ascii="Times" w:eastAsiaTheme="minorHAnsi" w:hAnsi="Times" w:cstheme="minorBidi"/>
          <w:lang w:eastAsia="en-US"/>
        </w:rPr>
        <w:t xml:space="preserve"> Beyond “</w:t>
      </w:r>
      <w:proofErr w:type="spellStart"/>
      <w:r w:rsidRPr="00416C4A">
        <w:rPr>
          <w:rFonts w:ascii="Times" w:eastAsiaTheme="minorHAnsi" w:hAnsi="Times" w:cstheme="minorBidi"/>
          <w:lang w:eastAsia="en-US"/>
        </w:rPr>
        <w:t>twokenism</w:t>
      </w:r>
      <w:proofErr w:type="spellEnd"/>
      <w:r w:rsidRPr="00416C4A">
        <w:rPr>
          <w:rFonts w:ascii="Times" w:eastAsiaTheme="minorHAnsi" w:hAnsi="Times" w:cstheme="minorBidi"/>
          <w:lang w:eastAsia="en-US"/>
        </w:rPr>
        <w:t>”: Organizational factors enabling female directors to affect the appointment of a female CEO</w:t>
      </w:r>
      <w:r w:rsidR="006D53E3" w:rsidRPr="00416C4A">
        <w:rPr>
          <w:rFonts w:ascii="Times" w:eastAsiaTheme="minorHAnsi" w:hAnsi="Times" w:cstheme="minorBidi"/>
          <w:lang w:eastAsia="en-US"/>
        </w:rPr>
        <w:t>.</w:t>
      </w:r>
      <w:r w:rsidRPr="00416C4A">
        <w:rPr>
          <w:rFonts w:ascii="Times" w:eastAsiaTheme="minorHAnsi" w:hAnsi="Times" w:cstheme="minorBidi"/>
          <w:lang w:eastAsia="en-US"/>
        </w:rPr>
        <w:t> </w:t>
      </w:r>
      <w:r w:rsidRPr="00416C4A">
        <w:rPr>
          <w:rFonts w:ascii="Times" w:eastAsiaTheme="minorHAnsi" w:hAnsi="Times" w:cstheme="minorBidi"/>
          <w:i/>
          <w:iCs/>
          <w:lang w:eastAsia="en-US"/>
        </w:rPr>
        <w:t>Strategic Organization</w:t>
      </w:r>
      <w:r w:rsidRPr="00416C4A">
        <w:rPr>
          <w:rFonts w:ascii="Times" w:eastAsiaTheme="minorHAnsi" w:hAnsi="Times" w:cstheme="minorBidi"/>
          <w:lang w:eastAsia="en-US"/>
        </w:rPr>
        <w:t xml:space="preserve">, </w:t>
      </w:r>
      <w:r w:rsidR="004F14DC" w:rsidRPr="00416C4A">
        <w:rPr>
          <w:rFonts w:ascii="Times" w:eastAsiaTheme="minorHAnsi" w:hAnsi="Times" w:cstheme="minorBidi"/>
          <w:lang w:eastAsia="en-US"/>
        </w:rPr>
        <w:t xml:space="preserve">19(3), </w:t>
      </w:r>
      <w:r w:rsidRPr="00416C4A">
        <w:rPr>
          <w:rFonts w:ascii="Times" w:eastAsiaTheme="minorHAnsi" w:hAnsi="Times" w:cstheme="minorBidi"/>
          <w:lang w:eastAsia="en-US"/>
        </w:rPr>
        <w:t>3</w:t>
      </w:r>
      <w:r w:rsidR="004F14DC" w:rsidRPr="00416C4A">
        <w:rPr>
          <w:rFonts w:ascii="Times" w:eastAsiaTheme="minorHAnsi" w:hAnsi="Times" w:cstheme="minorBidi"/>
          <w:lang w:eastAsia="en-US"/>
        </w:rPr>
        <w:t>53-383</w:t>
      </w:r>
      <w:r w:rsidRPr="00416C4A">
        <w:rPr>
          <w:rFonts w:ascii="Times" w:eastAsiaTheme="minorHAnsi" w:hAnsi="Times" w:cstheme="minorBidi"/>
          <w:lang w:eastAsia="en-US"/>
        </w:rPr>
        <w:t>.</w:t>
      </w:r>
    </w:p>
    <w:p w14:paraId="7558C99A" w14:textId="4E5E1BA2" w:rsidR="00FA5EA7" w:rsidRPr="00416C4A" w:rsidRDefault="00D96DFB" w:rsidP="00F71C3D">
      <w:pPr>
        <w:spacing w:line="480" w:lineRule="auto"/>
        <w:ind w:left="720" w:hanging="720"/>
        <w:jc w:val="both"/>
      </w:pPr>
      <w:r w:rsidRPr="00416C4A">
        <w:rPr>
          <w:rFonts w:ascii="Times" w:eastAsiaTheme="minorHAnsi" w:hAnsi="Times" w:cstheme="minorBidi"/>
          <w:lang w:eastAsia="en-US"/>
        </w:rPr>
        <w:t xml:space="preserve">Zellner, A., and </w:t>
      </w:r>
      <w:r w:rsidR="00A56A6E" w:rsidRPr="00416C4A">
        <w:rPr>
          <w:rFonts w:ascii="Times" w:eastAsiaTheme="minorHAnsi" w:hAnsi="Times" w:cstheme="minorBidi"/>
          <w:lang w:eastAsia="en-US"/>
        </w:rPr>
        <w:t xml:space="preserve">H. </w:t>
      </w:r>
      <w:r w:rsidRPr="00416C4A">
        <w:rPr>
          <w:rFonts w:ascii="Times" w:eastAsiaTheme="minorHAnsi" w:hAnsi="Times" w:cstheme="minorBidi"/>
          <w:lang w:eastAsia="en-US"/>
        </w:rPr>
        <w:t>Theil</w:t>
      </w:r>
      <w:r w:rsidR="00DA5636" w:rsidRPr="00416C4A">
        <w:rPr>
          <w:rFonts w:ascii="Times" w:eastAsiaTheme="minorHAnsi" w:hAnsi="Times" w:cstheme="minorBidi"/>
          <w:lang w:eastAsia="en-US"/>
        </w:rPr>
        <w:t>.</w:t>
      </w:r>
      <w:r w:rsidRPr="00416C4A">
        <w:rPr>
          <w:rFonts w:ascii="Times" w:eastAsiaTheme="minorHAnsi" w:hAnsi="Times" w:cstheme="minorBidi"/>
          <w:lang w:eastAsia="en-US"/>
        </w:rPr>
        <w:t xml:space="preserve"> 1962</w:t>
      </w:r>
      <w:r w:rsidR="00DA5636" w:rsidRPr="00416C4A">
        <w:rPr>
          <w:rFonts w:ascii="Times" w:eastAsiaTheme="minorHAnsi" w:hAnsi="Times" w:cstheme="minorBidi"/>
          <w:lang w:eastAsia="en-US"/>
        </w:rPr>
        <w:t>.</w:t>
      </w:r>
      <w:r w:rsidRPr="00416C4A">
        <w:rPr>
          <w:rFonts w:ascii="Times" w:eastAsiaTheme="minorHAnsi" w:hAnsi="Times" w:cstheme="minorBidi"/>
          <w:lang w:eastAsia="en-US"/>
        </w:rPr>
        <w:t xml:space="preserve"> Three </w:t>
      </w:r>
      <w:r w:rsidR="00CF5B81" w:rsidRPr="00416C4A">
        <w:rPr>
          <w:rFonts w:ascii="Times" w:eastAsiaTheme="minorHAnsi" w:hAnsi="Times" w:cstheme="minorBidi"/>
          <w:lang w:eastAsia="en-US"/>
        </w:rPr>
        <w:t>s</w:t>
      </w:r>
      <w:r w:rsidRPr="00416C4A">
        <w:rPr>
          <w:rFonts w:ascii="Times" w:eastAsiaTheme="minorHAnsi" w:hAnsi="Times" w:cstheme="minorBidi"/>
          <w:lang w:eastAsia="en-US"/>
        </w:rPr>
        <w:t xml:space="preserve">tage </w:t>
      </w:r>
      <w:r w:rsidR="00CF5B81" w:rsidRPr="00416C4A">
        <w:rPr>
          <w:rFonts w:ascii="Times" w:eastAsiaTheme="minorHAnsi" w:hAnsi="Times" w:cstheme="minorBidi"/>
          <w:lang w:eastAsia="en-US"/>
        </w:rPr>
        <w:t>l</w:t>
      </w:r>
      <w:r w:rsidRPr="00416C4A">
        <w:rPr>
          <w:rFonts w:ascii="Times" w:eastAsiaTheme="minorHAnsi" w:hAnsi="Times" w:cstheme="minorBidi"/>
          <w:lang w:eastAsia="en-US"/>
        </w:rPr>
        <w:t xml:space="preserve">east </w:t>
      </w:r>
      <w:r w:rsidR="00CF5B81" w:rsidRPr="00416C4A">
        <w:rPr>
          <w:rFonts w:ascii="Times" w:eastAsiaTheme="minorHAnsi" w:hAnsi="Times" w:cstheme="minorBidi"/>
          <w:lang w:eastAsia="en-US"/>
        </w:rPr>
        <w:t>s</w:t>
      </w:r>
      <w:r w:rsidRPr="00416C4A">
        <w:rPr>
          <w:rFonts w:ascii="Times" w:eastAsiaTheme="minorHAnsi" w:hAnsi="Times" w:cstheme="minorBidi"/>
          <w:lang w:eastAsia="en-US"/>
        </w:rPr>
        <w:t xml:space="preserve">quares: </w:t>
      </w:r>
      <w:r w:rsidR="00CF5B81" w:rsidRPr="00416C4A">
        <w:rPr>
          <w:rFonts w:ascii="Times" w:eastAsiaTheme="minorHAnsi" w:hAnsi="Times" w:cstheme="minorBidi"/>
          <w:lang w:eastAsia="en-US"/>
        </w:rPr>
        <w:t>s</w:t>
      </w:r>
      <w:r w:rsidRPr="00416C4A">
        <w:rPr>
          <w:rFonts w:ascii="Times" w:eastAsiaTheme="minorHAnsi" w:hAnsi="Times" w:cstheme="minorBidi"/>
          <w:lang w:eastAsia="en-US"/>
        </w:rPr>
        <w:t xml:space="preserve">imultaneous </w:t>
      </w:r>
      <w:r w:rsidR="00CF5B81" w:rsidRPr="00416C4A">
        <w:rPr>
          <w:rFonts w:ascii="Times" w:eastAsiaTheme="minorHAnsi" w:hAnsi="Times" w:cstheme="minorBidi"/>
          <w:lang w:eastAsia="en-US"/>
        </w:rPr>
        <w:t>e</w:t>
      </w:r>
      <w:r w:rsidRPr="00416C4A">
        <w:rPr>
          <w:rFonts w:ascii="Times" w:eastAsiaTheme="minorHAnsi" w:hAnsi="Times" w:cstheme="minorBidi"/>
          <w:lang w:eastAsia="en-US"/>
        </w:rPr>
        <w:t xml:space="preserve">stimation of </w:t>
      </w:r>
      <w:r w:rsidR="00CF5B81" w:rsidRPr="00416C4A">
        <w:rPr>
          <w:rFonts w:ascii="Times" w:eastAsiaTheme="minorHAnsi" w:hAnsi="Times" w:cstheme="minorBidi"/>
          <w:lang w:eastAsia="en-US"/>
        </w:rPr>
        <w:t>s</w:t>
      </w:r>
      <w:r w:rsidRPr="00416C4A">
        <w:rPr>
          <w:rFonts w:ascii="Times" w:eastAsiaTheme="minorHAnsi" w:hAnsi="Times" w:cstheme="minorBidi"/>
          <w:lang w:eastAsia="en-US"/>
        </w:rPr>
        <w:t xml:space="preserve">imultaneous </w:t>
      </w:r>
      <w:r w:rsidR="00CF5B81" w:rsidRPr="00416C4A">
        <w:rPr>
          <w:rFonts w:ascii="Times" w:eastAsiaTheme="minorHAnsi" w:hAnsi="Times" w:cstheme="minorBidi"/>
          <w:lang w:eastAsia="en-US"/>
        </w:rPr>
        <w:t>e</w:t>
      </w:r>
      <w:r w:rsidRPr="00416C4A">
        <w:rPr>
          <w:rFonts w:ascii="Times" w:eastAsiaTheme="minorHAnsi" w:hAnsi="Times" w:cstheme="minorBidi"/>
          <w:lang w:eastAsia="en-US"/>
        </w:rPr>
        <w:t>quations</w:t>
      </w:r>
      <w:r w:rsidR="006D53E3" w:rsidRPr="00416C4A">
        <w:rPr>
          <w:rFonts w:ascii="Times" w:eastAsiaTheme="minorHAnsi" w:hAnsi="Times" w:cstheme="minorBidi"/>
          <w:lang w:eastAsia="en-US"/>
        </w:rPr>
        <w:t>.</w:t>
      </w:r>
      <w:r w:rsidRPr="00416C4A">
        <w:rPr>
          <w:rFonts w:ascii="Times" w:eastAsiaTheme="minorHAnsi" w:hAnsi="Times" w:cstheme="minorBidi"/>
          <w:lang w:eastAsia="en-US"/>
        </w:rPr>
        <w:t xml:space="preserve"> </w:t>
      </w:r>
      <w:proofErr w:type="spellStart"/>
      <w:r w:rsidRPr="00416C4A">
        <w:rPr>
          <w:rFonts w:ascii="Times" w:eastAsiaTheme="minorHAnsi" w:hAnsi="Times" w:cstheme="minorBidi"/>
          <w:i/>
          <w:iCs/>
          <w:lang w:eastAsia="en-US"/>
        </w:rPr>
        <w:t>Econometrica</w:t>
      </w:r>
      <w:proofErr w:type="spellEnd"/>
      <w:r w:rsidRPr="00416C4A">
        <w:rPr>
          <w:rFonts w:ascii="Times" w:eastAsiaTheme="minorHAnsi" w:hAnsi="Times" w:cstheme="minorBidi"/>
          <w:lang w:eastAsia="en-US"/>
        </w:rPr>
        <w:t>, 30, 63–68.</w:t>
      </w:r>
      <w:r w:rsidR="00F71C3D" w:rsidRPr="00416C4A">
        <w:rPr>
          <w:rFonts w:ascii="Times" w:eastAsiaTheme="minorHAnsi" w:hAnsi="Times" w:cstheme="minorBidi"/>
          <w:lang w:eastAsia="en-US"/>
        </w:rPr>
        <w:t xml:space="preserve"> </w:t>
      </w:r>
    </w:p>
    <w:p w14:paraId="762BF109" w14:textId="77777777" w:rsidR="00FA5EA7" w:rsidRPr="00416C4A" w:rsidRDefault="00D96DFB">
      <w:r w:rsidRPr="00416C4A">
        <w:br w:type="page"/>
      </w:r>
    </w:p>
    <w:p w14:paraId="0ECAEDBE" w14:textId="7D824E0C" w:rsidR="00FA5EA7" w:rsidRPr="00416C4A" w:rsidRDefault="00D96DFB" w:rsidP="00FA5EA7">
      <w:pPr>
        <w:pStyle w:val="Heading1"/>
        <w:spacing w:line="480" w:lineRule="auto"/>
        <w:ind w:firstLine="720"/>
        <w:rPr>
          <w:rFonts w:ascii="Times" w:eastAsiaTheme="minorHAnsi" w:hAnsi="Times" w:cstheme="minorBidi"/>
          <w:b/>
          <w:bCs/>
          <w:i/>
          <w:iCs/>
          <w:color w:val="auto"/>
          <w:sz w:val="24"/>
          <w:szCs w:val="24"/>
          <w:lang w:eastAsia="en-US"/>
        </w:rPr>
      </w:pPr>
      <w:bookmarkStart w:id="19" w:name="_Toc48157849"/>
      <w:bookmarkStart w:id="20" w:name="_Toc49414752"/>
      <w:r w:rsidRPr="00416C4A">
        <w:rPr>
          <w:rFonts w:ascii="Times" w:eastAsiaTheme="minorHAnsi" w:hAnsi="Times" w:cstheme="minorBidi"/>
          <w:b/>
          <w:bCs/>
          <w:i/>
          <w:iCs/>
          <w:color w:val="auto"/>
          <w:sz w:val="24"/>
          <w:szCs w:val="24"/>
          <w:lang w:eastAsia="en-US"/>
        </w:rPr>
        <w:lastRenderedPageBreak/>
        <w:t>Appendix</w:t>
      </w:r>
      <w:bookmarkEnd w:id="19"/>
      <w:bookmarkEnd w:id="20"/>
      <w:r w:rsidR="00A67B25" w:rsidRPr="00416C4A">
        <w:rPr>
          <w:rFonts w:ascii="Times" w:eastAsiaTheme="minorHAnsi" w:hAnsi="Times" w:cstheme="minorBidi"/>
          <w:b/>
          <w:bCs/>
          <w:i/>
          <w:iCs/>
          <w:color w:val="auto"/>
          <w:sz w:val="24"/>
          <w:szCs w:val="24"/>
          <w:lang w:eastAsia="en-US"/>
        </w:rPr>
        <w:t xml:space="preserve"> – Variable description</w:t>
      </w:r>
      <w:r w:rsidR="004D6546">
        <w:rPr>
          <w:rFonts w:ascii="Times" w:eastAsiaTheme="minorHAnsi" w:hAnsi="Times" w:cstheme="minorBidi"/>
          <w:b/>
          <w:bCs/>
          <w:i/>
          <w:iCs/>
          <w:color w:val="auto"/>
          <w:sz w:val="24"/>
          <w:szCs w:val="24"/>
          <w:lang w:eastAsia="en-US"/>
        </w:rPr>
        <w:t>s</w:t>
      </w:r>
    </w:p>
    <w:tbl>
      <w:tblPr>
        <w:tblStyle w:val="TableGrid"/>
        <w:tblW w:w="0" w:type="auto"/>
        <w:tblLook w:val="04A0" w:firstRow="1" w:lastRow="0" w:firstColumn="1" w:lastColumn="0" w:noHBand="0" w:noVBand="1"/>
      </w:tblPr>
      <w:tblGrid>
        <w:gridCol w:w="3681"/>
        <w:gridCol w:w="5329"/>
      </w:tblGrid>
      <w:tr w:rsidR="00416C4A" w:rsidRPr="00416C4A" w14:paraId="2ABF0E40" w14:textId="77777777" w:rsidTr="00B127F0">
        <w:tc>
          <w:tcPr>
            <w:tcW w:w="3681" w:type="dxa"/>
            <w:tcBorders>
              <w:left w:val="single" w:sz="4" w:space="0" w:color="FFFFFF" w:themeColor="background1"/>
              <w:right w:val="single" w:sz="4" w:space="0" w:color="FFFFFF" w:themeColor="background1"/>
            </w:tcBorders>
          </w:tcPr>
          <w:p w14:paraId="3FEA19D0" w14:textId="77777777" w:rsidR="00FA5EA7" w:rsidRPr="00416C4A" w:rsidRDefault="00D96DFB" w:rsidP="00B127F0">
            <w:pPr>
              <w:spacing w:line="360" w:lineRule="auto"/>
              <w:jc w:val="center"/>
              <w:rPr>
                <w:rFonts w:ascii="Times" w:hAnsi="Times"/>
                <w:b/>
                <w:bCs/>
              </w:rPr>
            </w:pPr>
            <w:r w:rsidRPr="00416C4A">
              <w:rPr>
                <w:rFonts w:ascii="Times" w:hAnsi="Times"/>
                <w:b/>
                <w:bCs/>
              </w:rPr>
              <w:t>Variables</w:t>
            </w:r>
          </w:p>
        </w:tc>
        <w:tc>
          <w:tcPr>
            <w:tcW w:w="5329" w:type="dxa"/>
            <w:tcBorders>
              <w:left w:val="single" w:sz="4" w:space="0" w:color="FFFFFF" w:themeColor="background1"/>
              <w:right w:val="single" w:sz="4" w:space="0" w:color="FFFFFF" w:themeColor="background1"/>
            </w:tcBorders>
          </w:tcPr>
          <w:p w14:paraId="12ED0AAB" w14:textId="77777777" w:rsidR="00FA5EA7" w:rsidRPr="00416C4A" w:rsidRDefault="00D96DFB" w:rsidP="00B127F0">
            <w:pPr>
              <w:spacing w:line="360" w:lineRule="auto"/>
              <w:jc w:val="center"/>
              <w:rPr>
                <w:rFonts w:ascii="Times" w:hAnsi="Times"/>
                <w:b/>
                <w:bCs/>
              </w:rPr>
            </w:pPr>
            <w:r w:rsidRPr="00416C4A">
              <w:rPr>
                <w:rFonts w:ascii="Times" w:hAnsi="Times"/>
                <w:b/>
                <w:bCs/>
              </w:rPr>
              <w:t>Description</w:t>
            </w:r>
          </w:p>
        </w:tc>
      </w:tr>
      <w:tr w:rsidR="00416C4A" w:rsidRPr="00416C4A" w14:paraId="31F5A273" w14:textId="77777777" w:rsidTr="00B127F0">
        <w:trPr>
          <w:trHeight w:val="272"/>
        </w:trPr>
        <w:tc>
          <w:tcPr>
            <w:tcW w:w="3681" w:type="dxa"/>
            <w:tcBorders>
              <w:left w:val="single" w:sz="4" w:space="0" w:color="FFFFFF" w:themeColor="background1"/>
              <w:right w:val="single" w:sz="4" w:space="0" w:color="FFFFFF" w:themeColor="background1"/>
            </w:tcBorders>
            <w:vAlign w:val="center"/>
          </w:tcPr>
          <w:p w14:paraId="7E9275B4" w14:textId="77777777" w:rsidR="00FA5EA7" w:rsidRPr="00416C4A" w:rsidRDefault="00D96DFB" w:rsidP="00B127F0">
            <w:pPr>
              <w:spacing w:line="360" w:lineRule="auto"/>
              <w:rPr>
                <w:rFonts w:ascii="Times" w:hAnsi="Times"/>
                <w:b/>
                <w:bCs/>
              </w:rPr>
            </w:pPr>
            <w:r w:rsidRPr="00416C4A">
              <w:rPr>
                <w:rFonts w:ascii="Times" w:hAnsi="Times"/>
                <w:b/>
                <w:bCs/>
              </w:rPr>
              <w:t>Dependent</w:t>
            </w:r>
          </w:p>
        </w:tc>
        <w:tc>
          <w:tcPr>
            <w:tcW w:w="5329" w:type="dxa"/>
            <w:tcBorders>
              <w:left w:val="single" w:sz="4" w:space="0" w:color="FFFFFF" w:themeColor="background1"/>
              <w:right w:val="single" w:sz="4" w:space="0" w:color="FFFFFF" w:themeColor="background1"/>
            </w:tcBorders>
          </w:tcPr>
          <w:p w14:paraId="53BA6D08" w14:textId="77777777" w:rsidR="00FA5EA7" w:rsidRPr="00416C4A" w:rsidRDefault="00FA5EA7" w:rsidP="00B127F0">
            <w:pPr>
              <w:spacing w:line="360" w:lineRule="auto"/>
              <w:rPr>
                <w:rFonts w:ascii="Times" w:hAnsi="Times"/>
                <w:b/>
                <w:bCs/>
              </w:rPr>
            </w:pPr>
          </w:p>
        </w:tc>
      </w:tr>
      <w:tr w:rsidR="00416C4A" w:rsidRPr="00416C4A" w14:paraId="38C5E769" w14:textId="77777777" w:rsidTr="00B127F0">
        <w:tc>
          <w:tcPr>
            <w:tcW w:w="3681" w:type="dxa"/>
            <w:tcBorders>
              <w:left w:val="single" w:sz="4" w:space="0" w:color="FFFFFF" w:themeColor="background1"/>
              <w:bottom w:val="single" w:sz="4" w:space="0" w:color="FFFFFF" w:themeColor="background1"/>
              <w:right w:val="single" w:sz="4" w:space="0" w:color="FFFFFF" w:themeColor="background1"/>
            </w:tcBorders>
          </w:tcPr>
          <w:p w14:paraId="3765E7C0" w14:textId="77777777" w:rsidR="00FA5EA7" w:rsidRPr="00416C4A" w:rsidRDefault="00D96DFB" w:rsidP="00B127F0">
            <w:pPr>
              <w:spacing w:line="360" w:lineRule="auto"/>
              <w:rPr>
                <w:rFonts w:ascii="Times" w:hAnsi="Times"/>
              </w:rPr>
            </w:pPr>
            <w:r w:rsidRPr="00416C4A">
              <w:rPr>
                <w:rFonts w:ascii="Times" w:hAnsi="Times"/>
              </w:rPr>
              <w:t>ROA</w:t>
            </w:r>
          </w:p>
        </w:tc>
        <w:tc>
          <w:tcPr>
            <w:tcW w:w="5329" w:type="dxa"/>
            <w:tcBorders>
              <w:left w:val="single" w:sz="4" w:space="0" w:color="FFFFFF" w:themeColor="background1"/>
              <w:bottom w:val="single" w:sz="4" w:space="0" w:color="FFFFFF" w:themeColor="background1"/>
              <w:right w:val="single" w:sz="4" w:space="0" w:color="FFFFFF" w:themeColor="background1"/>
            </w:tcBorders>
          </w:tcPr>
          <w:p w14:paraId="5B787FA6" w14:textId="1A660325" w:rsidR="00FA5EA7" w:rsidRPr="00416C4A" w:rsidRDefault="00D96DFB" w:rsidP="00B127F0">
            <w:pPr>
              <w:spacing w:line="360" w:lineRule="auto"/>
              <w:rPr>
                <w:rFonts w:ascii="Times" w:hAnsi="Times"/>
              </w:rPr>
            </w:pPr>
            <w:r w:rsidRPr="00416C4A">
              <w:rPr>
                <w:rFonts w:ascii="Times" w:hAnsi="Times"/>
                <w:iCs/>
              </w:rPr>
              <w:t xml:space="preserve">Return on assets </w:t>
            </w:r>
            <w:r w:rsidR="00FE7E07" w:rsidRPr="00416C4A">
              <w:rPr>
                <w:rFonts w:ascii="Times" w:hAnsi="Times"/>
                <w:iCs/>
              </w:rPr>
              <w:t xml:space="preserve">percentage, </w:t>
            </w:r>
            <w:r w:rsidR="006C6006" w:rsidRPr="00416C4A">
              <w:rPr>
                <w:rFonts w:ascii="Times" w:hAnsi="Times"/>
                <w:iCs/>
              </w:rPr>
              <w:t xml:space="preserve">calculated as </w:t>
            </w:r>
            <w:r w:rsidR="007D4D86" w:rsidRPr="00416C4A">
              <w:rPr>
                <w:rFonts w:ascii="Times" w:hAnsi="Times"/>
                <w:iCs/>
              </w:rPr>
              <w:t>(</w:t>
            </w:r>
            <w:r w:rsidR="00AD6926" w:rsidRPr="00416C4A">
              <w:rPr>
                <w:rFonts w:ascii="Times" w:hAnsi="Times"/>
                <w:iCs/>
              </w:rPr>
              <w:t xml:space="preserve">profit/loss before tax / </w:t>
            </w:r>
            <w:r w:rsidR="00C31A19" w:rsidRPr="00416C4A">
              <w:rPr>
                <w:rFonts w:ascii="Times" w:hAnsi="Times"/>
                <w:iCs/>
              </w:rPr>
              <w:t>total assets</w:t>
            </w:r>
            <w:r w:rsidR="007D4D86" w:rsidRPr="00416C4A">
              <w:rPr>
                <w:rFonts w:ascii="Times" w:hAnsi="Times"/>
                <w:iCs/>
              </w:rPr>
              <w:t>) *</w:t>
            </w:r>
            <w:r w:rsidR="006C6006" w:rsidRPr="00416C4A">
              <w:rPr>
                <w:rFonts w:ascii="Times" w:hAnsi="Times"/>
                <w:iCs/>
              </w:rPr>
              <w:t xml:space="preserve"> 100</w:t>
            </w:r>
            <w:r w:rsidR="00D67567" w:rsidRPr="00416C4A">
              <w:rPr>
                <w:rFonts w:ascii="Times" w:hAnsi="Times"/>
                <w:iCs/>
              </w:rPr>
              <w:t xml:space="preserve">, </w:t>
            </w:r>
            <w:proofErr w:type="spellStart"/>
            <w:r w:rsidR="00D67567" w:rsidRPr="00416C4A">
              <w:rPr>
                <w:rFonts w:ascii="Times" w:hAnsi="Times"/>
                <w:iCs/>
              </w:rPr>
              <w:t>winsorized</w:t>
            </w:r>
            <w:proofErr w:type="spellEnd"/>
            <w:r w:rsidR="00D67567" w:rsidRPr="00416C4A">
              <w:rPr>
                <w:rFonts w:ascii="Times" w:hAnsi="Times"/>
                <w:iCs/>
              </w:rPr>
              <w:t xml:space="preserve"> at 1% extremes</w:t>
            </w:r>
            <w:r w:rsidRPr="00416C4A">
              <w:rPr>
                <w:iCs/>
              </w:rPr>
              <w:t xml:space="preserve"> </w:t>
            </w:r>
          </w:p>
        </w:tc>
      </w:tr>
      <w:tr w:rsidR="00416C4A" w:rsidRPr="00416C4A" w14:paraId="4C25611A" w14:textId="77777777" w:rsidTr="00B127F0">
        <w:trPr>
          <w:trHeight w:val="171"/>
        </w:trPr>
        <w:tc>
          <w:tcPr>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4B7466" w14:textId="77777777" w:rsidR="00FA5EA7" w:rsidRPr="00416C4A" w:rsidRDefault="00D96DFB" w:rsidP="00B127F0">
            <w:pPr>
              <w:spacing w:line="360" w:lineRule="auto"/>
              <w:rPr>
                <w:rFonts w:ascii="Times" w:hAnsi="Times"/>
              </w:rPr>
            </w:pPr>
            <w:r w:rsidRPr="00416C4A">
              <w:rPr>
                <w:rFonts w:ascii="Times" w:hAnsi="Times"/>
              </w:rPr>
              <w:t>Tobin’s Q</w:t>
            </w:r>
          </w:p>
        </w:tc>
        <w:tc>
          <w:tcPr>
            <w:tcW w:w="5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BD2AF2" w14:textId="658DFCE9" w:rsidR="00FA5EA7" w:rsidRPr="00416C4A" w:rsidRDefault="00D96DFB" w:rsidP="00B127F0">
            <w:pPr>
              <w:spacing w:line="360" w:lineRule="auto"/>
              <w:rPr>
                <w:rFonts w:ascii="Times" w:hAnsi="Times"/>
              </w:rPr>
            </w:pPr>
            <w:r w:rsidRPr="00416C4A">
              <w:rPr>
                <w:rFonts w:ascii="Times" w:hAnsi="Times"/>
              </w:rPr>
              <w:t>Equity market value / Equity book value</w:t>
            </w:r>
            <w:r w:rsidR="00D67567" w:rsidRPr="00416C4A">
              <w:rPr>
                <w:rFonts w:ascii="Times" w:hAnsi="Times"/>
              </w:rPr>
              <w:t xml:space="preserve">, </w:t>
            </w:r>
            <w:proofErr w:type="spellStart"/>
            <w:r w:rsidR="00D67567" w:rsidRPr="00416C4A">
              <w:rPr>
                <w:rFonts w:ascii="Times" w:hAnsi="Times"/>
                <w:iCs/>
              </w:rPr>
              <w:t>winsorized</w:t>
            </w:r>
            <w:proofErr w:type="spellEnd"/>
            <w:r w:rsidR="00D67567" w:rsidRPr="00416C4A">
              <w:rPr>
                <w:rFonts w:ascii="Times" w:hAnsi="Times"/>
                <w:iCs/>
              </w:rPr>
              <w:t xml:space="preserve"> at 1% extremes</w:t>
            </w:r>
            <w:r w:rsidRPr="00416C4A">
              <w:rPr>
                <w:rFonts w:ascii="Times" w:hAnsi="Times"/>
              </w:rPr>
              <w:t xml:space="preserve"> </w:t>
            </w:r>
          </w:p>
        </w:tc>
      </w:tr>
      <w:tr w:rsidR="00416C4A" w:rsidRPr="00416C4A" w14:paraId="3C4D46E8" w14:textId="77777777" w:rsidTr="00B127F0">
        <w:tc>
          <w:tcPr>
            <w:tcW w:w="3681" w:type="dxa"/>
            <w:tcBorders>
              <w:top w:val="single" w:sz="4" w:space="0" w:color="FFFFFF" w:themeColor="background1"/>
              <w:left w:val="single" w:sz="4" w:space="0" w:color="FFFFFF" w:themeColor="background1"/>
              <w:right w:val="single" w:sz="4" w:space="0" w:color="FFFFFF" w:themeColor="background1"/>
            </w:tcBorders>
            <w:vAlign w:val="center"/>
          </w:tcPr>
          <w:p w14:paraId="510AFE75" w14:textId="77777777" w:rsidR="00FA5EA7" w:rsidRPr="00416C4A" w:rsidRDefault="00FA5EA7" w:rsidP="00B127F0">
            <w:pPr>
              <w:spacing w:line="360" w:lineRule="auto"/>
              <w:rPr>
                <w:rFonts w:ascii="Times" w:hAnsi="Times"/>
                <w:b/>
                <w:bCs/>
              </w:rPr>
            </w:pPr>
          </w:p>
          <w:p w14:paraId="2DD0AA71" w14:textId="0621C6D1" w:rsidR="00FA5EA7" w:rsidRPr="00416C4A" w:rsidRDefault="00D96DFB" w:rsidP="00B127F0">
            <w:pPr>
              <w:spacing w:line="360" w:lineRule="auto"/>
              <w:rPr>
                <w:rFonts w:ascii="Times" w:hAnsi="Times"/>
                <w:b/>
                <w:bCs/>
              </w:rPr>
            </w:pPr>
            <w:r w:rsidRPr="00416C4A">
              <w:rPr>
                <w:rFonts w:ascii="Times" w:hAnsi="Times"/>
                <w:b/>
                <w:bCs/>
              </w:rPr>
              <w:t xml:space="preserve">Independent </w:t>
            </w:r>
          </w:p>
        </w:tc>
        <w:tc>
          <w:tcPr>
            <w:tcW w:w="5329" w:type="dxa"/>
            <w:tcBorders>
              <w:top w:val="single" w:sz="4" w:space="0" w:color="FFFFFF" w:themeColor="background1"/>
              <w:left w:val="single" w:sz="4" w:space="0" w:color="FFFFFF" w:themeColor="background1"/>
              <w:right w:val="single" w:sz="4" w:space="0" w:color="FFFFFF" w:themeColor="background1"/>
            </w:tcBorders>
            <w:vAlign w:val="center"/>
          </w:tcPr>
          <w:p w14:paraId="39278605" w14:textId="77777777" w:rsidR="00FA5EA7" w:rsidRPr="00416C4A" w:rsidRDefault="00FA5EA7" w:rsidP="00B127F0">
            <w:pPr>
              <w:spacing w:line="360" w:lineRule="auto"/>
              <w:rPr>
                <w:rFonts w:ascii="Times" w:hAnsi="Times"/>
              </w:rPr>
            </w:pPr>
          </w:p>
        </w:tc>
      </w:tr>
      <w:tr w:rsidR="00416C4A" w:rsidRPr="00416C4A" w14:paraId="3227BFEE" w14:textId="77777777" w:rsidTr="00B127F0">
        <w:tc>
          <w:tcPr>
            <w:tcW w:w="3681" w:type="dxa"/>
            <w:tcBorders>
              <w:left w:val="single" w:sz="4" w:space="0" w:color="FFFFFF" w:themeColor="background1"/>
              <w:bottom w:val="single" w:sz="4" w:space="0" w:color="FFFFFF" w:themeColor="background1"/>
              <w:right w:val="single" w:sz="4" w:space="0" w:color="FFFFFF" w:themeColor="background1"/>
            </w:tcBorders>
            <w:vAlign w:val="center"/>
          </w:tcPr>
          <w:p w14:paraId="7BA60AFE" w14:textId="77777777" w:rsidR="00FA5EA7" w:rsidRPr="00416C4A" w:rsidRDefault="00D96DFB" w:rsidP="00B127F0">
            <w:pPr>
              <w:spacing w:line="360" w:lineRule="auto"/>
              <w:rPr>
                <w:rFonts w:ascii="Times" w:hAnsi="Times"/>
              </w:rPr>
            </w:pPr>
            <w:r w:rsidRPr="00416C4A">
              <w:rPr>
                <w:rFonts w:ascii="Times" w:hAnsi="Times"/>
              </w:rPr>
              <w:t>%Female</w:t>
            </w:r>
          </w:p>
        </w:tc>
        <w:tc>
          <w:tcPr>
            <w:tcW w:w="5329" w:type="dxa"/>
            <w:tcBorders>
              <w:left w:val="single" w:sz="4" w:space="0" w:color="FFFFFF" w:themeColor="background1"/>
              <w:bottom w:val="single" w:sz="4" w:space="0" w:color="FFFFFF" w:themeColor="background1"/>
              <w:right w:val="single" w:sz="4" w:space="0" w:color="FFFFFF" w:themeColor="background1"/>
            </w:tcBorders>
          </w:tcPr>
          <w:p w14:paraId="2C00B4E0" w14:textId="3AFF8DF8" w:rsidR="00FA5EA7" w:rsidRPr="00416C4A" w:rsidRDefault="00D96DFB" w:rsidP="00B127F0">
            <w:pPr>
              <w:spacing w:line="360" w:lineRule="auto"/>
              <w:rPr>
                <w:rFonts w:ascii="Times" w:hAnsi="Times"/>
              </w:rPr>
            </w:pPr>
            <w:r w:rsidRPr="00416C4A">
              <w:rPr>
                <w:rFonts w:ascii="Times" w:hAnsi="Times"/>
              </w:rPr>
              <w:t xml:space="preserve">Number of </w:t>
            </w:r>
            <w:r w:rsidR="004D6546">
              <w:rPr>
                <w:rFonts w:ascii="Times" w:hAnsi="Times"/>
              </w:rPr>
              <w:t xml:space="preserve">female directors </w:t>
            </w:r>
            <w:r w:rsidRPr="00416C4A">
              <w:rPr>
                <w:rFonts w:ascii="Times" w:hAnsi="Times"/>
              </w:rPr>
              <w:t xml:space="preserve">divided by </w:t>
            </w:r>
            <w:r w:rsidR="004D6546">
              <w:rPr>
                <w:rFonts w:ascii="Times" w:hAnsi="Times"/>
              </w:rPr>
              <w:t xml:space="preserve">the </w:t>
            </w:r>
            <w:r w:rsidRPr="00416C4A">
              <w:rPr>
                <w:rFonts w:ascii="Times" w:hAnsi="Times"/>
              </w:rPr>
              <w:t xml:space="preserve">total number of directors </w:t>
            </w:r>
            <w:r w:rsidR="00280B69" w:rsidRPr="00416C4A">
              <w:rPr>
                <w:rFonts w:ascii="Times" w:hAnsi="Times"/>
              </w:rPr>
              <w:t>and multiplied by 100</w:t>
            </w:r>
          </w:p>
        </w:tc>
      </w:tr>
      <w:tr w:rsidR="00416C4A" w:rsidRPr="00416C4A" w14:paraId="285C5650" w14:textId="77777777" w:rsidTr="00B127F0">
        <w:tc>
          <w:tcPr>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FADD09" w14:textId="77777777" w:rsidR="00FA5EA7" w:rsidRPr="00416C4A" w:rsidRDefault="00D96DFB" w:rsidP="00B127F0">
            <w:pPr>
              <w:spacing w:line="360" w:lineRule="auto"/>
              <w:rPr>
                <w:rFonts w:ascii="Times" w:hAnsi="Times"/>
              </w:rPr>
            </w:pPr>
            <w:r w:rsidRPr="00416C4A">
              <w:rPr>
                <w:rFonts w:ascii="Times" w:hAnsi="Times"/>
              </w:rPr>
              <w:t>%Executive Female</w:t>
            </w:r>
          </w:p>
        </w:tc>
        <w:tc>
          <w:tcPr>
            <w:tcW w:w="5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FE785C" w14:textId="17EE811F" w:rsidR="00FA5EA7" w:rsidRPr="00416C4A" w:rsidRDefault="00D96DFB" w:rsidP="00B127F0">
            <w:pPr>
              <w:spacing w:line="360" w:lineRule="auto"/>
              <w:rPr>
                <w:rFonts w:ascii="Times" w:hAnsi="Times"/>
              </w:rPr>
            </w:pPr>
            <w:r w:rsidRPr="00416C4A">
              <w:rPr>
                <w:rFonts w:ascii="Times" w:hAnsi="Times"/>
              </w:rPr>
              <w:t xml:space="preserve">Number of executive females </w:t>
            </w:r>
            <w:r w:rsidR="004D6546">
              <w:rPr>
                <w:rFonts w:ascii="Times" w:hAnsi="Times"/>
              </w:rPr>
              <w:t>directors</w:t>
            </w:r>
            <w:r w:rsidR="00280B69" w:rsidRPr="00416C4A">
              <w:rPr>
                <w:rFonts w:ascii="Times" w:hAnsi="Times"/>
              </w:rPr>
              <w:t xml:space="preserve">, divided by </w:t>
            </w:r>
            <w:r w:rsidR="004D6546">
              <w:rPr>
                <w:rFonts w:ascii="Times" w:hAnsi="Times"/>
              </w:rPr>
              <w:t xml:space="preserve">the </w:t>
            </w:r>
            <w:r w:rsidR="00280B69" w:rsidRPr="00416C4A">
              <w:rPr>
                <w:rFonts w:ascii="Times" w:hAnsi="Times"/>
              </w:rPr>
              <w:t xml:space="preserve">total </w:t>
            </w:r>
            <w:r w:rsidR="004D6546">
              <w:rPr>
                <w:rFonts w:ascii="Times" w:hAnsi="Times"/>
              </w:rPr>
              <w:t>number of directors</w:t>
            </w:r>
            <w:r w:rsidR="00280B69" w:rsidRPr="00416C4A">
              <w:rPr>
                <w:rFonts w:ascii="Times" w:hAnsi="Times"/>
              </w:rPr>
              <w:t xml:space="preserve"> and</w:t>
            </w:r>
            <w:r w:rsidRPr="00416C4A">
              <w:rPr>
                <w:rFonts w:ascii="Times" w:hAnsi="Times"/>
              </w:rPr>
              <w:t xml:space="preserve"> multiplied by 100</w:t>
            </w:r>
          </w:p>
        </w:tc>
      </w:tr>
      <w:tr w:rsidR="00416C4A" w:rsidRPr="00416C4A" w14:paraId="511CD542" w14:textId="77777777" w:rsidTr="00FC4248">
        <w:tc>
          <w:tcPr>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67FC52" w14:textId="15BB411C" w:rsidR="00FA5EA7" w:rsidRPr="00416C4A" w:rsidRDefault="00D96DFB" w:rsidP="00B127F0">
            <w:pPr>
              <w:spacing w:line="360" w:lineRule="auto"/>
              <w:rPr>
                <w:rFonts w:ascii="Times" w:hAnsi="Times"/>
              </w:rPr>
            </w:pPr>
            <w:proofErr w:type="spellStart"/>
            <w:r w:rsidRPr="00416C4A">
              <w:rPr>
                <w:rFonts w:ascii="Times" w:hAnsi="Times"/>
              </w:rPr>
              <w:t>Female_</w:t>
            </w:r>
            <w:r w:rsidR="00842159" w:rsidRPr="00416C4A">
              <w:rPr>
                <w:rFonts w:ascii="Times" w:hAnsi="Times"/>
              </w:rPr>
              <w:t>C</w:t>
            </w:r>
            <w:r w:rsidRPr="00416C4A">
              <w:rPr>
                <w:rFonts w:ascii="Times" w:hAnsi="Times"/>
              </w:rPr>
              <w:t>hair</w:t>
            </w:r>
            <w:proofErr w:type="spellEnd"/>
          </w:p>
        </w:tc>
        <w:tc>
          <w:tcPr>
            <w:tcW w:w="5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47DE03" w14:textId="24ACC6D0" w:rsidR="00FA5EA7" w:rsidRPr="00416C4A" w:rsidRDefault="004D6546" w:rsidP="00B127F0">
            <w:pPr>
              <w:spacing w:line="360" w:lineRule="auto"/>
              <w:rPr>
                <w:rFonts w:ascii="Times" w:hAnsi="Times"/>
              </w:rPr>
            </w:pPr>
            <w:r>
              <w:rPr>
                <w:rFonts w:ascii="Times" w:hAnsi="Times"/>
              </w:rPr>
              <w:t>Indicator</w:t>
            </w:r>
            <w:r w:rsidRPr="00416C4A">
              <w:rPr>
                <w:rFonts w:ascii="Times" w:hAnsi="Times"/>
              </w:rPr>
              <w:t xml:space="preserve"> </w:t>
            </w:r>
            <w:r w:rsidR="00D96DFB" w:rsidRPr="00416C4A">
              <w:rPr>
                <w:rFonts w:ascii="Times" w:hAnsi="Times"/>
              </w:rPr>
              <w:t xml:space="preserve">variable for </w:t>
            </w:r>
            <w:r>
              <w:rPr>
                <w:rFonts w:ascii="Times" w:hAnsi="Times"/>
              </w:rPr>
              <w:t xml:space="preserve">a </w:t>
            </w:r>
            <w:r w:rsidR="00D96DFB" w:rsidRPr="00416C4A">
              <w:rPr>
                <w:rFonts w:ascii="Times" w:hAnsi="Times"/>
              </w:rPr>
              <w:t xml:space="preserve">female </w:t>
            </w:r>
            <w:r>
              <w:rPr>
                <w:rFonts w:ascii="Times" w:hAnsi="Times"/>
              </w:rPr>
              <w:t xml:space="preserve">board </w:t>
            </w:r>
            <w:r w:rsidR="00D96DFB" w:rsidRPr="00416C4A">
              <w:rPr>
                <w:rFonts w:ascii="Times" w:hAnsi="Times"/>
              </w:rPr>
              <w:t>chair</w:t>
            </w:r>
          </w:p>
        </w:tc>
      </w:tr>
      <w:tr w:rsidR="00416C4A" w:rsidRPr="00416C4A" w14:paraId="51A5D9F4" w14:textId="77777777" w:rsidTr="00FC4248">
        <w:tc>
          <w:tcPr>
            <w:tcW w:w="3681" w:type="dxa"/>
            <w:tcBorders>
              <w:top w:val="single" w:sz="4" w:space="0" w:color="FFFFFF" w:themeColor="background1"/>
              <w:left w:val="single" w:sz="4" w:space="0" w:color="FFFFFF" w:themeColor="background1"/>
              <w:bottom w:val="nil"/>
              <w:right w:val="single" w:sz="4" w:space="0" w:color="FFFFFF" w:themeColor="background1"/>
            </w:tcBorders>
            <w:vAlign w:val="center"/>
          </w:tcPr>
          <w:p w14:paraId="5A2E1958" w14:textId="77777777" w:rsidR="00FA5EA7" w:rsidRPr="00416C4A" w:rsidRDefault="00D96DFB" w:rsidP="00B127F0">
            <w:pPr>
              <w:spacing w:line="360" w:lineRule="auto"/>
              <w:rPr>
                <w:rFonts w:ascii="Times" w:hAnsi="Times"/>
              </w:rPr>
            </w:pPr>
            <w:proofErr w:type="spellStart"/>
            <w:r w:rsidRPr="00416C4A">
              <w:rPr>
                <w:rFonts w:ascii="Times" w:hAnsi="Times"/>
              </w:rPr>
              <w:t>Female_CEO</w:t>
            </w:r>
            <w:proofErr w:type="spellEnd"/>
          </w:p>
        </w:tc>
        <w:tc>
          <w:tcPr>
            <w:tcW w:w="5329" w:type="dxa"/>
            <w:tcBorders>
              <w:top w:val="single" w:sz="4" w:space="0" w:color="FFFFFF" w:themeColor="background1"/>
              <w:left w:val="single" w:sz="4" w:space="0" w:color="FFFFFF" w:themeColor="background1"/>
              <w:bottom w:val="nil"/>
              <w:right w:val="single" w:sz="4" w:space="0" w:color="FFFFFF" w:themeColor="background1"/>
            </w:tcBorders>
            <w:vAlign w:val="center"/>
          </w:tcPr>
          <w:p w14:paraId="358F330A" w14:textId="1353E578" w:rsidR="00FA5EA7" w:rsidRPr="00416C4A" w:rsidRDefault="004D6546" w:rsidP="00B127F0">
            <w:pPr>
              <w:spacing w:line="360" w:lineRule="auto"/>
              <w:rPr>
                <w:rFonts w:ascii="Times" w:hAnsi="Times"/>
                <w:iCs/>
              </w:rPr>
            </w:pPr>
            <w:r>
              <w:rPr>
                <w:rFonts w:ascii="Times" w:hAnsi="Times"/>
              </w:rPr>
              <w:t>Indicator</w:t>
            </w:r>
            <w:r w:rsidRPr="00416C4A">
              <w:rPr>
                <w:rFonts w:ascii="Times" w:hAnsi="Times"/>
              </w:rPr>
              <w:t xml:space="preserve"> </w:t>
            </w:r>
            <w:r w:rsidR="00D96DFB" w:rsidRPr="00416C4A">
              <w:rPr>
                <w:rFonts w:ascii="Times" w:hAnsi="Times"/>
              </w:rPr>
              <w:t xml:space="preserve">variable for </w:t>
            </w:r>
            <w:r>
              <w:rPr>
                <w:rFonts w:ascii="Times" w:hAnsi="Times"/>
              </w:rPr>
              <w:t xml:space="preserve">a </w:t>
            </w:r>
            <w:r w:rsidR="00D96DFB" w:rsidRPr="00416C4A">
              <w:rPr>
                <w:rFonts w:ascii="Times" w:hAnsi="Times"/>
              </w:rPr>
              <w:t>female CEO</w:t>
            </w:r>
          </w:p>
        </w:tc>
      </w:tr>
      <w:tr w:rsidR="00416C4A" w:rsidRPr="00416C4A" w14:paraId="06CB6C68" w14:textId="77777777" w:rsidTr="00FC4248">
        <w:tc>
          <w:tcPr>
            <w:tcW w:w="3681"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48BC9856" w14:textId="31296497" w:rsidR="00FA5EA7" w:rsidRPr="00416C4A" w:rsidRDefault="00D96DFB" w:rsidP="00B127F0">
            <w:pPr>
              <w:spacing w:line="360" w:lineRule="auto"/>
              <w:rPr>
                <w:rFonts w:ascii="Times" w:hAnsi="Times"/>
              </w:rPr>
            </w:pPr>
            <w:r w:rsidRPr="00416C4A">
              <w:rPr>
                <w:rFonts w:ascii="Times" w:hAnsi="Times"/>
              </w:rPr>
              <w:t xml:space="preserve">Firm </w:t>
            </w:r>
            <w:r w:rsidR="004115EA" w:rsidRPr="00416C4A">
              <w:rPr>
                <w:rFonts w:ascii="Times" w:hAnsi="Times"/>
              </w:rPr>
              <w:t>S</w:t>
            </w:r>
            <w:r w:rsidRPr="00416C4A">
              <w:rPr>
                <w:rFonts w:ascii="Times" w:hAnsi="Times"/>
              </w:rPr>
              <w:t>ize</w:t>
            </w:r>
          </w:p>
        </w:tc>
        <w:tc>
          <w:tcPr>
            <w:tcW w:w="5329"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062CFBFA" w14:textId="7D30DC4B" w:rsidR="00FA5EA7" w:rsidRPr="00416C4A" w:rsidRDefault="00D96DFB" w:rsidP="00B127F0">
            <w:pPr>
              <w:rPr>
                <w:rFonts w:ascii="Times" w:hAnsi="Times"/>
                <w:iCs/>
              </w:rPr>
            </w:pPr>
            <w:r w:rsidRPr="00416C4A">
              <w:rPr>
                <w:rFonts w:ascii="Times" w:hAnsi="Times"/>
                <w:iCs/>
              </w:rPr>
              <w:t>Logarithm of turnover</w:t>
            </w:r>
            <w:r w:rsidR="00047AF9" w:rsidRPr="00416C4A">
              <w:rPr>
                <w:rFonts w:ascii="Times" w:hAnsi="Times"/>
                <w:iCs/>
              </w:rPr>
              <w:t xml:space="preserve">, </w:t>
            </w:r>
            <w:proofErr w:type="spellStart"/>
            <w:r w:rsidR="00047AF9" w:rsidRPr="00416C4A">
              <w:rPr>
                <w:rFonts w:ascii="Times" w:hAnsi="Times"/>
                <w:iCs/>
              </w:rPr>
              <w:t>winsorized</w:t>
            </w:r>
            <w:proofErr w:type="spellEnd"/>
            <w:r w:rsidR="00047AF9" w:rsidRPr="00416C4A">
              <w:rPr>
                <w:rFonts w:ascii="Times" w:hAnsi="Times"/>
                <w:iCs/>
              </w:rPr>
              <w:t xml:space="preserve"> at 1% extremes</w:t>
            </w:r>
          </w:p>
        </w:tc>
      </w:tr>
      <w:tr w:rsidR="00416C4A" w:rsidRPr="00416C4A" w14:paraId="48913DCA" w14:textId="77777777" w:rsidTr="00AF4E63">
        <w:tc>
          <w:tcPr>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0A894E" w14:textId="7BFF3C6C" w:rsidR="00FA5EA7" w:rsidRPr="00416C4A" w:rsidRDefault="00D96DFB" w:rsidP="00B127F0">
            <w:pPr>
              <w:spacing w:line="360" w:lineRule="auto"/>
              <w:rPr>
                <w:rFonts w:ascii="Times" w:hAnsi="Times"/>
              </w:rPr>
            </w:pPr>
            <w:r w:rsidRPr="00416C4A">
              <w:rPr>
                <w:rFonts w:ascii="Times" w:hAnsi="Times"/>
              </w:rPr>
              <w:t xml:space="preserve">Board </w:t>
            </w:r>
            <w:r w:rsidR="004115EA" w:rsidRPr="00416C4A">
              <w:rPr>
                <w:rFonts w:ascii="Times" w:hAnsi="Times"/>
              </w:rPr>
              <w:t>S</w:t>
            </w:r>
            <w:r w:rsidRPr="00416C4A">
              <w:rPr>
                <w:rFonts w:ascii="Times" w:hAnsi="Times"/>
              </w:rPr>
              <w:t>ize</w:t>
            </w:r>
          </w:p>
        </w:tc>
        <w:tc>
          <w:tcPr>
            <w:tcW w:w="53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423FAA" w14:textId="75EDD9A5" w:rsidR="00FA5EA7" w:rsidRPr="00416C4A" w:rsidRDefault="00D96DFB" w:rsidP="00B127F0">
            <w:pPr>
              <w:spacing w:line="360" w:lineRule="auto"/>
              <w:rPr>
                <w:rFonts w:ascii="Times" w:hAnsi="Times"/>
                <w:iCs/>
              </w:rPr>
            </w:pPr>
            <w:r w:rsidRPr="00416C4A">
              <w:rPr>
                <w:rFonts w:ascii="Times" w:hAnsi="Times"/>
                <w:iCs/>
              </w:rPr>
              <w:t xml:space="preserve">Total number of directors on </w:t>
            </w:r>
            <w:r w:rsidR="004D6546">
              <w:rPr>
                <w:rFonts w:ascii="Times" w:hAnsi="Times"/>
                <w:iCs/>
              </w:rPr>
              <w:t xml:space="preserve">the </w:t>
            </w:r>
            <w:r w:rsidRPr="00416C4A">
              <w:rPr>
                <w:rFonts w:ascii="Times" w:hAnsi="Times"/>
                <w:iCs/>
              </w:rPr>
              <w:t>board</w:t>
            </w:r>
          </w:p>
        </w:tc>
      </w:tr>
      <w:tr w:rsidR="00416C4A" w:rsidRPr="00416C4A" w14:paraId="1C63E80E" w14:textId="77777777" w:rsidTr="00AF4E63">
        <w:trPr>
          <w:trHeight w:val="557"/>
        </w:trPr>
        <w:tc>
          <w:tcPr>
            <w:tcW w:w="3681" w:type="dxa"/>
            <w:tcBorders>
              <w:top w:val="single" w:sz="4" w:space="0" w:color="FFFFFF" w:themeColor="background1"/>
              <w:left w:val="single" w:sz="4" w:space="0" w:color="FFFFFF" w:themeColor="background1"/>
              <w:bottom w:val="nil"/>
              <w:right w:val="single" w:sz="4" w:space="0" w:color="FFFFFF" w:themeColor="background1"/>
            </w:tcBorders>
            <w:vAlign w:val="center"/>
          </w:tcPr>
          <w:p w14:paraId="06FC50D8" w14:textId="77777777" w:rsidR="00FA5EA7" w:rsidRPr="00416C4A" w:rsidRDefault="00D96DFB" w:rsidP="00B127F0">
            <w:pPr>
              <w:spacing w:line="360" w:lineRule="auto"/>
              <w:rPr>
                <w:rFonts w:ascii="Times" w:hAnsi="Times"/>
              </w:rPr>
            </w:pPr>
            <w:r w:rsidRPr="00416C4A">
              <w:rPr>
                <w:rFonts w:ascii="Times" w:hAnsi="Times"/>
              </w:rPr>
              <w:t>Leverage</w:t>
            </w:r>
          </w:p>
        </w:tc>
        <w:tc>
          <w:tcPr>
            <w:tcW w:w="5329" w:type="dxa"/>
            <w:tcBorders>
              <w:top w:val="single" w:sz="4" w:space="0" w:color="FFFFFF" w:themeColor="background1"/>
              <w:left w:val="single" w:sz="4" w:space="0" w:color="FFFFFF" w:themeColor="background1"/>
              <w:bottom w:val="nil"/>
              <w:right w:val="single" w:sz="4" w:space="0" w:color="FFFFFF" w:themeColor="background1"/>
            </w:tcBorders>
            <w:vAlign w:val="center"/>
          </w:tcPr>
          <w:p w14:paraId="18B61582" w14:textId="1496E026" w:rsidR="00FA5EA7" w:rsidRPr="00416C4A" w:rsidRDefault="00D96DFB" w:rsidP="00B127F0">
            <w:pPr>
              <w:rPr>
                <w:rFonts w:ascii="Times" w:hAnsi="Times"/>
                <w:iCs/>
              </w:rPr>
            </w:pPr>
            <w:r w:rsidRPr="00416C4A">
              <w:rPr>
                <w:rFonts w:ascii="Times" w:hAnsi="Times"/>
                <w:iCs/>
              </w:rPr>
              <w:t xml:space="preserve">Long-term liabilities / </w:t>
            </w:r>
            <w:r w:rsidR="004D6546">
              <w:rPr>
                <w:rFonts w:ascii="Times" w:hAnsi="Times"/>
                <w:iCs/>
              </w:rPr>
              <w:t>t</w:t>
            </w:r>
            <w:r w:rsidRPr="00416C4A">
              <w:rPr>
                <w:rFonts w:ascii="Times" w:hAnsi="Times"/>
                <w:iCs/>
              </w:rPr>
              <w:t>otal assets</w:t>
            </w:r>
            <w:r w:rsidR="00047AF9" w:rsidRPr="00416C4A">
              <w:rPr>
                <w:rFonts w:ascii="Times" w:hAnsi="Times"/>
                <w:iCs/>
              </w:rPr>
              <w:t xml:space="preserve">, </w:t>
            </w:r>
            <w:proofErr w:type="spellStart"/>
            <w:r w:rsidR="00047AF9" w:rsidRPr="00416C4A">
              <w:rPr>
                <w:rFonts w:ascii="Times" w:hAnsi="Times"/>
                <w:iCs/>
              </w:rPr>
              <w:t>winsorized</w:t>
            </w:r>
            <w:proofErr w:type="spellEnd"/>
            <w:r w:rsidR="00047AF9" w:rsidRPr="00416C4A">
              <w:rPr>
                <w:rFonts w:ascii="Times" w:hAnsi="Times"/>
                <w:iCs/>
              </w:rPr>
              <w:t xml:space="preserve"> at 1% extremes</w:t>
            </w:r>
          </w:p>
        </w:tc>
      </w:tr>
      <w:tr w:rsidR="00416C4A" w:rsidRPr="00416C4A" w14:paraId="24308306" w14:textId="77777777" w:rsidTr="00AF4E63">
        <w:tc>
          <w:tcPr>
            <w:tcW w:w="3681"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1113B794" w14:textId="77777777" w:rsidR="00FA5EA7" w:rsidRPr="00416C4A" w:rsidRDefault="00D96DFB" w:rsidP="00B127F0">
            <w:pPr>
              <w:spacing w:line="360" w:lineRule="auto"/>
              <w:rPr>
                <w:rFonts w:ascii="Times" w:hAnsi="Times"/>
                <w:highlight w:val="yellow"/>
              </w:rPr>
            </w:pPr>
            <w:r w:rsidRPr="00416C4A">
              <w:rPr>
                <w:rFonts w:ascii="Times" w:hAnsi="Times"/>
              </w:rPr>
              <w:t>Industry</w:t>
            </w:r>
          </w:p>
        </w:tc>
        <w:tc>
          <w:tcPr>
            <w:tcW w:w="5329"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3C765F3D" w14:textId="658F1280" w:rsidR="00FA5EA7" w:rsidRPr="00416C4A" w:rsidRDefault="00D96DFB" w:rsidP="00B127F0">
            <w:pPr>
              <w:rPr>
                <w:rFonts w:ascii="Times" w:hAnsi="Times"/>
                <w:iCs/>
              </w:rPr>
            </w:pPr>
            <w:r w:rsidRPr="00416C4A">
              <w:rPr>
                <w:rFonts w:ascii="Times" w:hAnsi="Times"/>
                <w:iCs/>
              </w:rPr>
              <w:t xml:space="preserve">21 </w:t>
            </w:r>
            <w:r w:rsidR="004D6546">
              <w:rPr>
                <w:rFonts w:ascii="Times" w:hAnsi="Times"/>
                <w:iCs/>
              </w:rPr>
              <w:t>indicator</w:t>
            </w:r>
            <w:r w:rsidRPr="00416C4A">
              <w:rPr>
                <w:rFonts w:ascii="Times" w:hAnsi="Times"/>
                <w:iCs/>
              </w:rPr>
              <w:t xml:space="preserve"> variable</w:t>
            </w:r>
            <w:r w:rsidR="00AF4E63" w:rsidRPr="00416C4A">
              <w:rPr>
                <w:rFonts w:ascii="Times" w:hAnsi="Times"/>
                <w:iCs/>
              </w:rPr>
              <w:t>s</w:t>
            </w:r>
            <w:r w:rsidRPr="00416C4A">
              <w:rPr>
                <w:rFonts w:ascii="Times" w:hAnsi="Times"/>
                <w:iCs/>
              </w:rPr>
              <w:t xml:space="preserve"> </w:t>
            </w:r>
            <w:r w:rsidR="00AF4E63" w:rsidRPr="00416C4A">
              <w:rPr>
                <w:rFonts w:ascii="Times" w:hAnsi="Times"/>
                <w:iCs/>
              </w:rPr>
              <w:t xml:space="preserve">for </w:t>
            </w:r>
            <w:r w:rsidRPr="00416C4A">
              <w:rPr>
                <w:rFonts w:ascii="Times" w:hAnsi="Times"/>
                <w:iCs/>
              </w:rPr>
              <w:t>industr</w:t>
            </w:r>
            <w:r w:rsidR="00AF4E63" w:rsidRPr="00416C4A">
              <w:rPr>
                <w:rFonts w:ascii="Times" w:hAnsi="Times"/>
                <w:iCs/>
              </w:rPr>
              <w:t>ies</w:t>
            </w:r>
          </w:p>
        </w:tc>
      </w:tr>
      <w:tr w:rsidR="00733514" w:rsidRPr="00416C4A" w14:paraId="1BF43614" w14:textId="77777777" w:rsidTr="00B127F0">
        <w:tc>
          <w:tcPr>
            <w:tcW w:w="3681"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741F4B2D" w14:textId="77777777" w:rsidR="00FA5EA7" w:rsidRPr="00416C4A" w:rsidRDefault="00D96DFB" w:rsidP="00B127F0">
            <w:pPr>
              <w:spacing w:line="360" w:lineRule="auto"/>
              <w:rPr>
                <w:rFonts w:ascii="Times" w:hAnsi="Times"/>
              </w:rPr>
            </w:pPr>
            <w:r w:rsidRPr="00416C4A">
              <w:rPr>
                <w:rFonts w:ascii="Times" w:hAnsi="Times"/>
              </w:rPr>
              <w:t>Y2014, Y2016, Y2018</w:t>
            </w:r>
          </w:p>
        </w:tc>
        <w:tc>
          <w:tcPr>
            <w:tcW w:w="5329"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6F9400EB" w14:textId="07A4EA91" w:rsidR="00FA5EA7" w:rsidRPr="00416C4A" w:rsidRDefault="004D6546" w:rsidP="00B127F0">
            <w:pPr>
              <w:rPr>
                <w:rFonts w:ascii="Times" w:hAnsi="Times"/>
                <w:iCs/>
              </w:rPr>
            </w:pPr>
            <w:r>
              <w:rPr>
                <w:rFonts w:ascii="Times" w:hAnsi="Times"/>
                <w:iCs/>
              </w:rPr>
              <w:t>Indicator</w:t>
            </w:r>
            <w:r w:rsidRPr="00416C4A">
              <w:rPr>
                <w:rFonts w:ascii="Times" w:hAnsi="Times"/>
                <w:iCs/>
              </w:rPr>
              <w:t xml:space="preserve"> </w:t>
            </w:r>
            <w:r w:rsidR="00D96DFB" w:rsidRPr="00416C4A">
              <w:rPr>
                <w:rFonts w:ascii="Times" w:hAnsi="Times"/>
                <w:iCs/>
              </w:rPr>
              <w:t>year variables</w:t>
            </w:r>
          </w:p>
        </w:tc>
      </w:tr>
    </w:tbl>
    <w:p w14:paraId="2DE8503E" w14:textId="0BD64F50" w:rsidR="00FA5EA7" w:rsidRPr="00416C4A" w:rsidRDefault="00FA5EA7" w:rsidP="00FA5EA7">
      <w:pPr>
        <w:spacing w:line="480" w:lineRule="auto"/>
        <w:jc w:val="both"/>
      </w:pPr>
    </w:p>
    <w:p w14:paraId="37AD6689" w14:textId="77777777" w:rsidR="00FA5EA7" w:rsidRPr="00416C4A" w:rsidRDefault="00D96DFB">
      <w:r w:rsidRPr="00416C4A">
        <w:br w:type="page"/>
      </w:r>
    </w:p>
    <w:p w14:paraId="67C0AFBA" w14:textId="77777777" w:rsidR="00FA5EA7" w:rsidRPr="00416C4A" w:rsidRDefault="00FA5EA7" w:rsidP="00FA5EA7">
      <w:pPr>
        <w:sectPr w:rsidR="00FA5EA7" w:rsidRPr="00416C4A" w:rsidSect="007A2FC0">
          <w:footerReference w:type="even" r:id="rId14"/>
          <w:footerReference w:type="default" r:id="rId15"/>
          <w:pgSz w:w="11906" w:h="16838"/>
          <w:pgMar w:top="1440" w:right="1440" w:bottom="1440" w:left="1440" w:header="708" w:footer="708" w:gutter="0"/>
          <w:pgNumType w:start="1"/>
          <w:cols w:space="708"/>
          <w:docGrid w:linePitch="360"/>
        </w:sectPr>
      </w:pPr>
    </w:p>
    <w:p w14:paraId="1C52E4C7" w14:textId="4C24E203" w:rsidR="00FA5EA7" w:rsidRDefault="00D96DFB" w:rsidP="003A21D3">
      <w:pPr>
        <w:tabs>
          <w:tab w:val="left" w:pos="709"/>
        </w:tabs>
        <w:spacing w:line="480" w:lineRule="auto"/>
        <w:jc w:val="center"/>
        <w:rPr>
          <w:b/>
          <w:bCs/>
        </w:rPr>
      </w:pPr>
      <w:r w:rsidRPr="00416C4A">
        <w:rPr>
          <w:b/>
          <w:bCs/>
        </w:rPr>
        <w:lastRenderedPageBreak/>
        <w:t xml:space="preserve">Figure </w:t>
      </w:r>
      <w:r w:rsidR="004732A1" w:rsidRPr="00416C4A">
        <w:rPr>
          <w:b/>
          <w:bCs/>
        </w:rPr>
        <w:t>1</w:t>
      </w:r>
      <w:r w:rsidRPr="00416C4A">
        <w:rPr>
          <w:b/>
          <w:bCs/>
        </w:rPr>
        <w:t>:</w:t>
      </w:r>
      <w:r w:rsidRPr="00416C4A">
        <w:t xml:space="preserve"> </w:t>
      </w:r>
      <w:r w:rsidRPr="00416C4A">
        <w:rPr>
          <w:b/>
          <w:bCs/>
        </w:rPr>
        <w:t>Percentage of female</w:t>
      </w:r>
      <w:r w:rsidR="00BC569C" w:rsidRPr="00416C4A">
        <w:rPr>
          <w:b/>
          <w:bCs/>
        </w:rPr>
        <w:t xml:space="preserve"> directors</w:t>
      </w:r>
      <w:r w:rsidR="00332068" w:rsidRPr="00416C4A">
        <w:rPr>
          <w:b/>
          <w:bCs/>
        </w:rPr>
        <w:t>, by year and sector</w:t>
      </w:r>
    </w:p>
    <w:p w14:paraId="4F1CA8BC" w14:textId="19820752" w:rsidR="007E4E9E" w:rsidRDefault="007E4E9E" w:rsidP="003A21D3">
      <w:pPr>
        <w:tabs>
          <w:tab w:val="left" w:pos="709"/>
        </w:tabs>
        <w:spacing w:line="480" w:lineRule="auto"/>
        <w:jc w:val="center"/>
        <w:rPr>
          <w:b/>
          <w:bCs/>
        </w:rPr>
      </w:pPr>
    </w:p>
    <w:p w14:paraId="2C5F9228" w14:textId="11E5AB47" w:rsidR="007E4E9E" w:rsidRPr="00416C4A" w:rsidRDefault="007E4E9E" w:rsidP="003A21D3">
      <w:pPr>
        <w:tabs>
          <w:tab w:val="left" w:pos="709"/>
        </w:tabs>
        <w:spacing w:line="480" w:lineRule="auto"/>
        <w:jc w:val="center"/>
        <w:rPr>
          <w:b/>
          <w:bCs/>
        </w:rPr>
      </w:pPr>
      <w:r>
        <w:rPr>
          <w:noProof/>
        </w:rPr>
        <w:drawing>
          <wp:inline distT="0" distB="0" distL="0" distR="0" wp14:anchorId="32E880D6" wp14:editId="39073CD1">
            <wp:extent cx="6413500" cy="3575050"/>
            <wp:effectExtent l="0" t="0" r="6350" b="6350"/>
            <wp:docPr id="4" name="Chart 4">
              <a:extLst xmlns:a="http://schemas.openxmlformats.org/drawingml/2006/main">
                <a:ext uri="{FF2B5EF4-FFF2-40B4-BE49-F238E27FC236}">
                  <a16:creationId xmlns:a16="http://schemas.microsoft.com/office/drawing/2014/main" id="{0FF757B0-A999-4C1A-8268-EED57B28E9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5D7F8F" w14:textId="21970B80" w:rsidR="00FA5EA7" w:rsidRDefault="00FA5EA7" w:rsidP="00B127F0">
      <w:pPr>
        <w:spacing w:line="480" w:lineRule="auto"/>
        <w:jc w:val="center"/>
      </w:pPr>
    </w:p>
    <w:p w14:paraId="3AA0EADE" w14:textId="77777777" w:rsidR="00773568" w:rsidRPr="00416C4A" w:rsidRDefault="00773568" w:rsidP="00B127F0">
      <w:pPr>
        <w:spacing w:line="480" w:lineRule="auto"/>
        <w:jc w:val="center"/>
      </w:pPr>
    </w:p>
    <w:p w14:paraId="140E3095" w14:textId="77777777" w:rsidR="005F577D" w:rsidRPr="00416C4A" w:rsidRDefault="005F577D" w:rsidP="004B4735">
      <w:pPr>
        <w:tabs>
          <w:tab w:val="left" w:pos="709"/>
        </w:tabs>
        <w:spacing w:line="480" w:lineRule="auto"/>
        <w:jc w:val="center"/>
        <w:rPr>
          <w:b/>
          <w:bCs/>
        </w:rPr>
      </w:pPr>
    </w:p>
    <w:p w14:paraId="33B778C1" w14:textId="77777777" w:rsidR="005F577D" w:rsidRPr="00416C4A" w:rsidRDefault="005F577D" w:rsidP="004B4735">
      <w:pPr>
        <w:tabs>
          <w:tab w:val="left" w:pos="709"/>
        </w:tabs>
        <w:spacing w:line="480" w:lineRule="auto"/>
        <w:jc w:val="center"/>
        <w:rPr>
          <w:b/>
          <w:bCs/>
        </w:rPr>
      </w:pPr>
    </w:p>
    <w:p w14:paraId="0A07C250" w14:textId="5F6E8720" w:rsidR="004B4735" w:rsidRPr="00416C4A" w:rsidRDefault="00D96DFB" w:rsidP="004B4735">
      <w:pPr>
        <w:tabs>
          <w:tab w:val="left" w:pos="709"/>
        </w:tabs>
        <w:spacing w:line="480" w:lineRule="auto"/>
        <w:jc w:val="center"/>
        <w:rPr>
          <w:b/>
          <w:bCs/>
        </w:rPr>
      </w:pPr>
      <w:r w:rsidRPr="00416C4A">
        <w:rPr>
          <w:b/>
          <w:bCs/>
        </w:rPr>
        <w:lastRenderedPageBreak/>
        <w:t>Figure 2:</w:t>
      </w:r>
      <w:r w:rsidRPr="00416C4A">
        <w:t xml:space="preserve"> </w:t>
      </w:r>
      <w:r w:rsidRPr="00416C4A">
        <w:rPr>
          <w:b/>
          <w:bCs/>
        </w:rPr>
        <w:t xml:space="preserve">Percentage of female directors </w:t>
      </w:r>
      <w:r w:rsidR="004D6546">
        <w:rPr>
          <w:b/>
          <w:bCs/>
        </w:rPr>
        <w:t>and</w:t>
      </w:r>
      <w:r w:rsidRPr="00416C4A">
        <w:rPr>
          <w:b/>
          <w:bCs/>
        </w:rPr>
        <w:t xml:space="preserve"> </w:t>
      </w:r>
      <w:r w:rsidR="003A2453" w:rsidRPr="00416C4A">
        <w:rPr>
          <w:b/>
          <w:bCs/>
        </w:rPr>
        <w:t>tests</w:t>
      </w:r>
      <w:r w:rsidR="004D6546">
        <w:rPr>
          <w:b/>
          <w:bCs/>
        </w:rPr>
        <w:t xml:space="preserve"> of differences</w:t>
      </w:r>
    </w:p>
    <w:p w14:paraId="43A82755" w14:textId="77777777" w:rsidR="00E13E79" w:rsidRPr="00416C4A" w:rsidRDefault="00E13E79" w:rsidP="004B4735">
      <w:pPr>
        <w:tabs>
          <w:tab w:val="left" w:pos="709"/>
        </w:tabs>
        <w:spacing w:line="480" w:lineRule="auto"/>
        <w:jc w:val="center"/>
        <w:rPr>
          <w:b/>
          <w:bCs/>
        </w:rPr>
      </w:pPr>
    </w:p>
    <w:p w14:paraId="0BA6CEA7" w14:textId="09ABC4A5" w:rsidR="003A2453" w:rsidRPr="00416C4A" w:rsidRDefault="00D96DFB" w:rsidP="004B4735">
      <w:pPr>
        <w:tabs>
          <w:tab w:val="left" w:pos="709"/>
        </w:tabs>
        <w:spacing w:line="480" w:lineRule="auto"/>
        <w:jc w:val="center"/>
        <w:rPr>
          <w:b/>
          <w:bCs/>
        </w:rPr>
      </w:pPr>
      <w:r w:rsidRPr="00416C4A">
        <w:rPr>
          <w:b/>
          <w:bCs/>
          <w:noProof/>
          <w:lang w:val="en-US" w:eastAsia="en-US"/>
        </w:rPr>
        <mc:AlternateContent>
          <mc:Choice Requires="wps">
            <w:drawing>
              <wp:anchor distT="45720" distB="45720" distL="114300" distR="114300" simplePos="0" relativeHeight="251666432" behindDoc="0" locked="0" layoutInCell="1" allowOverlap="1" wp14:anchorId="14475247" wp14:editId="0F2C2192">
                <wp:simplePos x="0" y="0"/>
                <wp:positionH relativeFrom="column">
                  <wp:posOffset>2745105</wp:posOffset>
                </wp:positionH>
                <wp:positionV relativeFrom="paragraph">
                  <wp:posOffset>2882265</wp:posOffset>
                </wp:positionV>
                <wp:extent cx="3545332" cy="1581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332" cy="1581150"/>
                        </a:xfrm>
                        <a:prstGeom prst="rect">
                          <a:avLst/>
                        </a:prstGeom>
                        <a:solidFill>
                          <a:srgbClr val="FFFFFF"/>
                        </a:solidFill>
                        <a:ln w="9525">
                          <a:noFill/>
                          <a:miter lim="800000"/>
                          <a:headEnd/>
                          <a:tailEnd/>
                        </a:ln>
                      </wps:spPr>
                      <wps:txbx>
                        <w:txbxContent>
                          <w:p w14:paraId="5E258D03" w14:textId="094AB09D" w:rsidR="008115E5" w:rsidRDefault="00D96DFB" w:rsidP="006330EC">
                            <w:pPr>
                              <w:spacing w:before="240"/>
                            </w:pPr>
                            <w:r>
                              <w:t>Tests o</w:t>
                            </w:r>
                            <w:r w:rsidR="006B321A">
                              <w:t>f</w:t>
                            </w:r>
                            <w:r>
                              <w:t xml:space="preserve"> differences:</w:t>
                            </w:r>
                          </w:p>
                          <w:p w14:paraId="619F9B48" w14:textId="77777777" w:rsidR="006330EC" w:rsidRDefault="00D96DFB" w:rsidP="008115E5">
                            <w:pPr>
                              <w:pStyle w:val="ListParagraph"/>
                              <w:numPr>
                                <w:ilvl w:val="0"/>
                                <w:numId w:val="2"/>
                              </w:numPr>
                              <w:spacing w:before="240"/>
                            </w:pPr>
                            <w:r>
                              <w:t xml:space="preserve">2014 – 2012 = </w:t>
                            </w:r>
                            <w:r w:rsidR="0007284C">
                              <w:t>4.</w:t>
                            </w:r>
                            <w:r w:rsidR="009A38F1">
                              <w:t>06</w:t>
                            </w:r>
                            <w:r w:rsidR="0007284C">
                              <w:t>% (p</w:t>
                            </w:r>
                            <w:r w:rsidR="0031655D">
                              <w:t>-value</w:t>
                            </w:r>
                            <w:r w:rsidR="0007284C">
                              <w:t xml:space="preserve"> = </w:t>
                            </w:r>
                            <w:r>
                              <w:t>0.000</w:t>
                            </w:r>
                            <w:r w:rsidR="009A38F1">
                              <w:t>8</w:t>
                            </w:r>
                            <w:r>
                              <w:t>)</w:t>
                            </w:r>
                            <w:r w:rsidR="0007284C">
                              <w:t xml:space="preserve"> </w:t>
                            </w:r>
                          </w:p>
                          <w:p w14:paraId="43150846" w14:textId="77777777" w:rsidR="006330EC" w:rsidRDefault="00D96DFB" w:rsidP="008115E5">
                            <w:pPr>
                              <w:pStyle w:val="ListParagraph"/>
                              <w:numPr>
                                <w:ilvl w:val="0"/>
                                <w:numId w:val="2"/>
                              </w:numPr>
                              <w:spacing w:before="240"/>
                            </w:pPr>
                            <w:r>
                              <w:t xml:space="preserve">2016 – 2014 = </w:t>
                            </w:r>
                            <w:r w:rsidR="00D45A56">
                              <w:t>3</w:t>
                            </w:r>
                            <w:r>
                              <w:t>.</w:t>
                            </w:r>
                            <w:r w:rsidR="004F6F54">
                              <w:t>6</w:t>
                            </w:r>
                            <w:r>
                              <w:t>5% (p</w:t>
                            </w:r>
                            <w:r w:rsidR="0031655D">
                              <w:t>-value</w:t>
                            </w:r>
                            <w:r>
                              <w:t xml:space="preserve"> = 0.00</w:t>
                            </w:r>
                            <w:r w:rsidR="00263711">
                              <w:t>24</w:t>
                            </w:r>
                            <w:r>
                              <w:t xml:space="preserve">)  </w:t>
                            </w:r>
                          </w:p>
                          <w:p w14:paraId="18EB4D95" w14:textId="77777777" w:rsidR="006330EC" w:rsidRDefault="00D96DFB" w:rsidP="008115E5">
                            <w:pPr>
                              <w:pStyle w:val="ListParagraph"/>
                              <w:numPr>
                                <w:ilvl w:val="0"/>
                                <w:numId w:val="2"/>
                              </w:numPr>
                              <w:spacing w:before="240"/>
                            </w:pPr>
                            <w:r>
                              <w:t>201</w:t>
                            </w:r>
                            <w:r w:rsidR="00D45A56">
                              <w:t>8</w:t>
                            </w:r>
                            <w:r>
                              <w:t xml:space="preserve"> – 201</w:t>
                            </w:r>
                            <w:r w:rsidR="00D45A56">
                              <w:t>6</w:t>
                            </w:r>
                            <w:r>
                              <w:t xml:space="preserve"> = 4.</w:t>
                            </w:r>
                            <w:r w:rsidR="00821536">
                              <w:t>67</w:t>
                            </w:r>
                            <w:r>
                              <w:t>% (p</w:t>
                            </w:r>
                            <w:r w:rsidR="0031655D">
                              <w:t>-value</w:t>
                            </w:r>
                            <w:r>
                              <w:t xml:space="preserve"> = 0.0001)  </w:t>
                            </w:r>
                          </w:p>
                          <w:p w14:paraId="160C130A" w14:textId="77777777" w:rsidR="002753D2" w:rsidRDefault="00D96DFB" w:rsidP="006330EC">
                            <w:pPr>
                              <w:spacing w:before="240"/>
                            </w:pPr>
                            <w:r>
                              <w:t xml:space="preserve"> </w:t>
                            </w:r>
                          </w:p>
                        </w:txbxContent>
                      </wps:txbx>
                      <wps:bodyPr rot="0" vert="horz" wrap="square" anchor="t" anchorCtr="0"/>
                    </wps:wsp>
                  </a:graphicData>
                </a:graphic>
                <wp14:sizeRelH relativeFrom="margin">
                  <wp14:pctWidth>40000</wp14:pctWidth>
                </wp14:sizeRelH>
                <wp14:sizeRelV relativeFrom="margin">
                  <wp14:pctHeight>0</wp14:pctHeight>
                </wp14:sizeRelV>
              </wp:anchor>
            </w:drawing>
          </mc:Choice>
          <mc:Fallback>
            <w:pict>
              <v:shape w14:anchorId="14475247" id="_x0000_s1029" type="#_x0000_t202" style="position:absolute;left:0;text-align:left;margin-left:216.15pt;margin-top:226.95pt;width:279.15pt;height:124.5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" stroked="f">
                <v:textbox>
                  <w:txbxContent>
                    <w:p w14:paraId="5E258D03" w14:textId="094AB09D" w:rsidR="008115E5" w:rsidRDefault="00D96DFB" w:rsidP="006330EC">
                      <w:pPr>
                        <w:spacing w:before="240"/>
                      </w:pPr>
                      <w:r>
                        <w:t>Tests o</w:t>
                      </w:r>
                      <w:r w:rsidR="006B321A">
                        <w:t>f</w:t>
                      </w:r>
                      <w:r>
                        <w:t xml:space="preserve"> differences:</w:t>
                      </w:r>
                    </w:p>
                    <w:p w14:paraId="619F9B48" w14:textId="77777777" w:rsidR="006330EC" w:rsidRDefault="00D96DFB" w:rsidP="008115E5">
                      <w:pPr>
                        <w:pStyle w:val="ListParagraph"/>
                        <w:numPr>
                          <w:ilvl w:val="0"/>
                          <w:numId w:val="2"/>
                        </w:numPr>
                        <w:spacing w:before="240"/>
                      </w:pPr>
                      <w:r>
                        <w:t xml:space="preserve">2014 – 2012 = </w:t>
                      </w:r>
                      <w:r w:rsidR="0007284C">
                        <w:t>4.</w:t>
                      </w:r>
                      <w:r w:rsidR="009A38F1">
                        <w:t>06</w:t>
                      </w:r>
                      <w:r w:rsidR="0007284C">
                        <w:t>% (p</w:t>
                      </w:r>
                      <w:r w:rsidR="0031655D">
                        <w:t>-value</w:t>
                      </w:r>
                      <w:r w:rsidR="0007284C">
                        <w:t xml:space="preserve"> = </w:t>
                      </w:r>
                      <w:r>
                        <w:t>0.000</w:t>
                      </w:r>
                      <w:r w:rsidR="009A38F1">
                        <w:t>8</w:t>
                      </w:r>
                      <w:r>
                        <w:t>)</w:t>
                      </w:r>
                      <w:r w:rsidR="0007284C">
                        <w:t xml:space="preserve"> </w:t>
                      </w:r>
                    </w:p>
                    <w:p w14:paraId="43150846" w14:textId="77777777" w:rsidR="006330EC" w:rsidRDefault="00D96DFB" w:rsidP="008115E5">
                      <w:pPr>
                        <w:pStyle w:val="ListParagraph"/>
                        <w:numPr>
                          <w:ilvl w:val="0"/>
                          <w:numId w:val="2"/>
                        </w:numPr>
                        <w:spacing w:before="240"/>
                      </w:pPr>
                      <w:r>
                        <w:t xml:space="preserve">2016 – 2014 = </w:t>
                      </w:r>
                      <w:r w:rsidR="00D45A56">
                        <w:t>3</w:t>
                      </w:r>
                      <w:r>
                        <w:t>.</w:t>
                      </w:r>
                      <w:r w:rsidR="004F6F54">
                        <w:t>6</w:t>
                      </w:r>
                      <w:r>
                        <w:t>5% (p</w:t>
                      </w:r>
                      <w:r w:rsidR="0031655D">
                        <w:t>-value</w:t>
                      </w:r>
                      <w:r>
                        <w:t xml:space="preserve"> = 0.00</w:t>
                      </w:r>
                      <w:r w:rsidR="00263711">
                        <w:t>24</w:t>
                      </w:r>
                      <w:r>
                        <w:t xml:space="preserve">)  </w:t>
                      </w:r>
                    </w:p>
                    <w:p w14:paraId="18EB4D95" w14:textId="77777777" w:rsidR="006330EC" w:rsidRDefault="00D96DFB" w:rsidP="008115E5">
                      <w:pPr>
                        <w:pStyle w:val="ListParagraph"/>
                        <w:numPr>
                          <w:ilvl w:val="0"/>
                          <w:numId w:val="2"/>
                        </w:numPr>
                        <w:spacing w:before="240"/>
                      </w:pPr>
                      <w:r>
                        <w:t>201</w:t>
                      </w:r>
                      <w:r w:rsidR="00D45A56">
                        <w:t>8</w:t>
                      </w:r>
                      <w:r>
                        <w:t xml:space="preserve"> – 201</w:t>
                      </w:r>
                      <w:r w:rsidR="00D45A56">
                        <w:t>6</w:t>
                      </w:r>
                      <w:r>
                        <w:t xml:space="preserve"> = 4.</w:t>
                      </w:r>
                      <w:r w:rsidR="00821536">
                        <w:t>67</w:t>
                      </w:r>
                      <w:r>
                        <w:t>% (p</w:t>
                      </w:r>
                      <w:r w:rsidR="0031655D">
                        <w:t>-value</w:t>
                      </w:r>
                      <w:r>
                        <w:t xml:space="preserve"> = 0.0001)  </w:t>
                      </w:r>
                    </w:p>
                    <w:p w14:paraId="160C130A" w14:textId="77777777" w:rsidR="002753D2" w:rsidRDefault="00D96DFB" w:rsidP="006330EC">
                      <w:pPr>
                        <w:spacing w:before="240"/>
                      </w:pPr>
                      <w:r>
                        <w:t xml:space="preserve"> </w:t>
                      </w:r>
                    </w:p>
                  </w:txbxContent>
                </v:textbox>
                <w10:wrap type="square"/>
              </v:shape>
            </w:pict>
          </mc:Fallback>
        </mc:AlternateContent>
      </w:r>
      <w:r w:rsidR="00E13E79" w:rsidRPr="00416C4A">
        <w:rPr>
          <w:noProof/>
        </w:rPr>
        <w:t xml:space="preserve"> </w:t>
      </w:r>
      <w:r w:rsidR="00E13E79" w:rsidRPr="00416C4A">
        <w:rPr>
          <w:noProof/>
          <w:lang w:val="en-US" w:eastAsia="en-US"/>
        </w:rPr>
        <w:drawing>
          <wp:inline distT="0" distB="0" distL="0" distR="0" wp14:anchorId="2B10A539" wp14:editId="389F449D">
            <wp:extent cx="4572000" cy="2743200"/>
            <wp:effectExtent l="0" t="0" r="0" b="0"/>
            <wp:docPr id="6" name="Chart 6">
              <a:extLst xmlns:a="http://schemas.openxmlformats.org/drawingml/2006/main">
                <a:ext uri="{FF2B5EF4-FFF2-40B4-BE49-F238E27FC236}">
                  <a16:creationId xmlns:a16="http://schemas.microsoft.com/office/drawing/2014/main" id="{0C0CA372-7051-43B5-82F6-2E980C2CE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344FD5" w14:textId="623F14E9" w:rsidR="003A2453" w:rsidRPr="00416C4A" w:rsidRDefault="003A2453" w:rsidP="004B4735">
      <w:pPr>
        <w:tabs>
          <w:tab w:val="left" w:pos="709"/>
        </w:tabs>
        <w:spacing w:line="480" w:lineRule="auto"/>
        <w:jc w:val="center"/>
        <w:rPr>
          <w:b/>
          <w:bCs/>
        </w:rPr>
      </w:pPr>
    </w:p>
    <w:p w14:paraId="1AD21F4E" w14:textId="77777777" w:rsidR="004B4735" w:rsidRPr="00416C4A" w:rsidRDefault="00D96DFB">
      <w:pPr>
        <w:rPr>
          <w:b/>
          <w:bCs/>
        </w:rPr>
      </w:pPr>
      <w:r w:rsidRPr="00416C4A">
        <w:rPr>
          <w:b/>
          <w:bCs/>
        </w:rPr>
        <w:br w:type="page"/>
      </w:r>
    </w:p>
    <w:p w14:paraId="7BDB22CD" w14:textId="7110A8B8" w:rsidR="004B4735" w:rsidRPr="00416C4A" w:rsidRDefault="00D96DFB" w:rsidP="003A21D3">
      <w:pPr>
        <w:spacing w:line="480" w:lineRule="auto"/>
        <w:jc w:val="center"/>
        <w:rPr>
          <w:b/>
          <w:bCs/>
        </w:rPr>
      </w:pPr>
      <w:r w:rsidRPr="00416C4A">
        <w:rPr>
          <w:b/>
          <w:bCs/>
        </w:rPr>
        <w:lastRenderedPageBreak/>
        <w:t>Table 1:</w:t>
      </w:r>
      <w:r w:rsidRPr="00416C4A">
        <w:t xml:space="preserve"> </w:t>
      </w:r>
      <w:r w:rsidRPr="00416C4A">
        <w:rPr>
          <w:b/>
          <w:bCs/>
        </w:rPr>
        <w:t>Descriptive statistics</w:t>
      </w:r>
    </w:p>
    <w:p w14:paraId="5A7ADFDF" w14:textId="36EB5B42" w:rsidR="004B4735" w:rsidRPr="00416C4A" w:rsidRDefault="004B4735" w:rsidP="003A21D3">
      <w:pPr>
        <w:spacing w:line="480" w:lineRule="auto"/>
        <w:jc w:val="center"/>
        <w:rPr>
          <w:b/>
          <w:bCs/>
        </w:rPr>
      </w:pPr>
    </w:p>
    <w:p w14:paraId="7E18C65E" w14:textId="177F0AB9" w:rsidR="004B4735" w:rsidRPr="00416C4A" w:rsidRDefault="004B4735" w:rsidP="003A21D3">
      <w:pPr>
        <w:spacing w:line="480" w:lineRule="auto"/>
        <w:jc w:val="center"/>
        <w:rPr>
          <w:b/>
          <w:bCs/>
        </w:rPr>
      </w:pPr>
    </w:p>
    <w:p w14:paraId="2FB625C6" w14:textId="4EF34E08" w:rsidR="00B127F0" w:rsidRPr="00416C4A" w:rsidRDefault="00B127F0" w:rsidP="003A21D3">
      <w:pPr>
        <w:spacing w:line="480" w:lineRule="auto"/>
        <w:jc w:val="center"/>
        <w:rPr>
          <w:b/>
          <w:bCs/>
        </w:rPr>
      </w:pPr>
    </w:p>
    <w:tbl>
      <w:tblPr>
        <w:tblpPr w:leftFromText="180" w:rightFromText="180" w:vertAnchor="page" w:horzAnchor="page" w:tblpX="2341" w:tblpY="2416"/>
        <w:tblW w:w="11171" w:type="dxa"/>
        <w:tblLook w:val="04A0" w:firstRow="1" w:lastRow="0" w:firstColumn="1" w:lastColumn="0" w:noHBand="0" w:noVBand="1"/>
      </w:tblPr>
      <w:tblGrid>
        <w:gridCol w:w="2526"/>
        <w:gridCol w:w="1729"/>
        <w:gridCol w:w="1729"/>
        <w:gridCol w:w="1729"/>
        <w:gridCol w:w="1729"/>
        <w:gridCol w:w="1729"/>
      </w:tblGrid>
      <w:tr w:rsidR="00416C4A" w:rsidRPr="00416C4A" w14:paraId="3AAD6771" w14:textId="77777777" w:rsidTr="00FA720E">
        <w:trPr>
          <w:trHeight w:val="573"/>
        </w:trPr>
        <w:tc>
          <w:tcPr>
            <w:tcW w:w="2526" w:type="dxa"/>
            <w:tcBorders>
              <w:top w:val="single" w:sz="4" w:space="0" w:color="000000"/>
              <w:left w:val="nil"/>
              <w:bottom w:val="single" w:sz="4" w:space="0" w:color="000000"/>
              <w:right w:val="nil"/>
            </w:tcBorders>
            <w:shd w:val="clear" w:color="auto" w:fill="auto"/>
            <w:noWrap/>
            <w:vAlign w:val="bottom"/>
            <w:hideMark/>
          </w:tcPr>
          <w:p w14:paraId="6E3F054C" w14:textId="77777777" w:rsidR="00FA720E" w:rsidRPr="00416C4A" w:rsidRDefault="00D96DFB" w:rsidP="00FA720E">
            <w:pPr>
              <w:tabs>
                <w:tab w:val="left" w:pos="4412"/>
                <w:tab w:val="center" w:pos="6979"/>
              </w:tabs>
            </w:pPr>
            <w:r w:rsidRPr="00416C4A">
              <w:t>Variables</w:t>
            </w:r>
          </w:p>
        </w:tc>
        <w:tc>
          <w:tcPr>
            <w:tcW w:w="1729" w:type="dxa"/>
            <w:tcBorders>
              <w:top w:val="single" w:sz="4" w:space="0" w:color="000000"/>
              <w:left w:val="nil"/>
              <w:bottom w:val="single" w:sz="4" w:space="0" w:color="000000"/>
              <w:right w:val="nil"/>
            </w:tcBorders>
            <w:shd w:val="clear" w:color="auto" w:fill="auto"/>
            <w:noWrap/>
            <w:vAlign w:val="bottom"/>
            <w:hideMark/>
          </w:tcPr>
          <w:p w14:paraId="02BB37F6" w14:textId="77777777" w:rsidR="00FA720E" w:rsidRPr="00416C4A" w:rsidRDefault="00D96DFB" w:rsidP="00FA720E">
            <w:pPr>
              <w:tabs>
                <w:tab w:val="left" w:pos="4412"/>
                <w:tab w:val="center" w:pos="6979"/>
              </w:tabs>
              <w:jc w:val="center"/>
            </w:pPr>
            <w:r w:rsidRPr="00416C4A">
              <w:t>Mean</w:t>
            </w:r>
          </w:p>
        </w:tc>
        <w:tc>
          <w:tcPr>
            <w:tcW w:w="1729" w:type="dxa"/>
            <w:tcBorders>
              <w:top w:val="single" w:sz="4" w:space="0" w:color="000000"/>
              <w:left w:val="nil"/>
              <w:bottom w:val="single" w:sz="4" w:space="0" w:color="000000"/>
              <w:right w:val="nil"/>
            </w:tcBorders>
            <w:vAlign w:val="bottom"/>
          </w:tcPr>
          <w:p w14:paraId="635E9BE0" w14:textId="77777777" w:rsidR="00FA720E" w:rsidRPr="00416C4A" w:rsidRDefault="00D96DFB" w:rsidP="00FA720E">
            <w:pPr>
              <w:tabs>
                <w:tab w:val="left" w:pos="4412"/>
                <w:tab w:val="center" w:pos="6979"/>
              </w:tabs>
              <w:jc w:val="center"/>
            </w:pPr>
            <w:r w:rsidRPr="00416C4A">
              <w:t>Median</w:t>
            </w:r>
          </w:p>
        </w:tc>
        <w:tc>
          <w:tcPr>
            <w:tcW w:w="1729" w:type="dxa"/>
            <w:tcBorders>
              <w:top w:val="single" w:sz="4" w:space="0" w:color="000000"/>
              <w:left w:val="nil"/>
              <w:bottom w:val="single" w:sz="4" w:space="0" w:color="000000"/>
              <w:right w:val="nil"/>
            </w:tcBorders>
            <w:shd w:val="clear" w:color="auto" w:fill="auto"/>
            <w:noWrap/>
            <w:vAlign w:val="bottom"/>
            <w:hideMark/>
          </w:tcPr>
          <w:p w14:paraId="3F8ED378" w14:textId="77777777" w:rsidR="00FA720E" w:rsidRPr="00416C4A" w:rsidRDefault="00D96DFB" w:rsidP="00FA720E">
            <w:pPr>
              <w:tabs>
                <w:tab w:val="left" w:pos="4412"/>
                <w:tab w:val="center" w:pos="6979"/>
              </w:tabs>
              <w:jc w:val="center"/>
            </w:pPr>
            <w:r w:rsidRPr="00416C4A">
              <w:t>Standard deviation</w:t>
            </w:r>
          </w:p>
        </w:tc>
        <w:tc>
          <w:tcPr>
            <w:tcW w:w="1729" w:type="dxa"/>
            <w:tcBorders>
              <w:top w:val="single" w:sz="4" w:space="0" w:color="000000"/>
              <w:left w:val="nil"/>
              <w:bottom w:val="single" w:sz="4" w:space="0" w:color="000000"/>
              <w:right w:val="nil"/>
            </w:tcBorders>
            <w:shd w:val="clear" w:color="auto" w:fill="auto"/>
            <w:noWrap/>
            <w:vAlign w:val="bottom"/>
            <w:hideMark/>
          </w:tcPr>
          <w:p w14:paraId="65536D12" w14:textId="77777777" w:rsidR="00FA720E" w:rsidRPr="00416C4A" w:rsidRDefault="00D96DFB" w:rsidP="00FA720E">
            <w:pPr>
              <w:tabs>
                <w:tab w:val="left" w:pos="4412"/>
                <w:tab w:val="center" w:pos="6979"/>
              </w:tabs>
              <w:jc w:val="center"/>
            </w:pPr>
            <w:r w:rsidRPr="00416C4A">
              <w:t>Minimum</w:t>
            </w:r>
          </w:p>
        </w:tc>
        <w:tc>
          <w:tcPr>
            <w:tcW w:w="1729" w:type="dxa"/>
            <w:tcBorders>
              <w:top w:val="single" w:sz="4" w:space="0" w:color="000000"/>
              <w:left w:val="nil"/>
              <w:bottom w:val="single" w:sz="4" w:space="0" w:color="000000"/>
              <w:right w:val="nil"/>
            </w:tcBorders>
            <w:shd w:val="clear" w:color="auto" w:fill="auto"/>
            <w:noWrap/>
            <w:vAlign w:val="bottom"/>
            <w:hideMark/>
          </w:tcPr>
          <w:p w14:paraId="4C8C3A82" w14:textId="77777777" w:rsidR="00FA720E" w:rsidRPr="00416C4A" w:rsidRDefault="00D96DFB" w:rsidP="00FA720E">
            <w:pPr>
              <w:tabs>
                <w:tab w:val="left" w:pos="4412"/>
                <w:tab w:val="center" w:pos="6979"/>
              </w:tabs>
              <w:jc w:val="center"/>
            </w:pPr>
            <w:r w:rsidRPr="00416C4A">
              <w:t>Maximum</w:t>
            </w:r>
          </w:p>
        </w:tc>
      </w:tr>
      <w:tr w:rsidR="00416C4A" w:rsidRPr="00416C4A" w14:paraId="65C92149" w14:textId="77777777" w:rsidTr="00FA720E">
        <w:trPr>
          <w:trHeight w:val="573"/>
        </w:trPr>
        <w:tc>
          <w:tcPr>
            <w:tcW w:w="2526" w:type="dxa"/>
            <w:tcBorders>
              <w:top w:val="nil"/>
              <w:left w:val="nil"/>
              <w:bottom w:val="nil"/>
              <w:right w:val="nil"/>
            </w:tcBorders>
            <w:shd w:val="clear" w:color="auto" w:fill="auto"/>
            <w:noWrap/>
            <w:vAlign w:val="bottom"/>
            <w:hideMark/>
          </w:tcPr>
          <w:p w14:paraId="29662834" w14:textId="77777777" w:rsidR="00FA720E" w:rsidRPr="00416C4A" w:rsidRDefault="00D96DFB" w:rsidP="00FA720E">
            <w:pPr>
              <w:tabs>
                <w:tab w:val="left" w:pos="4412"/>
                <w:tab w:val="center" w:pos="6979"/>
              </w:tabs>
            </w:pPr>
            <w:r w:rsidRPr="00416C4A">
              <w:t>%Female</w:t>
            </w:r>
          </w:p>
        </w:tc>
        <w:tc>
          <w:tcPr>
            <w:tcW w:w="1729" w:type="dxa"/>
            <w:tcBorders>
              <w:top w:val="nil"/>
              <w:left w:val="nil"/>
              <w:bottom w:val="nil"/>
              <w:right w:val="nil"/>
            </w:tcBorders>
            <w:shd w:val="clear" w:color="auto" w:fill="auto"/>
            <w:noWrap/>
            <w:vAlign w:val="bottom"/>
            <w:hideMark/>
          </w:tcPr>
          <w:p w14:paraId="4F2117AD" w14:textId="20BA299F" w:rsidR="00FA720E" w:rsidRPr="00416C4A" w:rsidRDefault="00D96DFB" w:rsidP="00FA720E">
            <w:pPr>
              <w:tabs>
                <w:tab w:val="left" w:pos="4412"/>
                <w:tab w:val="center" w:pos="6979"/>
              </w:tabs>
              <w:jc w:val="center"/>
            </w:pPr>
            <w:r w:rsidRPr="00416C4A">
              <w:t>2</w:t>
            </w:r>
            <w:r w:rsidR="00467221" w:rsidRPr="00416C4A">
              <w:t>2</w:t>
            </w:r>
            <w:r w:rsidRPr="00416C4A">
              <w:t>.</w:t>
            </w:r>
            <w:r w:rsidR="00467221" w:rsidRPr="00416C4A">
              <w:t>82</w:t>
            </w:r>
          </w:p>
        </w:tc>
        <w:tc>
          <w:tcPr>
            <w:tcW w:w="1729" w:type="dxa"/>
            <w:tcBorders>
              <w:top w:val="nil"/>
              <w:left w:val="nil"/>
              <w:bottom w:val="nil"/>
              <w:right w:val="nil"/>
            </w:tcBorders>
            <w:vAlign w:val="bottom"/>
          </w:tcPr>
          <w:p w14:paraId="439617F2" w14:textId="4B700EA5" w:rsidR="00FA720E" w:rsidRPr="00416C4A" w:rsidRDefault="00D96DFB" w:rsidP="00FA720E">
            <w:pPr>
              <w:tabs>
                <w:tab w:val="left" w:pos="4412"/>
                <w:tab w:val="center" w:pos="6979"/>
              </w:tabs>
              <w:jc w:val="center"/>
            </w:pPr>
            <w:r w:rsidRPr="00416C4A">
              <w:t>2</w:t>
            </w:r>
            <w:r w:rsidR="00467221" w:rsidRPr="00416C4A">
              <w:t>2</w:t>
            </w:r>
            <w:r w:rsidRPr="00416C4A">
              <w:t>.</w:t>
            </w:r>
            <w:r w:rsidR="00467221" w:rsidRPr="00416C4A">
              <w:t>22</w:t>
            </w:r>
          </w:p>
        </w:tc>
        <w:tc>
          <w:tcPr>
            <w:tcW w:w="1729" w:type="dxa"/>
            <w:tcBorders>
              <w:top w:val="nil"/>
              <w:left w:val="nil"/>
              <w:bottom w:val="nil"/>
              <w:right w:val="nil"/>
            </w:tcBorders>
            <w:shd w:val="clear" w:color="auto" w:fill="auto"/>
            <w:noWrap/>
            <w:vAlign w:val="bottom"/>
            <w:hideMark/>
          </w:tcPr>
          <w:p w14:paraId="70217F6B" w14:textId="6ECC7411" w:rsidR="00FA720E" w:rsidRPr="00416C4A" w:rsidRDefault="00D96DFB" w:rsidP="00FA720E">
            <w:pPr>
              <w:tabs>
                <w:tab w:val="left" w:pos="4412"/>
                <w:tab w:val="center" w:pos="6979"/>
              </w:tabs>
              <w:jc w:val="center"/>
            </w:pPr>
            <w:r w:rsidRPr="00416C4A">
              <w:t>10.43</w:t>
            </w:r>
          </w:p>
        </w:tc>
        <w:tc>
          <w:tcPr>
            <w:tcW w:w="1729" w:type="dxa"/>
            <w:tcBorders>
              <w:top w:val="nil"/>
              <w:left w:val="nil"/>
              <w:bottom w:val="nil"/>
              <w:right w:val="nil"/>
            </w:tcBorders>
            <w:shd w:val="clear" w:color="auto" w:fill="auto"/>
            <w:noWrap/>
            <w:vAlign w:val="bottom"/>
            <w:hideMark/>
          </w:tcPr>
          <w:p w14:paraId="50222A46" w14:textId="04B6BC06" w:rsidR="00FA720E" w:rsidRPr="00416C4A" w:rsidRDefault="00D96DFB" w:rsidP="00FA720E">
            <w:pPr>
              <w:tabs>
                <w:tab w:val="left" w:pos="4412"/>
                <w:tab w:val="center" w:pos="6979"/>
              </w:tabs>
              <w:jc w:val="center"/>
            </w:pPr>
            <w:r w:rsidRPr="00416C4A">
              <w:t>0</w:t>
            </w:r>
            <w:r w:rsidR="00844B9C" w:rsidRPr="00416C4A">
              <w:t>.00</w:t>
            </w:r>
          </w:p>
        </w:tc>
        <w:tc>
          <w:tcPr>
            <w:tcW w:w="1729" w:type="dxa"/>
            <w:tcBorders>
              <w:top w:val="nil"/>
              <w:left w:val="nil"/>
              <w:bottom w:val="nil"/>
              <w:right w:val="nil"/>
            </w:tcBorders>
            <w:shd w:val="clear" w:color="auto" w:fill="auto"/>
            <w:noWrap/>
            <w:vAlign w:val="bottom"/>
            <w:hideMark/>
          </w:tcPr>
          <w:p w14:paraId="49BCA9C1" w14:textId="36596A09" w:rsidR="00FA720E" w:rsidRPr="00416C4A" w:rsidRDefault="00D96DFB" w:rsidP="00FA720E">
            <w:pPr>
              <w:tabs>
                <w:tab w:val="left" w:pos="4412"/>
                <w:tab w:val="center" w:pos="6979"/>
              </w:tabs>
              <w:jc w:val="center"/>
            </w:pPr>
            <w:r w:rsidRPr="00416C4A">
              <w:t>5</w:t>
            </w:r>
            <w:r w:rsidR="00467221" w:rsidRPr="00416C4A">
              <w:t>7</w:t>
            </w:r>
            <w:r w:rsidRPr="00416C4A">
              <w:t>.</w:t>
            </w:r>
            <w:r w:rsidR="00467221" w:rsidRPr="00416C4A">
              <w:t>14</w:t>
            </w:r>
          </w:p>
        </w:tc>
      </w:tr>
      <w:tr w:rsidR="00416C4A" w:rsidRPr="00416C4A" w14:paraId="02CBDC58" w14:textId="77777777" w:rsidTr="00FA720E">
        <w:trPr>
          <w:trHeight w:val="573"/>
        </w:trPr>
        <w:tc>
          <w:tcPr>
            <w:tcW w:w="2526" w:type="dxa"/>
            <w:tcBorders>
              <w:top w:val="nil"/>
              <w:left w:val="nil"/>
              <w:bottom w:val="nil"/>
              <w:right w:val="nil"/>
            </w:tcBorders>
            <w:shd w:val="clear" w:color="auto" w:fill="auto"/>
            <w:noWrap/>
            <w:vAlign w:val="bottom"/>
          </w:tcPr>
          <w:p w14:paraId="700ED4FE" w14:textId="77777777" w:rsidR="00FA720E" w:rsidRPr="00416C4A" w:rsidRDefault="00D96DFB" w:rsidP="00FA720E">
            <w:pPr>
              <w:tabs>
                <w:tab w:val="left" w:pos="4412"/>
                <w:tab w:val="center" w:pos="6979"/>
              </w:tabs>
            </w:pPr>
            <w:proofErr w:type="spellStart"/>
            <w:r w:rsidRPr="00416C4A">
              <w:t>Female_Chair</w:t>
            </w:r>
            <w:proofErr w:type="spellEnd"/>
          </w:p>
        </w:tc>
        <w:tc>
          <w:tcPr>
            <w:tcW w:w="1729" w:type="dxa"/>
            <w:tcBorders>
              <w:top w:val="nil"/>
              <w:left w:val="nil"/>
              <w:bottom w:val="nil"/>
              <w:right w:val="nil"/>
            </w:tcBorders>
            <w:shd w:val="clear" w:color="auto" w:fill="auto"/>
            <w:noWrap/>
            <w:vAlign w:val="bottom"/>
          </w:tcPr>
          <w:p w14:paraId="040E0E8F" w14:textId="6C2B06F3" w:rsidR="00FA720E" w:rsidRPr="00416C4A" w:rsidRDefault="00D96DFB" w:rsidP="00FA720E">
            <w:pPr>
              <w:tabs>
                <w:tab w:val="left" w:pos="4412"/>
                <w:tab w:val="center" w:pos="6979"/>
              </w:tabs>
              <w:jc w:val="center"/>
            </w:pPr>
            <w:r w:rsidRPr="00416C4A">
              <w:t>0.0</w:t>
            </w:r>
            <w:r w:rsidR="00844B9C" w:rsidRPr="00416C4A">
              <w:t>3</w:t>
            </w:r>
          </w:p>
        </w:tc>
        <w:tc>
          <w:tcPr>
            <w:tcW w:w="1729" w:type="dxa"/>
            <w:tcBorders>
              <w:top w:val="nil"/>
              <w:left w:val="nil"/>
              <w:bottom w:val="nil"/>
              <w:right w:val="nil"/>
            </w:tcBorders>
            <w:vAlign w:val="bottom"/>
          </w:tcPr>
          <w:p w14:paraId="2A514836" w14:textId="664B5C70" w:rsidR="00FA720E" w:rsidRPr="00416C4A" w:rsidRDefault="00D96DFB" w:rsidP="00FA720E">
            <w:pPr>
              <w:tabs>
                <w:tab w:val="left" w:pos="4412"/>
                <w:tab w:val="center" w:pos="6979"/>
              </w:tabs>
              <w:jc w:val="center"/>
            </w:pPr>
            <w:r w:rsidRPr="00416C4A">
              <w:t>0</w:t>
            </w:r>
            <w:r w:rsidR="00844B9C" w:rsidRPr="00416C4A">
              <w:t>.00</w:t>
            </w:r>
          </w:p>
        </w:tc>
        <w:tc>
          <w:tcPr>
            <w:tcW w:w="1729" w:type="dxa"/>
            <w:tcBorders>
              <w:top w:val="nil"/>
              <w:left w:val="nil"/>
              <w:bottom w:val="nil"/>
              <w:right w:val="nil"/>
            </w:tcBorders>
            <w:shd w:val="clear" w:color="auto" w:fill="auto"/>
            <w:noWrap/>
            <w:vAlign w:val="bottom"/>
          </w:tcPr>
          <w:p w14:paraId="0B4C054E" w14:textId="782407DE" w:rsidR="00FA720E" w:rsidRPr="00416C4A" w:rsidRDefault="00D96DFB" w:rsidP="00FA720E">
            <w:pPr>
              <w:tabs>
                <w:tab w:val="left" w:pos="4412"/>
                <w:tab w:val="center" w:pos="6979"/>
              </w:tabs>
              <w:jc w:val="center"/>
            </w:pPr>
            <w:r w:rsidRPr="00416C4A">
              <w:t>0.1</w:t>
            </w:r>
            <w:r w:rsidR="00844B9C" w:rsidRPr="00416C4A">
              <w:t>8</w:t>
            </w:r>
          </w:p>
        </w:tc>
        <w:tc>
          <w:tcPr>
            <w:tcW w:w="1729" w:type="dxa"/>
            <w:tcBorders>
              <w:top w:val="nil"/>
              <w:left w:val="nil"/>
              <w:bottom w:val="nil"/>
              <w:right w:val="nil"/>
            </w:tcBorders>
            <w:shd w:val="clear" w:color="auto" w:fill="auto"/>
            <w:noWrap/>
            <w:vAlign w:val="bottom"/>
          </w:tcPr>
          <w:p w14:paraId="7E7431F6" w14:textId="35C68E91" w:rsidR="00FA720E" w:rsidRPr="00416C4A" w:rsidRDefault="00D96DFB" w:rsidP="00FA720E">
            <w:pPr>
              <w:tabs>
                <w:tab w:val="left" w:pos="4412"/>
                <w:tab w:val="center" w:pos="6979"/>
              </w:tabs>
              <w:jc w:val="center"/>
            </w:pPr>
            <w:r w:rsidRPr="00416C4A">
              <w:t>0</w:t>
            </w:r>
            <w:r w:rsidR="00844B9C" w:rsidRPr="00416C4A">
              <w:t>.00</w:t>
            </w:r>
          </w:p>
        </w:tc>
        <w:tc>
          <w:tcPr>
            <w:tcW w:w="1729" w:type="dxa"/>
            <w:tcBorders>
              <w:top w:val="nil"/>
              <w:left w:val="nil"/>
              <w:bottom w:val="nil"/>
              <w:right w:val="nil"/>
            </w:tcBorders>
            <w:shd w:val="clear" w:color="auto" w:fill="auto"/>
            <w:noWrap/>
            <w:vAlign w:val="bottom"/>
          </w:tcPr>
          <w:p w14:paraId="4AADA626" w14:textId="3C1660F0" w:rsidR="00FA720E" w:rsidRPr="00416C4A" w:rsidRDefault="00D96DFB" w:rsidP="00FA720E">
            <w:pPr>
              <w:tabs>
                <w:tab w:val="left" w:pos="4412"/>
                <w:tab w:val="center" w:pos="6979"/>
              </w:tabs>
              <w:jc w:val="center"/>
            </w:pPr>
            <w:r w:rsidRPr="00416C4A">
              <w:t>1</w:t>
            </w:r>
            <w:r w:rsidR="00844B9C" w:rsidRPr="00416C4A">
              <w:t>.00</w:t>
            </w:r>
          </w:p>
        </w:tc>
      </w:tr>
      <w:tr w:rsidR="00416C4A" w:rsidRPr="00416C4A" w14:paraId="3D698A74" w14:textId="77777777" w:rsidTr="00FA720E">
        <w:trPr>
          <w:trHeight w:val="573"/>
        </w:trPr>
        <w:tc>
          <w:tcPr>
            <w:tcW w:w="2526" w:type="dxa"/>
            <w:tcBorders>
              <w:top w:val="nil"/>
              <w:left w:val="nil"/>
              <w:bottom w:val="nil"/>
              <w:right w:val="nil"/>
            </w:tcBorders>
            <w:shd w:val="clear" w:color="auto" w:fill="auto"/>
            <w:noWrap/>
            <w:vAlign w:val="bottom"/>
          </w:tcPr>
          <w:p w14:paraId="61D0DBF5" w14:textId="77777777" w:rsidR="00FA720E" w:rsidRPr="00416C4A" w:rsidRDefault="00D96DFB" w:rsidP="00FA720E">
            <w:pPr>
              <w:tabs>
                <w:tab w:val="left" w:pos="4412"/>
                <w:tab w:val="center" w:pos="6979"/>
              </w:tabs>
            </w:pPr>
            <w:proofErr w:type="spellStart"/>
            <w:r w:rsidRPr="00416C4A">
              <w:t>Female_CEO</w:t>
            </w:r>
            <w:proofErr w:type="spellEnd"/>
          </w:p>
        </w:tc>
        <w:tc>
          <w:tcPr>
            <w:tcW w:w="1729" w:type="dxa"/>
            <w:tcBorders>
              <w:top w:val="nil"/>
              <w:left w:val="nil"/>
              <w:bottom w:val="nil"/>
              <w:right w:val="nil"/>
            </w:tcBorders>
            <w:shd w:val="clear" w:color="auto" w:fill="auto"/>
            <w:noWrap/>
            <w:vAlign w:val="bottom"/>
          </w:tcPr>
          <w:p w14:paraId="2493247E" w14:textId="77777777" w:rsidR="00FA720E" w:rsidRPr="00416C4A" w:rsidRDefault="00D96DFB" w:rsidP="00FA720E">
            <w:pPr>
              <w:tabs>
                <w:tab w:val="left" w:pos="4412"/>
                <w:tab w:val="center" w:pos="6979"/>
              </w:tabs>
              <w:jc w:val="center"/>
            </w:pPr>
            <w:r w:rsidRPr="00416C4A">
              <w:t>0.06</w:t>
            </w:r>
          </w:p>
        </w:tc>
        <w:tc>
          <w:tcPr>
            <w:tcW w:w="1729" w:type="dxa"/>
            <w:tcBorders>
              <w:top w:val="nil"/>
              <w:left w:val="nil"/>
              <w:bottom w:val="nil"/>
              <w:right w:val="nil"/>
            </w:tcBorders>
            <w:vAlign w:val="bottom"/>
          </w:tcPr>
          <w:p w14:paraId="3BEBC220" w14:textId="7054E946" w:rsidR="00FA720E" w:rsidRPr="00416C4A" w:rsidRDefault="00D96DFB" w:rsidP="00FA720E">
            <w:pPr>
              <w:tabs>
                <w:tab w:val="left" w:pos="4412"/>
                <w:tab w:val="center" w:pos="6979"/>
              </w:tabs>
              <w:jc w:val="center"/>
            </w:pPr>
            <w:r w:rsidRPr="00416C4A">
              <w:t>0</w:t>
            </w:r>
            <w:r w:rsidR="00BC5847" w:rsidRPr="00416C4A">
              <w:t>.00</w:t>
            </w:r>
          </w:p>
        </w:tc>
        <w:tc>
          <w:tcPr>
            <w:tcW w:w="1729" w:type="dxa"/>
            <w:tcBorders>
              <w:top w:val="nil"/>
              <w:left w:val="nil"/>
              <w:bottom w:val="nil"/>
              <w:right w:val="nil"/>
            </w:tcBorders>
            <w:shd w:val="clear" w:color="auto" w:fill="auto"/>
            <w:noWrap/>
            <w:vAlign w:val="bottom"/>
          </w:tcPr>
          <w:p w14:paraId="5E8322FC" w14:textId="26565058" w:rsidR="00FA720E" w:rsidRPr="00416C4A" w:rsidRDefault="00D96DFB" w:rsidP="00FA720E">
            <w:pPr>
              <w:tabs>
                <w:tab w:val="left" w:pos="4412"/>
                <w:tab w:val="center" w:pos="6979"/>
              </w:tabs>
              <w:jc w:val="center"/>
            </w:pPr>
            <w:r w:rsidRPr="00416C4A">
              <w:t>0.2</w:t>
            </w:r>
            <w:r w:rsidR="00BC5847" w:rsidRPr="00416C4A">
              <w:t>3</w:t>
            </w:r>
          </w:p>
        </w:tc>
        <w:tc>
          <w:tcPr>
            <w:tcW w:w="1729" w:type="dxa"/>
            <w:tcBorders>
              <w:top w:val="nil"/>
              <w:left w:val="nil"/>
              <w:bottom w:val="nil"/>
              <w:right w:val="nil"/>
            </w:tcBorders>
            <w:shd w:val="clear" w:color="auto" w:fill="auto"/>
            <w:noWrap/>
            <w:vAlign w:val="bottom"/>
          </w:tcPr>
          <w:p w14:paraId="67E203D2" w14:textId="2DD0944A" w:rsidR="00FA720E" w:rsidRPr="00416C4A" w:rsidRDefault="00D96DFB" w:rsidP="00FA720E">
            <w:pPr>
              <w:tabs>
                <w:tab w:val="left" w:pos="4412"/>
                <w:tab w:val="center" w:pos="6979"/>
              </w:tabs>
              <w:jc w:val="center"/>
            </w:pPr>
            <w:r w:rsidRPr="00416C4A">
              <w:t>0</w:t>
            </w:r>
            <w:r w:rsidR="00BC5847" w:rsidRPr="00416C4A">
              <w:t>.00</w:t>
            </w:r>
          </w:p>
        </w:tc>
        <w:tc>
          <w:tcPr>
            <w:tcW w:w="1729" w:type="dxa"/>
            <w:tcBorders>
              <w:top w:val="nil"/>
              <w:left w:val="nil"/>
              <w:bottom w:val="nil"/>
              <w:right w:val="nil"/>
            </w:tcBorders>
            <w:shd w:val="clear" w:color="auto" w:fill="auto"/>
            <w:noWrap/>
            <w:vAlign w:val="bottom"/>
          </w:tcPr>
          <w:p w14:paraId="64B98D2B" w14:textId="6BA06689" w:rsidR="00FA720E" w:rsidRPr="00416C4A" w:rsidRDefault="00D96DFB" w:rsidP="00FA720E">
            <w:pPr>
              <w:tabs>
                <w:tab w:val="left" w:pos="4412"/>
                <w:tab w:val="center" w:pos="6979"/>
              </w:tabs>
              <w:jc w:val="center"/>
            </w:pPr>
            <w:r w:rsidRPr="00416C4A">
              <w:t>1</w:t>
            </w:r>
            <w:r w:rsidR="00BC5847" w:rsidRPr="00416C4A">
              <w:t>.00</w:t>
            </w:r>
          </w:p>
        </w:tc>
      </w:tr>
      <w:tr w:rsidR="00416C4A" w:rsidRPr="00416C4A" w14:paraId="095E7EF0" w14:textId="77777777" w:rsidTr="00FA720E">
        <w:trPr>
          <w:trHeight w:val="573"/>
        </w:trPr>
        <w:tc>
          <w:tcPr>
            <w:tcW w:w="2526" w:type="dxa"/>
            <w:tcBorders>
              <w:top w:val="nil"/>
              <w:left w:val="nil"/>
              <w:bottom w:val="nil"/>
              <w:right w:val="nil"/>
            </w:tcBorders>
            <w:shd w:val="clear" w:color="auto" w:fill="auto"/>
            <w:noWrap/>
            <w:vAlign w:val="bottom"/>
            <w:hideMark/>
          </w:tcPr>
          <w:p w14:paraId="14F16A32" w14:textId="77777777" w:rsidR="00FA720E" w:rsidRPr="00416C4A" w:rsidRDefault="00D96DFB" w:rsidP="00FA720E">
            <w:pPr>
              <w:tabs>
                <w:tab w:val="left" w:pos="4412"/>
                <w:tab w:val="center" w:pos="6979"/>
              </w:tabs>
            </w:pPr>
            <w:r w:rsidRPr="00416C4A">
              <w:t>%Executive Female</w:t>
            </w:r>
          </w:p>
        </w:tc>
        <w:tc>
          <w:tcPr>
            <w:tcW w:w="1729" w:type="dxa"/>
            <w:tcBorders>
              <w:top w:val="nil"/>
              <w:left w:val="nil"/>
              <w:bottom w:val="nil"/>
              <w:right w:val="nil"/>
            </w:tcBorders>
            <w:shd w:val="clear" w:color="auto" w:fill="auto"/>
            <w:noWrap/>
            <w:vAlign w:val="bottom"/>
            <w:hideMark/>
          </w:tcPr>
          <w:p w14:paraId="0C83C2C7" w14:textId="251601AD" w:rsidR="00FA720E" w:rsidRPr="00416C4A" w:rsidRDefault="00D96DFB" w:rsidP="00FA720E">
            <w:pPr>
              <w:tabs>
                <w:tab w:val="left" w:pos="4412"/>
                <w:tab w:val="center" w:pos="6979"/>
              </w:tabs>
              <w:jc w:val="center"/>
            </w:pPr>
            <w:r w:rsidRPr="00416C4A">
              <w:t>2.</w:t>
            </w:r>
            <w:r w:rsidR="00B41F58" w:rsidRPr="00416C4A">
              <w:t>40</w:t>
            </w:r>
          </w:p>
        </w:tc>
        <w:tc>
          <w:tcPr>
            <w:tcW w:w="1729" w:type="dxa"/>
            <w:tcBorders>
              <w:top w:val="nil"/>
              <w:left w:val="nil"/>
              <w:bottom w:val="nil"/>
              <w:right w:val="nil"/>
            </w:tcBorders>
            <w:vAlign w:val="bottom"/>
          </w:tcPr>
          <w:p w14:paraId="35D41221" w14:textId="19083E98" w:rsidR="00FA720E" w:rsidRPr="00416C4A" w:rsidRDefault="00D96DFB" w:rsidP="00FA720E">
            <w:pPr>
              <w:tabs>
                <w:tab w:val="left" w:pos="4412"/>
                <w:tab w:val="center" w:pos="6979"/>
              </w:tabs>
              <w:jc w:val="center"/>
            </w:pPr>
            <w:r w:rsidRPr="00416C4A">
              <w:t>0</w:t>
            </w:r>
            <w:r w:rsidR="00B41F58" w:rsidRPr="00416C4A">
              <w:t>.00</w:t>
            </w:r>
          </w:p>
        </w:tc>
        <w:tc>
          <w:tcPr>
            <w:tcW w:w="1729" w:type="dxa"/>
            <w:tcBorders>
              <w:top w:val="nil"/>
              <w:left w:val="nil"/>
              <w:bottom w:val="nil"/>
              <w:right w:val="nil"/>
            </w:tcBorders>
            <w:shd w:val="clear" w:color="auto" w:fill="auto"/>
            <w:noWrap/>
            <w:vAlign w:val="bottom"/>
            <w:hideMark/>
          </w:tcPr>
          <w:p w14:paraId="23C83A8E" w14:textId="2248D842" w:rsidR="00FA720E" w:rsidRPr="00416C4A" w:rsidRDefault="00D96DFB" w:rsidP="00FA720E">
            <w:pPr>
              <w:tabs>
                <w:tab w:val="left" w:pos="4412"/>
                <w:tab w:val="center" w:pos="6979"/>
              </w:tabs>
              <w:jc w:val="center"/>
            </w:pPr>
            <w:r w:rsidRPr="00416C4A">
              <w:t>5.</w:t>
            </w:r>
            <w:r w:rsidR="00B41F58" w:rsidRPr="00416C4A">
              <w:t>25</w:t>
            </w:r>
          </w:p>
        </w:tc>
        <w:tc>
          <w:tcPr>
            <w:tcW w:w="1729" w:type="dxa"/>
            <w:tcBorders>
              <w:top w:val="nil"/>
              <w:left w:val="nil"/>
              <w:bottom w:val="nil"/>
              <w:right w:val="nil"/>
            </w:tcBorders>
            <w:shd w:val="clear" w:color="auto" w:fill="auto"/>
            <w:noWrap/>
            <w:vAlign w:val="bottom"/>
            <w:hideMark/>
          </w:tcPr>
          <w:p w14:paraId="537B26C3" w14:textId="77777777" w:rsidR="00FA720E" w:rsidRPr="00416C4A" w:rsidRDefault="00D96DFB" w:rsidP="00FA720E">
            <w:pPr>
              <w:tabs>
                <w:tab w:val="left" w:pos="4412"/>
                <w:tab w:val="center" w:pos="6979"/>
              </w:tabs>
              <w:jc w:val="center"/>
            </w:pPr>
            <w:r w:rsidRPr="00416C4A">
              <w:t>0.00</w:t>
            </w:r>
          </w:p>
        </w:tc>
        <w:tc>
          <w:tcPr>
            <w:tcW w:w="1729" w:type="dxa"/>
            <w:tcBorders>
              <w:top w:val="nil"/>
              <w:left w:val="nil"/>
              <w:bottom w:val="nil"/>
              <w:right w:val="nil"/>
            </w:tcBorders>
            <w:shd w:val="clear" w:color="auto" w:fill="auto"/>
            <w:noWrap/>
            <w:vAlign w:val="bottom"/>
            <w:hideMark/>
          </w:tcPr>
          <w:p w14:paraId="368AE420" w14:textId="7E37CBE6" w:rsidR="00FA720E" w:rsidRPr="00416C4A" w:rsidRDefault="00D96DFB" w:rsidP="00FA720E">
            <w:pPr>
              <w:tabs>
                <w:tab w:val="left" w:pos="4412"/>
                <w:tab w:val="center" w:pos="6979"/>
              </w:tabs>
              <w:jc w:val="center"/>
            </w:pPr>
            <w:r w:rsidRPr="00416C4A">
              <w:t>30</w:t>
            </w:r>
            <w:r w:rsidR="00B41F58" w:rsidRPr="00416C4A">
              <w:t>.00</w:t>
            </w:r>
          </w:p>
        </w:tc>
      </w:tr>
      <w:tr w:rsidR="00416C4A" w:rsidRPr="00416C4A" w14:paraId="78242C8D" w14:textId="77777777" w:rsidTr="00FA720E">
        <w:trPr>
          <w:trHeight w:val="573"/>
        </w:trPr>
        <w:tc>
          <w:tcPr>
            <w:tcW w:w="2526" w:type="dxa"/>
            <w:tcBorders>
              <w:top w:val="nil"/>
              <w:left w:val="nil"/>
              <w:bottom w:val="nil"/>
              <w:right w:val="nil"/>
            </w:tcBorders>
            <w:shd w:val="clear" w:color="auto" w:fill="auto"/>
            <w:noWrap/>
            <w:vAlign w:val="bottom"/>
          </w:tcPr>
          <w:p w14:paraId="09387277" w14:textId="77777777" w:rsidR="00FA720E" w:rsidRPr="00416C4A" w:rsidRDefault="00D96DFB" w:rsidP="00FA720E">
            <w:pPr>
              <w:tabs>
                <w:tab w:val="left" w:pos="4412"/>
                <w:tab w:val="center" w:pos="6979"/>
              </w:tabs>
            </w:pPr>
            <w:r w:rsidRPr="00416C4A">
              <w:t>ROA</w:t>
            </w:r>
          </w:p>
        </w:tc>
        <w:tc>
          <w:tcPr>
            <w:tcW w:w="1729" w:type="dxa"/>
            <w:tcBorders>
              <w:top w:val="nil"/>
              <w:left w:val="nil"/>
              <w:bottom w:val="nil"/>
              <w:right w:val="nil"/>
            </w:tcBorders>
            <w:shd w:val="clear" w:color="auto" w:fill="auto"/>
            <w:noWrap/>
            <w:vAlign w:val="bottom"/>
          </w:tcPr>
          <w:p w14:paraId="558BF853" w14:textId="6EFE06BE" w:rsidR="00FA720E" w:rsidRPr="00416C4A" w:rsidRDefault="00D96DFB" w:rsidP="00FA720E">
            <w:pPr>
              <w:tabs>
                <w:tab w:val="left" w:pos="4412"/>
                <w:tab w:val="center" w:pos="6979"/>
              </w:tabs>
              <w:jc w:val="center"/>
            </w:pPr>
            <w:r w:rsidRPr="00416C4A">
              <w:t>8.43</w:t>
            </w:r>
          </w:p>
        </w:tc>
        <w:tc>
          <w:tcPr>
            <w:tcW w:w="1729" w:type="dxa"/>
            <w:tcBorders>
              <w:top w:val="nil"/>
              <w:left w:val="nil"/>
              <w:bottom w:val="nil"/>
              <w:right w:val="nil"/>
            </w:tcBorders>
            <w:vAlign w:val="bottom"/>
          </w:tcPr>
          <w:p w14:paraId="75C271B9" w14:textId="5D369879" w:rsidR="00FA720E" w:rsidRPr="00416C4A" w:rsidRDefault="00D96DFB" w:rsidP="00FA720E">
            <w:pPr>
              <w:tabs>
                <w:tab w:val="left" w:pos="4412"/>
                <w:tab w:val="center" w:pos="6979"/>
              </w:tabs>
              <w:jc w:val="center"/>
            </w:pPr>
            <w:r w:rsidRPr="00416C4A">
              <w:t>6.78</w:t>
            </w:r>
          </w:p>
        </w:tc>
        <w:tc>
          <w:tcPr>
            <w:tcW w:w="1729" w:type="dxa"/>
            <w:tcBorders>
              <w:top w:val="nil"/>
              <w:left w:val="nil"/>
              <w:bottom w:val="nil"/>
              <w:right w:val="nil"/>
            </w:tcBorders>
            <w:shd w:val="clear" w:color="auto" w:fill="auto"/>
            <w:noWrap/>
            <w:vAlign w:val="bottom"/>
          </w:tcPr>
          <w:p w14:paraId="3F91C3CA" w14:textId="75B55FEA" w:rsidR="00FA720E" w:rsidRPr="00416C4A" w:rsidRDefault="00D96DFB" w:rsidP="00FA720E">
            <w:pPr>
              <w:tabs>
                <w:tab w:val="left" w:pos="4412"/>
                <w:tab w:val="center" w:pos="6979"/>
              </w:tabs>
              <w:jc w:val="center"/>
            </w:pPr>
            <w:r w:rsidRPr="00416C4A">
              <w:t>9.</w:t>
            </w:r>
            <w:r w:rsidR="004C2063" w:rsidRPr="00416C4A">
              <w:t>2</w:t>
            </w:r>
            <w:r w:rsidRPr="00416C4A">
              <w:t>4</w:t>
            </w:r>
          </w:p>
        </w:tc>
        <w:tc>
          <w:tcPr>
            <w:tcW w:w="1729" w:type="dxa"/>
            <w:tcBorders>
              <w:top w:val="nil"/>
              <w:left w:val="nil"/>
              <w:bottom w:val="nil"/>
              <w:right w:val="nil"/>
            </w:tcBorders>
            <w:shd w:val="clear" w:color="auto" w:fill="auto"/>
            <w:noWrap/>
            <w:vAlign w:val="bottom"/>
          </w:tcPr>
          <w:p w14:paraId="5610E057" w14:textId="51173381" w:rsidR="00FA720E" w:rsidRPr="00416C4A" w:rsidRDefault="00D96DFB" w:rsidP="00FA720E">
            <w:pPr>
              <w:tabs>
                <w:tab w:val="left" w:pos="4412"/>
                <w:tab w:val="center" w:pos="6979"/>
              </w:tabs>
              <w:jc w:val="center"/>
            </w:pPr>
            <w:r w:rsidRPr="00416C4A">
              <w:t>-11.24</w:t>
            </w:r>
          </w:p>
        </w:tc>
        <w:tc>
          <w:tcPr>
            <w:tcW w:w="1729" w:type="dxa"/>
            <w:tcBorders>
              <w:top w:val="nil"/>
              <w:left w:val="nil"/>
              <w:bottom w:val="nil"/>
              <w:right w:val="nil"/>
            </w:tcBorders>
            <w:shd w:val="clear" w:color="auto" w:fill="auto"/>
            <w:noWrap/>
            <w:vAlign w:val="bottom"/>
          </w:tcPr>
          <w:p w14:paraId="607B6024" w14:textId="77777777" w:rsidR="00FA720E" w:rsidRPr="00416C4A" w:rsidRDefault="00D96DFB" w:rsidP="00FA720E">
            <w:pPr>
              <w:tabs>
                <w:tab w:val="left" w:pos="4412"/>
                <w:tab w:val="center" w:pos="6979"/>
              </w:tabs>
              <w:jc w:val="center"/>
            </w:pPr>
            <w:r w:rsidRPr="00416C4A">
              <w:t>49.00</w:t>
            </w:r>
          </w:p>
        </w:tc>
      </w:tr>
      <w:tr w:rsidR="00416C4A" w:rsidRPr="00416C4A" w14:paraId="50162BB0" w14:textId="77777777" w:rsidTr="00FA720E">
        <w:trPr>
          <w:trHeight w:val="573"/>
        </w:trPr>
        <w:tc>
          <w:tcPr>
            <w:tcW w:w="2526" w:type="dxa"/>
            <w:tcBorders>
              <w:top w:val="nil"/>
              <w:left w:val="nil"/>
              <w:bottom w:val="nil"/>
              <w:right w:val="nil"/>
            </w:tcBorders>
            <w:shd w:val="clear" w:color="auto" w:fill="auto"/>
            <w:noWrap/>
            <w:vAlign w:val="bottom"/>
          </w:tcPr>
          <w:p w14:paraId="1ECE1782" w14:textId="77777777" w:rsidR="00FA720E" w:rsidRPr="00416C4A" w:rsidRDefault="00D96DFB" w:rsidP="00FA720E">
            <w:pPr>
              <w:tabs>
                <w:tab w:val="left" w:pos="4412"/>
                <w:tab w:val="center" w:pos="6979"/>
              </w:tabs>
            </w:pPr>
            <w:proofErr w:type="spellStart"/>
            <w:r w:rsidRPr="00416C4A">
              <w:t>Tobins_Q</w:t>
            </w:r>
            <w:proofErr w:type="spellEnd"/>
          </w:p>
        </w:tc>
        <w:tc>
          <w:tcPr>
            <w:tcW w:w="1729" w:type="dxa"/>
            <w:tcBorders>
              <w:top w:val="nil"/>
              <w:left w:val="nil"/>
              <w:bottom w:val="nil"/>
              <w:right w:val="nil"/>
            </w:tcBorders>
            <w:shd w:val="clear" w:color="auto" w:fill="auto"/>
            <w:noWrap/>
            <w:vAlign w:val="bottom"/>
          </w:tcPr>
          <w:p w14:paraId="63689A7C" w14:textId="1496370F" w:rsidR="00FA720E" w:rsidRPr="00416C4A" w:rsidRDefault="00D96DFB" w:rsidP="00FA720E">
            <w:pPr>
              <w:tabs>
                <w:tab w:val="left" w:pos="4412"/>
                <w:tab w:val="center" w:pos="6979"/>
              </w:tabs>
              <w:jc w:val="center"/>
            </w:pPr>
            <w:r w:rsidRPr="00416C4A">
              <w:t>1.8</w:t>
            </w:r>
            <w:r w:rsidR="00BD3A48" w:rsidRPr="00416C4A">
              <w:t>3</w:t>
            </w:r>
          </w:p>
        </w:tc>
        <w:tc>
          <w:tcPr>
            <w:tcW w:w="1729" w:type="dxa"/>
            <w:tcBorders>
              <w:top w:val="nil"/>
              <w:left w:val="nil"/>
              <w:bottom w:val="nil"/>
              <w:right w:val="nil"/>
            </w:tcBorders>
            <w:vAlign w:val="bottom"/>
          </w:tcPr>
          <w:p w14:paraId="3EFB7318" w14:textId="06FC2209" w:rsidR="00FA720E" w:rsidRPr="00416C4A" w:rsidRDefault="00D96DFB" w:rsidP="00FA720E">
            <w:pPr>
              <w:tabs>
                <w:tab w:val="left" w:pos="4412"/>
                <w:tab w:val="center" w:pos="6979"/>
              </w:tabs>
              <w:jc w:val="center"/>
            </w:pPr>
            <w:r w:rsidRPr="00416C4A">
              <w:t>1.</w:t>
            </w:r>
            <w:r w:rsidR="00BD3A48" w:rsidRPr="00416C4A">
              <w:t>35</w:t>
            </w:r>
          </w:p>
        </w:tc>
        <w:tc>
          <w:tcPr>
            <w:tcW w:w="1729" w:type="dxa"/>
            <w:tcBorders>
              <w:top w:val="nil"/>
              <w:left w:val="nil"/>
              <w:bottom w:val="nil"/>
              <w:right w:val="nil"/>
            </w:tcBorders>
            <w:shd w:val="clear" w:color="auto" w:fill="auto"/>
            <w:noWrap/>
            <w:vAlign w:val="bottom"/>
          </w:tcPr>
          <w:p w14:paraId="4F7B36B6" w14:textId="044A7CFE" w:rsidR="00FA720E" w:rsidRPr="00416C4A" w:rsidRDefault="00D96DFB" w:rsidP="00FA720E">
            <w:pPr>
              <w:tabs>
                <w:tab w:val="left" w:pos="4412"/>
                <w:tab w:val="center" w:pos="6979"/>
              </w:tabs>
              <w:jc w:val="center"/>
            </w:pPr>
            <w:r w:rsidRPr="00416C4A">
              <w:t>1.</w:t>
            </w:r>
            <w:r w:rsidR="00BD3A48" w:rsidRPr="00416C4A">
              <w:t>5</w:t>
            </w:r>
            <w:r w:rsidRPr="00416C4A">
              <w:t>3</w:t>
            </w:r>
          </w:p>
        </w:tc>
        <w:tc>
          <w:tcPr>
            <w:tcW w:w="1729" w:type="dxa"/>
            <w:tcBorders>
              <w:top w:val="nil"/>
              <w:left w:val="nil"/>
              <w:bottom w:val="nil"/>
              <w:right w:val="nil"/>
            </w:tcBorders>
            <w:shd w:val="clear" w:color="auto" w:fill="auto"/>
            <w:noWrap/>
            <w:vAlign w:val="bottom"/>
          </w:tcPr>
          <w:p w14:paraId="44EEB989" w14:textId="4625CC18" w:rsidR="00FA720E" w:rsidRPr="00416C4A" w:rsidRDefault="00D96DFB" w:rsidP="00FA720E">
            <w:pPr>
              <w:tabs>
                <w:tab w:val="left" w:pos="4412"/>
                <w:tab w:val="center" w:pos="6979"/>
              </w:tabs>
              <w:jc w:val="center"/>
            </w:pPr>
            <w:r w:rsidRPr="00416C4A">
              <w:t>0.</w:t>
            </w:r>
            <w:r w:rsidR="000C5AC5" w:rsidRPr="00416C4A">
              <w:t>74</w:t>
            </w:r>
          </w:p>
        </w:tc>
        <w:tc>
          <w:tcPr>
            <w:tcW w:w="1729" w:type="dxa"/>
            <w:tcBorders>
              <w:top w:val="nil"/>
              <w:left w:val="nil"/>
              <w:bottom w:val="nil"/>
              <w:right w:val="nil"/>
            </w:tcBorders>
            <w:shd w:val="clear" w:color="auto" w:fill="auto"/>
            <w:noWrap/>
            <w:vAlign w:val="bottom"/>
          </w:tcPr>
          <w:p w14:paraId="1550994F" w14:textId="77777777" w:rsidR="00FA720E" w:rsidRPr="00416C4A" w:rsidRDefault="00D96DFB" w:rsidP="00FA720E">
            <w:pPr>
              <w:tabs>
                <w:tab w:val="left" w:pos="4412"/>
                <w:tab w:val="center" w:pos="6979"/>
              </w:tabs>
              <w:jc w:val="center"/>
            </w:pPr>
            <w:r w:rsidRPr="00416C4A">
              <w:t>12.47</w:t>
            </w:r>
          </w:p>
        </w:tc>
      </w:tr>
      <w:tr w:rsidR="00416C4A" w:rsidRPr="00416C4A" w14:paraId="021C4D21" w14:textId="77777777" w:rsidTr="00FA720E">
        <w:trPr>
          <w:trHeight w:val="573"/>
        </w:trPr>
        <w:tc>
          <w:tcPr>
            <w:tcW w:w="2526" w:type="dxa"/>
            <w:tcBorders>
              <w:top w:val="nil"/>
              <w:left w:val="nil"/>
              <w:bottom w:val="nil"/>
              <w:right w:val="nil"/>
            </w:tcBorders>
            <w:shd w:val="clear" w:color="auto" w:fill="auto"/>
            <w:noWrap/>
            <w:vAlign w:val="bottom"/>
          </w:tcPr>
          <w:p w14:paraId="7D96DD6B" w14:textId="77777777" w:rsidR="00FA720E" w:rsidRPr="00416C4A" w:rsidRDefault="00D96DFB" w:rsidP="00FA720E">
            <w:pPr>
              <w:tabs>
                <w:tab w:val="left" w:pos="4412"/>
                <w:tab w:val="center" w:pos="6979"/>
              </w:tabs>
            </w:pPr>
            <w:r w:rsidRPr="00416C4A">
              <w:t>Board size</w:t>
            </w:r>
          </w:p>
        </w:tc>
        <w:tc>
          <w:tcPr>
            <w:tcW w:w="1729" w:type="dxa"/>
            <w:tcBorders>
              <w:top w:val="nil"/>
              <w:left w:val="nil"/>
              <w:bottom w:val="nil"/>
              <w:right w:val="nil"/>
            </w:tcBorders>
            <w:shd w:val="clear" w:color="auto" w:fill="auto"/>
            <w:noWrap/>
            <w:vAlign w:val="bottom"/>
          </w:tcPr>
          <w:p w14:paraId="1FB953F3" w14:textId="2A6B0795" w:rsidR="00FA720E" w:rsidRPr="00416C4A" w:rsidRDefault="00D96DFB" w:rsidP="00FA720E">
            <w:pPr>
              <w:tabs>
                <w:tab w:val="left" w:pos="4412"/>
                <w:tab w:val="center" w:pos="6979"/>
              </w:tabs>
              <w:jc w:val="center"/>
            </w:pPr>
            <w:r w:rsidRPr="00416C4A">
              <w:t>9.84</w:t>
            </w:r>
          </w:p>
        </w:tc>
        <w:tc>
          <w:tcPr>
            <w:tcW w:w="1729" w:type="dxa"/>
            <w:tcBorders>
              <w:top w:val="nil"/>
              <w:left w:val="nil"/>
              <w:bottom w:val="nil"/>
              <w:right w:val="nil"/>
            </w:tcBorders>
            <w:vAlign w:val="bottom"/>
          </w:tcPr>
          <w:p w14:paraId="23D65158" w14:textId="0DDF9527" w:rsidR="00FA720E" w:rsidRPr="00416C4A" w:rsidRDefault="00D96DFB" w:rsidP="00FA720E">
            <w:pPr>
              <w:tabs>
                <w:tab w:val="left" w:pos="4412"/>
                <w:tab w:val="center" w:pos="6979"/>
              </w:tabs>
              <w:jc w:val="center"/>
            </w:pPr>
            <w:r w:rsidRPr="00416C4A">
              <w:t>10</w:t>
            </w:r>
            <w:r w:rsidR="000C5AC5" w:rsidRPr="00416C4A">
              <w:t>.00</w:t>
            </w:r>
          </w:p>
        </w:tc>
        <w:tc>
          <w:tcPr>
            <w:tcW w:w="1729" w:type="dxa"/>
            <w:tcBorders>
              <w:top w:val="nil"/>
              <w:left w:val="nil"/>
              <w:bottom w:val="nil"/>
              <w:right w:val="nil"/>
            </w:tcBorders>
            <w:shd w:val="clear" w:color="auto" w:fill="auto"/>
            <w:noWrap/>
            <w:vAlign w:val="bottom"/>
          </w:tcPr>
          <w:p w14:paraId="6FFB5C0E" w14:textId="153D4FF1" w:rsidR="00FA720E" w:rsidRPr="00416C4A" w:rsidRDefault="00D96DFB" w:rsidP="00FA720E">
            <w:pPr>
              <w:tabs>
                <w:tab w:val="left" w:pos="4412"/>
                <w:tab w:val="center" w:pos="6979"/>
              </w:tabs>
              <w:jc w:val="center"/>
            </w:pPr>
            <w:r w:rsidRPr="00416C4A">
              <w:t>2.</w:t>
            </w:r>
            <w:r w:rsidR="000E2C6F" w:rsidRPr="00416C4A">
              <w:t>23</w:t>
            </w:r>
          </w:p>
        </w:tc>
        <w:tc>
          <w:tcPr>
            <w:tcW w:w="1729" w:type="dxa"/>
            <w:tcBorders>
              <w:top w:val="nil"/>
              <w:left w:val="nil"/>
              <w:bottom w:val="nil"/>
              <w:right w:val="nil"/>
            </w:tcBorders>
            <w:shd w:val="clear" w:color="auto" w:fill="auto"/>
            <w:noWrap/>
            <w:vAlign w:val="bottom"/>
          </w:tcPr>
          <w:p w14:paraId="1907830B" w14:textId="5DF0F6B7" w:rsidR="00FA720E" w:rsidRPr="00416C4A" w:rsidRDefault="00D96DFB" w:rsidP="00FA720E">
            <w:pPr>
              <w:tabs>
                <w:tab w:val="left" w:pos="4412"/>
                <w:tab w:val="center" w:pos="6979"/>
              </w:tabs>
              <w:jc w:val="center"/>
            </w:pPr>
            <w:r w:rsidRPr="00416C4A">
              <w:t>5.00</w:t>
            </w:r>
          </w:p>
        </w:tc>
        <w:tc>
          <w:tcPr>
            <w:tcW w:w="1729" w:type="dxa"/>
            <w:tcBorders>
              <w:top w:val="nil"/>
              <w:left w:val="nil"/>
              <w:bottom w:val="nil"/>
              <w:right w:val="nil"/>
            </w:tcBorders>
            <w:shd w:val="clear" w:color="auto" w:fill="auto"/>
            <w:noWrap/>
            <w:vAlign w:val="bottom"/>
          </w:tcPr>
          <w:p w14:paraId="503AFD82" w14:textId="627C0511" w:rsidR="00FA720E" w:rsidRPr="00416C4A" w:rsidRDefault="00D96DFB" w:rsidP="00FA720E">
            <w:pPr>
              <w:tabs>
                <w:tab w:val="left" w:pos="4412"/>
                <w:tab w:val="center" w:pos="6979"/>
              </w:tabs>
              <w:jc w:val="center"/>
            </w:pPr>
            <w:r w:rsidRPr="00416C4A">
              <w:t>20</w:t>
            </w:r>
            <w:r w:rsidR="000E2C6F" w:rsidRPr="00416C4A">
              <w:t>.00</w:t>
            </w:r>
          </w:p>
        </w:tc>
      </w:tr>
      <w:tr w:rsidR="00416C4A" w:rsidRPr="00416C4A" w14:paraId="4F5FF984" w14:textId="77777777" w:rsidTr="00FA720E">
        <w:trPr>
          <w:trHeight w:val="573"/>
        </w:trPr>
        <w:tc>
          <w:tcPr>
            <w:tcW w:w="2526" w:type="dxa"/>
            <w:tcBorders>
              <w:top w:val="nil"/>
              <w:left w:val="nil"/>
              <w:bottom w:val="nil"/>
              <w:right w:val="nil"/>
            </w:tcBorders>
            <w:shd w:val="clear" w:color="auto" w:fill="auto"/>
            <w:noWrap/>
            <w:vAlign w:val="bottom"/>
          </w:tcPr>
          <w:p w14:paraId="12C7A9DB" w14:textId="77777777" w:rsidR="00FA720E" w:rsidRPr="00416C4A" w:rsidRDefault="00D96DFB" w:rsidP="00FA720E">
            <w:pPr>
              <w:tabs>
                <w:tab w:val="left" w:pos="4412"/>
                <w:tab w:val="center" w:pos="6979"/>
              </w:tabs>
            </w:pPr>
            <w:r w:rsidRPr="00416C4A">
              <w:t>Firm Size</w:t>
            </w:r>
          </w:p>
        </w:tc>
        <w:tc>
          <w:tcPr>
            <w:tcW w:w="1729" w:type="dxa"/>
            <w:tcBorders>
              <w:top w:val="nil"/>
              <w:left w:val="nil"/>
              <w:bottom w:val="nil"/>
              <w:right w:val="nil"/>
            </w:tcBorders>
            <w:shd w:val="clear" w:color="auto" w:fill="auto"/>
            <w:noWrap/>
            <w:vAlign w:val="bottom"/>
          </w:tcPr>
          <w:p w14:paraId="10CBF940" w14:textId="589AD1F3" w:rsidR="00FA720E" w:rsidRPr="00416C4A" w:rsidRDefault="00D96DFB" w:rsidP="00FA720E">
            <w:pPr>
              <w:tabs>
                <w:tab w:val="left" w:pos="4412"/>
                <w:tab w:val="center" w:pos="6979"/>
              </w:tabs>
              <w:jc w:val="center"/>
            </w:pPr>
            <w:r w:rsidRPr="00416C4A">
              <w:t>6.</w:t>
            </w:r>
            <w:r w:rsidR="000E2C6F" w:rsidRPr="00416C4A">
              <w:t>4</w:t>
            </w:r>
            <w:r w:rsidRPr="00416C4A">
              <w:t>2</w:t>
            </w:r>
          </w:p>
        </w:tc>
        <w:tc>
          <w:tcPr>
            <w:tcW w:w="1729" w:type="dxa"/>
            <w:tcBorders>
              <w:top w:val="nil"/>
              <w:left w:val="nil"/>
              <w:bottom w:val="nil"/>
              <w:right w:val="nil"/>
            </w:tcBorders>
            <w:vAlign w:val="bottom"/>
          </w:tcPr>
          <w:p w14:paraId="7C25C9B0" w14:textId="1F157E13" w:rsidR="00FA720E" w:rsidRPr="00416C4A" w:rsidRDefault="00D96DFB" w:rsidP="00FA720E">
            <w:pPr>
              <w:tabs>
                <w:tab w:val="left" w:pos="4412"/>
                <w:tab w:val="center" w:pos="6979"/>
              </w:tabs>
              <w:jc w:val="center"/>
            </w:pPr>
            <w:r w:rsidRPr="00416C4A">
              <w:t>6.</w:t>
            </w:r>
            <w:r w:rsidR="000C22F8" w:rsidRPr="00416C4A">
              <w:t>43</w:t>
            </w:r>
          </w:p>
        </w:tc>
        <w:tc>
          <w:tcPr>
            <w:tcW w:w="1729" w:type="dxa"/>
            <w:tcBorders>
              <w:top w:val="nil"/>
              <w:left w:val="nil"/>
              <w:bottom w:val="nil"/>
              <w:right w:val="nil"/>
            </w:tcBorders>
            <w:shd w:val="clear" w:color="auto" w:fill="auto"/>
            <w:noWrap/>
            <w:vAlign w:val="bottom"/>
          </w:tcPr>
          <w:p w14:paraId="50B7630B" w14:textId="72EC1719" w:rsidR="00FA720E" w:rsidRPr="00416C4A" w:rsidRDefault="00D96DFB" w:rsidP="00FA720E">
            <w:pPr>
              <w:tabs>
                <w:tab w:val="left" w:pos="4412"/>
                <w:tab w:val="center" w:pos="6979"/>
              </w:tabs>
              <w:jc w:val="center"/>
            </w:pPr>
            <w:r w:rsidRPr="00416C4A">
              <w:t>0.</w:t>
            </w:r>
            <w:r w:rsidR="000C22F8" w:rsidRPr="00416C4A">
              <w:t>80</w:t>
            </w:r>
          </w:p>
        </w:tc>
        <w:tc>
          <w:tcPr>
            <w:tcW w:w="1729" w:type="dxa"/>
            <w:tcBorders>
              <w:top w:val="nil"/>
              <w:left w:val="nil"/>
              <w:bottom w:val="nil"/>
              <w:right w:val="nil"/>
            </w:tcBorders>
            <w:shd w:val="clear" w:color="auto" w:fill="auto"/>
            <w:noWrap/>
            <w:vAlign w:val="bottom"/>
          </w:tcPr>
          <w:p w14:paraId="265F6B73" w14:textId="02B7D643" w:rsidR="00FA720E" w:rsidRPr="00416C4A" w:rsidRDefault="00D96DFB" w:rsidP="00FA720E">
            <w:pPr>
              <w:tabs>
                <w:tab w:val="left" w:pos="4412"/>
                <w:tab w:val="center" w:pos="6979"/>
              </w:tabs>
              <w:jc w:val="center"/>
            </w:pPr>
            <w:r w:rsidRPr="00416C4A">
              <w:t>4.40</w:t>
            </w:r>
          </w:p>
        </w:tc>
        <w:tc>
          <w:tcPr>
            <w:tcW w:w="1729" w:type="dxa"/>
            <w:tcBorders>
              <w:top w:val="nil"/>
              <w:left w:val="nil"/>
              <w:bottom w:val="nil"/>
              <w:right w:val="nil"/>
            </w:tcBorders>
            <w:shd w:val="clear" w:color="auto" w:fill="auto"/>
            <w:noWrap/>
            <w:vAlign w:val="bottom"/>
          </w:tcPr>
          <w:p w14:paraId="35A9D513" w14:textId="61A0DFB2" w:rsidR="00FA720E" w:rsidRPr="00416C4A" w:rsidRDefault="00D96DFB" w:rsidP="00FA720E">
            <w:pPr>
              <w:tabs>
                <w:tab w:val="left" w:pos="4412"/>
                <w:tab w:val="center" w:pos="6979"/>
              </w:tabs>
              <w:jc w:val="center"/>
            </w:pPr>
            <w:r w:rsidRPr="00416C4A">
              <w:t>8.</w:t>
            </w:r>
            <w:r w:rsidR="000C22F8" w:rsidRPr="00416C4A">
              <w:t>36</w:t>
            </w:r>
          </w:p>
        </w:tc>
      </w:tr>
      <w:tr w:rsidR="00416C4A" w:rsidRPr="00416C4A" w14:paraId="307B02E8" w14:textId="77777777" w:rsidTr="00FA720E">
        <w:trPr>
          <w:trHeight w:val="573"/>
        </w:trPr>
        <w:tc>
          <w:tcPr>
            <w:tcW w:w="2526" w:type="dxa"/>
            <w:tcBorders>
              <w:top w:val="nil"/>
              <w:left w:val="nil"/>
              <w:bottom w:val="single" w:sz="4" w:space="0" w:color="000000"/>
              <w:right w:val="nil"/>
            </w:tcBorders>
            <w:shd w:val="clear" w:color="auto" w:fill="auto"/>
            <w:noWrap/>
            <w:vAlign w:val="bottom"/>
            <w:hideMark/>
          </w:tcPr>
          <w:p w14:paraId="2FF41EF6" w14:textId="77777777" w:rsidR="00FA720E" w:rsidRPr="00416C4A" w:rsidRDefault="00D96DFB" w:rsidP="00FA720E">
            <w:pPr>
              <w:tabs>
                <w:tab w:val="left" w:pos="4412"/>
                <w:tab w:val="center" w:pos="6979"/>
              </w:tabs>
            </w:pPr>
            <w:r w:rsidRPr="00416C4A">
              <w:t>Leverage</w:t>
            </w:r>
          </w:p>
        </w:tc>
        <w:tc>
          <w:tcPr>
            <w:tcW w:w="1729" w:type="dxa"/>
            <w:tcBorders>
              <w:top w:val="nil"/>
              <w:left w:val="nil"/>
              <w:bottom w:val="single" w:sz="4" w:space="0" w:color="000000"/>
              <w:right w:val="nil"/>
            </w:tcBorders>
            <w:shd w:val="clear" w:color="auto" w:fill="auto"/>
            <w:noWrap/>
            <w:vAlign w:val="bottom"/>
            <w:hideMark/>
          </w:tcPr>
          <w:p w14:paraId="43548D52" w14:textId="1184FA35" w:rsidR="00FA720E" w:rsidRPr="00416C4A" w:rsidRDefault="00D96DFB" w:rsidP="00FA720E">
            <w:pPr>
              <w:tabs>
                <w:tab w:val="left" w:pos="4412"/>
                <w:tab w:val="center" w:pos="6979"/>
              </w:tabs>
              <w:jc w:val="center"/>
            </w:pPr>
            <w:r w:rsidRPr="00416C4A">
              <w:t>0.3</w:t>
            </w:r>
            <w:r w:rsidR="00666577" w:rsidRPr="00416C4A">
              <w:t>0</w:t>
            </w:r>
          </w:p>
        </w:tc>
        <w:tc>
          <w:tcPr>
            <w:tcW w:w="1729" w:type="dxa"/>
            <w:tcBorders>
              <w:top w:val="nil"/>
              <w:left w:val="nil"/>
              <w:bottom w:val="single" w:sz="4" w:space="0" w:color="000000"/>
              <w:right w:val="nil"/>
            </w:tcBorders>
            <w:vAlign w:val="bottom"/>
          </w:tcPr>
          <w:p w14:paraId="1DBE6758" w14:textId="564CD042" w:rsidR="00FA720E" w:rsidRPr="00416C4A" w:rsidRDefault="00D96DFB" w:rsidP="00FA720E">
            <w:pPr>
              <w:tabs>
                <w:tab w:val="left" w:pos="4412"/>
                <w:tab w:val="center" w:pos="6979"/>
              </w:tabs>
              <w:jc w:val="center"/>
            </w:pPr>
            <w:r w:rsidRPr="00416C4A">
              <w:t>0.</w:t>
            </w:r>
            <w:r w:rsidR="00666577" w:rsidRPr="00416C4A">
              <w:t>28</w:t>
            </w:r>
          </w:p>
        </w:tc>
        <w:tc>
          <w:tcPr>
            <w:tcW w:w="1729" w:type="dxa"/>
            <w:tcBorders>
              <w:top w:val="nil"/>
              <w:left w:val="nil"/>
              <w:bottom w:val="single" w:sz="4" w:space="0" w:color="000000"/>
              <w:right w:val="nil"/>
            </w:tcBorders>
            <w:shd w:val="clear" w:color="auto" w:fill="auto"/>
            <w:noWrap/>
            <w:vAlign w:val="bottom"/>
            <w:hideMark/>
          </w:tcPr>
          <w:p w14:paraId="2C8F6BAB" w14:textId="77777777" w:rsidR="00FA720E" w:rsidRPr="00416C4A" w:rsidRDefault="00D96DFB" w:rsidP="00FA720E">
            <w:pPr>
              <w:tabs>
                <w:tab w:val="left" w:pos="4412"/>
                <w:tab w:val="center" w:pos="6979"/>
              </w:tabs>
              <w:jc w:val="center"/>
            </w:pPr>
            <w:r w:rsidRPr="00416C4A">
              <w:t>0.21</w:t>
            </w:r>
          </w:p>
        </w:tc>
        <w:tc>
          <w:tcPr>
            <w:tcW w:w="1729" w:type="dxa"/>
            <w:tcBorders>
              <w:top w:val="nil"/>
              <w:left w:val="nil"/>
              <w:bottom w:val="single" w:sz="4" w:space="0" w:color="000000"/>
              <w:right w:val="nil"/>
            </w:tcBorders>
            <w:shd w:val="clear" w:color="auto" w:fill="auto"/>
            <w:noWrap/>
            <w:vAlign w:val="bottom"/>
            <w:hideMark/>
          </w:tcPr>
          <w:p w14:paraId="15224AA7" w14:textId="77777777" w:rsidR="00FA720E" w:rsidRPr="00416C4A" w:rsidRDefault="00D96DFB" w:rsidP="00FA720E">
            <w:pPr>
              <w:tabs>
                <w:tab w:val="left" w:pos="4412"/>
                <w:tab w:val="center" w:pos="6979"/>
              </w:tabs>
              <w:jc w:val="center"/>
            </w:pPr>
            <w:r w:rsidRPr="00416C4A">
              <w:t>0.00</w:t>
            </w:r>
          </w:p>
        </w:tc>
        <w:tc>
          <w:tcPr>
            <w:tcW w:w="1729" w:type="dxa"/>
            <w:tcBorders>
              <w:top w:val="nil"/>
              <w:left w:val="nil"/>
              <w:bottom w:val="single" w:sz="4" w:space="0" w:color="000000"/>
              <w:right w:val="nil"/>
            </w:tcBorders>
            <w:shd w:val="clear" w:color="auto" w:fill="auto"/>
            <w:noWrap/>
            <w:vAlign w:val="bottom"/>
            <w:hideMark/>
          </w:tcPr>
          <w:p w14:paraId="5F969FBD" w14:textId="79E641E6" w:rsidR="00FA720E" w:rsidRPr="00416C4A" w:rsidRDefault="00D96DFB" w:rsidP="00FA720E">
            <w:pPr>
              <w:tabs>
                <w:tab w:val="left" w:pos="4412"/>
                <w:tab w:val="center" w:pos="6979"/>
              </w:tabs>
              <w:jc w:val="center"/>
            </w:pPr>
            <w:r w:rsidRPr="00416C4A">
              <w:t>0.9</w:t>
            </w:r>
            <w:r w:rsidR="00666577" w:rsidRPr="00416C4A">
              <w:t>0</w:t>
            </w:r>
          </w:p>
        </w:tc>
      </w:tr>
    </w:tbl>
    <w:p w14:paraId="6AA95E43" w14:textId="7E921DE2" w:rsidR="00FA720E" w:rsidRPr="00416C4A" w:rsidRDefault="00FA720E" w:rsidP="003A21D3">
      <w:pPr>
        <w:spacing w:line="480" w:lineRule="auto"/>
        <w:jc w:val="center"/>
        <w:rPr>
          <w:b/>
          <w:bCs/>
        </w:rPr>
      </w:pPr>
    </w:p>
    <w:p w14:paraId="4691565F" w14:textId="50AB4A4F" w:rsidR="00FA720E" w:rsidRPr="00416C4A" w:rsidRDefault="00FA720E" w:rsidP="003A21D3">
      <w:pPr>
        <w:spacing w:line="480" w:lineRule="auto"/>
        <w:jc w:val="center"/>
        <w:rPr>
          <w:b/>
          <w:bCs/>
        </w:rPr>
      </w:pPr>
    </w:p>
    <w:p w14:paraId="564EA3B2" w14:textId="21EACC31" w:rsidR="00FA720E" w:rsidRPr="00416C4A" w:rsidRDefault="00FA720E" w:rsidP="003A21D3">
      <w:pPr>
        <w:spacing w:line="480" w:lineRule="auto"/>
        <w:jc w:val="center"/>
        <w:rPr>
          <w:b/>
          <w:bCs/>
        </w:rPr>
      </w:pPr>
    </w:p>
    <w:p w14:paraId="47A83630" w14:textId="1B33A6BB" w:rsidR="00FA720E" w:rsidRPr="00416C4A" w:rsidRDefault="00FA720E" w:rsidP="003A21D3">
      <w:pPr>
        <w:spacing w:line="480" w:lineRule="auto"/>
        <w:jc w:val="center"/>
        <w:rPr>
          <w:b/>
          <w:bCs/>
        </w:rPr>
      </w:pPr>
    </w:p>
    <w:p w14:paraId="27901EDD" w14:textId="5EFCD056" w:rsidR="00FA720E" w:rsidRPr="00416C4A" w:rsidRDefault="00FA720E" w:rsidP="003A21D3">
      <w:pPr>
        <w:spacing w:line="480" w:lineRule="auto"/>
        <w:jc w:val="center"/>
        <w:rPr>
          <w:b/>
          <w:bCs/>
        </w:rPr>
      </w:pPr>
    </w:p>
    <w:p w14:paraId="23D15B18" w14:textId="77777777" w:rsidR="00FA720E" w:rsidRPr="00416C4A" w:rsidRDefault="00FA720E" w:rsidP="003A21D3">
      <w:pPr>
        <w:spacing w:line="480" w:lineRule="auto"/>
        <w:jc w:val="center"/>
      </w:pPr>
    </w:p>
    <w:p w14:paraId="2727A9D4" w14:textId="7A2B51AC" w:rsidR="00B127F0" w:rsidRPr="00416C4A" w:rsidRDefault="00B127F0" w:rsidP="00B127F0">
      <w:pPr>
        <w:spacing w:line="480" w:lineRule="auto"/>
        <w:jc w:val="both"/>
      </w:pPr>
    </w:p>
    <w:p w14:paraId="6AE93A0E" w14:textId="10650D9F" w:rsidR="00FA720E" w:rsidRPr="00416C4A" w:rsidRDefault="00FA720E" w:rsidP="00B127F0">
      <w:pPr>
        <w:spacing w:line="480" w:lineRule="auto"/>
        <w:jc w:val="both"/>
      </w:pPr>
    </w:p>
    <w:p w14:paraId="0FC83AD9" w14:textId="0F863F26" w:rsidR="00FA720E" w:rsidRPr="00416C4A" w:rsidRDefault="00FA720E" w:rsidP="00B127F0">
      <w:pPr>
        <w:spacing w:line="480" w:lineRule="auto"/>
        <w:jc w:val="both"/>
      </w:pPr>
    </w:p>
    <w:p w14:paraId="328F518C" w14:textId="19961CF3" w:rsidR="00FA720E" w:rsidRPr="00416C4A" w:rsidRDefault="00D96DFB" w:rsidP="00B127F0">
      <w:pPr>
        <w:spacing w:line="480" w:lineRule="auto"/>
        <w:jc w:val="both"/>
      </w:pPr>
      <w:r w:rsidRPr="00416C4A">
        <w:tab/>
      </w:r>
      <w:r w:rsidRPr="00416C4A">
        <w:tab/>
        <w:t xml:space="preserve">Note: </w:t>
      </w:r>
      <w:r w:rsidR="002504F6">
        <w:t>A</w:t>
      </w:r>
      <w:r w:rsidRPr="00416C4A">
        <w:t xml:space="preserve">ll variables are defined in the </w:t>
      </w:r>
      <w:r w:rsidR="002504F6">
        <w:t>a</w:t>
      </w:r>
      <w:r w:rsidRPr="00416C4A">
        <w:t>ppe</w:t>
      </w:r>
      <w:r w:rsidR="005F74E8" w:rsidRPr="00416C4A">
        <w:t>n</w:t>
      </w:r>
      <w:r w:rsidRPr="00416C4A">
        <w:t>dix.</w:t>
      </w:r>
    </w:p>
    <w:p w14:paraId="078682F4" w14:textId="77777777" w:rsidR="00B127F0" w:rsidRPr="00416C4A" w:rsidRDefault="00D96DFB">
      <w:r w:rsidRPr="00416C4A">
        <w:br w:type="page"/>
      </w:r>
    </w:p>
    <w:p w14:paraId="446354E1" w14:textId="31BC0FE2" w:rsidR="00B127F0" w:rsidRPr="00416C4A" w:rsidRDefault="00D96DFB" w:rsidP="003A21D3">
      <w:pPr>
        <w:spacing w:line="480" w:lineRule="auto"/>
        <w:jc w:val="center"/>
      </w:pPr>
      <w:r w:rsidRPr="00416C4A">
        <w:rPr>
          <w:b/>
          <w:bCs/>
        </w:rPr>
        <w:lastRenderedPageBreak/>
        <w:t>Table 2:</w:t>
      </w:r>
      <w:r w:rsidRPr="00416C4A">
        <w:t xml:space="preserve"> </w:t>
      </w:r>
      <w:r w:rsidRPr="00416C4A">
        <w:rPr>
          <w:b/>
          <w:bCs/>
        </w:rPr>
        <w:t>Correlation table</w:t>
      </w:r>
    </w:p>
    <w:tbl>
      <w:tblPr>
        <w:tblStyle w:val="TableGrid"/>
        <w:tblW w:w="13068" w:type="dxa"/>
        <w:tblLayout w:type="fixed"/>
        <w:tblLook w:val="04A0" w:firstRow="1" w:lastRow="0" w:firstColumn="1" w:lastColumn="0" w:noHBand="0" w:noVBand="1"/>
      </w:tblPr>
      <w:tblGrid>
        <w:gridCol w:w="2547"/>
        <w:gridCol w:w="1169"/>
        <w:gridCol w:w="1169"/>
        <w:gridCol w:w="1169"/>
        <w:gridCol w:w="1169"/>
        <w:gridCol w:w="1169"/>
        <w:gridCol w:w="1169"/>
        <w:gridCol w:w="1169"/>
        <w:gridCol w:w="1169"/>
        <w:gridCol w:w="1169"/>
      </w:tblGrid>
      <w:tr w:rsidR="00416C4A" w:rsidRPr="00416C4A" w14:paraId="2530F1CA" w14:textId="77777777" w:rsidTr="00D43B59">
        <w:trPr>
          <w:trHeight w:val="769"/>
        </w:trPr>
        <w:tc>
          <w:tcPr>
            <w:tcW w:w="2547" w:type="dxa"/>
            <w:tcBorders>
              <w:left w:val="single" w:sz="4" w:space="0" w:color="FFFFFF"/>
              <w:right w:val="single" w:sz="4" w:space="0" w:color="FFFFFF"/>
            </w:tcBorders>
          </w:tcPr>
          <w:p w14:paraId="4C8F0B69" w14:textId="77777777" w:rsidR="00D43B59" w:rsidRPr="00416C4A" w:rsidRDefault="00D43B59" w:rsidP="00B127F0">
            <w:pPr>
              <w:tabs>
                <w:tab w:val="left" w:pos="4412"/>
                <w:tab w:val="center" w:pos="6979"/>
              </w:tabs>
            </w:pPr>
          </w:p>
        </w:tc>
        <w:tc>
          <w:tcPr>
            <w:tcW w:w="1169" w:type="dxa"/>
            <w:tcBorders>
              <w:left w:val="single" w:sz="4" w:space="0" w:color="FFFFFF"/>
              <w:right w:val="single" w:sz="4" w:space="0" w:color="FFFFFF"/>
            </w:tcBorders>
            <w:vAlign w:val="center"/>
          </w:tcPr>
          <w:p w14:paraId="26B5AA1D" w14:textId="3B2C53DF" w:rsidR="00D43B59" w:rsidRPr="00416C4A" w:rsidRDefault="00D96DFB" w:rsidP="00B127F0">
            <w:pPr>
              <w:tabs>
                <w:tab w:val="left" w:pos="4412"/>
                <w:tab w:val="center" w:pos="6979"/>
              </w:tabs>
              <w:jc w:val="center"/>
            </w:pPr>
            <w:r w:rsidRPr="00416C4A">
              <w:t>(1)</w:t>
            </w:r>
          </w:p>
        </w:tc>
        <w:tc>
          <w:tcPr>
            <w:tcW w:w="1169" w:type="dxa"/>
            <w:tcBorders>
              <w:left w:val="single" w:sz="4" w:space="0" w:color="FFFFFF"/>
              <w:right w:val="single" w:sz="4" w:space="0" w:color="FFFFFF"/>
            </w:tcBorders>
            <w:vAlign w:val="center"/>
          </w:tcPr>
          <w:p w14:paraId="224BF4C0" w14:textId="6B428E90" w:rsidR="00D43B59" w:rsidRPr="00416C4A" w:rsidRDefault="00D96DFB" w:rsidP="00B127F0">
            <w:pPr>
              <w:tabs>
                <w:tab w:val="left" w:pos="4412"/>
                <w:tab w:val="center" w:pos="6979"/>
              </w:tabs>
              <w:jc w:val="center"/>
            </w:pPr>
            <w:r w:rsidRPr="00416C4A">
              <w:t>(2)</w:t>
            </w:r>
          </w:p>
        </w:tc>
        <w:tc>
          <w:tcPr>
            <w:tcW w:w="1169" w:type="dxa"/>
            <w:tcBorders>
              <w:left w:val="single" w:sz="4" w:space="0" w:color="FFFFFF"/>
              <w:right w:val="single" w:sz="4" w:space="0" w:color="FFFFFF"/>
            </w:tcBorders>
            <w:vAlign w:val="center"/>
          </w:tcPr>
          <w:p w14:paraId="56F937E6" w14:textId="0B0E0EB1" w:rsidR="00D43B59" w:rsidRPr="00416C4A" w:rsidRDefault="00D96DFB" w:rsidP="00B127F0">
            <w:pPr>
              <w:tabs>
                <w:tab w:val="left" w:pos="4412"/>
                <w:tab w:val="center" w:pos="6979"/>
              </w:tabs>
              <w:jc w:val="center"/>
            </w:pPr>
            <w:r w:rsidRPr="00416C4A">
              <w:t>(3)</w:t>
            </w:r>
          </w:p>
        </w:tc>
        <w:tc>
          <w:tcPr>
            <w:tcW w:w="1169" w:type="dxa"/>
            <w:tcBorders>
              <w:left w:val="single" w:sz="4" w:space="0" w:color="FFFFFF"/>
              <w:right w:val="single" w:sz="4" w:space="0" w:color="FFFFFF"/>
            </w:tcBorders>
            <w:vAlign w:val="center"/>
          </w:tcPr>
          <w:p w14:paraId="31E25DB4" w14:textId="6542E261" w:rsidR="00D43B59" w:rsidRPr="00416C4A" w:rsidRDefault="00D96DFB" w:rsidP="00B127F0">
            <w:pPr>
              <w:tabs>
                <w:tab w:val="left" w:pos="4412"/>
                <w:tab w:val="center" w:pos="6979"/>
              </w:tabs>
              <w:jc w:val="center"/>
            </w:pPr>
            <w:r w:rsidRPr="00416C4A">
              <w:t>(4)</w:t>
            </w:r>
          </w:p>
        </w:tc>
        <w:tc>
          <w:tcPr>
            <w:tcW w:w="1169" w:type="dxa"/>
            <w:tcBorders>
              <w:left w:val="single" w:sz="4" w:space="0" w:color="FFFFFF"/>
              <w:right w:val="single" w:sz="4" w:space="0" w:color="FFFFFF"/>
            </w:tcBorders>
            <w:vAlign w:val="center"/>
          </w:tcPr>
          <w:p w14:paraId="5431927D" w14:textId="3583D459" w:rsidR="00D43B59" w:rsidRPr="00416C4A" w:rsidRDefault="00D96DFB" w:rsidP="00B127F0">
            <w:pPr>
              <w:tabs>
                <w:tab w:val="left" w:pos="4412"/>
                <w:tab w:val="center" w:pos="6979"/>
              </w:tabs>
              <w:jc w:val="center"/>
            </w:pPr>
            <w:r w:rsidRPr="00416C4A">
              <w:t>(5)</w:t>
            </w:r>
          </w:p>
        </w:tc>
        <w:tc>
          <w:tcPr>
            <w:tcW w:w="1169" w:type="dxa"/>
            <w:tcBorders>
              <w:left w:val="single" w:sz="4" w:space="0" w:color="FFFFFF"/>
              <w:right w:val="single" w:sz="4" w:space="0" w:color="FFFFFF"/>
            </w:tcBorders>
            <w:vAlign w:val="center"/>
          </w:tcPr>
          <w:p w14:paraId="0CCDA5EC" w14:textId="003A040F" w:rsidR="00D43B59" w:rsidRPr="00416C4A" w:rsidRDefault="00D96DFB" w:rsidP="00B127F0">
            <w:pPr>
              <w:tabs>
                <w:tab w:val="left" w:pos="4412"/>
                <w:tab w:val="center" w:pos="6979"/>
              </w:tabs>
              <w:jc w:val="center"/>
            </w:pPr>
            <w:r w:rsidRPr="00416C4A">
              <w:t>(6)</w:t>
            </w:r>
          </w:p>
        </w:tc>
        <w:tc>
          <w:tcPr>
            <w:tcW w:w="1169" w:type="dxa"/>
            <w:tcBorders>
              <w:left w:val="single" w:sz="4" w:space="0" w:color="FFFFFF"/>
              <w:right w:val="single" w:sz="4" w:space="0" w:color="FFFFFF"/>
            </w:tcBorders>
            <w:vAlign w:val="center"/>
          </w:tcPr>
          <w:p w14:paraId="48630069" w14:textId="2C7B0207" w:rsidR="00D43B59" w:rsidRPr="00416C4A" w:rsidRDefault="00D96DFB" w:rsidP="00B127F0">
            <w:pPr>
              <w:tabs>
                <w:tab w:val="left" w:pos="4412"/>
                <w:tab w:val="center" w:pos="6979"/>
              </w:tabs>
              <w:jc w:val="center"/>
            </w:pPr>
            <w:r w:rsidRPr="00416C4A">
              <w:t>(7)</w:t>
            </w:r>
          </w:p>
        </w:tc>
        <w:tc>
          <w:tcPr>
            <w:tcW w:w="1169" w:type="dxa"/>
            <w:tcBorders>
              <w:left w:val="single" w:sz="4" w:space="0" w:color="FFFFFF"/>
              <w:right w:val="single" w:sz="4" w:space="0" w:color="FFFFFF"/>
            </w:tcBorders>
          </w:tcPr>
          <w:p w14:paraId="053FF1F7" w14:textId="77777777" w:rsidR="00D43B59" w:rsidRPr="00416C4A" w:rsidRDefault="00D43B59" w:rsidP="00B127F0">
            <w:pPr>
              <w:tabs>
                <w:tab w:val="left" w:pos="4412"/>
                <w:tab w:val="center" w:pos="6979"/>
              </w:tabs>
              <w:jc w:val="center"/>
            </w:pPr>
          </w:p>
          <w:p w14:paraId="60732E1A" w14:textId="7393B97D" w:rsidR="00D43B59" w:rsidRPr="00416C4A" w:rsidRDefault="00D96DFB" w:rsidP="00B127F0">
            <w:pPr>
              <w:tabs>
                <w:tab w:val="left" w:pos="4412"/>
                <w:tab w:val="center" w:pos="6979"/>
              </w:tabs>
              <w:jc w:val="center"/>
            </w:pPr>
            <w:r w:rsidRPr="00416C4A">
              <w:t>(8)</w:t>
            </w:r>
          </w:p>
        </w:tc>
        <w:tc>
          <w:tcPr>
            <w:tcW w:w="1169" w:type="dxa"/>
            <w:tcBorders>
              <w:left w:val="single" w:sz="4" w:space="0" w:color="FFFFFF"/>
              <w:right w:val="single" w:sz="4" w:space="0" w:color="FFFFFF"/>
            </w:tcBorders>
            <w:vAlign w:val="center"/>
          </w:tcPr>
          <w:p w14:paraId="1913A665" w14:textId="38126A38" w:rsidR="00D43B59" w:rsidRPr="00416C4A" w:rsidRDefault="00D96DFB" w:rsidP="00B127F0">
            <w:pPr>
              <w:tabs>
                <w:tab w:val="left" w:pos="4412"/>
                <w:tab w:val="center" w:pos="6979"/>
              </w:tabs>
              <w:jc w:val="center"/>
            </w:pPr>
            <w:r w:rsidRPr="00416C4A">
              <w:t>(9)</w:t>
            </w:r>
          </w:p>
        </w:tc>
      </w:tr>
      <w:tr w:rsidR="00416C4A" w:rsidRPr="00416C4A" w14:paraId="60DDB4A5" w14:textId="77777777" w:rsidTr="00D43B59">
        <w:trPr>
          <w:trHeight w:val="384"/>
        </w:trPr>
        <w:tc>
          <w:tcPr>
            <w:tcW w:w="2547" w:type="dxa"/>
            <w:tcBorders>
              <w:left w:val="single" w:sz="4" w:space="0" w:color="FFFFFF"/>
              <w:bottom w:val="single" w:sz="4" w:space="0" w:color="FFFFFF"/>
              <w:right w:val="single" w:sz="4" w:space="0" w:color="FFFFFF"/>
            </w:tcBorders>
          </w:tcPr>
          <w:p w14:paraId="61B8A5ED" w14:textId="2B85971A" w:rsidR="00D43B59" w:rsidRPr="00416C4A" w:rsidRDefault="00D96DFB" w:rsidP="00B127F0">
            <w:pPr>
              <w:tabs>
                <w:tab w:val="left" w:pos="4412"/>
                <w:tab w:val="center" w:pos="6979"/>
              </w:tabs>
            </w:pPr>
            <w:r w:rsidRPr="00416C4A">
              <w:t>(1) % Female</w:t>
            </w:r>
          </w:p>
        </w:tc>
        <w:tc>
          <w:tcPr>
            <w:tcW w:w="1169" w:type="dxa"/>
            <w:tcBorders>
              <w:left w:val="single" w:sz="4" w:space="0" w:color="FFFFFF"/>
              <w:bottom w:val="single" w:sz="4" w:space="0" w:color="FFFFFF"/>
              <w:right w:val="single" w:sz="4" w:space="0" w:color="FFFFFF"/>
            </w:tcBorders>
          </w:tcPr>
          <w:p w14:paraId="03C2633F" w14:textId="77777777" w:rsidR="00D43B59" w:rsidRPr="00416C4A" w:rsidRDefault="00D96DFB" w:rsidP="008A0BA9">
            <w:pPr>
              <w:tabs>
                <w:tab w:val="left" w:pos="4412"/>
                <w:tab w:val="center" w:pos="6979"/>
              </w:tabs>
              <w:jc w:val="center"/>
            </w:pPr>
            <w:r w:rsidRPr="00416C4A">
              <w:t>1</w:t>
            </w:r>
          </w:p>
        </w:tc>
        <w:tc>
          <w:tcPr>
            <w:tcW w:w="1169" w:type="dxa"/>
            <w:tcBorders>
              <w:left w:val="single" w:sz="4" w:space="0" w:color="FFFFFF"/>
              <w:bottom w:val="single" w:sz="4" w:space="0" w:color="FFFFFF"/>
              <w:right w:val="single" w:sz="4" w:space="0" w:color="FFFFFF"/>
            </w:tcBorders>
          </w:tcPr>
          <w:p w14:paraId="53661BD0" w14:textId="77777777" w:rsidR="00D43B59" w:rsidRPr="00416C4A" w:rsidRDefault="00D43B59" w:rsidP="008A0BA9">
            <w:pPr>
              <w:tabs>
                <w:tab w:val="left" w:pos="4412"/>
                <w:tab w:val="center" w:pos="6979"/>
              </w:tabs>
              <w:jc w:val="center"/>
            </w:pPr>
          </w:p>
        </w:tc>
        <w:tc>
          <w:tcPr>
            <w:tcW w:w="1169" w:type="dxa"/>
            <w:tcBorders>
              <w:left w:val="single" w:sz="4" w:space="0" w:color="FFFFFF"/>
              <w:bottom w:val="single" w:sz="4" w:space="0" w:color="FFFFFF"/>
              <w:right w:val="single" w:sz="4" w:space="0" w:color="FFFFFF"/>
            </w:tcBorders>
          </w:tcPr>
          <w:p w14:paraId="0F45CFAF" w14:textId="77777777" w:rsidR="00D43B59" w:rsidRPr="00416C4A" w:rsidRDefault="00D43B59" w:rsidP="008A0BA9">
            <w:pPr>
              <w:tabs>
                <w:tab w:val="left" w:pos="4412"/>
                <w:tab w:val="center" w:pos="6979"/>
              </w:tabs>
              <w:jc w:val="center"/>
            </w:pPr>
          </w:p>
        </w:tc>
        <w:tc>
          <w:tcPr>
            <w:tcW w:w="1169" w:type="dxa"/>
            <w:tcBorders>
              <w:left w:val="single" w:sz="4" w:space="0" w:color="FFFFFF"/>
              <w:bottom w:val="single" w:sz="4" w:space="0" w:color="FFFFFF"/>
              <w:right w:val="single" w:sz="4" w:space="0" w:color="FFFFFF"/>
            </w:tcBorders>
          </w:tcPr>
          <w:p w14:paraId="043D2D3E" w14:textId="77777777" w:rsidR="00D43B59" w:rsidRPr="00416C4A" w:rsidRDefault="00D43B59" w:rsidP="008A0BA9">
            <w:pPr>
              <w:tabs>
                <w:tab w:val="left" w:pos="4412"/>
                <w:tab w:val="center" w:pos="6979"/>
              </w:tabs>
              <w:jc w:val="center"/>
            </w:pPr>
          </w:p>
        </w:tc>
        <w:tc>
          <w:tcPr>
            <w:tcW w:w="1169" w:type="dxa"/>
            <w:tcBorders>
              <w:left w:val="single" w:sz="4" w:space="0" w:color="FFFFFF"/>
              <w:bottom w:val="single" w:sz="4" w:space="0" w:color="FFFFFF"/>
              <w:right w:val="single" w:sz="4" w:space="0" w:color="FFFFFF"/>
            </w:tcBorders>
          </w:tcPr>
          <w:p w14:paraId="39FD4DA2" w14:textId="77777777" w:rsidR="00D43B59" w:rsidRPr="00416C4A" w:rsidRDefault="00D43B59" w:rsidP="008A0BA9">
            <w:pPr>
              <w:tabs>
                <w:tab w:val="left" w:pos="4412"/>
                <w:tab w:val="center" w:pos="6979"/>
              </w:tabs>
              <w:jc w:val="center"/>
            </w:pPr>
          </w:p>
        </w:tc>
        <w:tc>
          <w:tcPr>
            <w:tcW w:w="1169" w:type="dxa"/>
            <w:tcBorders>
              <w:left w:val="single" w:sz="4" w:space="0" w:color="FFFFFF"/>
              <w:bottom w:val="single" w:sz="4" w:space="0" w:color="FFFFFF"/>
              <w:right w:val="single" w:sz="4" w:space="0" w:color="FFFFFF"/>
            </w:tcBorders>
          </w:tcPr>
          <w:p w14:paraId="45981CD6" w14:textId="77777777" w:rsidR="00D43B59" w:rsidRPr="00416C4A" w:rsidRDefault="00D43B59" w:rsidP="008A0BA9">
            <w:pPr>
              <w:tabs>
                <w:tab w:val="left" w:pos="4412"/>
                <w:tab w:val="center" w:pos="6979"/>
              </w:tabs>
              <w:jc w:val="center"/>
            </w:pPr>
          </w:p>
        </w:tc>
        <w:tc>
          <w:tcPr>
            <w:tcW w:w="1169" w:type="dxa"/>
            <w:tcBorders>
              <w:left w:val="single" w:sz="4" w:space="0" w:color="FFFFFF"/>
              <w:bottom w:val="single" w:sz="4" w:space="0" w:color="FFFFFF"/>
              <w:right w:val="single" w:sz="4" w:space="0" w:color="FFFFFF"/>
            </w:tcBorders>
          </w:tcPr>
          <w:p w14:paraId="7797278A" w14:textId="77777777" w:rsidR="00D43B59" w:rsidRPr="00416C4A" w:rsidRDefault="00D43B59" w:rsidP="008A0BA9">
            <w:pPr>
              <w:tabs>
                <w:tab w:val="left" w:pos="4412"/>
                <w:tab w:val="center" w:pos="6979"/>
              </w:tabs>
              <w:jc w:val="center"/>
            </w:pPr>
          </w:p>
        </w:tc>
        <w:tc>
          <w:tcPr>
            <w:tcW w:w="1169" w:type="dxa"/>
            <w:tcBorders>
              <w:left w:val="single" w:sz="4" w:space="0" w:color="FFFFFF"/>
              <w:bottom w:val="single" w:sz="4" w:space="0" w:color="FFFFFF"/>
              <w:right w:val="single" w:sz="4" w:space="0" w:color="FFFFFF"/>
            </w:tcBorders>
          </w:tcPr>
          <w:p w14:paraId="126C9147" w14:textId="77777777" w:rsidR="00D43B59" w:rsidRPr="00416C4A" w:rsidRDefault="00D43B59" w:rsidP="008A0BA9">
            <w:pPr>
              <w:tabs>
                <w:tab w:val="left" w:pos="4412"/>
                <w:tab w:val="center" w:pos="6979"/>
              </w:tabs>
              <w:jc w:val="center"/>
            </w:pPr>
          </w:p>
        </w:tc>
        <w:tc>
          <w:tcPr>
            <w:tcW w:w="1169" w:type="dxa"/>
            <w:tcBorders>
              <w:left w:val="single" w:sz="4" w:space="0" w:color="FFFFFF"/>
              <w:bottom w:val="single" w:sz="4" w:space="0" w:color="FFFFFF"/>
              <w:right w:val="single" w:sz="4" w:space="0" w:color="FFFFFF"/>
            </w:tcBorders>
          </w:tcPr>
          <w:p w14:paraId="7CD4C540" w14:textId="44412671" w:rsidR="00D43B59" w:rsidRPr="00416C4A" w:rsidRDefault="00D43B59" w:rsidP="008A0BA9">
            <w:pPr>
              <w:tabs>
                <w:tab w:val="left" w:pos="4412"/>
                <w:tab w:val="center" w:pos="6979"/>
              </w:tabs>
              <w:jc w:val="center"/>
            </w:pPr>
          </w:p>
        </w:tc>
      </w:tr>
      <w:tr w:rsidR="00416C4A" w:rsidRPr="00416C4A" w14:paraId="3B133B6E" w14:textId="77777777" w:rsidTr="00D43B59">
        <w:trPr>
          <w:trHeight w:val="384"/>
        </w:trPr>
        <w:tc>
          <w:tcPr>
            <w:tcW w:w="2547" w:type="dxa"/>
            <w:tcBorders>
              <w:top w:val="single" w:sz="4" w:space="0" w:color="FFFFFF"/>
              <w:left w:val="single" w:sz="4" w:space="0" w:color="FFFFFF"/>
              <w:bottom w:val="single" w:sz="4" w:space="0" w:color="FFFFFF"/>
              <w:right w:val="single" w:sz="4" w:space="0" w:color="FFFFFF"/>
            </w:tcBorders>
          </w:tcPr>
          <w:p w14:paraId="3467FDB3" w14:textId="3EF006EE" w:rsidR="00D43B59" w:rsidRPr="00416C4A" w:rsidRDefault="00D96DFB" w:rsidP="00B127F0">
            <w:pPr>
              <w:tabs>
                <w:tab w:val="left" w:pos="4412"/>
                <w:tab w:val="center" w:pos="6979"/>
              </w:tabs>
            </w:pPr>
            <w:r w:rsidRPr="00416C4A">
              <w:t>(2) %Executive Female</w:t>
            </w:r>
          </w:p>
        </w:tc>
        <w:tc>
          <w:tcPr>
            <w:tcW w:w="1169" w:type="dxa"/>
            <w:tcBorders>
              <w:top w:val="single" w:sz="4" w:space="0" w:color="FFFFFF"/>
              <w:left w:val="single" w:sz="4" w:space="0" w:color="FFFFFF"/>
              <w:bottom w:val="single" w:sz="4" w:space="0" w:color="FFFFFF"/>
              <w:right w:val="single" w:sz="4" w:space="0" w:color="FFFFFF"/>
            </w:tcBorders>
          </w:tcPr>
          <w:p w14:paraId="147C9B1D" w14:textId="2A97EC55" w:rsidR="00D43B59" w:rsidRPr="00416C4A" w:rsidRDefault="00D96DFB" w:rsidP="008A0BA9">
            <w:pPr>
              <w:tabs>
                <w:tab w:val="left" w:pos="4412"/>
                <w:tab w:val="center" w:pos="6979"/>
              </w:tabs>
              <w:jc w:val="center"/>
              <w:rPr>
                <w:b/>
                <w:bCs/>
              </w:rPr>
            </w:pPr>
            <w:r w:rsidRPr="00416C4A">
              <w:rPr>
                <w:b/>
                <w:bCs/>
              </w:rPr>
              <w:t>0.343</w:t>
            </w:r>
          </w:p>
        </w:tc>
        <w:tc>
          <w:tcPr>
            <w:tcW w:w="1169" w:type="dxa"/>
            <w:tcBorders>
              <w:top w:val="single" w:sz="4" w:space="0" w:color="FFFFFF"/>
              <w:left w:val="single" w:sz="4" w:space="0" w:color="FFFFFF"/>
              <w:bottom w:val="single" w:sz="4" w:space="0" w:color="FFFFFF"/>
              <w:right w:val="single" w:sz="4" w:space="0" w:color="FFFFFF"/>
            </w:tcBorders>
          </w:tcPr>
          <w:p w14:paraId="0B576E45" w14:textId="77777777" w:rsidR="00D43B59" w:rsidRPr="00416C4A" w:rsidRDefault="00D96DFB" w:rsidP="008A0BA9">
            <w:pPr>
              <w:tabs>
                <w:tab w:val="left" w:pos="4412"/>
                <w:tab w:val="center" w:pos="6979"/>
              </w:tabs>
              <w:jc w:val="center"/>
            </w:pPr>
            <w:r w:rsidRPr="00416C4A">
              <w:t>1</w:t>
            </w:r>
          </w:p>
        </w:tc>
        <w:tc>
          <w:tcPr>
            <w:tcW w:w="1169" w:type="dxa"/>
            <w:tcBorders>
              <w:top w:val="single" w:sz="4" w:space="0" w:color="FFFFFF"/>
              <w:left w:val="single" w:sz="4" w:space="0" w:color="FFFFFF"/>
              <w:bottom w:val="single" w:sz="4" w:space="0" w:color="FFFFFF"/>
              <w:right w:val="single" w:sz="4" w:space="0" w:color="FFFFFF"/>
            </w:tcBorders>
          </w:tcPr>
          <w:p w14:paraId="342E1287"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66898721"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4511DEC5"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599C06FA"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51C495BD"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0D96506B"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7DB1433B" w14:textId="5D2FCB47" w:rsidR="00D43B59" w:rsidRPr="00416C4A" w:rsidRDefault="00D43B59" w:rsidP="008A0BA9">
            <w:pPr>
              <w:tabs>
                <w:tab w:val="left" w:pos="4412"/>
                <w:tab w:val="center" w:pos="6979"/>
              </w:tabs>
              <w:jc w:val="center"/>
            </w:pPr>
          </w:p>
        </w:tc>
      </w:tr>
      <w:tr w:rsidR="00416C4A" w:rsidRPr="00416C4A" w14:paraId="7EEE0E2D" w14:textId="77777777" w:rsidTr="00D43B59">
        <w:trPr>
          <w:trHeight w:val="384"/>
        </w:trPr>
        <w:tc>
          <w:tcPr>
            <w:tcW w:w="2547" w:type="dxa"/>
            <w:tcBorders>
              <w:top w:val="single" w:sz="4" w:space="0" w:color="FFFFFF"/>
              <w:left w:val="single" w:sz="4" w:space="0" w:color="FFFFFF"/>
              <w:bottom w:val="single" w:sz="4" w:space="0" w:color="FFFFFF"/>
              <w:right w:val="single" w:sz="4" w:space="0" w:color="FFFFFF"/>
            </w:tcBorders>
          </w:tcPr>
          <w:p w14:paraId="6BDBB331" w14:textId="4135B860" w:rsidR="00D43B59" w:rsidRPr="00416C4A" w:rsidRDefault="00D96DFB" w:rsidP="00B127F0">
            <w:pPr>
              <w:tabs>
                <w:tab w:val="left" w:pos="4412"/>
                <w:tab w:val="center" w:pos="6979"/>
              </w:tabs>
            </w:pPr>
            <w:r w:rsidRPr="00416C4A">
              <w:t xml:space="preserve">(3) </w:t>
            </w:r>
            <w:proofErr w:type="spellStart"/>
            <w:r w:rsidRPr="00416C4A">
              <w:t>Female</w:t>
            </w:r>
            <w:r w:rsidR="00842159" w:rsidRPr="00416C4A">
              <w:t>_</w:t>
            </w:r>
            <w:r w:rsidRPr="00416C4A">
              <w:t>Chair</w:t>
            </w:r>
            <w:proofErr w:type="spellEnd"/>
          </w:p>
        </w:tc>
        <w:tc>
          <w:tcPr>
            <w:tcW w:w="1169" w:type="dxa"/>
            <w:tcBorders>
              <w:top w:val="single" w:sz="4" w:space="0" w:color="FFFFFF"/>
              <w:left w:val="single" w:sz="4" w:space="0" w:color="FFFFFF"/>
              <w:bottom w:val="single" w:sz="4" w:space="0" w:color="FFFFFF"/>
              <w:right w:val="single" w:sz="4" w:space="0" w:color="FFFFFF"/>
            </w:tcBorders>
          </w:tcPr>
          <w:p w14:paraId="66763C89" w14:textId="53899968" w:rsidR="00D43B59" w:rsidRPr="00416C4A" w:rsidRDefault="00D96DFB" w:rsidP="008A0BA9">
            <w:pPr>
              <w:tabs>
                <w:tab w:val="left" w:pos="4412"/>
                <w:tab w:val="center" w:pos="6979"/>
              </w:tabs>
              <w:jc w:val="center"/>
              <w:rPr>
                <w:b/>
                <w:bCs/>
              </w:rPr>
            </w:pPr>
            <w:r w:rsidRPr="00416C4A">
              <w:rPr>
                <w:b/>
                <w:bCs/>
              </w:rPr>
              <w:t>0.</w:t>
            </w:r>
            <w:r w:rsidR="004E62EC" w:rsidRPr="00416C4A">
              <w:rPr>
                <w:b/>
                <w:bCs/>
              </w:rPr>
              <w:t>210</w:t>
            </w:r>
          </w:p>
        </w:tc>
        <w:tc>
          <w:tcPr>
            <w:tcW w:w="1169" w:type="dxa"/>
            <w:tcBorders>
              <w:top w:val="single" w:sz="4" w:space="0" w:color="FFFFFF"/>
              <w:left w:val="single" w:sz="4" w:space="0" w:color="FFFFFF"/>
              <w:bottom w:val="single" w:sz="4" w:space="0" w:color="FFFFFF"/>
              <w:right w:val="single" w:sz="4" w:space="0" w:color="FFFFFF"/>
            </w:tcBorders>
          </w:tcPr>
          <w:p w14:paraId="60FD3699" w14:textId="3E56B234" w:rsidR="00D43B59" w:rsidRPr="00416C4A" w:rsidRDefault="00D96DFB" w:rsidP="008A0BA9">
            <w:pPr>
              <w:tabs>
                <w:tab w:val="left" w:pos="4412"/>
                <w:tab w:val="center" w:pos="6979"/>
              </w:tabs>
              <w:jc w:val="center"/>
            </w:pPr>
            <w:r w:rsidRPr="00416C4A">
              <w:t>0.0</w:t>
            </w:r>
            <w:r w:rsidR="006929EC" w:rsidRPr="00416C4A">
              <w:t>23</w:t>
            </w:r>
          </w:p>
        </w:tc>
        <w:tc>
          <w:tcPr>
            <w:tcW w:w="1169" w:type="dxa"/>
            <w:tcBorders>
              <w:top w:val="single" w:sz="4" w:space="0" w:color="FFFFFF"/>
              <w:left w:val="single" w:sz="4" w:space="0" w:color="FFFFFF"/>
              <w:bottom w:val="single" w:sz="4" w:space="0" w:color="FFFFFF"/>
              <w:right w:val="single" w:sz="4" w:space="0" w:color="FFFFFF"/>
            </w:tcBorders>
          </w:tcPr>
          <w:p w14:paraId="6D247BD2" w14:textId="77777777" w:rsidR="00D43B59" w:rsidRPr="00416C4A" w:rsidRDefault="00D96DFB" w:rsidP="008A0BA9">
            <w:pPr>
              <w:tabs>
                <w:tab w:val="left" w:pos="4412"/>
                <w:tab w:val="center" w:pos="6979"/>
              </w:tabs>
              <w:jc w:val="center"/>
            </w:pPr>
            <w:r w:rsidRPr="00416C4A">
              <w:t>1</w:t>
            </w:r>
          </w:p>
        </w:tc>
        <w:tc>
          <w:tcPr>
            <w:tcW w:w="1169" w:type="dxa"/>
            <w:tcBorders>
              <w:top w:val="single" w:sz="4" w:space="0" w:color="FFFFFF"/>
              <w:left w:val="single" w:sz="4" w:space="0" w:color="FFFFFF"/>
              <w:bottom w:val="single" w:sz="4" w:space="0" w:color="FFFFFF"/>
              <w:right w:val="single" w:sz="4" w:space="0" w:color="FFFFFF"/>
            </w:tcBorders>
          </w:tcPr>
          <w:p w14:paraId="2BAF2B3D"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7A1A980D"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69482335"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0F7B8518"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157F1660"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10AD9F39" w14:textId="71B3B04B" w:rsidR="00D43B59" w:rsidRPr="00416C4A" w:rsidRDefault="00D43B59" w:rsidP="008A0BA9">
            <w:pPr>
              <w:tabs>
                <w:tab w:val="left" w:pos="4412"/>
                <w:tab w:val="center" w:pos="6979"/>
              </w:tabs>
              <w:jc w:val="center"/>
            </w:pPr>
          </w:p>
        </w:tc>
      </w:tr>
      <w:tr w:rsidR="00416C4A" w:rsidRPr="00416C4A" w14:paraId="11D3E82E" w14:textId="77777777" w:rsidTr="00D43B59">
        <w:trPr>
          <w:trHeight w:val="384"/>
        </w:trPr>
        <w:tc>
          <w:tcPr>
            <w:tcW w:w="2547" w:type="dxa"/>
            <w:tcBorders>
              <w:top w:val="single" w:sz="4" w:space="0" w:color="FFFFFF"/>
              <w:left w:val="single" w:sz="4" w:space="0" w:color="FFFFFF"/>
              <w:bottom w:val="single" w:sz="4" w:space="0" w:color="FFFFFF"/>
              <w:right w:val="single" w:sz="4" w:space="0" w:color="FFFFFF"/>
            </w:tcBorders>
          </w:tcPr>
          <w:p w14:paraId="0DA2D30E" w14:textId="22A725E8" w:rsidR="00D43B59" w:rsidRPr="00416C4A" w:rsidRDefault="00D96DFB" w:rsidP="00B127F0">
            <w:pPr>
              <w:tabs>
                <w:tab w:val="left" w:pos="4412"/>
                <w:tab w:val="center" w:pos="6979"/>
              </w:tabs>
            </w:pPr>
            <w:r w:rsidRPr="00416C4A">
              <w:t xml:space="preserve">(4) </w:t>
            </w:r>
            <w:proofErr w:type="spellStart"/>
            <w:r w:rsidRPr="00416C4A">
              <w:t>Female</w:t>
            </w:r>
            <w:r w:rsidR="00842159" w:rsidRPr="00416C4A">
              <w:t>_</w:t>
            </w:r>
            <w:r w:rsidRPr="00416C4A">
              <w:t>CEO</w:t>
            </w:r>
            <w:proofErr w:type="spellEnd"/>
          </w:p>
        </w:tc>
        <w:tc>
          <w:tcPr>
            <w:tcW w:w="1169" w:type="dxa"/>
            <w:tcBorders>
              <w:top w:val="single" w:sz="4" w:space="0" w:color="FFFFFF"/>
              <w:left w:val="single" w:sz="4" w:space="0" w:color="FFFFFF"/>
              <w:bottom w:val="single" w:sz="4" w:space="0" w:color="FFFFFF"/>
              <w:right w:val="single" w:sz="4" w:space="0" w:color="FFFFFF"/>
            </w:tcBorders>
          </w:tcPr>
          <w:p w14:paraId="3A87798E" w14:textId="782EDE4A" w:rsidR="00D43B59" w:rsidRPr="00416C4A" w:rsidRDefault="00D96DFB" w:rsidP="008A0BA9">
            <w:pPr>
              <w:tabs>
                <w:tab w:val="left" w:pos="4412"/>
                <w:tab w:val="center" w:pos="6979"/>
              </w:tabs>
              <w:jc w:val="center"/>
              <w:rPr>
                <w:b/>
                <w:bCs/>
              </w:rPr>
            </w:pPr>
            <w:r w:rsidRPr="00416C4A">
              <w:rPr>
                <w:b/>
                <w:bCs/>
              </w:rPr>
              <w:t>0.</w:t>
            </w:r>
            <w:r w:rsidR="006929EC" w:rsidRPr="00416C4A">
              <w:rPr>
                <w:b/>
                <w:bCs/>
              </w:rPr>
              <w:t>203</w:t>
            </w:r>
          </w:p>
        </w:tc>
        <w:tc>
          <w:tcPr>
            <w:tcW w:w="1169" w:type="dxa"/>
            <w:tcBorders>
              <w:top w:val="single" w:sz="4" w:space="0" w:color="FFFFFF"/>
              <w:left w:val="single" w:sz="4" w:space="0" w:color="FFFFFF"/>
              <w:bottom w:val="single" w:sz="4" w:space="0" w:color="FFFFFF"/>
              <w:right w:val="single" w:sz="4" w:space="0" w:color="FFFFFF"/>
            </w:tcBorders>
          </w:tcPr>
          <w:p w14:paraId="7A4F22A3" w14:textId="1CF17A4B" w:rsidR="00D43B59" w:rsidRPr="00416C4A" w:rsidRDefault="00D96DFB" w:rsidP="008A0BA9">
            <w:pPr>
              <w:tabs>
                <w:tab w:val="left" w:pos="4412"/>
                <w:tab w:val="center" w:pos="6979"/>
              </w:tabs>
              <w:jc w:val="center"/>
              <w:rPr>
                <w:b/>
                <w:bCs/>
              </w:rPr>
            </w:pPr>
            <w:r w:rsidRPr="00416C4A">
              <w:rPr>
                <w:b/>
                <w:bCs/>
              </w:rPr>
              <w:t>0.</w:t>
            </w:r>
            <w:r w:rsidR="00B057F1" w:rsidRPr="00416C4A">
              <w:rPr>
                <w:b/>
                <w:bCs/>
              </w:rPr>
              <w:t>447</w:t>
            </w:r>
          </w:p>
        </w:tc>
        <w:tc>
          <w:tcPr>
            <w:tcW w:w="1169" w:type="dxa"/>
            <w:tcBorders>
              <w:top w:val="single" w:sz="4" w:space="0" w:color="FFFFFF"/>
              <w:left w:val="single" w:sz="4" w:space="0" w:color="FFFFFF"/>
              <w:bottom w:val="single" w:sz="4" w:space="0" w:color="FFFFFF"/>
              <w:right w:val="single" w:sz="4" w:space="0" w:color="FFFFFF"/>
            </w:tcBorders>
          </w:tcPr>
          <w:p w14:paraId="48F0B030" w14:textId="6BE70091" w:rsidR="00D43B59" w:rsidRPr="00416C4A" w:rsidRDefault="00D96DFB" w:rsidP="008A0BA9">
            <w:pPr>
              <w:tabs>
                <w:tab w:val="left" w:pos="4412"/>
                <w:tab w:val="center" w:pos="6979"/>
              </w:tabs>
              <w:jc w:val="center"/>
            </w:pPr>
            <w:r w:rsidRPr="00416C4A">
              <w:t>0.</w:t>
            </w:r>
            <w:r w:rsidR="00B057F1" w:rsidRPr="00416C4A">
              <w:t>055</w:t>
            </w:r>
          </w:p>
        </w:tc>
        <w:tc>
          <w:tcPr>
            <w:tcW w:w="1169" w:type="dxa"/>
            <w:tcBorders>
              <w:top w:val="single" w:sz="4" w:space="0" w:color="FFFFFF"/>
              <w:left w:val="single" w:sz="4" w:space="0" w:color="FFFFFF"/>
              <w:bottom w:val="single" w:sz="4" w:space="0" w:color="FFFFFF"/>
              <w:right w:val="single" w:sz="4" w:space="0" w:color="FFFFFF"/>
            </w:tcBorders>
          </w:tcPr>
          <w:p w14:paraId="54A40DB5" w14:textId="77777777" w:rsidR="00D43B59" w:rsidRPr="00416C4A" w:rsidRDefault="00D96DFB" w:rsidP="008A0BA9">
            <w:pPr>
              <w:tabs>
                <w:tab w:val="left" w:pos="4412"/>
                <w:tab w:val="center" w:pos="6979"/>
              </w:tabs>
              <w:jc w:val="center"/>
            </w:pPr>
            <w:r w:rsidRPr="00416C4A">
              <w:t>1</w:t>
            </w:r>
          </w:p>
        </w:tc>
        <w:tc>
          <w:tcPr>
            <w:tcW w:w="1169" w:type="dxa"/>
            <w:tcBorders>
              <w:top w:val="single" w:sz="4" w:space="0" w:color="FFFFFF"/>
              <w:left w:val="single" w:sz="4" w:space="0" w:color="FFFFFF"/>
              <w:bottom w:val="single" w:sz="4" w:space="0" w:color="FFFFFF"/>
              <w:right w:val="single" w:sz="4" w:space="0" w:color="FFFFFF"/>
            </w:tcBorders>
          </w:tcPr>
          <w:p w14:paraId="34AEC4A7"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2FBB03B9"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348AADDE"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121AE124"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473CF96F" w14:textId="6D69E248" w:rsidR="00D43B59" w:rsidRPr="00416C4A" w:rsidRDefault="00D43B59" w:rsidP="008A0BA9">
            <w:pPr>
              <w:tabs>
                <w:tab w:val="left" w:pos="4412"/>
                <w:tab w:val="center" w:pos="6979"/>
              </w:tabs>
              <w:jc w:val="center"/>
            </w:pPr>
          </w:p>
        </w:tc>
      </w:tr>
      <w:tr w:rsidR="00416C4A" w:rsidRPr="00416C4A" w14:paraId="48F71D5F" w14:textId="77777777" w:rsidTr="00D43B59">
        <w:trPr>
          <w:trHeight w:val="384"/>
        </w:trPr>
        <w:tc>
          <w:tcPr>
            <w:tcW w:w="2547" w:type="dxa"/>
            <w:tcBorders>
              <w:top w:val="single" w:sz="4" w:space="0" w:color="FFFFFF"/>
              <w:left w:val="single" w:sz="4" w:space="0" w:color="FFFFFF"/>
              <w:bottom w:val="single" w:sz="4" w:space="0" w:color="FFFFFF"/>
              <w:right w:val="single" w:sz="4" w:space="0" w:color="FFFFFF"/>
            </w:tcBorders>
          </w:tcPr>
          <w:p w14:paraId="097EDE51" w14:textId="45EF78ED" w:rsidR="00D43B59" w:rsidRPr="00416C4A" w:rsidRDefault="00D96DFB" w:rsidP="00B127F0">
            <w:pPr>
              <w:tabs>
                <w:tab w:val="left" w:pos="4412"/>
                <w:tab w:val="center" w:pos="6979"/>
              </w:tabs>
            </w:pPr>
            <w:r w:rsidRPr="00416C4A">
              <w:t>(5) ROA</w:t>
            </w:r>
          </w:p>
        </w:tc>
        <w:tc>
          <w:tcPr>
            <w:tcW w:w="1169" w:type="dxa"/>
            <w:tcBorders>
              <w:top w:val="single" w:sz="4" w:space="0" w:color="FFFFFF"/>
              <w:left w:val="single" w:sz="4" w:space="0" w:color="FFFFFF"/>
              <w:bottom w:val="single" w:sz="4" w:space="0" w:color="FFFFFF"/>
              <w:right w:val="single" w:sz="4" w:space="0" w:color="FFFFFF"/>
            </w:tcBorders>
          </w:tcPr>
          <w:p w14:paraId="63238657" w14:textId="1F9BA9D3" w:rsidR="00D43B59" w:rsidRPr="00416C4A" w:rsidRDefault="00D96DFB" w:rsidP="008A0BA9">
            <w:pPr>
              <w:tabs>
                <w:tab w:val="left" w:pos="4412"/>
                <w:tab w:val="center" w:pos="6979"/>
              </w:tabs>
              <w:jc w:val="center"/>
              <w:rPr>
                <w:b/>
                <w:bCs/>
              </w:rPr>
            </w:pPr>
            <w:r w:rsidRPr="00416C4A">
              <w:rPr>
                <w:b/>
                <w:bCs/>
              </w:rPr>
              <w:t>0.</w:t>
            </w:r>
            <w:r w:rsidR="00682147" w:rsidRPr="00416C4A">
              <w:rPr>
                <w:b/>
                <w:bCs/>
              </w:rPr>
              <w:t>124</w:t>
            </w:r>
          </w:p>
        </w:tc>
        <w:tc>
          <w:tcPr>
            <w:tcW w:w="1169" w:type="dxa"/>
            <w:tcBorders>
              <w:top w:val="single" w:sz="4" w:space="0" w:color="FFFFFF"/>
              <w:left w:val="single" w:sz="4" w:space="0" w:color="FFFFFF"/>
              <w:bottom w:val="single" w:sz="4" w:space="0" w:color="FFFFFF"/>
              <w:right w:val="single" w:sz="4" w:space="0" w:color="FFFFFF"/>
            </w:tcBorders>
          </w:tcPr>
          <w:p w14:paraId="64E5AB4B" w14:textId="0CE6DA8C" w:rsidR="00D43B59" w:rsidRPr="00416C4A" w:rsidRDefault="00D96DFB" w:rsidP="008A0BA9">
            <w:pPr>
              <w:tabs>
                <w:tab w:val="left" w:pos="4412"/>
                <w:tab w:val="center" w:pos="6979"/>
              </w:tabs>
              <w:jc w:val="center"/>
              <w:rPr>
                <w:b/>
                <w:bCs/>
              </w:rPr>
            </w:pPr>
            <w:r w:rsidRPr="00416C4A">
              <w:rPr>
                <w:b/>
                <w:bCs/>
              </w:rPr>
              <w:t>0.</w:t>
            </w:r>
            <w:r w:rsidR="00682147" w:rsidRPr="00416C4A">
              <w:rPr>
                <w:b/>
                <w:bCs/>
              </w:rPr>
              <w:t>1</w:t>
            </w:r>
            <w:r w:rsidRPr="00416C4A">
              <w:rPr>
                <w:b/>
                <w:bCs/>
              </w:rPr>
              <w:t>4</w:t>
            </w:r>
            <w:r w:rsidR="00682147" w:rsidRPr="00416C4A">
              <w:rPr>
                <w:b/>
                <w:bCs/>
              </w:rPr>
              <w:t>5</w:t>
            </w:r>
          </w:p>
        </w:tc>
        <w:tc>
          <w:tcPr>
            <w:tcW w:w="1169" w:type="dxa"/>
            <w:tcBorders>
              <w:top w:val="single" w:sz="4" w:space="0" w:color="FFFFFF"/>
              <w:left w:val="single" w:sz="4" w:space="0" w:color="FFFFFF"/>
              <w:bottom w:val="single" w:sz="4" w:space="0" w:color="FFFFFF"/>
              <w:right w:val="single" w:sz="4" w:space="0" w:color="FFFFFF"/>
            </w:tcBorders>
          </w:tcPr>
          <w:p w14:paraId="59E94778" w14:textId="68D7E307" w:rsidR="00D43B59" w:rsidRPr="00416C4A" w:rsidRDefault="00D96DFB" w:rsidP="008A0BA9">
            <w:pPr>
              <w:tabs>
                <w:tab w:val="left" w:pos="4412"/>
                <w:tab w:val="center" w:pos="6979"/>
              </w:tabs>
              <w:jc w:val="center"/>
            </w:pPr>
            <w:r w:rsidRPr="00416C4A">
              <w:t>0.0</w:t>
            </w:r>
            <w:r w:rsidR="00682147" w:rsidRPr="00416C4A">
              <w:t>32</w:t>
            </w:r>
          </w:p>
        </w:tc>
        <w:tc>
          <w:tcPr>
            <w:tcW w:w="1169" w:type="dxa"/>
            <w:tcBorders>
              <w:top w:val="single" w:sz="4" w:space="0" w:color="FFFFFF"/>
              <w:left w:val="single" w:sz="4" w:space="0" w:color="FFFFFF"/>
              <w:bottom w:val="single" w:sz="4" w:space="0" w:color="FFFFFF"/>
              <w:right w:val="single" w:sz="4" w:space="0" w:color="FFFFFF"/>
            </w:tcBorders>
          </w:tcPr>
          <w:p w14:paraId="65679DA9" w14:textId="1297B0EE" w:rsidR="00D43B59" w:rsidRPr="00416C4A" w:rsidRDefault="00D96DFB" w:rsidP="008A0BA9">
            <w:pPr>
              <w:tabs>
                <w:tab w:val="left" w:pos="4412"/>
                <w:tab w:val="center" w:pos="6979"/>
              </w:tabs>
              <w:jc w:val="center"/>
            </w:pPr>
            <w:r w:rsidRPr="00416C4A">
              <w:t>-0.03</w:t>
            </w:r>
            <w:r w:rsidR="00682147" w:rsidRPr="00416C4A">
              <w:t>2</w:t>
            </w:r>
          </w:p>
        </w:tc>
        <w:tc>
          <w:tcPr>
            <w:tcW w:w="1169" w:type="dxa"/>
            <w:tcBorders>
              <w:top w:val="single" w:sz="4" w:space="0" w:color="FFFFFF"/>
              <w:left w:val="single" w:sz="4" w:space="0" w:color="FFFFFF"/>
              <w:bottom w:val="single" w:sz="4" w:space="0" w:color="FFFFFF"/>
              <w:right w:val="single" w:sz="4" w:space="0" w:color="FFFFFF"/>
            </w:tcBorders>
          </w:tcPr>
          <w:p w14:paraId="531838C8" w14:textId="77777777" w:rsidR="00D43B59" w:rsidRPr="00416C4A" w:rsidRDefault="00D96DFB" w:rsidP="008A0BA9">
            <w:pPr>
              <w:tabs>
                <w:tab w:val="left" w:pos="4412"/>
                <w:tab w:val="center" w:pos="6979"/>
              </w:tabs>
              <w:jc w:val="center"/>
            </w:pPr>
            <w:r w:rsidRPr="00416C4A">
              <w:t>1</w:t>
            </w:r>
          </w:p>
        </w:tc>
        <w:tc>
          <w:tcPr>
            <w:tcW w:w="1169" w:type="dxa"/>
            <w:tcBorders>
              <w:top w:val="single" w:sz="4" w:space="0" w:color="FFFFFF"/>
              <w:left w:val="single" w:sz="4" w:space="0" w:color="FFFFFF"/>
              <w:bottom w:val="single" w:sz="4" w:space="0" w:color="FFFFFF"/>
              <w:right w:val="single" w:sz="4" w:space="0" w:color="FFFFFF"/>
            </w:tcBorders>
          </w:tcPr>
          <w:p w14:paraId="63472912"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3BFF7E44"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76A594F0"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539BD1AA" w14:textId="2D1E18AE" w:rsidR="00D43B59" w:rsidRPr="00416C4A" w:rsidRDefault="00D43B59" w:rsidP="008A0BA9">
            <w:pPr>
              <w:tabs>
                <w:tab w:val="left" w:pos="4412"/>
                <w:tab w:val="center" w:pos="6979"/>
              </w:tabs>
              <w:jc w:val="center"/>
            </w:pPr>
          </w:p>
        </w:tc>
      </w:tr>
      <w:tr w:rsidR="00416C4A" w:rsidRPr="00416C4A" w14:paraId="27694443" w14:textId="77777777" w:rsidTr="00D43B59">
        <w:trPr>
          <w:trHeight w:val="384"/>
        </w:trPr>
        <w:tc>
          <w:tcPr>
            <w:tcW w:w="2547" w:type="dxa"/>
            <w:tcBorders>
              <w:top w:val="single" w:sz="4" w:space="0" w:color="FFFFFF"/>
              <w:left w:val="single" w:sz="4" w:space="0" w:color="FFFFFF"/>
              <w:bottom w:val="single" w:sz="4" w:space="0" w:color="FFFFFF"/>
              <w:right w:val="single" w:sz="4" w:space="0" w:color="FFFFFF"/>
            </w:tcBorders>
          </w:tcPr>
          <w:p w14:paraId="4B2E995B" w14:textId="0886CC97" w:rsidR="00D43B59" w:rsidRPr="00416C4A" w:rsidRDefault="00D96DFB" w:rsidP="00B127F0">
            <w:pPr>
              <w:tabs>
                <w:tab w:val="left" w:pos="4412"/>
                <w:tab w:val="center" w:pos="6979"/>
              </w:tabs>
            </w:pPr>
            <w:r w:rsidRPr="00416C4A">
              <w:t>(6) Tobin’s Q</w:t>
            </w:r>
          </w:p>
        </w:tc>
        <w:tc>
          <w:tcPr>
            <w:tcW w:w="1169" w:type="dxa"/>
            <w:tcBorders>
              <w:top w:val="single" w:sz="4" w:space="0" w:color="FFFFFF"/>
              <w:left w:val="single" w:sz="4" w:space="0" w:color="FFFFFF"/>
              <w:bottom w:val="single" w:sz="4" w:space="0" w:color="FFFFFF"/>
              <w:right w:val="single" w:sz="4" w:space="0" w:color="FFFFFF"/>
            </w:tcBorders>
          </w:tcPr>
          <w:p w14:paraId="55BE1BB6" w14:textId="41569B7A" w:rsidR="00D43B59" w:rsidRPr="00416C4A" w:rsidRDefault="00D96DFB" w:rsidP="008A0BA9">
            <w:pPr>
              <w:tabs>
                <w:tab w:val="left" w:pos="4412"/>
                <w:tab w:val="center" w:pos="6979"/>
              </w:tabs>
              <w:jc w:val="center"/>
              <w:rPr>
                <w:b/>
                <w:bCs/>
              </w:rPr>
            </w:pPr>
            <w:r w:rsidRPr="00416C4A">
              <w:rPr>
                <w:b/>
                <w:bCs/>
              </w:rPr>
              <w:t>0.1</w:t>
            </w:r>
            <w:r w:rsidR="00FF199A" w:rsidRPr="00416C4A">
              <w:rPr>
                <w:b/>
                <w:bCs/>
              </w:rPr>
              <w:t>81</w:t>
            </w:r>
          </w:p>
        </w:tc>
        <w:tc>
          <w:tcPr>
            <w:tcW w:w="1169" w:type="dxa"/>
            <w:tcBorders>
              <w:top w:val="single" w:sz="4" w:space="0" w:color="FFFFFF"/>
              <w:left w:val="single" w:sz="4" w:space="0" w:color="FFFFFF"/>
              <w:bottom w:val="single" w:sz="4" w:space="0" w:color="FFFFFF"/>
              <w:right w:val="single" w:sz="4" w:space="0" w:color="FFFFFF"/>
            </w:tcBorders>
          </w:tcPr>
          <w:p w14:paraId="793A0548" w14:textId="38969ADC" w:rsidR="00D43B59" w:rsidRPr="00416C4A" w:rsidRDefault="00D96DFB" w:rsidP="008A0BA9">
            <w:pPr>
              <w:tabs>
                <w:tab w:val="left" w:pos="4412"/>
                <w:tab w:val="center" w:pos="6979"/>
              </w:tabs>
              <w:jc w:val="center"/>
              <w:rPr>
                <w:b/>
                <w:bCs/>
              </w:rPr>
            </w:pPr>
            <w:r w:rsidRPr="00416C4A">
              <w:rPr>
                <w:b/>
                <w:bCs/>
              </w:rPr>
              <w:t>0.</w:t>
            </w:r>
            <w:r w:rsidR="00FF199A" w:rsidRPr="00416C4A">
              <w:rPr>
                <w:b/>
                <w:bCs/>
              </w:rPr>
              <w:t>098</w:t>
            </w:r>
          </w:p>
        </w:tc>
        <w:tc>
          <w:tcPr>
            <w:tcW w:w="1169" w:type="dxa"/>
            <w:tcBorders>
              <w:top w:val="single" w:sz="4" w:space="0" w:color="FFFFFF"/>
              <w:left w:val="single" w:sz="4" w:space="0" w:color="FFFFFF"/>
              <w:bottom w:val="single" w:sz="4" w:space="0" w:color="FFFFFF"/>
              <w:right w:val="single" w:sz="4" w:space="0" w:color="FFFFFF"/>
            </w:tcBorders>
          </w:tcPr>
          <w:p w14:paraId="41E99823" w14:textId="460D8432" w:rsidR="00D43B59" w:rsidRPr="00416C4A" w:rsidRDefault="00D96DFB" w:rsidP="008A0BA9">
            <w:pPr>
              <w:tabs>
                <w:tab w:val="left" w:pos="4412"/>
                <w:tab w:val="center" w:pos="6979"/>
              </w:tabs>
              <w:jc w:val="center"/>
            </w:pPr>
            <w:r w:rsidRPr="00416C4A">
              <w:t>-0.</w:t>
            </w:r>
            <w:r w:rsidR="00FF199A" w:rsidRPr="00416C4A">
              <w:t>01</w:t>
            </w:r>
            <w:r w:rsidR="00B7102C" w:rsidRPr="00416C4A">
              <w:t>3</w:t>
            </w:r>
          </w:p>
        </w:tc>
        <w:tc>
          <w:tcPr>
            <w:tcW w:w="1169" w:type="dxa"/>
            <w:tcBorders>
              <w:top w:val="single" w:sz="4" w:space="0" w:color="FFFFFF"/>
              <w:left w:val="single" w:sz="4" w:space="0" w:color="FFFFFF"/>
              <w:bottom w:val="single" w:sz="4" w:space="0" w:color="FFFFFF"/>
              <w:right w:val="single" w:sz="4" w:space="0" w:color="FFFFFF"/>
            </w:tcBorders>
          </w:tcPr>
          <w:p w14:paraId="397E4FA8" w14:textId="49D71421" w:rsidR="00D43B59" w:rsidRPr="00416C4A" w:rsidRDefault="00D96DFB" w:rsidP="008A0BA9">
            <w:pPr>
              <w:tabs>
                <w:tab w:val="left" w:pos="4412"/>
                <w:tab w:val="center" w:pos="6979"/>
              </w:tabs>
              <w:jc w:val="center"/>
            </w:pPr>
            <w:r w:rsidRPr="00416C4A">
              <w:t>-0.046</w:t>
            </w:r>
          </w:p>
        </w:tc>
        <w:tc>
          <w:tcPr>
            <w:tcW w:w="1169" w:type="dxa"/>
            <w:tcBorders>
              <w:top w:val="single" w:sz="4" w:space="0" w:color="FFFFFF"/>
              <w:left w:val="single" w:sz="4" w:space="0" w:color="FFFFFF"/>
              <w:bottom w:val="single" w:sz="4" w:space="0" w:color="FFFFFF"/>
              <w:right w:val="single" w:sz="4" w:space="0" w:color="FFFFFF"/>
            </w:tcBorders>
          </w:tcPr>
          <w:p w14:paraId="3DC2AACF" w14:textId="4C231B27" w:rsidR="00D43B59" w:rsidRPr="00416C4A" w:rsidRDefault="00D96DFB" w:rsidP="008A0BA9">
            <w:pPr>
              <w:tabs>
                <w:tab w:val="left" w:pos="4412"/>
                <w:tab w:val="center" w:pos="6979"/>
              </w:tabs>
              <w:jc w:val="center"/>
              <w:rPr>
                <w:b/>
                <w:bCs/>
              </w:rPr>
            </w:pPr>
            <w:r w:rsidRPr="00416C4A">
              <w:rPr>
                <w:b/>
                <w:bCs/>
              </w:rPr>
              <w:t>0.</w:t>
            </w:r>
            <w:r w:rsidR="00B7102C" w:rsidRPr="00416C4A">
              <w:rPr>
                <w:b/>
                <w:bCs/>
              </w:rPr>
              <w:t>762</w:t>
            </w:r>
          </w:p>
        </w:tc>
        <w:tc>
          <w:tcPr>
            <w:tcW w:w="1169" w:type="dxa"/>
            <w:tcBorders>
              <w:top w:val="single" w:sz="4" w:space="0" w:color="FFFFFF"/>
              <w:left w:val="single" w:sz="4" w:space="0" w:color="FFFFFF"/>
              <w:bottom w:val="single" w:sz="4" w:space="0" w:color="FFFFFF"/>
              <w:right w:val="single" w:sz="4" w:space="0" w:color="FFFFFF"/>
            </w:tcBorders>
          </w:tcPr>
          <w:p w14:paraId="701FABAD" w14:textId="77777777" w:rsidR="00D43B59" w:rsidRPr="00416C4A" w:rsidRDefault="00D96DFB" w:rsidP="008A0BA9">
            <w:pPr>
              <w:tabs>
                <w:tab w:val="left" w:pos="4412"/>
                <w:tab w:val="center" w:pos="6979"/>
              </w:tabs>
              <w:jc w:val="center"/>
            </w:pPr>
            <w:r w:rsidRPr="00416C4A">
              <w:t>1</w:t>
            </w:r>
          </w:p>
        </w:tc>
        <w:tc>
          <w:tcPr>
            <w:tcW w:w="1169" w:type="dxa"/>
            <w:tcBorders>
              <w:top w:val="single" w:sz="4" w:space="0" w:color="FFFFFF"/>
              <w:left w:val="single" w:sz="4" w:space="0" w:color="FFFFFF"/>
              <w:bottom w:val="single" w:sz="4" w:space="0" w:color="FFFFFF"/>
              <w:right w:val="single" w:sz="4" w:space="0" w:color="FFFFFF"/>
            </w:tcBorders>
          </w:tcPr>
          <w:p w14:paraId="0A09FBF2"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6049D2DE"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3C131C33" w14:textId="70FE2121" w:rsidR="00D43B59" w:rsidRPr="00416C4A" w:rsidRDefault="00D43B59" w:rsidP="008A0BA9">
            <w:pPr>
              <w:tabs>
                <w:tab w:val="left" w:pos="4412"/>
                <w:tab w:val="center" w:pos="6979"/>
              </w:tabs>
              <w:jc w:val="center"/>
            </w:pPr>
          </w:p>
        </w:tc>
      </w:tr>
      <w:tr w:rsidR="00416C4A" w:rsidRPr="00416C4A" w14:paraId="512812B8" w14:textId="77777777" w:rsidTr="00D43B59">
        <w:trPr>
          <w:trHeight w:val="384"/>
        </w:trPr>
        <w:tc>
          <w:tcPr>
            <w:tcW w:w="2547" w:type="dxa"/>
            <w:tcBorders>
              <w:top w:val="single" w:sz="4" w:space="0" w:color="FFFFFF"/>
              <w:left w:val="single" w:sz="4" w:space="0" w:color="FFFFFF"/>
              <w:bottom w:val="single" w:sz="4" w:space="0" w:color="FFFFFF"/>
              <w:right w:val="single" w:sz="4" w:space="0" w:color="FFFFFF"/>
            </w:tcBorders>
          </w:tcPr>
          <w:p w14:paraId="0C6C7FFB" w14:textId="77B023D3" w:rsidR="00D43B59" w:rsidRPr="00416C4A" w:rsidRDefault="00D96DFB" w:rsidP="00B127F0">
            <w:pPr>
              <w:tabs>
                <w:tab w:val="left" w:pos="4412"/>
                <w:tab w:val="center" w:pos="6979"/>
              </w:tabs>
            </w:pPr>
            <w:r w:rsidRPr="00416C4A">
              <w:t>(7) Board Size</w:t>
            </w:r>
          </w:p>
        </w:tc>
        <w:tc>
          <w:tcPr>
            <w:tcW w:w="1169" w:type="dxa"/>
            <w:tcBorders>
              <w:top w:val="single" w:sz="4" w:space="0" w:color="FFFFFF"/>
              <w:left w:val="single" w:sz="4" w:space="0" w:color="FFFFFF"/>
              <w:bottom w:val="single" w:sz="4" w:space="0" w:color="FFFFFF"/>
              <w:right w:val="single" w:sz="4" w:space="0" w:color="FFFFFF"/>
            </w:tcBorders>
          </w:tcPr>
          <w:p w14:paraId="39767828" w14:textId="5B6E576C" w:rsidR="00D43B59" w:rsidRPr="00416C4A" w:rsidRDefault="00D96DFB" w:rsidP="008A0BA9">
            <w:pPr>
              <w:tabs>
                <w:tab w:val="left" w:pos="4412"/>
                <w:tab w:val="center" w:pos="6979"/>
              </w:tabs>
              <w:jc w:val="center"/>
            </w:pPr>
            <w:r w:rsidRPr="00416C4A">
              <w:t>-0.005</w:t>
            </w:r>
          </w:p>
        </w:tc>
        <w:tc>
          <w:tcPr>
            <w:tcW w:w="1169" w:type="dxa"/>
            <w:tcBorders>
              <w:top w:val="single" w:sz="4" w:space="0" w:color="FFFFFF"/>
              <w:left w:val="single" w:sz="4" w:space="0" w:color="FFFFFF"/>
              <w:bottom w:val="single" w:sz="4" w:space="0" w:color="FFFFFF"/>
              <w:right w:val="single" w:sz="4" w:space="0" w:color="FFFFFF"/>
            </w:tcBorders>
          </w:tcPr>
          <w:p w14:paraId="10EC644F" w14:textId="6E34557C" w:rsidR="00D43B59" w:rsidRPr="00416C4A" w:rsidRDefault="00D96DFB" w:rsidP="008A0BA9">
            <w:pPr>
              <w:tabs>
                <w:tab w:val="left" w:pos="4412"/>
                <w:tab w:val="center" w:pos="6979"/>
              </w:tabs>
              <w:jc w:val="center"/>
            </w:pPr>
            <w:r w:rsidRPr="00416C4A">
              <w:t>-0.050</w:t>
            </w:r>
          </w:p>
        </w:tc>
        <w:tc>
          <w:tcPr>
            <w:tcW w:w="1169" w:type="dxa"/>
            <w:tcBorders>
              <w:top w:val="single" w:sz="4" w:space="0" w:color="FFFFFF"/>
              <w:left w:val="single" w:sz="4" w:space="0" w:color="FFFFFF"/>
              <w:bottom w:val="single" w:sz="4" w:space="0" w:color="FFFFFF"/>
              <w:right w:val="single" w:sz="4" w:space="0" w:color="FFFFFF"/>
            </w:tcBorders>
          </w:tcPr>
          <w:p w14:paraId="57D0F301" w14:textId="4202DBCE" w:rsidR="00D43B59" w:rsidRPr="00416C4A" w:rsidRDefault="00D96DFB" w:rsidP="008A0BA9">
            <w:pPr>
              <w:tabs>
                <w:tab w:val="left" w:pos="4412"/>
                <w:tab w:val="center" w:pos="6979"/>
              </w:tabs>
              <w:jc w:val="center"/>
              <w:rPr>
                <w:b/>
                <w:bCs/>
              </w:rPr>
            </w:pPr>
            <w:r w:rsidRPr="00416C4A">
              <w:rPr>
                <w:b/>
                <w:bCs/>
              </w:rPr>
              <w:t>-0.</w:t>
            </w:r>
            <w:r w:rsidR="001B6FB5" w:rsidRPr="00416C4A">
              <w:rPr>
                <w:b/>
                <w:bCs/>
              </w:rPr>
              <w:t>120</w:t>
            </w:r>
          </w:p>
        </w:tc>
        <w:tc>
          <w:tcPr>
            <w:tcW w:w="1169" w:type="dxa"/>
            <w:tcBorders>
              <w:top w:val="single" w:sz="4" w:space="0" w:color="FFFFFF"/>
              <w:left w:val="single" w:sz="4" w:space="0" w:color="FFFFFF"/>
              <w:bottom w:val="single" w:sz="4" w:space="0" w:color="FFFFFF"/>
              <w:right w:val="single" w:sz="4" w:space="0" w:color="FFFFFF"/>
            </w:tcBorders>
          </w:tcPr>
          <w:p w14:paraId="06075212" w14:textId="1EE53617" w:rsidR="00D43B59" w:rsidRPr="00416C4A" w:rsidRDefault="00D96DFB" w:rsidP="008A0BA9">
            <w:pPr>
              <w:tabs>
                <w:tab w:val="left" w:pos="4412"/>
                <w:tab w:val="center" w:pos="6979"/>
              </w:tabs>
              <w:jc w:val="center"/>
            </w:pPr>
            <w:r w:rsidRPr="00416C4A">
              <w:t>-0.0</w:t>
            </w:r>
            <w:r w:rsidR="001B6FB5" w:rsidRPr="00416C4A">
              <w:t>49</w:t>
            </w:r>
          </w:p>
        </w:tc>
        <w:tc>
          <w:tcPr>
            <w:tcW w:w="1169" w:type="dxa"/>
            <w:tcBorders>
              <w:top w:val="single" w:sz="4" w:space="0" w:color="FFFFFF"/>
              <w:left w:val="single" w:sz="4" w:space="0" w:color="FFFFFF"/>
              <w:bottom w:val="single" w:sz="4" w:space="0" w:color="FFFFFF"/>
              <w:right w:val="single" w:sz="4" w:space="0" w:color="FFFFFF"/>
            </w:tcBorders>
          </w:tcPr>
          <w:p w14:paraId="61E434CF" w14:textId="2C3B67C5" w:rsidR="00D43B59" w:rsidRPr="00416C4A" w:rsidRDefault="00D96DFB" w:rsidP="008A0BA9">
            <w:pPr>
              <w:tabs>
                <w:tab w:val="left" w:pos="4412"/>
                <w:tab w:val="center" w:pos="6979"/>
              </w:tabs>
              <w:jc w:val="center"/>
              <w:rPr>
                <w:b/>
                <w:bCs/>
              </w:rPr>
            </w:pPr>
            <w:r w:rsidRPr="00416C4A">
              <w:rPr>
                <w:b/>
                <w:bCs/>
              </w:rPr>
              <w:t>-0.183</w:t>
            </w:r>
          </w:p>
        </w:tc>
        <w:tc>
          <w:tcPr>
            <w:tcW w:w="1169" w:type="dxa"/>
            <w:tcBorders>
              <w:top w:val="single" w:sz="4" w:space="0" w:color="FFFFFF"/>
              <w:left w:val="single" w:sz="4" w:space="0" w:color="FFFFFF"/>
              <w:bottom w:val="single" w:sz="4" w:space="0" w:color="FFFFFF"/>
              <w:right w:val="single" w:sz="4" w:space="0" w:color="FFFFFF"/>
            </w:tcBorders>
          </w:tcPr>
          <w:p w14:paraId="0ACAD2DA" w14:textId="4F41A6D1" w:rsidR="00D43B59" w:rsidRPr="00416C4A" w:rsidRDefault="00D96DFB" w:rsidP="008A0BA9">
            <w:pPr>
              <w:tabs>
                <w:tab w:val="left" w:pos="4412"/>
                <w:tab w:val="center" w:pos="6979"/>
              </w:tabs>
              <w:jc w:val="center"/>
              <w:rPr>
                <w:b/>
                <w:bCs/>
              </w:rPr>
            </w:pPr>
            <w:r w:rsidRPr="00416C4A">
              <w:rPr>
                <w:b/>
                <w:bCs/>
              </w:rPr>
              <w:t>-0.147</w:t>
            </w:r>
          </w:p>
        </w:tc>
        <w:tc>
          <w:tcPr>
            <w:tcW w:w="1169" w:type="dxa"/>
            <w:tcBorders>
              <w:top w:val="single" w:sz="4" w:space="0" w:color="FFFFFF"/>
              <w:left w:val="single" w:sz="4" w:space="0" w:color="FFFFFF"/>
              <w:bottom w:val="single" w:sz="4" w:space="0" w:color="FFFFFF"/>
              <w:right w:val="single" w:sz="4" w:space="0" w:color="FFFFFF"/>
            </w:tcBorders>
          </w:tcPr>
          <w:p w14:paraId="2207AD05" w14:textId="77777777" w:rsidR="00D43B59" w:rsidRPr="00416C4A" w:rsidRDefault="00D96DFB" w:rsidP="008A0BA9">
            <w:pPr>
              <w:tabs>
                <w:tab w:val="left" w:pos="4412"/>
                <w:tab w:val="center" w:pos="6979"/>
              </w:tabs>
              <w:jc w:val="center"/>
            </w:pPr>
            <w:r w:rsidRPr="00416C4A">
              <w:t>1</w:t>
            </w:r>
          </w:p>
        </w:tc>
        <w:tc>
          <w:tcPr>
            <w:tcW w:w="1169" w:type="dxa"/>
            <w:tcBorders>
              <w:top w:val="single" w:sz="4" w:space="0" w:color="FFFFFF"/>
              <w:left w:val="single" w:sz="4" w:space="0" w:color="FFFFFF"/>
              <w:bottom w:val="single" w:sz="4" w:space="0" w:color="FFFFFF"/>
              <w:right w:val="single" w:sz="4" w:space="0" w:color="FFFFFF"/>
            </w:tcBorders>
          </w:tcPr>
          <w:p w14:paraId="4C5B9B6C" w14:textId="77777777" w:rsidR="00D43B59" w:rsidRPr="00416C4A" w:rsidRDefault="00D43B59" w:rsidP="008A0BA9">
            <w:pPr>
              <w:tabs>
                <w:tab w:val="left" w:pos="4412"/>
                <w:tab w:val="center" w:pos="6979"/>
              </w:tabs>
              <w:jc w:val="center"/>
            </w:pPr>
          </w:p>
        </w:tc>
        <w:tc>
          <w:tcPr>
            <w:tcW w:w="1169" w:type="dxa"/>
            <w:tcBorders>
              <w:top w:val="single" w:sz="4" w:space="0" w:color="FFFFFF"/>
              <w:left w:val="single" w:sz="4" w:space="0" w:color="FFFFFF"/>
              <w:bottom w:val="single" w:sz="4" w:space="0" w:color="FFFFFF"/>
              <w:right w:val="single" w:sz="4" w:space="0" w:color="FFFFFF"/>
            </w:tcBorders>
          </w:tcPr>
          <w:p w14:paraId="1B8558A8" w14:textId="7B782CCC" w:rsidR="00D43B59" w:rsidRPr="00416C4A" w:rsidRDefault="00D43B59" w:rsidP="008A0BA9">
            <w:pPr>
              <w:tabs>
                <w:tab w:val="left" w:pos="4412"/>
                <w:tab w:val="center" w:pos="6979"/>
              </w:tabs>
              <w:jc w:val="center"/>
            </w:pPr>
          </w:p>
        </w:tc>
      </w:tr>
      <w:tr w:rsidR="00416C4A" w:rsidRPr="00416C4A" w14:paraId="68FB8495" w14:textId="77777777" w:rsidTr="00D43B59">
        <w:trPr>
          <w:trHeight w:val="411"/>
        </w:trPr>
        <w:tc>
          <w:tcPr>
            <w:tcW w:w="2547" w:type="dxa"/>
            <w:tcBorders>
              <w:top w:val="single" w:sz="4" w:space="0" w:color="FFFFFF"/>
              <w:left w:val="single" w:sz="4" w:space="0" w:color="FFFFFF"/>
              <w:bottom w:val="single" w:sz="4" w:space="0" w:color="FFFFFF"/>
              <w:right w:val="single" w:sz="4" w:space="0" w:color="FFFFFF"/>
            </w:tcBorders>
          </w:tcPr>
          <w:p w14:paraId="09630286" w14:textId="5848D69D" w:rsidR="00D43B59" w:rsidRPr="00416C4A" w:rsidRDefault="00D96DFB" w:rsidP="00B127F0">
            <w:pPr>
              <w:tabs>
                <w:tab w:val="left" w:pos="4412"/>
                <w:tab w:val="center" w:pos="6979"/>
              </w:tabs>
            </w:pPr>
            <w:r w:rsidRPr="00416C4A">
              <w:t>(8) Firm Size</w:t>
            </w:r>
          </w:p>
        </w:tc>
        <w:tc>
          <w:tcPr>
            <w:tcW w:w="1169" w:type="dxa"/>
            <w:tcBorders>
              <w:top w:val="single" w:sz="4" w:space="0" w:color="FFFFFF"/>
              <w:left w:val="single" w:sz="4" w:space="0" w:color="FFFFFF"/>
              <w:bottom w:val="single" w:sz="4" w:space="0" w:color="FFFFFF"/>
              <w:right w:val="single" w:sz="4" w:space="0" w:color="FFFFFF"/>
            </w:tcBorders>
          </w:tcPr>
          <w:p w14:paraId="366494D0" w14:textId="44AB45D0" w:rsidR="00D43B59" w:rsidRPr="00416C4A" w:rsidRDefault="00D96DFB" w:rsidP="008A0BA9">
            <w:pPr>
              <w:tabs>
                <w:tab w:val="left" w:pos="4412"/>
                <w:tab w:val="center" w:pos="6979"/>
              </w:tabs>
              <w:jc w:val="center"/>
              <w:rPr>
                <w:b/>
                <w:bCs/>
              </w:rPr>
            </w:pPr>
            <w:r w:rsidRPr="00416C4A">
              <w:rPr>
                <w:b/>
                <w:bCs/>
              </w:rPr>
              <w:t>0.</w:t>
            </w:r>
            <w:r w:rsidR="004D2A9D" w:rsidRPr="00416C4A">
              <w:rPr>
                <w:b/>
                <w:bCs/>
              </w:rPr>
              <w:t>1</w:t>
            </w:r>
            <w:r w:rsidRPr="00416C4A">
              <w:rPr>
                <w:b/>
                <w:bCs/>
              </w:rPr>
              <w:t>5</w:t>
            </w:r>
            <w:r w:rsidR="004D2A9D" w:rsidRPr="00416C4A">
              <w:rPr>
                <w:b/>
                <w:bCs/>
              </w:rPr>
              <w:t>9</w:t>
            </w:r>
          </w:p>
        </w:tc>
        <w:tc>
          <w:tcPr>
            <w:tcW w:w="1169" w:type="dxa"/>
            <w:tcBorders>
              <w:top w:val="single" w:sz="4" w:space="0" w:color="FFFFFF"/>
              <w:left w:val="single" w:sz="4" w:space="0" w:color="FFFFFF"/>
              <w:bottom w:val="single" w:sz="4" w:space="0" w:color="FFFFFF"/>
              <w:right w:val="single" w:sz="4" w:space="0" w:color="FFFFFF"/>
            </w:tcBorders>
          </w:tcPr>
          <w:p w14:paraId="4BADCA00" w14:textId="675F7FF6" w:rsidR="00D43B59" w:rsidRPr="00416C4A" w:rsidRDefault="00D96DFB" w:rsidP="008A0BA9">
            <w:pPr>
              <w:tabs>
                <w:tab w:val="left" w:pos="4412"/>
                <w:tab w:val="center" w:pos="6979"/>
              </w:tabs>
              <w:jc w:val="center"/>
            </w:pPr>
            <w:r w:rsidRPr="00416C4A">
              <w:t>-0.0</w:t>
            </w:r>
            <w:r w:rsidR="004D2A9D" w:rsidRPr="00416C4A">
              <w:t>33</w:t>
            </w:r>
          </w:p>
        </w:tc>
        <w:tc>
          <w:tcPr>
            <w:tcW w:w="1169" w:type="dxa"/>
            <w:tcBorders>
              <w:top w:val="single" w:sz="4" w:space="0" w:color="FFFFFF"/>
              <w:left w:val="single" w:sz="4" w:space="0" w:color="FFFFFF"/>
              <w:bottom w:val="single" w:sz="4" w:space="0" w:color="FFFFFF"/>
              <w:right w:val="single" w:sz="4" w:space="0" w:color="FFFFFF"/>
            </w:tcBorders>
          </w:tcPr>
          <w:p w14:paraId="652B450E" w14:textId="3E177E48" w:rsidR="00D43B59" w:rsidRPr="00416C4A" w:rsidRDefault="00D96DFB" w:rsidP="008A0BA9">
            <w:pPr>
              <w:tabs>
                <w:tab w:val="left" w:pos="4412"/>
                <w:tab w:val="center" w:pos="6979"/>
              </w:tabs>
              <w:jc w:val="center"/>
              <w:rPr>
                <w:b/>
                <w:bCs/>
              </w:rPr>
            </w:pPr>
            <w:r w:rsidRPr="00416C4A">
              <w:rPr>
                <w:b/>
                <w:bCs/>
              </w:rPr>
              <w:t>-0.173</w:t>
            </w:r>
          </w:p>
        </w:tc>
        <w:tc>
          <w:tcPr>
            <w:tcW w:w="1169" w:type="dxa"/>
            <w:tcBorders>
              <w:top w:val="single" w:sz="4" w:space="0" w:color="FFFFFF"/>
              <w:left w:val="single" w:sz="4" w:space="0" w:color="FFFFFF"/>
              <w:bottom w:val="single" w:sz="4" w:space="0" w:color="FFFFFF"/>
              <w:right w:val="single" w:sz="4" w:space="0" w:color="FFFFFF"/>
            </w:tcBorders>
          </w:tcPr>
          <w:p w14:paraId="480508DF" w14:textId="5A6D905B" w:rsidR="00D43B59" w:rsidRPr="00416C4A" w:rsidRDefault="00D96DFB" w:rsidP="008A0BA9">
            <w:pPr>
              <w:tabs>
                <w:tab w:val="left" w:pos="4412"/>
                <w:tab w:val="center" w:pos="6979"/>
              </w:tabs>
              <w:jc w:val="center"/>
            </w:pPr>
            <w:r w:rsidRPr="00416C4A">
              <w:t>0.0</w:t>
            </w:r>
            <w:r w:rsidR="00E201F6" w:rsidRPr="00416C4A">
              <w:t>11</w:t>
            </w:r>
          </w:p>
        </w:tc>
        <w:tc>
          <w:tcPr>
            <w:tcW w:w="1169" w:type="dxa"/>
            <w:tcBorders>
              <w:top w:val="single" w:sz="4" w:space="0" w:color="FFFFFF"/>
              <w:left w:val="single" w:sz="4" w:space="0" w:color="FFFFFF"/>
              <w:bottom w:val="single" w:sz="4" w:space="0" w:color="FFFFFF"/>
              <w:right w:val="single" w:sz="4" w:space="0" w:color="FFFFFF"/>
            </w:tcBorders>
          </w:tcPr>
          <w:p w14:paraId="0432243D" w14:textId="5A894AB6" w:rsidR="00D43B59" w:rsidRPr="00416C4A" w:rsidRDefault="00D96DFB" w:rsidP="008A0BA9">
            <w:pPr>
              <w:tabs>
                <w:tab w:val="left" w:pos="4412"/>
                <w:tab w:val="center" w:pos="6979"/>
              </w:tabs>
              <w:jc w:val="center"/>
              <w:rPr>
                <w:b/>
                <w:bCs/>
              </w:rPr>
            </w:pPr>
            <w:r w:rsidRPr="00416C4A">
              <w:rPr>
                <w:b/>
                <w:bCs/>
              </w:rPr>
              <w:t>-0.</w:t>
            </w:r>
            <w:r w:rsidR="00E201F6" w:rsidRPr="00416C4A">
              <w:rPr>
                <w:b/>
                <w:bCs/>
              </w:rPr>
              <w:t>186</w:t>
            </w:r>
          </w:p>
        </w:tc>
        <w:tc>
          <w:tcPr>
            <w:tcW w:w="1169" w:type="dxa"/>
            <w:tcBorders>
              <w:top w:val="single" w:sz="4" w:space="0" w:color="FFFFFF"/>
              <w:left w:val="single" w:sz="4" w:space="0" w:color="FFFFFF"/>
              <w:bottom w:val="single" w:sz="4" w:space="0" w:color="FFFFFF"/>
              <w:right w:val="single" w:sz="4" w:space="0" w:color="FFFFFF"/>
            </w:tcBorders>
          </w:tcPr>
          <w:p w14:paraId="12A4E7BE" w14:textId="1552FF9A" w:rsidR="00D43B59" w:rsidRPr="00416C4A" w:rsidRDefault="00D96DFB" w:rsidP="008A0BA9">
            <w:pPr>
              <w:tabs>
                <w:tab w:val="left" w:pos="4412"/>
                <w:tab w:val="center" w:pos="6979"/>
              </w:tabs>
              <w:jc w:val="center"/>
              <w:rPr>
                <w:b/>
                <w:bCs/>
              </w:rPr>
            </w:pPr>
            <w:r w:rsidRPr="00416C4A">
              <w:rPr>
                <w:b/>
                <w:bCs/>
              </w:rPr>
              <w:t>-0.18</w:t>
            </w:r>
            <w:r w:rsidR="00E201F6" w:rsidRPr="00416C4A">
              <w:rPr>
                <w:b/>
                <w:bCs/>
              </w:rPr>
              <w:t>2</w:t>
            </w:r>
          </w:p>
        </w:tc>
        <w:tc>
          <w:tcPr>
            <w:tcW w:w="1169" w:type="dxa"/>
            <w:tcBorders>
              <w:top w:val="single" w:sz="4" w:space="0" w:color="FFFFFF"/>
              <w:left w:val="single" w:sz="4" w:space="0" w:color="FFFFFF"/>
              <w:bottom w:val="single" w:sz="4" w:space="0" w:color="FFFFFF"/>
              <w:right w:val="single" w:sz="4" w:space="0" w:color="FFFFFF"/>
            </w:tcBorders>
          </w:tcPr>
          <w:p w14:paraId="5B5B249C" w14:textId="45FFE87D" w:rsidR="00D43B59" w:rsidRPr="00416C4A" w:rsidRDefault="00D96DFB" w:rsidP="008A0BA9">
            <w:pPr>
              <w:tabs>
                <w:tab w:val="left" w:pos="4412"/>
                <w:tab w:val="center" w:pos="6979"/>
              </w:tabs>
              <w:jc w:val="center"/>
              <w:rPr>
                <w:b/>
                <w:bCs/>
              </w:rPr>
            </w:pPr>
            <w:r w:rsidRPr="00416C4A">
              <w:rPr>
                <w:b/>
                <w:bCs/>
              </w:rPr>
              <w:t>0</w:t>
            </w:r>
            <w:r w:rsidR="00975C3D" w:rsidRPr="00416C4A">
              <w:rPr>
                <w:b/>
                <w:bCs/>
              </w:rPr>
              <w:t>.501</w:t>
            </w:r>
          </w:p>
        </w:tc>
        <w:tc>
          <w:tcPr>
            <w:tcW w:w="1169" w:type="dxa"/>
            <w:tcBorders>
              <w:top w:val="single" w:sz="4" w:space="0" w:color="FFFFFF"/>
              <w:left w:val="single" w:sz="4" w:space="0" w:color="FFFFFF"/>
              <w:bottom w:val="single" w:sz="4" w:space="0" w:color="FFFFFF"/>
              <w:right w:val="single" w:sz="4" w:space="0" w:color="FFFFFF"/>
            </w:tcBorders>
          </w:tcPr>
          <w:p w14:paraId="20730E4C" w14:textId="4A5E394F" w:rsidR="00D43B59" w:rsidRPr="00416C4A" w:rsidRDefault="00D96DFB" w:rsidP="008A0BA9">
            <w:pPr>
              <w:tabs>
                <w:tab w:val="left" w:pos="4412"/>
                <w:tab w:val="center" w:pos="6979"/>
              </w:tabs>
              <w:jc w:val="center"/>
            </w:pPr>
            <w:r w:rsidRPr="00416C4A">
              <w:t>1</w:t>
            </w:r>
          </w:p>
        </w:tc>
        <w:tc>
          <w:tcPr>
            <w:tcW w:w="1169" w:type="dxa"/>
            <w:tcBorders>
              <w:top w:val="single" w:sz="4" w:space="0" w:color="FFFFFF"/>
              <w:left w:val="single" w:sz="4" w:space="0" w:color="FFFFFF"/>
              <w:bottom w:val="single" w:sz="4" w:space="0" w:color="FFFFFF"/>
              <w:right w:val="single" w:sz="4" w:space="0" w:color="FFFFFF"/>
            </w:tcBorders>
          </w:tcPr>
          <w:p w14:paraId="5298648A" w14:textId="1BC975CD" w:rsidR="00D43B59" w:rsidRPr="00416C4A" w:rsidRDefault="00D43B59" w:rsidP="008A0BA9">
            <w:pPr>
              <w:tabs>
                <w:tab w:val="left" w:pos="4412"/>
                <w:tab w:val="center" w:pos="6979"/>
              </w:tabs>
              <w:jc w:val="center"/>
            </w:pPr>
          </w:p>
        </w:tc>
      </w:tr>
      <w:tr w:rsidR="00733514" w:rsidRPr="00416C4A" w14:paraId="674C8E7F" w14:textId="77777777" w:rsidTr="00D43B59">
        <w:trPr>
          <w:trHeight w:val="384"/>
        </w:trPr>
        <w:tc>
          <w:tcPr>
            <w:tcW w:w="2547" w:type="dxa"/>
            <w:tcBorders>
              <w:top w:val="single" w:sz="4" w:space="0" w:color="FFFFFF"/>
              <w:left w:val="single" w:sz="4" w:space="0" w:color="FFFFFF"/>
              <w:right w:val="single" w:sz="4" w:space="0" w:color="FFFFFF"/>
            </w:tcBorders>
          </w:tcPr>
          <w:p w14:paraId="141A37C6" w14:textId="5F94B2F0" w:rsidR="00D43B59" w:rsidRPr="00416C4A" w:rsidRDefault="00D96DFB" w:rsidP="00B127F0">
            <w:pPr>
              <w:tabs>
                <w:tab w:val="left" w:pos="4412"/>
                <w:tab w:val="center" w:pos="6979"/>
              </w:tabs>
            </w:pPr>
            <w:r w:rsidRPr="00416C4A">
              <w:t>(9) Leverage</w:t>
            </w:r>
          </w:p>
        </w:tc>
        <w:tc>
          <w:tcPr>
            <w:tcW w:w="1169" w:type="dxa"/>
            <w:tcBorders>
              <w:top w:val="single" w:sz="4" w:space="0" w:color="FFFFFF"/>
              <w:left w:val="single" w:sz="4" w:space="0" w:color="FFFFFF"/>
              <w:right w:val="single" w:sz="4" w:space="0" w:color="FFFFFF"/>
            </w:tcBorders>
          </w:tcPr>
          <w:p w14:paraId="4CDA7322" w14:textId="76EC259A" w:rsidR="00D43B59" w:rsidRPr="00416C4A" w:rsidRDefault="00D96DFB" w:rsidP="008A0BA9">
            <w:pPr>
              <w:tabs>
                <w:tab w:val="left" w:pos="4412"/>
                <w:tab w:val="center" w:pos="6979"/>
              </w:tabs>
              <w:jc w:val="center"/>
            </w:pPr>
            <w:r w:rsidRPr="00416C4A">
              <w:t>-0.043</w:t>
            </w:r>
          </w:p>
        </w:tc>
        <w:tc>
          <w:tcPr>
            <w:tcW w:w="1169" w:type="dxa"/>
            <w:tcBorders>
              <w:top w:val="single" w:sz="4" w:space="0" w:color="FFFFFF"/>
              <w:left w:val="single" w:sz="4" w:space="0" w:color="FFFFFF"/>
              <w:right w:val="single" w:sz="4" w:space="0" w:color="FFFFFF"/>
            </w:tcBorders>
          </w:tcPr>
          <w:p w14:paraId="737FAEC6" w14:textId="23335C50" w:rsidR="00D43B59" w:rsidRPr="00416C4A" w:rsidRDefault="00D96DFB" w:rsidP="008A0BA9">
            <w:pPr>
              <w:tabs>
                <w:tab w:val="left" w:pos="4412"/>
                <w:tab w:val="center" w:pos="6979"/>
              </w:tabs>
              <w:jc w:val="center"/>
            </w:pPr>
            <w:r w:rsidRPr="00416C4A">
              <w:t>-0.03</w:t>
            </w:r>
            <w:r w:rsidR="00975C3D" w:rsidRPr="00416C4A">
              <w:t>3</w:t>
            </w:r>
          </w:p>
        </w:tc>
        <w:tc>
          <w:tcPr>
            <w:tcW w:w="1169" w:type="dxa"/>
            <w:tcBorders>
              <w:top w:val="single" w:sz="4" w:space="0" w:color="FFFFFF"/>
              <w:left w:val="single" w:sz="4" w:space="0" w:color="FFFFFF"/>
              <w:right w:val="single" w:sz="4" w:space="0" w:color="FFFFFF"/>
            </w:tcBorders>
          </w:tcPr>
          <w:p w14:paraId="0460D074" w14:textId="29410C4B" w:rsidR="00D43B59" w:rsidRPr="00416C4A" w:rsidRDefault="00D96DFB" w:rsidP="008A0BA9">
            <w:pPr>
              <w:tabs>
                <w:tab w:val="left" w:pos="4412"/>
                <w:tab w:val="center" w:pos="6979"/>
              </w:tabs>
              <w:jc w:val="center"/>
            </w:pPr>
            <w:r w:rsidRPr="00416C4A">
              <w:t>-0.</w:t>
            </w:r>
            <w:r w:rsidR="00975C3D" w:rsidRPr="00416C4A">
              <w:t>085</w:t>
            </w:r>
          </w:p>
        </w:tc>
        <w:tc>
          <w:tcPr>
            <w:tcW w:w="1169" w:type="dxa"/>
            <w:tcBorders>
              <w:top w:val="single" w:sz="4" w:space="0" w:color="FFFFFF"/>
              <w:left w:val="single" w:sz="4" w:space="0" w:color="FFFFFF"/>
              <w:right w:val="single" w:sz="4" w:space="0" w:color="FFFFFF"/>
            </w:tcBorders>
          </w:tcPr>
          <w:p w14:paraId="1129A29F" w14:textId="3C0695EC" w:rsidR="00D43B59" w:rsidRPr="00416C4A" w:rsidRDefault="00D96DFB" w:rsidP="008A0BA9">
            <w:pPr>
              <w:tabs>
                <w:tab w:val="left" w:pos="4412"/>
                <w:tab w:val="center" w:pos="6979"/>
              </w:tabs>
              <w:jc w:val="center"/>
            </w:pPr>
            <w:r w:rsidRPr="00416C4A">
              <w:t>-0.0</w:t>
            </w:r>
            <w:r w:rsidR="006247AD" w:rsidRPr="00416C4A">
              <w:t>23</w:t>
            </w:r>
          </w:p>
        </w:tc>
        <w:tc>
          <w:tcPr>
            <w:tcW w:w="1169" w:type="dxa"/>
            <w:tcBorders>
              <w:top w:val="single" w:sz="4" w:space="0" w:color="FFFFFF"/>
              <w:left w:val="single" w:sz="4" w:space="0" w:color="FFFFFF"/>
              <w:right w:val="single" w:sz="4" w:space="0" w:color="FFFFFF"/>
            </w:tcBorders>
          </w:tcPr>
          <w:p w14:paraId="0550753F" w14:textId="41FD8714" w:rsidR="00D43B59" w:rsidRPr="00416C4A" w:rsidRDefault="00D96DFB" w:rsidP="008A0BA9">
            <w:pPr>
              <w:tabs>
                <w:tab w:val="left" w:pos="4412"/>
                <w:tab w:val="center" w:pos="6979"/>
              </w:tabs>
              <w:jc w:val="center"/>
              <w:rPr>
                <w:b/>
                <w:bCs/>
              </w:rPr>
            </w:pPr>
            <w:r w:rsidRPr="00416C4A">
              <w:rPr>
                <w:b/>
                <w:bCs/>
              </w:rPr>
              <w:t>-0.182</w:t>
            </w:r>
          </w:p>
        </w:tc>
        <w:tc>
          <w:tcPr>
            <w:tcW w:w="1169" w:type="dxa"/>
            <w:tcBorders>
              <w:top w:val="single" w:sz="4" w:space="0" w:color="FFFFFF"/>
              <w:left w:val="single" w:sz="4" w:space="0" w:color="FFFFFF"/>
              <w:right w:val="single" w:sz="4" w:space="0" w:color="FFFFFF"/>
            </w:tcBorders>
          </w:tcPr>
          <w:p w14:paraId="7AAEB04C" w14:textId="01ED7886" w:rsidR="00D43B59" w:rsidRPr="00416C4A" w:rsidRDefault="00D96DFB" w:rsidP="008A0BA9">
            <w:pPr>
              <w:tabs>
                <w:tab w:val="left" w:pos="4412"/>
                <w:tab w:val="center" w:pos="6979"/>
              </w:tabs>
              <w:jc w:val="center"/>
              <w:rPr>
                <w:b/>
                <w:bCs/>
              </w:rPr>
            </w:pPr>
            <w:r w:rsidRPr="00416C4A">
              <w:rPr>
                <w:b/>
                <w:bCs/>
              </w:rPr>
              <w:t>-0.</w:t>
            </w:r>
            <w:r w:rsidR="006247AD" w:rsidRPr="00416C4A">
              <w:rPr>
                <w:b/>
                <w:bCs/>
              </w:rPr>
              <w:t>1</w:t>
            </w:r>
            <w:r w:rsidRPr="00416C4A">
              <w:rPr>
                <w:b/>
                <w:bCs/>
              </w:rPr>
              <w:t>09</w:t>
            </w:r>
          </w:p>
        </w:tc>
        <w:tc>
          <w:tcPr>
            <w:tcW w:w="1169" w:type="dxa"/>
            <w:tcBorders>
              <w:top w:val="single" w:sz="4" w:space="0" w:color="FFFFFF"/>
              <w:left w:val="single" w:sz="4" w:space="0" w:color="FFFFFF"/>
              <w:right w:val="single" w:sz="4" w:space="0" w:color="FFFFFF"/>
            </w:tcBorders>
          </w:tcPr>
          <w:p w14:paraId="1AAE5F94" w14:textId="322F3F44" w:rsidR="00D43B59" w:rsidRPr="00416C4A" w:rsidRDefault="00D96DFB" w:rsidP="008A0BA9">
            <w:pPr>
              <w:tabs>
                <w:tab w:val="left" w:pos="4412"/>
                <w:tab w:val="center" w:pos="6979"/>
              </w:tabs>
              <w:jc w:val="center"/>
            </w:pPr>
            <w:r w:rsidRPr="00416C4A">
              <w:t>-0.05</w:t>
            </w:r>
            <w:r w:rsidR="006247AD" w:rsidRPr="00416C4A">
              <w:t>0</w:t>
            </w:r>
          </w:p>
        </w:tc>
        <w:tc>
          <w:tcPr>
            <w:tcW w:w="1169" w:type="dxa"/>
            <w:tcBorders>
              <w:top w:val="single" w:sz="4" w:space="0" w:color="FFFFFF"/>
              <w:left w:val="single" w:sz="4" w:space="0" w:color="FFFFFF"/>
              <w:right w:val="single" w:sz="4" w:space="0" w:color="FFFFFF"/>
            </w:tcBorders>
          </w:tcPr>
          <w:p w14:paraId="5FBACE22" w14:textId="423E3E3B" w:rsidR="00D43B59" w:rsidRPr="00416C4A" w:rsidRDefault="00D96DFB" w:rsidP="008A0BA9">
            <w:pPr>
              <w:tabs>
                <w:tab w:val="left" w:pos="4412"/>
                <w:tab w:val="center" w:pos="6979"/>
              </w:tabs>
              <w:jc w:val="center"/>
              <w:rPr>
                <w:b/>
                <w:bCs/>
              </w:rPr>
            </w:pPr>
            <w:r w:rsidRPr="00416C4A">
              <w:rPr>
                <w:b/>
                <w:bCs/>
              </w:rPr>
              <w:t>0.213</w:t>
            </w:r>
          </w:p>
        </w:tc>
        <w:tc>
          <w:tcPr>
            <w:tcW w:w="1169" w:type="dxa"/>
            <w:tcBorders>
              <w:top w:val="single" w:sz="4" w:space="0" w:color="FFFFFF"/>
              <w:left w:val="single" w:sz="4" w:space="0" w:color="FFFFFF"/>
              <w:right w:val="single" w:sz="4" w:space="0" w:color="FFFFFF"/>
            </w:tcBorders>
          </w:tcPr>
          <w:p w14:paraId="2E956FEE" w14:textId="4714AC0A" w:rsidR="00D43B59" w:rsidRPr="00416C4A" w:rsidRDefault="00D96DFB" w:rsidP="008A0BA9">
            <w:pPr>
              <w:tabs>
                <w:tab w:val="left" w:pos="4412"/>
                <w:tab w:val="center" w:pos="6979"/>
              </w:tabs>
              <w:jc w:val="center"/>
            </w:pPr>
            <w:r w:rsidRPr="00416C4A">
              <w:t>1</w:t>
            </w:r>
          </w:p>
        </w:tc>
      </w:tr>
    </w:tbl>
    <w:p w14:paraId="0E0F83C9" w14:textId="759319D8" w:rsidR="00B127F0" w:rsidRPr="00416C4A" w:rsidRDefault="00B127F0" w:rsidP="00B127F0">
      <w:pPr>
        <w:spacing w:line="480" w:lineRule="auto"/>
        <w:jc w:val="both"/>
      </w:pPr>
    </w:p>
    <w:p w14:paraId="27536596" w14:textId="18664E48" w:rsidR="00167262" w:rsidRPr="00416C4A" w:rsidRDefault="00D96DFB" w:rsidP="00B127F0">
      <w:pPr>
        <w:spacing w:line="480" w:lineRule="auto"/>
        <w:jc w:val="both"/>
      </w:pPr>
      <w:r w:rsidRPr="00416C4A">
        <w:t xml:space="preserve">Note: </w:t>
      </w:r>
      <w:r w:rsidR="00E912F8" w:rsidRPr="00416C4A">
        <w:t>Correlations that are significant at the 5% confidence level are in bold</w:t>
      </w:r>
      <w:r w:rsidR="002504F6">
        <w:t>. A</w:t>
      </w:r>
      <w:r w:rsidRPr="00416C4A">
        <w:t>ll variables are defined in the appendix.</w:t>
      </w:r>
    </w:p>
    <w:p w14:paraId="035F9D8B" w14:textId="77777777" w:rsidR="005F74E8" w:rsidRPr="00416C4A" w:rsidRDefault="005F74E8" w:rsidP="00B127F0">
      <w:pPr>
        <w:spacing w:line="480" w:lineRule="auto"/>
        <w:jc w:val="both"/>
      </w:pPr>
    </w:p>
    <w:p w14:paraId="7EF45262" w14:textId="12EF5A15" w:rsidR="005F74E8" w:rsidRPr="00416C4A" w:rsidRDefault="005F74E8" w:rsidP="00B127F0">
      <w:pPr>
        <w:spacing w:line="480" w:lineRule="auto"/>
        <w:jc w:val="both"/>
        <w:sectPr w:rsidR="005F74E8" w:rsidRPr="00416C4A" w:rsidSect="00FA5EA7">
          <w:pgSz w:w="16838" w:h="11906" w:orient="landscape"/>
          <w:pgMar w:top="1440" w:right="1440" w:bottom="1440" w:left="1440" w:header="708" w:footer="708" w:gutter="0"/>
          <w:cols w:space="708"/>
          <w:docGrid w:linePitch="360"/>
        </w:sectPr>
      </w:pPr>
    </w:p>
    <w:p w14:paraId="4DA1B79E" w14:textId="24126B1A" w:rsidR="000132B2" w:rsidRPr="00416C4A" w:rsidRDefault="000132B2">
      <w:pPr>
        <w:rPr>
          <w:b/>
          <w:bCs/>
        </w:rPr>
      </w:pPr>
    </w:p>
    <w:p w14:paraId="4983DCDD" w14:textId="03D08FA2" w:rsidR="00B127F0" w:rsidRPr="00416C4A" w:rsidRDefault="00D96DFB" w:rsidP="003A21D3">
      <w:pPr>
        <w:spacing w:line="480" w:lineRule="auto"/>
        <w:jc w:val="center"/>
      </w:pPr>
      <w:r w:rsidRPr="00416C4A">
        <w:rPr>
          <w:b/>
          <w:bCs/>
        </w:rPr>
        <w:t xml:space="preserve">Table </w:t>
      </w:r>
      <w:r w:rsidR="00926726" w:rsidRPr="00416C4A">
        <w:rPr>
          <w:b/>
          <w:bCs/>
        </w:rPr>
        <w:t>3</w:t>
      </w:r>
      <w:r w:rsidRPr="00416C4A">
        <w:rPr>
          <w:b/>
          <w:bCs/>
        </w:rPr>
        <w:t>:</w:t>
      </w:r>
      <w:r w:rsidRPr="00416C4A">
        <w:t xml:space="preserve"> </w:t>
      </w:r>
      <w:r w:rsidR="009613AB" w:rsidRPr="00416C4A">
        <w:rPr>
          <w:b/>
          <w:bCs/>
        </w:rPr>
        <w:t>O</w:t>
      </w:r>
      <w:r w:rsidR="002504F6">
        <w:rPr>
          <w:b/>
          <w:bCs/>
        </w:rPr>
        <w:t xml:space="preserve">rdinary </w:t>
      </w:r>
      <w:r w:rsidR="009613AB" w:rsidRPr="00416C4A">
        <w:rPr>
          <w:b/>
          <w:bCs/>
        </w:rPr>
        <w:t>L</w:t>
      </w:r>
      <w:r w:rsidR="002504F6">
        <w:rPr>
          <w:b/>
          <w:bCs/>
        </w:rPr>
        <w:t xml:space="preserve">east </w:t>
      </w:r>
      <w:r w:rsidR="009613AB" w:rsidRPr="00416C4A">
        <w:rPr>
          <w:b/>
          <w:bCs/>
        </w:rPr>
        <w:t>S</w:t>
      </w:r>
      <w:r w:rsidR="002504F6">
        <w:rPr>
          <w:b/>
          <w:bCs/>
        </w:rPr>
        <w:t>quares</w:t>
      </w:r>
      <w:r w:rsidR="009613AB" w:rsidRPr="00416C4A">
        <w:rPr>
          <w:b/>
          <w:bCs/>
        </w:rPr>
        <w:t xml:space="preserve"> model for %Female (H1)</w:t>
      </w:r>
    </w:p>
    <w:tbl>
      <w:tblPr>
        <w:tblStyle w:val="TableGrid"/>
        <w:tblW w:w="0" w:type="auto"/>
        <w:jc w:val="center"/>
        <w:tblLook w:val="04A0" w:firstRow="1" w:lastRow="0" w:firstColumn="1" w:lastColumn="0" w:noHBand="0" w:noVBand="1"/>
      </w:tblPr>
      <w:tblGrid>
        <w:gridCol w:w="2547"/>
        <w:gridCol w:w="2131"/>
        <w:gridCol w:w="1276"/>
      </w:tblGrid>
      <w:tr w:rsidR="00416C4A" w:rsidRPr="00416C4A" w14:paraId="3123618A" w14:textId="77777777" w:rsidTr="003A21D3">
        <w:trPr>
          <w:jc w:val="center"/>
        </w:trPr>
        <w:tc>
          <w:tcPr>
            <w:tcW w:w="2547" w:type="dxa"/>
            <w:tcBorders>
              <w:left w:val="nil"/>
              <w:right w:val="nil"/>
            </w:tcBorders>
          </w:tcPr>
          <w:p w14:paraId="273A7181" w14:textId="77777777" w:rsidR="00B127F0" w:rsidRPr="00416C4A" w:rsidRDefault="00B127F0" w:rsidP="00B127F0">
            <w:pPr>
              <w:spacing w:line="480" w:lineRule="auto"/>
              <w:jc w:val="both"/>
            </w:pPr>
          </w:p>
        </w:tc>
        <w:tc>
          <w:tcPr>
            <w:tcW w:w="2131" w:type="dxa"/>
            <w:tcBorders>
              <w:left w:val="nil"/>
              <w:right w:val="nil"/>
            </w:tcBorders>
            <w:vAlign w:val="center"/>
          </w:tcPr>
          <w:p w14:paraId="08212DC5" w14:textId="6FDC2D59" w:rsidR="00B127F0" w:rsidRPr="00416C4A" w:rsidRDefault="00D96DFB" w:rsidP="00B127F0">
            <w:pPr>
              <w:spacing w:line="480" w:lineRule="auto"/>
              <w:jc w:val="center"/>
            </w:pPr>
            <w:r w:rsidRPr="00416C4A">
              <w:t>Coefficient</w:t>
            </w:r>
          </w:p>
        </w:tc>
        <w:tc>
          <w:tcPr>
            <w:tcW w:w="1276" w:type="dxa"/>
            <w:tcBorders>
              <w:left w:val="nil"/>
              <w:right w:val="single" w:sz="4" w:space="0" w:color="FFFFFF" w:themeColor="background1"/>
            </w:tcBorders>
            <w:vAlign w:val="center"/>
          </w:tcPr>
          <w:p w14:paraId="7BE5921D" w14:textId="4D41D28A" w:rsidR="00B127F0" w:rsidRPr="00416C4A" w:rsidRDefault="00D96DFB" w:rsidP="00B127F0">
            <w:pPr>
              <w:spacing w:line="480" w:lineRule="auto"/>
              <w:jc w:val="center"/>
            </w:pPr>
            <w:r w:rsidRPr="00416C4A">
              <w:t>P-value</w:t>
            </w:r>
          </w:p>
        </w:tc>
      </w:tr>
      <w:tr w:rsidR="00416C4A" w:rsidRPr="00416C4A" w14:paraId="0250D04E" w14:textId="77777777" w:rsidTr="003A21D3">
        <w:trPr>
          <w:jc w:val="center"/>
        </w:trPr>
        <w:tc>
          <w:tcPr>
            <w:tcW w:w="2547" w:type="dxa"/>
            <w:tcBorders>
              <w:left w:val="single" w:sz="4" w:space="0" w:color="FFFFFF" w:themeColor="background1"/>
              <w:bottom w:val="single" w:sz="4" w:space="0" w:color="FFFFFF"/>
              <w:right w:val="single" w:sz="4" w:space="0" w:color="FFFFFF" w:themeColor="background1"/>
            </w:tcBorders>
          </w:tcPr>
          <w:p w14:paraId="3561C07A" w14:textId="77777777" w:rsidR="00B127F0" w:rsidRPr="00416C4A" w:rsidRDefault="00D96DFB" w:rsidP="00B127F0">
            <w:pPr>
              <w:spacing w:line="480" w:lineRule="auto"/>
              <w:jc w:val="both"/>
              <w:rPr>
                <w:b/>
                <w:bCs/>
              </w:rPr>
            </w:pPr>
            <w:r w:rsidRPr="00416C4A">
              <w:rPr>
                <w:b/>
                <w:bCs/>
              </w:rPr>
              <w:t xml:space="preserve">Y2014 </w:t>
            </w:r>
          </w:p>
        </w:tc>
        <w:tc>
          <w:tcPr>
            <w:tcW w:w="2131" w:type="dxa"/>
            <w:tcBorders>
              <w:left w:val="single" w:sz="4" w:space="0" w:color="FFFFFF" w:themeColor="background1"/>
              <w:bottom w:val="single" w:sz="4" w:space="0" w:color="FFFFFF"/>
              <w:right w:val="single" w:sz="4" w:space="0" w:color="FFFFFF" w:themeColor="background1"/>
            </w:tcBorders>
          </w:tcPr>
          <w:p w14:paraId="0221DDE4" w14:textId="47395DAE" w:rsidR="00B127F0" w:rsidRPr="00416C4A" w:rsidRDefault="00D96DFB" w:rsidP="00B127F0">
            <w:pPr>
              <w:spacing w:line="480" w:lineRule="auto"/>
              <w:jc w:val="center"/>
              <w:rPr>
                <w:b/>
                <w:bCs/>
              </w:rPr>
            </w:pPr>
            <w:r w:rsidRPr="00416C4A">
              <w:rPr>
                <w:b/>
                <w:bCs/>
              </w:rPr>
              <w:t>3.</w:t>
            </w:r>
            <w:r w:rsidR="00BF1FF2" w:rsidRPr="00416C4A">
              <w:rPr>
                <w:b/>
                <w:bCs/>
              </w:rPr>
              <w:t>7</w:t>
            </w:r>
            <w:r w:rsidR="00F959AE" w:rsidRPr="00416C4A">
              <w:rPr>
                <w:b/>
                <w:bCs/>
              </w:rPr>
              <w:t>3</w:t>
            </w:r>
          </w:p>
        </w:tc>
        <w:tc>
          <w:tcPr>
            <w:tcW w:w="1276" w:type="dxa"/>
            <w:tcBorders>
              <w:left w:val="single" w:sz="4" w:space="0" w:color="FFFFFF" w:themeColor="background1"/>
              <w:bottom w:val="single" w:sz="4" w:space="0" w:color="FFFFFF"/>
              <w:right w:val="single" w:sz="4" w:space="0" w:color="FFFFFF" w:themeColor="background1"/>
            </w:tcBorders>
          </w:tcPr>
          <w:p w14:paraId="684A37F0" w14:textId="788DF3A9" w:rsidR="00B127F0" w:rsidRPr="00416C4A" w:rsidRDefault="00D96DFB" w:rsidP="00B127F0">
            <w:pPr>
              <w:spacing w:line="480" w:lineRule="auto"/>
              <w:jc w:val="center"/>
              <w:rPr>
                <w:b/>
                <w:bCs/>
              </w:rPr>
            </w:pPr>
            <w:r w:rsidRPr="00416C4A">
              <w:rPr>
                <w:b/>
                <w:bCs/>
              </w:rPr>
              <w:t>0.00</w:t>
            </w:r>
            <w:r w:rsidR="00851492" w:rsidRPr="00416C4A">
              <w:rPr>
                <w:b/>
                <w:bCs/>
              </w:rPr>
              <w:t>0</w:t>
            </w:r>
          </w:p>
        </w:tc>
      </w:tr>
      <w:tr w:rsidR="00416C4A" w:rsidRPr="00416C4A" w14:paraId="24884BFE" w14:textId="77777777" w:rsidTr="003A21D3">
        <w:trPr>
          <w:jc w:val="center"/>
        </w:trPr>
        <w:tc>
          <w:tcPr>
            <w:tcW w:w="2547"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153E9D8" w14:textId="77777777" w:rsidR="00B127F0" w:rsidRPr="00416C4A" w:rsidRDefault="00D96DFB" w:rsidP="00B127F0">
            <w:pPr>
              <w:spacing w:line="480" w:lineRule="auto"/>
              <w:jc w:val="both"/>
              <w:rPr>
                <w:b/>
                <w:bCs/>
              </w:rPr>
            </w:pPr>
            <w:r w:rsidRPr="00416C4A">
              <w:rPr>
                <w:b/>
                <w:bCs/>
              </w:rPr>
              <w:t>Y2016</w:t>
            </w:r>
          </w:p>
        </w:tc>
        <w:tc>
          <w:tcPr>
            <w:tcW w:w="213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B3EF570" w14:textId="0F8743EB" w:rsidR="00B127F0" w:rsidRPr="00416C4A" w:rsidRDefault="00D96DFB" w:rsidP="00B127F0">
            <w:pPr>
              <w:spacing w:line="480" w:lineRule="auto"/>
              <w:jc w:val="center"/>
              <w:rPr>
                <w:b/>
                <w:bCs/>
              </w:rPr>
            </w:pPr>
            <w:r w:rsidRPr="00416C4A">
              <w:rPr>
                <w:b/>
                <w:bCs/>
              </w:rPr>
              <w:t>7</w:t>
            </w:r>
            <w:r w:rsidR="00A662DF" w:rsidRPr="00416C4A">
              <w:rPr>
                <w:b/>
                <w:bCs/>
              </w:rPr>
              <w:t>.</w:t>
            </w:r>
            <w:r w:rsidRPr="00416C4A">
              <w:rPr>
                <w:b/>
                <w:bCs/>
              </w:rPr>
              <w:t>35</w:t>
            </w:r>
          </w:p>
        </w:tc>
        <w:tc>
          <w:tcPr>
            <w:tcW w:w="1276"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95A9EBA" w14:textId="77777777" w:rsidR="00B127F0" w:rsidRPr="00416C4A" w:rsidRDefault="00D96DFB" w:rsidP="00B127F0">
            <w:pPr>
              <w:spacing w:line="480" w:lineRule="auto"/>
              <w:jc w:val="center"/>
              <w:rPr>
                <w:b/>
                <w:bCs/>
              </w:rPr>
            </w:pPr>
            <w:r w:rsidRPr="00416C4A">
              <w:rPr>
                <w:b/>
                <w:bCs/>
              </w:rPr>
              <w:t>0.000</w:t>
            </w:r>
          </w:p>
        </w:tc>
      </w:tr>
      <w:tr w:rsidR="00416C4A" w:rsidRPr="00416C4A" w14:paraId="20266361" w14:textId="77777777" w:rsidTr="003A21D3">
        <w:trPr>
          <w:jc w:val="center"/>
        </w:trPr>
        <w:tc>
          <w:tcPr>
            <w:tcW w:w="2547"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1BD82405" w14:textId="77777777" w:rsidR="00B127F0" w:rsidRPr="00416C4A" w:rsidRDefault="00D96DFB" w:rsidP="00B127F0">
            <w:pPr>
              <w:spacing w:line="480" w:lineRule="auto"/>
              <w:jc w:val="both"/>
              <w:rPr>
                <w:b/>
                <w:bCs/>
              </w:rPr>
            </w:pPr>
            <w:r w:rsidRPr="00416C4A">
              <w:rPr>
                <w:b/>
                <w:bCs/>
              </w:rPr>
              <w:t>Y2018</w:t>
            </w:r>
          </w:p>
        </w:tc>
        <w:tc>
          <w:tcPr>
            <w:tcW w:w="213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DEA9800" w14:textId="245AA3BA" w:rsidR="00B127F0" w:rsidRPr="00416C4A" w:rsidRDefault="00D96DFB" w:rsidP="00B127F0">
            <w:pPr>
              <w:spacing w:line="480" w:lineRule="auto"/>
              <w:jc w:val="center"/>
              <w:rPr>
                <w:b/>
                <w:bCs/>
              </w:rPr>
            </w:pPr>
            <w:r w:rsidRPr="00416C4A">
              <w:rPr>
                <w:b/>
                <w:bCs/>
              </w:rPr>
              <w:t>1</w:t>
            </w:r>
            <w:r w:rsidR="00851492" w:rsidRPr="00416C4A">
              <w:rPr>
                <w:b/>
                <w:bCs/>
              </w:rPr>
              <w:t>1</w:t>
            </w:r>
            <w:r w:rsidRPr="00416C4A">
              <w:rPr>
                <w:b/>
                <w:bCs/>
              </w:rPr>
              <w:t>.</w:t>
            </w:r>
            <w:r w:rsidR="00A662DF" w:rsidRPr="00416C4A">
              <w:rPr>
                <w:b/>
                <w:bCs/>
              </w:rPr>
              <w:t>78</w:t>
            </w:r>
          </w:p>
        </w:tc>
        <w:tc>
          <w:tcPr>
            <w:tcW w:w="1276"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BD61D14" w14:textId="77777777" w:rsidR="00B127F0" w:rsidRPr="00416C4A" w:rsidRDefault="00D96DFB" w:rsidP="00B127F0">
            <w:pPr>
              <w:spacing w:line="480" w:lineRule="auto"/>
              <w:jc w:val="center"/>
              <w:rPr>
                <w:b/>
                <w:bCs/>
              </w:rPr>
            </w:pPr>
            <w:r w:rsidRPr="00416C4A">
              <w:rPr>
                <w:b/>
                <w:bCs/>
              </w:rPr>
              <w:t>0.000</w:t>
            </w:r>
          </w:p>
        </w:tc>
      </w:tr>
      <w:tr w:rsidR="00416C4A" w:rsidRPr="00416C4A" w14:paraId="1AB750D5" w14:textId="77777777" w:rsidTr="003A21D3">
        <w:trPr>
          <w:jc w:val="center"/>
        </w:trPr>
        <w:tc>
          <w:tcPr>
            <w:tcW w:w="2547"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BBF5547" w14:textId="77777777" w:rsidR="00B127F0" w:rsidRPr="00416C4A" w:rsidRDefault="00D96DFB" w:rsidP="00B127F0">
            <w:pPr>
              <w:spacing w:line="480" w:lineRule="auto"/>
              <w:jc w:val="both"/>
            </w:pPr>
            <w:proofErr w:type="spellStart"/>
            <w:r w:rsidRPr="00416C4A">
              <w:t>Female_Chair</w:t>
            </w:r>
            <w:proofErr w:type="spellEnd"/>
          </w:p>
        </w:tc>
        <w:tc>
          <w:tcPr>
            <w:tcW w:w="213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6378B36" w14:textId="3A56153D" w:rsidR="00B127F0" w:rsidRPr="00416C4A" w:rsidRDefault="00D96DFB" w:rsidP="00B127F0">
            <w:pPr>
              <w:spacing w:line="480" w:lineRule="auto"/>
              <w:jc w:val="center"/>
            </w:pPr>
            <w:r w:rsidRPr="00416C4A">
              <w:t>10.68</w:t>
            </w:r>
          </w:p>
        </w:tc>
        <w:tc>
          <w:tcPr>
            <w:tcW w:w="1276"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BE491B9" w14:textId="2E276E12" w:rsidR="00B127F0" w:rsidRPr="00416C4A" w:rsidRDefault="00D96DFB" w:rsidP="00B127F0">
            <w:pPr>
              <w:spacing w:line="480" w:lineRule="auto"/>
              <w:jc w:val="center"/>
            </w:pPr>
            <w:r w:rsidRPr="00416C4A">
              <w:t>0.</w:t>
            </w:r>
            <w:r w:rsidR="00614084" w:rsidRPr="00416C4A">
              <w:t>000</w:t>
            </w:r>
          </w:p>
        </w:tc>
      </w:tr>
      <w:tr w:rsidR="00416C4A" w:rsidRPr="00416C4A" w14:paraId="1EF0DF27" w14:textId="77777777" w:rsidTr="003A21D3">
        <w:trPr>
          <w:jc w:val="center"/>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A4C111" w14:textId="77777777" w:rsidR="00B127F0" w:rsidRPr="00416C4A" w:rsidRDefault="00D96DFB" w:rsidP="00B127F0">
            <w:pPr>
              <w:spacing w:line="480" w:lineRule="auto"/>
              <w:jc w:val="both"/>
            </w:pPr>
            <w:proofErr w:type="spellStart"/>
            <w:r w:rsidRPr="00416C4A">
              <w:t>Female_CEO</w:t>
            </w:r>
            <w:proofErr w:type="spellEnd"/>
          </w:p>
        </w:tc>
        <w:tc>
          <w:tcPr>
            <w:tcW w:w="21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8F59CF" w14:textId="12D01BA2" w:rsidR="00B127F0" w:rsidRPr="00416C4A" w:rsidRDefault="00D96DFB" w:rsidP="00B127F0">
            <w:pPr>
              <w:spacing w:line="480" w:lineRule="auto"/>
              <w:jc w:val="center"/>
            </w:pPr>
            <w:r w:rsidRPr="00416C4A">
              <w:t>2.</w:t>
            </w:r>
            <w:r w:rsidR="00FE2798" w:rsidRPr="00416C4A">
              <w:t>83</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750941" w14:textId="1D12CED6" w:rsidR="00B127F0" w:rsidRPr="00416C4A" w:rsidRDefault="00D96DFB" w:rsidP="00B127F0">
            <w:pPr>
              <w:spacing w:line="480" w:lineRule="auto"/>
              <w:jc w:val="center"/>
            </w:pPr>
            <w:r w:rsidRPr="00416C4A">
              <w:t>0.</w:t>
            </w:r>
            <w:r w:rsidR="00FE2798" w:rsidRPr="00416C4A">
              <w:t>154</w:t>
            </w:r>
          </w:p>
        </w:tc>
      </w:tr>
      <w:tr w:rsidR="00416C4A" w:rsidRPr="00416C4A" w14:paraId="1012AE56" w14:textId="77777777" w:rsidTr="00DC7D58">
        <w:trPr>
          <w:jc w:val="center"/>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18BC9F" w14:textId="16035A06" w:rsidR="00A662DF" w:rsidRPr="00416C4A" w:rsidRDefault="00D96DFB" w:rsidP="00B127F0">
            <w:pPr>
              <w:spacing w:line="480" w:lineRule="auto"/>
              <w:jc w:val="both"/>
            </w:pPr>
            <w:r w:rsidRPr="00416C4A">
              <w:t>%Executive Female</w:t>
            </w:r>
          </w:p>
        </w:tc>
        <w:tc>
          <w:tcPr>
            <w:tcW w:w="21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08F46F" w14:textId="08567AAC" w:rsidR="00A662DF" w:rsidRPr="00416C4A" w:rsidRDefault="00D96DFB" w:rsidP="00B127F0">
            <w:pPr>
              <w:spacing w:line="480" w:lineRule="auto"/>
              <w:jc w:val="center"/>
            </w:pPr>
            <w:r w:rsidRPr="00416C4A">
              <w:t>0.6</w:t>
            </w:r>
            <w:r w:rsidR="00FE2798" w:rsidRPr="00416C4A">
              <w:t>1</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96038A" w14:textId="1719D38B" w:rsidR="00A662DF" w:rsidRPr="00416C4A" w:rsidRDefault="00D96DFB" w:rsidP="00B127F0">
            <w:pPr>
              <w:spacing w:line="480" w:lineRule="auto"/>
              <w:jc w:val="center"/>
            </w:pPr>
            <w:r w:rsidRPr="00416C4A">
              <w:t>0.000</w:t>
            </w:r>
          </w:p>
        </w:tc>
      </w:tr>
      <w:tr w:rsidR="00416C4A" w:rsidRPr="00416C4A" w14:paraId="7CB0DF9B" w14:textId="77777777" w:rsidTr="00DC7D58">
        <w:trPr>
          <w:jc w:val="center"/>
        </w:trPr>
        <w:tc>
          <w:tcPr>
            <w:tcW w:w="2547" w:type="dxa"/>
            <w:tcBorders>
              <w:top w:val="single" w:sz="4" w:space="0" w:color="FFFFFF" w:themeColor="background1"/>
              <w:left w:val="single" w:sz="4" w:space="0" w:color="FFFFFF" w:themeColor="background1"/>
              <w:bottom w:val="nil"/>
              <w:right w:val="single" w:sz="4" w:space="0" w:color="FFFFFF" w:themeColor="background1"/>
            </w:tcBorders>
          </w:tcPr>
          <w:p w14:paraId="637F7480" w14:textId="3A37AE07" w:rsidR="00DC7D58" w:rsidRPr="00416C4A" w:rsidRDefault="00D96DFB" w:rsidP="00B127F0">
            <w:pPr>
              <w:spacing w:line="480" w:lineRule="auto"/>
              <w:jc w:val="both"/>
            </w:pPr>
            <w:r w:rsidRPr="00416C4A">
              <w:t>Constant</w:t>
            </w:r>
          </w:p>
        </w:tc>
        <w:tc>
          <w:tcPr>
            <w:tcW w:w="3407"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BA53A0D" w14:textId="69FA71BC" w:rsidR="00DC7D58" w:rsidRPr="00416C4A" w:rsidRDefault="00D96DFB" w:rsidP="00B127F0">
            <w:pPr>
              <w:spacing w:line="480" w:lineRule="auto"/>
              <w:jc w:val="center"/>
            </w:pPr>
            <w:r w:rsidRPr="00416C4A">
              <w:t>Included</w:t>
            </w:r>
          </w:p>
        </w:tc>
      </w:tr>
      <w:tr w:rsidR="00416C4A" w:rsidRPr="00416C4A" w14:paraId="3773712B" w14:textId="77777777" w:rsidTr="00DC7D58">
        <w:trPr>
          <w:jc w:val="center"/>
        </w:trPr>
        <w:tc>
          <w:tcPr>
            <w:tcW w:w="2547" w:type="dxa"/>
            <w:tcBorders>
              <w:top w:val="nil"/>
              <w:left w:val="single" w:sz="4" w:space="0" w:color="FFFFFF" w:themeColor="background1"/>
              <w:bottom w:val="single" w:sz="4" w:space="0" w:color="auto"/>
              <w:right w:val="single" w:sz="4" w:space="0" w:color="FFFFFF" w:themeColor="background1"/>
            </w:tcBorders>
          </w:tcPr>
          <w:p w14:paraId="19AD9B29" w14:textId="783585A1" w:rsidR="00B127F0" w:rsidRPr="00416C4A" w:rsidRDefault="00D96DFB" w:rsidP="00B127F0">
            <w:pPr>
              <w:spacing w:line="480" w:lineRule="auto"/>
              <w:jc w:val="both"/>
            </w:pPr>
            <w:r w:rsidRPr="00416C4A">
              <w:t>Industry FE</w:t>
            </w:r>
          </w:p>
        </w:tc>
        <w:tc>
          <w:tcPr>
            <w:tcW w:w="3407" w:type="dxa"/>
            <w:gridSpan w:val="2"/>
            <w:tcBorders>
              <w:top w:val="nil"/>
              <w:left w:val="single" w:sz="4" w:space="0" w:color="FFFFFF" w:themeColor="background1"/>
              <w:bottom w:val="single" w:sz="4" w:space="0" w:color="auto"/>
              <w:right w:val="single" w:sz="4" w:space="0" w:color="FFFFFF" w:themeColor="background1"/>
            </w:tcBorders>
            <w:vAlign w:val="center"/>
          </w:tcPr>
          <w:p w14:paraId="34262C04" w14:textId="33F220E7" w:rsidR="00B127F0" w:rsidRPr="00416C4A" w:rsidRDefault="00D96DFB" w:rsidP="00B127F0">
            <w:pPr>
              <w:spacing w:line="480" w:lineRule="auto"/>
              <w:jc w:val="center"/>
            </w:pPr>
            <w:r w:rsidRPr="00416C4A">
              <w:t>Included</w:t>
            </w:r>
          </w:p>
        </w:tc>
      </w:tr>
      <w:tr w:rsidR="00416C4A" w:rsidRPr="00416C4A" w14:paraId="2BA5D523" w14:textId="77777777" w:rsidTr="003A21D3">
        <w:trPr>
          <w:jc w:val="center"/>
        </w:trPr>
        <w:tc>
          <w:tcPr>
            <w:tcW w:w="254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2C93EAF" w14:textId="77777777" w:rsidR="00B127F0" w:rsidRPr="00416C4A" w:rsidRDefault="00D96DFB" w:rsidP="00B127F0">
            <w:pPr>
              <w:spacing w:line="480" w:lineRule="auto"/>
            </w:pPr>
            <w:r w:rsidRPr="00416C4A">
              <w:t>Number of observations</w:t>
            </w:r>
          </w:p>
        </w:tc>
        <w:tc>
          <w:tcPr>
            <w:tcW w:w="3407"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D76A507" w14:textId="4A677812" w:rsidR="00B127F0" w:rsidRPr="00416C4A" w:rsidRDefault="00D96DFB" w:rsidP="00B127F0">
            <w:pPr>
              <w:spacing w:line="480" w:lineRule="auto"/>
              <w:jc w:val="center"/>
            </w:pPr>
            <w:r w:rsidRPr="00416C4A">
              <w:t>499</w:t>
            </w:r>
          </w:p>
        </w:tc>
      </w:tr>
      <w:tr w:rsidR="00733514" w:rsidRPr="00416C4A" w14:paraId="7B839A6E" w14:textId="77777777" w:rsidTr="003A21D3">
        <w:trPr>
          <w:jc w:val="center"/>
        </w:trPr>
        <w:tc>
          <w:tcPr>
            <w:tcW w:w="2547" w:type="dxa"/>
            <w:tcBorders>
              <w:top w:val="single" w:sz="4" w:space="0" w:color="FFFFFF"/>
              <w:left w:val="single" w:sz="4" w:space="0" w:color="FFFFFF" w:themeColor="background1"/>
              <w:right w:val="single" w:sz="4" w:space="0" w:color="FFFFFF" w:themeColor="background1"/>
            </w:tcBorders>
          </w:tcPr>
          <w:p w14:paraId="13EE6028" w14:textId="77777777" w:rsidR="00B127F0" w:rsidRPr="00416C4A" w:rsidRDefault="00D96DFB" w:rsidP="00B127F0">
            <w:pPr>
              <w:spacing w:line="480" w:lineRule="auto"/>
              <w:jc w:val="both"/>
            </w:pPr>
            <w:r w:rsidRPr="00416C4A">
              <w:t>Adj.  R</w:t>
            </w:r>
            <w:r w:rsidRPr="00416C4A">
              <w:rPr>
                <w:vertAlign w:val="superscript"/>
              </w:rPr>
              <w:t>2</w:t>
            </w:r>
          </w:p>
        </w:tc>
        <w:tc>
          <w:tcPr>
            <w:tcW w:w="3407" w:type="dxa"/>
            <w:gridSpan w:val="2"/>
            <w:tcBorders>
              <w:top w:val="single" w:sz="4" w:space="0" w:color="FFFFFF"/>
              <w:left w:val="single" w:sz="4" w:space="0" w:color="FFFFFF" w:themeColor="background1"/>
              <w:right w:val="single" w:sz="4" w:space="0" w:color="FFFFFF" w:themeColor="background1"/>
            </w:tcBorders>
            <w:vAlign w:val="center"/>
          </w:tcPr>
          <w:p w14:paraId="3AEB9A1A" w14:textId="7A940FA5" w:rsidR="00B127F0" w:rsidRPr="00416C4A" w:rsidRDefault="00D96DFB" w:rsidP="00B127F0">
            <w:pPr>
              <w:spacing w:line="480" w:lineRule="auto"/>
              <w:jc w:val="center"/>
            </w:pPr>
            <w:r w:rsidRPr="00416C4A">
              <w:t>40</w:t>
            </w:r>
            <w:r w:rsidR="00504915" w:rsidRPr="00416C4A">
              <w:t>.</w:t>
            </w:r>
            <w:r w:rsidR="00F44110" w:rsidRPr="00416C4A">
              <w:t>15</w:t>
            </w:r>
            <w:r w:rsidR="00504915" w:rsidRPr="00416C4A">
              <w:t>%</w:t>
            </w:r>
          </w:p>
        </w:tc>
      </w:tr>
    </w:tbl>
    <w:p w14:paraId="5CD5F20D" w14:textId="362C61BB" w:rsidR="00B127F0" w:rsidRPr="00416C4A" w:rsidRDefault="00B127F0" w:rsidP="00B127F0">
      <w:pPr>
        <w:spacing w:line="480" w:lineRule="auto"/>
        <w:jc w:val="both"/>
      </w:pPr>
    </w:p>
    <w:p w14:paraId="5FAE18F3" w14:textId="534CA6B1" w:rsidR="00167262" w:rsidRPr="00416C4A" w:rsidRDefault="00D96DFB" w:rsidP="00B127F0">
      <w:pPr>
        <w:spacing w:line="480" w:lineRule="auto"/>
        <w:jc w:val="both"/>
      </w:pPr>
      <w:r w:rsidRPr="00416C4A">
        <w:t xml:space="preserve">Note: </w:t>
      </w:r>
      <w:r w:rsidR="00F26554" w:rsidRPr="00416C4A">
        <w:t>We use two-tailed tests</w:t>
      </w:r>
      <w:r w:rsidR="002504F6">
        <w:t>. A</w:t>
      </w:r>
      <w:r w:rsidRPr="00416C4A">
        <w:t>ll variables are defined in the appendix.</w:t>
      </w:r>
    </w:p>
    <w:p w14:paraId="60A22114" w14:textId="77777777" w:rsidR="00167262" w:rsidRPr="00416C4A" w:rsidRDefault="00167262" w:rsidP="00B127F0">
      <w:pPr>
        <w:spacing w:line="480" w:lineRule="auto"/>
        <w:jc w:val="both"/>
      </w:pPr>
    </w:p>
    <w:p w14:paraId="217253A6" w14:textId="77777777" w:rsidR="00B127F0" w:rsidRPr="00416C4A" w:rsidRDefault="00B127F0" w:rsidP="00B127F0">
      <w:pPr>
        <w:spacing w:line="480" w:lineRule="auto"/>
        <w:jc w:val="both"/>
        <w:sectPr w:rsidR="00B127F0" w:rsidRPr="00416C4A" w:rsidSect="00B127F0">
          <w:pgSz w:w="11906" w:h="16838"/>
          <w:pgMar w:top="1440" w:right="1440" w:bottom="1440" w:left="1440" w:header="708" w:footer="708" w:gutter="0"/>
          <w:cols w:space="708"/>
          <w:docGrid w:linePitch="360"/>
        </w:sectPr>
      </w:pPr>
    </w:p>
    <w:p w14:paraId="36857BC7" w14:textId="1DB73CA8" w:rsidR="00DA6D79" w:rsidRPr="00416C4A" w:rsidRDefault="00D96DFB" w:rsidP="00DA6D79">
      <w:pPr>
        <w:spacing w:line="480" w:lineRule="auto"/>
        <w:jc w:val="center"/>
        <w:rPr>
          <w:b/>
          <w:bCs/>
        </w:rPr>
      </w:pPr>
      <w:r w:rsidRPr="00416C4A">
        <w:rPr>
          <w:b/>
          <w:bCs/>
        </w:rPr>
        <w:lastRenderedPageBreak/>
        <w:t xml:space="preserve">Table </w:t>
      </w:r>
      <w:r w:rsidR="00926726" w:rsidRPr="00416C4A">
        <w:rPr>
          <w:b/>
          <w:bCs/>
        </w:rPr>
        <w:t>4</w:t>
      </w:r>
      <w:r w:rsidRPr="00416C4A">
        <w:rPr>
          <w:b/>
          <w:bCs/>
        </w:rPr>
        <w:t>:</w:t>
      </w:r>
      <w:r w:rsidRPr="00416C4A">
        <w:t xml:space="preserve"> </w:t>
      </w:r>
      <w:r w:rsidRPr="00416C4A">
        <w:rPr>
          <w:b/>
          <w:bCs/>
        </w:rPr>
        <w:t>O</w:t>
      </w:r>
      <w:r w:rsidR="002504F6">
        <w:rPr>
          <w:b/>
          <w:bCs/>
        </w:rPr>
        <w:t xml:space="preserve">rdinary </w:t>
      </w:r>
      <w:r w:rsidRPr="00416C4A">
        <w:rPr>
          <w:b/>
          <w:bCs/>
        </w:rPr>
        <w:t>L</w:t>
      </w:r>
      <w:r w:rsidR="002504F6">
        <w:rPr>
          <w:b/>
          <w:bCs/>
        </w:rPr>
        <w:t xml:space="preserve">east </w:t>
      </w:r>
      <w:r w:rsidRPr="00416C4A">
        <w:rPr>
          <w:b/>
          <w:bCs/>
        </w:rPr>
        <w:t>S</w:t>
      </w:r>
      <w:r w:rsidR="002504F6">
        <w:rPr>
          <w:b/>
          <w:bCs/>
        </w:rPr>
        <w:t>quares</w:t>
      </w:r>
      <w:r w:rsidRPr="00416C4A">
        <w:rPr>
          <w:b/>
          <w:bCs/>
        </w:rPr>
        <w:t xml:space="preserve"> models for performance</w:t>
      </w:r>
    </w:p>
    <w:p w14:paraId="48C2D328" w14:textId="273B7BF1" w:rsidR="00DA6D79" w:rsidRPr="00416C4A" w:rsidRDefault="00D96DFB" w:rsidP="00DA6D79">
      <w:pPr>
        <w:spacing w:line="480" w:lineRule="auto"/>
        <w:jc w:val="center"/>
      </w:pPr>
      <w:r w:rsidRPr="00416C4A">
        <w:t>Panel A - Pooled sample (2012, 2014, 2016 and 2018)</w:t>
      </w:r>
    </w:p>
    <w:p w14:paraId="5AB07B9D" w14:textId="068E225A" w:rsidR="00B127F0" w:rsidRPr="00416C4A" w:rsidRDefault="00B127F0" w:rsidP="00B127F0">
      <w:pPr>
        <w:spacing w:line="480" w:lineRule="auto"/>
        <w:jc w:val="both"/>
      </w:pPr>
    </w:p>
    <w:tbl>
      <w:tblPr>
        <w:tblStyle w:val="TableGrid"/>
        <w:tblpPr w:leftFromText="180" w:rightFromText="180" w:vertAnchor="page" w:horzAnchor="margin" w:tblpY="2326"/>
        <w:tblW w:w="0" w:type="auto"/>
        <w:tblLayout w:type="fixed"/>
        <w:tblLook w:val="04A0" w:firstRow="1" w:lastRow="0" w:firstColumn="1" w:lastColumn="0" w:noHBand="0" w:noVBand="1"/>
      </w:tblPr>
      <w:tblGrid>
        <w:gridCol w:w="2263"/>
        <w:gridCol w:w="851"/>
        <w:gridCol w:w="992"/>
        <w:gridCol w:w="851"/>
        <w:gridCol w:w="971"/>
        <w:gridCol w:w="1009"/>
        <w:gridCol w:w="996"/>
        <w:gridCol w:w="1009"/>
        <w:gridCol w:w="996"/>
        <w:gridCol w:w="1009"/>
        <w:gridCol w:w="996"/>
        <w:gridCol w:w="1009"/>
        <w:gridCol w:w="996"/>
      </w:tblGrid>
      <w:tr w:rsidR="00416C4A" w:rsidRPr="00416C4A" w14:paraId="32D2D098" w14:textId="77777777" w:rsidTr="00366E97">
        <w:tc>
          <w:tcPr>
            <w:tcW w:w="2263" w:type="dxa"/>
            <w:vMerge w:val="restart"/>
            <w:tcBorders>
              <w:left w:val="single" w:sz="4" w:space="0" w:color="FFFFFF"/>
              <w:right w:val="single" w:sz="4" w:space="0" w:color="FFFFFF"/>
            </w:tcBorders>
            <w:vAlign w:val="center"/>
          </w:tcPr>
          <w:p w14:paraId="1116E849" w14:textId="77777777" w:rsidR="00B127F0" w:rsidRPr="00416C4A" w:rsidRDefault="00B127F0" w:rsidP="00DA6D79">
            <w:pPr>
              <w:spacing w:line="480" w:lineRule="auto"/>
              <w:jc w:val="center"/>
            </w:pPr>
          </w:p>
        </w:tc>
        <w:tc>
          <w:tcPr>
            <w:tcW w:w="5670" w:type="dxa"/>
            <w:gridSpan w:val="6"/>
            <w:tcBorders>
              <w:top w:val="single" w:sz="4" w:space="0" w:color="auto"/>
              <w:left w:val="single" w:sz="4" w:space="0" w:color="FFFFFF"/>
              <w:bottom w:val="nil"/>
            </w:tcBorders>
            <w:vAlign w:val="center"/>
          </w:tcPr>
          <w:p w14:paraId="36D9F330" w14:textId="77777777" w:rsidR="00B127F0" w:rsidRPr="00416C4A" w:rsidRDefault="00D96DFB" w:rsidP="00DA6D79">
            <w:pPr>
              <w:spacing w:line="480" w:lineRule="auto"/>
              <w:jc w:val="center"/>
            </w:pPr>
            <w:r w:rsidRPr="00416C4A">
              <w:t>ROA</w:t>
            </w:r>
          </w:p>
        </w:tc>
        <w:tc>
          <w:tcPr>
            <w:tcW w:w="6015" w:type="dxa"/>
            <w:gridSpan w:val="6"/>
            <w:tcBorders>
              <w:top w:val="single" w:sz="4" w:space="0" w:color="auto"/>
              <w:bottom w:val="nil"/>
              <w:right w:val="single" w:sz="4" w:space="0" w:color="FFFFFF"/>
            </w:tcBorders>
            <w:vAlign w:val="center"/>
          </w:tcPr>
          <w:p w14:paraId="62535AE4" w14:textId="77777777" w:rsidR="00B127F0" w:rsidRPr="00416C4A" w:rsidRDefault="00D96DFB" w:rsidP="00DA6D79">
            <w:pPr>
              <w:spacing w:line="480" w:lineRule="auto"/>
              <w:jc w:val="center"/>
            </w:pPr>
            <w:r w:rsidRPr="00416C4A">
              <w:t>Tobin’s Q</w:t>
            </w:r>
          </w:p>
        </w:tc>
      </w:tr>
      <w:tr w:rsidR="00416C4A" w:rsidRPr="00416C4A" w14:paraId="633F82F4" w14:textId="77777777" w:rsidTr="002D2CB2">
        <w:tc>
          <w:tcPr>
            <w:tcW w:w="2263" w:type="dxa"/>
            <w:vMerge/>
            <w:tcBorders>
              <w:left w:val="single" w:sz="4" w:space="0" w:color="FFFFFF"/>
              <w:right w:val="single" w:sz="4" w:space="0" w:color="FFFFFF"/>
            </w:tcBorders>
            <w:vAlign w:val="center"/>
          </w:tcPr>
          <w:p w14:paraId="5C99230B" w14:textId="77777777" w:rsidR="00B127F0" w:rsidRPr="00416C4A" w:rsidRDefault="00B127F0" w:rsidP="00DA6D79">
            <w:pPr>
              <w:spacing w:line="480" w:lineRule="auto"/>
              <w:jc w:val="center"/>
            </w:pPr>
          </w:p>
        </w:tc>
        <w:tc>
          <w:tcPr>
            <w:tcW w:w="1843" w:type="dxa"/>
            <w:gridSpan w:val="2"/>
            <w:tcBorders>
              <w:top w:val="nil"/>
              <w:left w:val="single" w:sz="4" w:space="0" w:color="FFFFFF"/>
              <w:bottom w:val="single" w:sz="4" w:space="0" w:color="auto"/>
              <w:right w:val="nil"/>
            </w:tcBorders>
            <w:vAlign w:val="center"/>
          </w:tcPr>
          <w:p w14:paraId="79E2564D" w14:textId="77777777" w:rsidR="00B127F0" w:rsidRPr="00416C4A" w:rsidRDefault="00D96DFB" w:rsidP="00DA6D79">
            <w:pPr>
              <w:spacing w:line="480" w:lineRule="auto"/>
              <w:jc w:val="center"/>
            </w:pPr>
            <w:r w:rsidRPr="00416C4A">
              <w:t>1</w:t>
            </w:r>
          </w:p>
        </w:tc>
        <w:tc>
          <w:tcPr>
            <w:tcW w:w="1822" w:type="dxa"/>
            <w:gridSpan w:val="2"/>
            <w:tcBorders>
              <w:top w:val="nil"/>
              <w:left w:val="nil"/>
              <w:bottom w:val="single" w:sz="4" w:space="0" w:color="auto"/>
              <w:right w:val="nil"/>
            </w:tcBorders>
            <w:vAlign w:val="center"/>
          </w:tcPr>
          <w:p w14:paraId="7B15CB18" w14:textId="77777777" w:rsidR="00B127F0" w:rsidRPr="00416C4A" w:rsidRDefault="00D96DFB" w:rsidP="00DA6D79">
            <w:pPr>
              <w:spacing w:line="480" w:lineRule="auto"/>
              <w:jc w:val="center"/>
            </w:pPr>
            <w:r w:rsidRPr="00416C4A">
              <w:t>2</w:t>
            </w:r>
          </w:p>
        </w:tc>
        <w:tc>
          <w:tcPr>
            <w:tcW w:w="2005" w:type="dxa"/>
            <w:gridSpan w:val="2"/>
            <w:tcBorders>
              <w:top w:val="nil"/>
              <w:left w:val="nil"/>
              <w:bottom w:val="single" w:sz="4" w:space="0" w:color="auto"/>
            </w:tcBorders>
            <w:vAlign w:val="center"/>
          </w:tcPr>
          <w:p w14:paraId="0E1D5321" w14:textId="77777777" w:rsidR="00B127F0" w:rsidRPr="00416C4A" w:rsidRDefault="00D96DFB" w:rsidP="00DA6D79">
            <w:pPr>
              <w:spacing w:line="480" w:lineRule="auto"/>
              <w:jc w:val="center"/>
            </w:pPr>
            <w:r w:rsidRPr="00416C4A">
              <w:t>3</w:t>
            </w:r>
          </w:p>
        </w:tc>
        <w:tc>
          <w:tcPr>
            <w:tcW w:w="2005" w:type="dxa"/>
            <w:gridSpan w:val="2"/>
            <w:tcBorders>
              <w:top w:val="nil"/>
              <w:bottom w:val="single" w:sz="4" w:space="0" w:color="auto"/>
              <w:right w:val="nil"/>
            </w:tcBorders>
            <w:vAlign w:val="center"/>
          </w:tcPr>
          <w:p w14:paraId="160AD2C3" w14:textId="77777777" w:rsidR="00B127F0" w:rsidRPr="00416C4A" w:rsidRDefault="00D96DFB" w:rsidP="00DA6D79">
            <w:pPr>
              <w:spacing w:line="480" w:lineRule="auto"/>
              <w:jc w:val="center"/>
            </w:pPr>
            <w:r w:rsidRPr="00416C4A">
              <w:t>1</w:t>
            </w:r>
          </w:p>
        </w:tc>
        <w:tc>
          <w:tcPr>
            <w:tcW w:w="2005" w:type="dxa"/>
            <w:gridSpan w:val="2"/>
            <w:tcBorders>
              <w:top w:val="nil"/>
              <w:left w:val="nil"/>
              <w:bottom w:val="single" w:sz="4" w:space="0" w:color="auto"/>
              <w:right w:val="nil"/>
            </w:tcBorders>
            <w:vAlign w:val="center"/>
          </w:tcPr>
          <w:p w14:paraId="3844380A" w14:textId="77777777" w:rsidR="00B127F0" w:rsidRPr="00416C4A" w:rsidRDefault="00D96DFB" w:rsidP="00DA6D79">
            <w:pPr>
              <w:spacing w:line="480" w:lineRule="auto"/>
              <w:jc w:val="center"/>
            </w:pPr>
            <w:r w:rsidRPr="00416C4A">
              <w:t>2</w:t>
            </w:r>
          </w:p>
        </w:tc>
        <w:tc>
          <w:tcPr>
            <w:tcW w:w="2005" w:type="dxa"/>
            <w:gridSpan w:val="2"/>
            <w:tcBorders>
              <w:top w:val="nil"/>
              <w:left w:val="nil"/>
              <w:bottom w:val="single" w:sz="4" w:space="0" w:color="auto"/>
              <w:right w:val="single" w:sz="4" w:space="0" w:color="FFFFFF"/>
            </w:tcBorders>
            <w:vAlign w:val="center"/>
          </w:tcPr>
          <w:p w14:paraId="2C26B020" w14:textId="77777777" w:rsidR="00B127F0" w:rsidRPr="00416C4A" w:rsidRDefault="00D96DFB" w:rsidP="00DA6D79">
            <w:pPr>
              <w:spacing w:line="480" w:lineRule="auto"/>
              <w:jc w:val="center"/>
            </w:pPr>
            <w:r w:rsidRPr="00416C4A">
              <w:t>3</w:t>
            </w:r>
          </w:p>
        </w:tc>
      </w:tr>
      <w:tr w:rsidR="00416C4A" w:rsidRPr="00416C4A" w14:paraId="02341F10" w14:textId="77777777" w:rsidTr="002D2CB2">
        <w:tc>
          <w:tcPr>
            <w:tcW w:w="2263" w:type="dxa"/>
            <w:vMerge/>
            <w:tcBorders>
              <w:left w:val="single" w:sz="4" w:space="0" w:color="FFFFFF"/>
              <w:right w:val="single" w:sz="4" w:space="0" w:color="FFFFFF"/>
            </w:tcBorders>
            <w:vAlign w:val="center"/>
          </w:tcPr>
          <w:p w14:paraId="168FC7D9" w14:textId="77777777" w:rsidR="00B127F0" w:rsidRPr="00416C4A" w:rsidRDefault="00B127F0" w:rsidP="00DA6D79">
            <w:pPr>
              <w:spacing w:line="480" w:lineRule="auto"/>
              <w:jc w:val="center"/>
            </w:pPr>
          </w:p>
        </w:tc>
        <w:tc>
          <w:tcPr>
            <w:tcW w:w="851" w:type="dxa"/>
            <w:tcBorders>
              <w:top w:val="single" w:sz="4" w:space="0" w:color="auto"/>
              <w:left w:val="single" w:sz="4" w:space="0" w:color="FFFFFF"/>
              <w:right w:val="nil"/>
            </w:tcBorders>
            <w:vAlign w:val="center"/>
          </w:tcPr>
          <w:p w14:paraId="24F29751" w14:textId="77777777" w:rsidR="00B127F0" w:rsidRPr="00416C4A" w:rsidRDefault="00D96DFB" w:rsidP="00DA6D79">
            <w:pPr>
              <w:spacing w:line="480" w:lineRule="auto"/>
              <w:jc w:val="center"/>
            </w:pPr>
            <w:r w:rsidRPr="00416C4A">
              <w:t>Coeff.</w:t>
            </w:r>
          </w:p>
        </w:tc>
        <w:tc>
          <w:tcPr>
            <w:tcW w:w="992" w:type="dxa"/>
            <w:tcBorders>
              <w:top w:val="single" w:sz="4" w:space="0" w:color="auto"/>
              <w:left w:val="nil"/>
              <w:right w:val="single" w:sz="4" w:space="0" w:color="auto"/>
            </w:tcBorders>
            <w:vAlign w:val="center"/>
          </w:tcPr>
          <w:p w14:paraId="09A3BCD8" w14:textId="153631B8" w:rsidR="00B127F0" w:rsidRPr="00416C4A" w:rsidRDefault="00D96DFB" w:rsidP="00DA6D79">
            <w:pPr>
              <w:spacing w:line="480" w:lineRule="auto"/>
              <w:jc w:val="center"/>
            </w:pPr>
            <w:r w:rsidRPr="00416C4A">
              <w:t>P-value</w:t>
            </w:r>
          </w:p>
        </w:tc>
        <w:tc>
          <w:tcPr>
            <w:tcW w:w="851" w:type="dxa"/>
            <w:tcBorders>
              <w:top w:val="single" w:sz="4" w:space="0" w:color="auto"/>
              <w:left w:val="single" w:sz="4" w:space="0" w:color="auto"/>
              <w:right w:val="nil"/>
            </w:tcBorders>
            <w:vAlign w:val="center"/>
          </w:tcPr>
          <w:p w14:paraId="699069B5" w14:textId="77777777" w:rsidR="00B127F0" w:rsidRPr="00416C4A" w:rsidRDefault="00D96DFB" w:rsidP="00DA6D79">
            <w:pPr>
              <w:spacing w:line="480" w:lineRule="auto"/>
              <w:jc w:val="center"/>
            </w:pPr>
            <w:r w:rsidRPr="00416C4A">
              <w:t>Coeff.</w:t>
            </w:r>
          </w:p>
        </w:tc>
        <w:tc>
          <w:tcPr>
            <w:tcW w:w="971" w:type="dxa"/>
            <w:tcBorders>
              <w:top w:val="single" w:sz="4" w:space="0" w:color="auto"/>
              <w:left w:val="nil"/>
            </w:tcBorders>
            <w:vAlign w:val="center"/>
          </w:tcPr>
          <w:p w14:paraId="64342A48" w14:textId="2E08893E" w:rsidR="00B127F0" w:rsidRPr="00416C4A" w:rsidRDefault="00D96DFB" w:rsidP="00DA6D79">
            <w:pPr>
              <w:spacing w:line="480" w:lineRule="auto"/>
              <w:jc w:val="center"/>
            </w:pPr>
            <w:r w:rsidRPr="00416C4A">
              <w:t>P-value</w:t>
            </w:r>
          </w:p>
        </w:tc>
        <w:tc>
          <w:tcPr>
            <w:tcW w:w="1009" w:type="dxa"/>
            <w:tcBorders>
              <w:top w:val="single" w:sz="4" w:space="0" w:color="auto"/>
              <w:right w:val="nil"/>
            </w:tcBorders>
            <w:vAlign w:val="center"/>
          </w:tcPr>
          <w:p w14:paraId="4046EAB7" w14:textId="77777777" w:rsidR="00B127F0" w:rsidRPr="00416C4A" w:rsidRDefault="00D96DFB" w:rsidP="00DA6D79">
            <w:pPr>
              <w:spacing w:line="480" w:lineRule="auto"/>
              <w:jc w:val="center"/>
            </w:pPr>
            <w:r w:rsidRPr="00416C4A">
              <w:t>Coeff.</w:t>
            </w:r>
          </w:p>
        </w:tc>
        <w:tc>
          <w:tcPr>
            <w:tcW w:w="996" w:type="dxa"/>
            <w:tcBorders>
              <w:top w:val="single" w:sz="4" w:space="0" w:color="auto"/>
              <w:left w:val="nil"/>
            </w:tcBorders>
            <w:vAlign w:val="center"/>
          </w:tcPr>
          <w:p w14:paraId="7BA75128" w14:textId="6492C3BD" w:rsidR="00B127F0" w:rsidRPr="00416C4A" w:rsidRDefault="00D96DFB" w:rsidP="00DA6D79">
            <w:pPr>
              <w:spacing w:line="480" w:lineRule="auto"/>
              <w:jc w:val="center"/>
            </w:pPr>
            <w:r w:rsidRPr="00416C4A">
              <w:t>P-value</w:t>
            </w:r>
          </w:p>
        </w:tc>
        <w:tc>
          <w:tcPr>
            <w:tcW w:w="1009" w:type="dxa"/>
            <w:tcBorders>
              <w:top w:val="single" w:sz="4" w:space="0" w:color="auto"/>
              <w:right w:val="nil"/>
            </w:tcBorders>
            <w:vAlign w:val="center"/>
          </w:tcPr>
          <w:p w14:paraId="5CE17433" w14:textId="77777777" w:rsidR="00B127F0" w:rsidRPr="00416C4A" w:rsidRDefault="00D96DFB" w:rsidP="00DA6D79">
            <w:pPr>
              <w:spacing w:line="480" w:lineRule="auto"/>
              <w:jc w:val="center"/>
            </w:pPr>
            <w:r w:rsidRPr="00416C4A">
              <w:t>Coeff.</w:t>
            </w:r>
          </w:p>
        </w:tc>
        <w:tc>
          <w:tcPr>
            <w:tcW w:w="996" w:type="dxa"/>
            <w:tcBorders>
              <w:top w:val="single" w:sz="4" w:space="0" w:color="auto"/>
              <w:left w:val="nil"/>
            </w:tcBorders>
            <w:vAlign w:val="center"/>
          </w:tcPr>
          <w:p w14:paraId="5033AE5B" w14:textId="680506AC" w:rsidR="00B127F0" w:rsidRPr="00416C4A" w:rsidRDefault="00D96DFB" w:rsidP="00DA6D79">
            <w:pPr>
              <w:spacing w:line="480" w:lineRule="auto"/>
              <w:jc w:val="center"/>
            </w:pPr>
            <w:r w:rsidRPr="00416C4A">
              <w:t>P-value</w:t>
            </w:r>
          </w:p>
        </w:tc>
        <w:tc>
          <w:tcPr>
            <w:tcW w:w="1009" w:type="dxa"/>
            <w:tcBorders>
              <w:top w:val="single" w:sz="4" w:space="0" w:color="auto"/>
              <w:right w:val="nil"/>
            </w:tcBorders>
            <w:vAlign w:val="center"/>
          </w:tcPr>
          <w:p w14:paraId="69B4AD20" w14:textId="77777777" w:rsidR="00B127F0" w:rsidRPr="00416C4A" w:rsidRDefault="00D96DFB" w:rsidP="00DA6D79">
            <w:pPr>
              <w:spacing w:line="480" w:lineRule="auto"/>
              <w:jc w:val="center"/>
            </w:pPr>
            <w:r w:rsidRPr="00416C4A">
              <w:t>Coeff.</w:t>
            </w:r>
          </w:p>
        </w:tc>
        <w:tc>
          <w:tcPr>
            <w:tcW w:w="996" w:type="dxa"/>
            <w:tcBorders>
              <w:top w:val="single" w:sz="4" w:space="0" w:color="auto"/>
              <w:left w:val="nil"/>
            </w:tcBorders>
            <w:vAlign w:val="center"/>
          </w:tcPr>
          <w:p w14:paraId="53629D2F" w14:textId="1351A903" w:rsidR="00B127F0" w:rsidRPr="00416C4A" w:rsidRDefault="00D96DFB" w:rsidP="00DA6D79">
            <w:pPr>
              <w:spacing w:line="480" w:lineRule="auto"/>
              <w:jc w:val="center"/>
            </w:pPr>
            <w:r w:rsidRPr="00416C4A">
              <w:t>P-value</w:t>
            </w:r>
          </w:p>
        </w:tc>
        <w:tc>
          <w:tcPr>
            <w:tcW w:w="1009" w:type="dxa"/>
            <w:tcBorders>
              <w:top w:val="single" w:sz="4" w:space="0" w:color="auto"/>
              <w:right w:val="nil"/>
            </w:tcBorders>
            <w:vAlign w:val="center"/>
          </w:tcPr>
          <w:p w14:paraId="0934F7E2" w14:textId="77777777" w:rsidR="00B127F0" w:rsidRPr="00416C4A" w:rsidRDefault="00D96DFB" w:rsidP="00DA6D79">
            <w:pPr>
              <w:spacing w:line="480" w:lineRule="auto"/>
              <w:jc w:val="center"/>
            </w:pPr>
            <w:r w:rsidRPr="00416C4A">
              <w:t>Coeff.</w:t>
            </w:r>
          </w:p>
        </w:tc>
        <w:tc>
          <w:tcPr>
            <w:tcW w:w="996" w:type="dxa"/>
            <w:tcBorders>
              <w:top w:val="single" w:sz="4" w:space="0" w:color="auto"/>
              <w:left w:val="nil"/>
              <w:right w:val="single" w:sz="4" w:space="0" w:color="FFFFFF"/>
            </w:tcBorders>
            <w:vAlign w:val="center"/>
          </w:tcPr>
          <w:p w14:paraId="50164A7B" w14:textId="6F05849F" w:rsidR="00B127F0" w:rsidRPr="00416C4A" w:rsidRDefault="00D96DFB" w:rsidP="00DA6D79">
            <w:pPr>
              <w:spacing w:line="480" w:lineRule="auto"/>
              <w:jc w:val="center"/>
            </w:pPr>
            <w:r w:rsidRPr="00416C4A">
              <w:t>P-value</w:t>
            </w:r>
          </w:p>
        </w:tc>
      </w:tr>
      <w:tr w:rsidR="00416C4A" w:rsidRPr="00416C4A" w14:paraId="50663E1C" w14:textId="77777777" w:rsidTr="00DA6D79">
        <w:tc>
          <w:tcPr>
            <w:tcW w:w="2263" w:type="dxa"/>
            <w:tcBorders>
              <w:left w:val="single" w:sz="4" w:space="0" w:color="FFFFFF"/>
              <w:bottom w:val="single" w:sz="4" w:space="0" w:color="FFFFFF" w:themeColor="background1"/>
              <w:right w:val="single" w:sz="4" w:space="0" w:color="FFFFFF"/>
            </w:tcBorders>
            <w:vAlign w:val="center"/>
          </w:tcPr>
          <w:p w14:paraId="24985C24" w14:textId="77777777" w:rsidR="00B127F0" w:rsidRPr="00416C4A" w:rsidRDefault="00D96DFB" w:rsidP="00DA6D79">
            <w:pPr>
              <w:spacing w:line="480" w:lineRule="auto"/>
              <w:rPr>
                <w:b/>
              </w:rPr>
            </w:pPr>
            <w:r w:rsidRPr="00416C4A">
              <w:rPr>
                <w:b/>
              </w:rPr>
              <w:t>%Female</w:t>
            </w:r>
          </w:p>
        </w:tc>
        <w:tc>
          <w:tcPr>
            <w:tcW w:w="851" w:type="dxa"/>
            <w:tcBorders>
              <w:left w:val="single" w:sz="4" w:space="0" w:color="FFFFFF"/>
              <w:bottom w:val="single" w:sz="4" w:space="0" w:color="FFFFFF" w:themeColor="background1"/>
              <w:right w:val="single" w:sz="4" w:space="0" w:color="FFFFFF"/>
            </w:tcBorders>
            <w:vAlign w:val="center"/>
          </w:tcPr>
          <w:p w14:paraId="041394D2" w14:textId="0B01558C" w:rsidR="00B127F0" w:rsidRPr="00416C4A" w:rsidRDefault="00D96DFB" w:rsidP="00DA6D79">
            <w:pPr>
              <w:spacing w:line="480" w:lineRule="auto"/>
              <w:jc w:val="center"/>
              <w:rPr>
                <w:b/>
              </w:rPr>
            </w:pPr>
            <w:r w:rsidRPr="00416C4A">
              <w:rPr>
                <w:b/>
              </w:rPr>
              <w:t>0.1</w:t>
            </w:r>
            <w:r w:rsidR="004A239F" w:rsidRPr="00416C4A">
              <w:rPr>
                <w:b/>
              </w:rPr>
              <w:t>88</w:t>
            </w:r>
          </w:p>
        </w:tc>
        <w:tc>
          <w:tcPr>
            <w:tcW w:w="992" w:type="dxa"/>
            <w:tcBorders>
              <w:left w:val="single" w:sz="4" w:space="0" w:color="FFFFFF"/>
              <w:bottom w:val="single" w:sz="4" w:space="0" w:color="FFFFFF" w:themeColor="background1"/>
              <w:right w:val="single" w:sz="4" w:space="0" w:color="FFFFFF"/>
            </w:tcBorders>
            <w:vAlign w:val="center"/>
          </w:tcPr>
          <w:p w14:paraId="7E40E832" w14:textId="7EE89F94" w:rsidR="00B127F0" w:rsidRPr="00416C4A" w:rsidRDefault="00D96DFB" w:rsidP="00DA6D79">
            <w:pPr>
              <w:spacing w:line="480" w:lineRule="auto"/>
              <w:jc w:val="center"/>
              <w:rPr>
                <w:b/>
                <w:bCs/>
              </w:rPr>
            </w:pPr>
            <w:r w:rsidRPr="00416C4A">
              <w:rPr>
                <w:b/>
                <w:bCs/>
              </w:rPr>
              <w:t>0.0</w:t>
            </w:r>
            <w:r w:rsidR="004A239F" w:rsidRPr="00416C4A">
              <w:rPr>
                <w:b/>
                <w:bCs/>
              </w:rPr>
              <w:t>0</w:t>
            </w:r>
            <w:r w:rsidRPr="00416C4A">
              <w:rPr>
                <w:b/>
                <w:bCs/>
              </w:rPr>
              <w:t>1</w:t>
            </w:r>
          </w:p>
        </w:tc>
        <w:tc>
          <w:tcPr>
            <w:tcW w:w="851" w:type="dxa"/>
            <w:tcBorders>
              <w:left w:val="single" w:sz="4" w:space="0" w:color="FFFFFF"/>
              <w:bottom w:val="single" w:sz="4" w:space="0" w:color="FFFFFF" w:themeColor="background1"/>
              <w:right w:val="single" w:sz="4" w:space="0" w:color="FFFFFF"/>
            </w:tcBorders>
            <w:vAlign w:val="center"/>
          </w:tcPr>
          <w:p w14:paraId="1B18B0F1" w14:textId="77777777" w:rsidR="00B127F0" w:rsidRPr="00416C4A" w:rsidRDefault="00B127F0" w:rsidP="00DA6D79">
            <w:pPr>
              <w:spacing w:line="480" w:lineRule="auto"/>
              <w:jc w:val="center"/>
              <w:rPr>
                <w:b/>
              </w:rPr>
            </w:pPr>
          </w:p>
        </w:tc>
        <w:tc>
          <w:tcPr>
            <w:tcW w:w="971" w:type="dxa"/>
            <w:tcBorders>
              <w:left w:val="single" w:sz="4" w:space="0" w:color="FFFFFF"/>
              <w:bottom w:val="single" w:sz="4" w:space="0" w:color="FFFFFF" w:themeColor="background1"/>
              <w:right w:val="single" w:sz="4" w:space="0" w:color="FFFFFF"/>
            </w:tcBorders>
            <w:vAlign w:val="center"/>
          </w:tcPr>
          <w:p w14:paraId="1D48BAE3" w14:textId="77777777" w:rsidR="00B127F0" w:rsidRPr="00416C4A" w:rsidRDefault="00B127F0" w:rsidP="00DA6D79">
            <w:pPr>
              <w:spacing w:line="480" w:lineRule="auto"/>
              <w:jc w:val="center"/>
              <w:rPr>
                <w:b/>
              </w:rPr>
            </w:pPr>
          </w:p>
        </w:tc>
        <w:tc>
          <w:tcPr>
            <w:tcW w:w="1009" w:type="dxa"/>
            <w:tcBorders>
              <w:left w:val="single" w:sz="4" w:space="0" w:color="FFFFFF"/>
              <w:bottom w:val="single" w:sz="4" w:space="0" w:color="FFFFFF" w:themeColor="background1"/>
              <w:right w:val="single" w:sz="4" w:space="0" w:color="FFFFFF"/>
            </w:tcBorders>
            <w:vAlign w:val="center"/>
          </w:tcPr>
          <w:p w14:paraId="0A3645D3" w14:textId="2B78CBBE" w:rsidR="00B127F0" w:rsidRPr="00416C4A" w:rsidRDefault="00D96DFB" w:rsidP="00DA6D79">
            <w:pPr>
              <w:spacing w:line="480" w:lineRule="auto"/>
              <w:jc w:val="center"/>
              <w:rPr>
                <w:b/>
              </w:rPr>
            </w:pPr>
            <w:r w:rsidRPr="00416C4A">
              <w:rPr>
                <w:b/>
              </w:rPr>
              <w:t>0.1</w:t>
            </w:r>
            <w:r w:rsidR="007A4A0A" w:rsidRPr="00416C4A">
              <w:rPr>
                <w:b/>
              </w:rPr>
              <w:t>59</w:t>
            </w:r>
          </w:p>
        </w:tc>
        <w:tc>
          <w:tcPr>
            <w:tcW w:w="996" w:type="dxa"/>
            <w:tcBorders>
              <w:left w:val="single" w:sz="4" w:space="0" w:color="FFFFFF"/>
              <w:bottom w:val="single" w:sz="4" w:space="0" w:color="FFFFFF" w:themeColor="background1"/>
              <w:right w:val="single" w:sz="4" w:space="0" w:color="FFFFFF"/>
            </w:tcBorders>
            <w:vAlign w:val="center"/>
          </w:tcPr>
          <w:p w14:paraId="5F215B55" w14:textId="070B49D3" w:rsidR="00B127F0" w:rsidRPr="00416C4A" w:rsidRDefault="00D96DFB" w:rsidP="00DA6D79">
            <w:pPr>
              <w:spacing w:line="480" w:lineRule="auto"/>
              <w:jc w:val="center"/>
              <w:rPr>
                <w:b/>
                <w:bCs/>
              </w:rPr>
            </w:pPr>
            <w:r w:rsidRPr="00416C4A">
              <w:rPr>
                <w:b/>
                <w:bCs/>
              </w:rPr>
              <w:t>0.0</w:t>
            </w:r>
            <w:r w:rsidR="007A4A0A" w:rsidRPr="00416C4A">
              <w:rPr>
                <w:b/>
                <w:bCs/>
              </w:rPr>
              <w:t>04</w:t>
            </w:r>
          </w:p>
        </w:tc>
        <w:tc>
          <w:tcPr>
            <w:tcW w:w="1009" w:type="dxa"/>
            <w:tcBorders>
              <w:left w:val="single" w:sz="4" w:space="0" w:color="FFFFFF"/>
              <w:bottom w:val="single" w:sz="4" w:space="0" w:color="FFFFFF" w:themeColor="background1"/>
              <w:right w:val="single" w:sz="4" w:space="0" w:color="FFFFFF"/>
            </w:tcBorders>
            <w:vAlign w:val="center"/>
          </w:tcPr>
          <w:p w14:paraId="1DB9C81D" w14:textId="11989AFC" w:rsidR="00B127F0" w:rsidRPr="00416C4A" w:rsidRDefault="00D96DFB" w:rsidP="00DA6D79">
            <w:pPr>
              <w:spacing w:line="480" w:lineRule="auto"/>
              <w:jc w:val="center"/>
              <w:rPr>
                <w:b/>
              </w:rPr>
            </w:pPr>
            <w:r w:rsidRPr="00416C4A">
              <w:rPr>
                <w:b/>
              </w:rPr>
              <w:t>0.0</w:t>
            </w:r>
            <w:r w:rsidR="005216D7" w:rsidRPr="00416C4A">
              <w:rPr>
                <w:b/>
              </w:rPr>
              <w:t>08</w:t>
            </w:r>
          </w:p>
        </w:tc>
        <w:tc>
          <w:tcPr>
            <w:tcW w:w="996" w:type="dxa"/>
            <w:tcBorders>
              <w:left w:val="single" w:sz="4" w:space="0" w:color="FFFFFF"/>
              <w:bottom w:val="single" w:sz="4" w:space="0" w:color="FFFFFF" w:themeColor="background1"/>
              <w:right w:val="single" w:sz="4" w:space="0" w:color="FFFFFF"/>
            </w:tcBorders>
            <w:vAlign w:val="center"/>
          </w:tcPr>
          <w:p w14:paraId="7B3EBA27" w14:textId="0D9CF64E" w:rsidR="00B127F0" w:rsidRPr="00416C4A" w:rsidRDefault="00D96DFB" w:rsidP="00DA6D79">
            <w:pPr>
              <w:spacing w:line="480" w:lineRule="auto"/>
              <w:jc w:val="center"/>
              <w:rPr>
                <w:b/>
              </w:rPr>
            </w:pPr>
            <w:r w:rsidRPr="00416C4A">
              <w:rPr>
                <w:b/>
              </w:rPr>
              <w:t>0.0</w:t>
            </w:r>
            <w:r w:rsidR="005216D7" w:rsidRPr="00416C4A">
              <w:rPr>
                <w:b/>
              </w:rPr>
              <w:t>74</w:t>
            </w:r>
          </w:p>
        </w:tc>
        <w:tc>
          <w:tcPr>
            <w:tcW w:w="1009" w:type="dxa"/>
            <w:tcBorders>
              <w:left w:val="single" w:sz="4" w:space="0" w:color="FFFFFF"/>
              <w:bottom w:val="single" w:sz="4" w:space="0" w:color="FFFFFF" w:themeColor="background1"/>
              <w:right w:val="single" w:sz="4" w:space="0" w:color="FFFFFF"/>
            </w:tcBorders>
            <w:vAlign w:val="center"/>
          </w:tcPr>
          <w:p w14:paraId="30785E29" w14:textId="77777777" w:rsidR="00B127F0" w:rsidRPr="00416C4A" w:rsidRDefault="00B127F0" w:rsidP="00DA6D79">
            <w:pPr>
              <w:spacing w:line="480" w:lineRule="auto"/>
              <w:jc w:val="center"/>
              <w:rPr>
                <w:b/>
              </w:rPr>
            </w:pPr>
          </w:p>
        </w:tc>
        <w:tc>
          <w:tcPr>
            <w:tcW w:w="996" w:type="dxa"/>
            <w:tcBorders>
              <w:left w:val="single" w:sz="4" w:space="0" w:color="FFFFFF"/>
              <w:bottom w:val="single" w:sz="4" w:space="0" w:color="FFFFFF" w:themeColor="background1"/>
              <w:right w:val="single" w:sz="4" w:space="0" w:color="FFFFFF"/>
            </w:tcBorders>
            <w:vAlign w:val="center"/>
          </w:tcPr>
          <w:p w14:paraId="14C10544" w14:textId="77777777" w:rsidR="00B127F0" w:rsidRPr="00416C4A" w:rsidRDefault="00B127F0" w:rsidP="00DA6D79">
            <w:pPr>
              <w:spacing w:line="480" w:lineRule="auto"/>
              <w:jc w:val="center"/>
              <w:rPr>
                <w:b/>
              </w:rPr>
            </w:pPr>
          </w:p>
        </w:tc>
        <w:tc>
          <w:tcPr>
            <w:tcW w:w="1009" w:type="dxa"/>
            <w:tcBorders>
              <w:left w:val="single" w:sz="4" w:space="0" w:color="FFFFFF"/>
              <w:bottom w:val="single" w:sz="4" w:space="0" w:color="FFFFFF" w:themeColor="background1"/>
              <w:right w:val="single" w:sz="4" w:space="0" w:color="FFFFFF"/>
            </w:tcBorders>
            <w:vAlign w:val="center"/>
          </w:tcPr>
          <w:p w14:paraId="4BF3C849" w14:textId="712DF134" w:rsidR="00B127F0" w:rsidRPr="00416C4A" w:rsidRDefault="00D96DFB" w:rsidP="00DA6D79">
            <w:pPr>
              <w:spacing w:line="480" w:lineRule="auto"/>
              <w:jc w:val="center"/>
              <w:rPr>
                <w:b/>
              </w:rPr>
            </w:pPr>
            <w:r w:rsidRPr="00416C4A">
              <w:rPr>
                <w:b/>
              </w:rPr>
              <w:t>0.01</w:t>
            </w:r>
            <w:r w:rsidR="005B3993" w:rsidRPr="00416C4A">
              <w:rPr>
                <w:b/>
              </w:rPr>
              <w:t>2</w:t>
            </w:r>
          </w:p>
        </w:tc>
        <w:tc>
          <w:tcPr>
            <w:tcW w:w="996" w:type="dxa"/>
            <w:tcBorders>
              <w:left w:val="single" w:sz="4" w:space="0" w:color="FFFFFF"/>
              <w:bottom w:val="single" w:sz="4" w:space="0" w:color="FFFFFF" w:themeColor="background1"/>
              <w:right w:val="single" w:sz="4" w:space="0" w:color="FFFFFF"/>
            </w:tcBorders>
            <w:vAlign w:val="center"/>
          </w:tcPr>
          <w:p w14:paraId="62577667" w14:textId="1A2A973C" w:rsidR="00B127F0" w:rsidRPr="00416C4A" w:rsidRDefault="00D96DFB" w:rsidP="00DA6D79">
            <w:pPr>
              <w:spacing w:line="480" w:lineRule="auto"/>
              <w:jc w:val="center"/>
              <w:rPr>
                <w:b/>
              </w:rPr>
            </w:pPr>
            <w:r w:rsidRPr="00416C4A">
              <w:rPr>
                <w:b/>
              </w:rPr>
              <w:t>0.0</w:t>
            </w:r>
            <w:r w:rsidR="005B3993" w:rsidRPr="00416C4A">
              <w:rPr>
                <w:b/>
              </w:rPr>
              <w:t>1</w:t>
            </w:r>
            <w:r w:rsidRPr="00416C4A">
              <w:rPr>
                <w:b/>
              </w:rPr>
              <w:t>8</w:t>
            </w:r>
          </w:p>
        </w:tc>
      </w:tr>
      <w:tr w:rsidR="00416C4A" w:rsidRPr="00416C4A" w14:paraId="6DF03D79" w14:textId="77777777" w:rsidTr="00DA6D79">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D699933" w14:textId="3E23EBF6" w:rsidR="00B127F0" w:rsidRPr="00416C4A" w:rsidRDefault="00D96DFB" w:rsidP="00DA6D79">
            <w:pPr>
              <w:spacing w:line="480" w:lineRule="auto"/>
            </w:pPr>
            <w:r w:rsidRPr="00416C4A">
              <w:t>%Executive Female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7274258" w14:textId="77777777" w:rsidR="00B127F0" w:rsidRPr="00416C4A" w:rsidRDefault="00B127F0" w:rsidP="00DA6D79">
            <w:pPr>
              <w:spacing w:line="480" w:lineRule="auto"/>
              <w:jc w:val="center"/>
            </w:pP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8291DE3" w14:textId="77777777" w:rsidR="00B127F0" w:rsidRPr="00416C4A" w:rsidRDefault="00B127F0" w:rsidP="00DA6D79">
            <w:pPr>
              <w:spacing w:line="480" w:lineRule="auto"/>
              <w:jc w:val="center"/>
            </w:pP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C6C40DD" w14:textId="71680828" w:rsidR="00B127F0" w:rsidRPr="00416C4A" w:rsidRDefault="00D96DFB" w:rsidP="00DA6D79">
            <w:pPr>
              <w:spacing w:line="480" w:lineRule="auto"/>
              <w:jc w:val="center"/>
            </w:pPr>
            <w:r w:rsidRPr="00416C4A">
              <w:t>0.2</w:t>
            </w:r>
            <w:r w:rsidR="003F0AED" w:rsidRPr="00416C4A">
              <w:t>36</w:t>
            </w:r>
          </w:p>
        </w:tc>
        <w:tc>
          <w:tcPr>
            <w:tcW w:w="97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0014F5A" w14:textId="762E4476" w:rsidR="00B127F0" w:rsidRPr="00416C4A" w:rsidRDefault="00D96DFB" w:rsidP="00DA6D79">
            <w:pPr>
              <w:spacing w:line="480" w:lineRule="auto"/>
              <w:jc w:val="center"/>
            </w:pPr>
            <w:r w:rsidRPr="00416C4A">
              <w:t>0.0</w:t>
            </w:r>
            <w:r w:rsidR="003F0AED" w:rsidRPr="00416C4A">
              <w:t>43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D4E0D48" w14:textId="140243AB" w:rsidR="00B127F0" w:rsidRPr="00416C4A" w:rsidRDefault="00D96DFB" w:rsidP="00DA6D79">
            <w:pPr>
              <w:spacing w:line="480" w:lineRule="auto"/>
              <w:jc w:val="center"/>
            </w:pPr>
            <w:r w:rsidRPr="00416C4A">
              <w:t>0.1</w:t>
            </w:r>
            <w:r w:rsidR="008271E7" w:rsidRPr="00416C4A">
              <w:t>26</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66057FA" w14:textId="05BC6B79" w:rsidR="00B127F0" w:rsidRPr="00416C4A" w:rsidRDefault="00D96DFB" w:rsidP="00DA6D79">
            <w:pPr>
              <w:spacing w:line="480" w:lineRule="auto"/>
              <w:jc w:val="center"/>
            </w:pPr>
            <w:r w:rsidRPr="00416C4A">
              <w:t>0.26</w:t>
            </w:r>
            <w:r w:rsidR="008271E7" w:rsidRPr="00416C4A">
              <w:t>4</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91BDCF9" w14:textId="77777777" w:rsidR="00B127F0" w:rsidRPr="00416C4A" w:rsidRDefault="00B127F0" w:rsidP="00DA6D79">
            <w:pPr>
              <w:spacing w:line="480" w:lineRule="auto"/>
              <w:jc w:val="center"/>
            </w:pP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CF91D6B" w14:textId="77777777" w:rsidR="00B127F0" w:rsidRPr="00416C4A" w:rsidRDefault="00B127F0" w:rsidP="00DA6D79">
            <w:pPr>
              <w:spacing w:line="480" w:lineRule="auto"/>
              <w:jc w:val="center"/>
            </w:pP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BEA46FF" w14:textId="6BED7187" w:rsidR="00B127F0" w:rsidRPr="00416C4A" w:rsidRDefault="00D96DFB" w:rsidP="00DA6D79">
            <w:pPr>
              <w:spacing w:line="480" w:lineRule="auto"/>
              <w:jc w:val="center"/>
            </w:pPr>
            <w:r w:rsidRPr="00416C4A">
              <w:t>-0.00</w:t>
            </w:r>
            <w:r w:rsidR="00975E8F" w:rsidRPr="00416C4A">
              <w:t>6</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5B2762A" w14:textId="6CC94CDE" w:rsidR="00B127F0" w:rsidRPr="00416C4A" w:rsidRDefault="00D96DFB" w:rsidP="00DA6D79">
            <w:pPr>
              <w:spacing w:line="480" w:lineRule="auto"/>
              <w:jc w:val="center"/>
            </w:pPr>
            <w:r w:rsidRPr="00416C4A">
              <w:t>0.</w:t>
            </w:r>
            <w:r w:rsidR="00975E8F" w:rsidRPr="00416C4A">
              <w:t>55</w:t>
            </w:r>
            <w:r w:rsidRPr="00416C4A">
              <w:t>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A6BCE59" w14:textId="675AFD5D" w:rsidR="00B127F0" w:rsidRPr="00416C4A" w:rsidRDefault="00D96DFB" w:rsidP="00DA6D79">
            <w:pPr>
              <w:spacing w:line="480" w:lineRule="auto"/>
              <w:jc w:val="center"/>
            </w:pPr>
            <w:r w:rsidRPr="00416C4A">
              <w:t>-0.01</w:t>
            </w:r>
            <w:r w:rsidR="00E26ED3" w:rsidRPr="00416C4A">
              <w:t>4</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4D802CE" w14:textId="36A81B09" w:rsidR="00B127F0" w:rsidRPr="00416C4A" w:rsidRDefault="00D96DFB" w:rsidP="00DA6D79">
            <w:pPr>
              <w:spacing w:line="480" w:lineRule="auto"/>
              <w:jc w:val="center"/>
            </w:pPr>
            <w:r w:rsidRPr="00416C4A">
              <w:t>0.</w:t>
            </w:r>
            <w:r w:rsidR="00E26ED3" w:rsidRPr="00416C4A">
              <w:t>212</w:t>
            </w:r>
          </w:p>
        </w:tc>
      </w:tr>
      <w:tr w:rsidR="00416C4A" w:rsidRPr="00416C4A" w14:paraId="785B0AE6" w14:textId="77777777" w:rsidTr="00DA6D79">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4734458" w14:textId="75628F1A" w:rsidR="00B127F0" w:rsidRPr="00416C4A" w:rsidRDefault="00D96DFB" w:rsidP="00DA6D79">
            <w:pPr>
              <w:spacing w:line="480" w:lineRule="auto"/>
            </w:pPr>
            <w:r w:rsidRPr="00416C4A">
              <w:t xml:space="preserve">Board </w:t>
            </w:r>
            <w:r w:rsidR="003016D1" w:rsidRPr="00416C4A">
              <w:t>S</w:t>
            </w:r>
            <w:r w:rsidRPr="00416C4A">
              <w:t>ize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511A156" w14:textId="78A9CF85" w:rsidR="00B127F0" w:rsidRPr="00416C4A" w:rsidRDefault="00D96DFB" w:rsidP="00DA6D79">
            <w:pPr>
              <w:spacing w:line="480" w:lineRule="auto"/>
              <w:jc w:val="center"/>
            </w:pPr>
            <w:r w:rsidRPr="00416C4A">
              <w:t>-0.</w:t>
            </w:r>
            <w:r w:rsidR="004A239F" w:rsidRPr="00416C4A">
              <w:t>1</w:t>
            </w:r>
            <w:r w:rsidRPr="00416C4A">
              <w:t>5</w:t>
            </w:r>
            <w:r w:rsidR="004A239F" w:rsidRPr="00416C4A">
              <w:t>6</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0673104" w14:textId="0C9A0BAA" w:rsidR="00B127F0" w:rsidRPr="00416C4A" w:rsidRDefault="00D96DFB" w:rsidP="00DA6D79">
            <w:pPr>
              <w:spacing w:line="480" w:lineRule="auto"/>
              <w:jc w:val="center"/>
            </w:pPr>
            <w:r w:rsidRPr="00416C4A">
              <w:t>0.</w:t>
            </w:r>
            <w:r w:rsidR="00F2643C" w:rsidRPr="00416C4A">
              <w:t>594</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1D038F4" w14:textId="7CA5CB08" w:rsidR="00B127F0" w:rsidRPr="00416C4A" w:rsidRDefault="00D96DFB" w:rsidP="00DA6D79">
            <w:pPr>
              <w:spacing w:line="480" w:lineRule="auto"/>
              <w:jc w:val="center"/>
            </w:pPr>
            <w:r w:rsidRPr="00416C4A">
              <w:t>-0.</w:t>
            </w:r>
            <w:r w:rsidR="003F0AED" w:rsidRPr="00416C4A">
              <w:t>214</w:t>
            </w:r>
          </w:p>
        </w:tc>
        <w:tc>
          <w:tcPr>
            <w:tcW w:w="97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C259B97" w14:textId="621A44C1" w:rsidR="00B127F0" w:rsidRPr="00416C4A" w:rsidRDefault="00D96DFB" w:rsidP="00DA6D79">
            <w:pPr>
              <w:spacing w:line="480" w:lineRule="auto"/>
              <w:jc w:val="center"/>
            </w:pPr>
            <w:r w:rsidRPr="00416C4A">
              <w:t>0.</w:t>
            </w:r>
            <w:r w:rsidR="003F0AED" w:rsidRPr="00416C4A">
              <w:t>463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9CEDD79" w14:textId="5481E5E7" w:rsidR="00B127F0" w:rsidRPr="00416C4A" w:rsidRDefault="00D96DFB" w:rsidP="00DA6D79">
            <w:pPr>
              <w:spacing w:line="480" w:lineRule="auto"/>
              <w:jc w:val="center"/>
            </w:pPr>
            <w:r w:rsidRPr="00416C4A">
              <w:t>-0.</w:t>
            </w:r>
            <w:r w:rsidR="008271E7" w:rsidRPr="00416C4A">
              <w:t>168</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0136131" w14:textId="53DFD169" w:rsidR="00B127F0" w:rsidRPr="00416C4A" w:rsidRDefault="00D96DFB" w:rsidP="00DA6D79">
            <w:pPr>
              <w:spacing w:line="480" w:lineRule="auto"/>
              <w:jc w:val="center"/>
            </w:pPr>
            <w:r w:rsidRPr="00416C4A">
              <w:t>0.</w:t>
            </w:r>
            <w:r w:rsidR="008271E7" w:rsidRPr="00416C4A">
              <w:t>563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28486C5" w14:textId="698E05A6" w:rsidR="00B127F0" w:rsidRPr="00416C4A" w:rsidRDefault="00D96DFB" w:rsidP="00DA6D79">
            <w:pPr>
              <w:spacing w:line="480" w:lineRule="auto"/>
              <w:jc w:val="center"/>
            </w:pPr>
            <w:r w:rsidRPr="00416C4A">
              <w:t>0.0</w:t>
            </w:r>
            <w:r w:rsidR="005216D7" w:rsidRPr="00416C4A">
              <w:t>27</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132F1AF" w14:textId="40FF19AB" w:rsidR="00B127F0" w:rsidRPr="00416C4A" w:rsidRDefault="00D96DFB" w:rsidP="00DA6D79">
            <w:pPr>
              <w:spacing w:line="480" w:lineRule="auto"/>
              <w:jc w:val="center"/>
              <w:rPr>
                <w:bCs/>
              </w:rPr>
            </w:pPr>
            <w:r w:rsidRPr="00416C4A">
              <w:t>0.</w:t>
            </w:r>
            <w:r w:rsidR="005216D7" w:rsidRPr="00416C4A">
              <w:t>503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A6E904E" w14:textId="3635F4C6" w:rsidR="00B127F0" w:rsidRPr="00416C4A" w:rsidRDefault="00D96DFB" w:rsidP="00DA6D79">
            <w:pPr>
              <w:spacing w:line="480" w:lineRule="auto"/>
              <w:jc w:val="center"/>
            </w:pPr>
            <w:r w:rsidRPr="00416C4A">
              <w:t>0.0</w:t>
            </w:r>
            <w:r w:rsidR="00BF4811" w:rsidRPr="00416C4A">
              <w:t>26</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EA2CFFC" w14:textId="5BC3EA61" w:rsidR="00B127F0" w:rsidRPr="00416C4A" w:rsidRDefault="00D96DFB" w:rsidP="00DA6D79">
            <w:pPr>
              <w:spacing w:line="480" w:lineRule="auto"/>
              <w:jc w:val="center"/>
            </w:pPr>
            <w:r w:rsidRPr="00416C4A">
              <w:t>0.</w:t>
            </w:r>
            <w:r w:rsidR="00BF4811" w:rsidRPr="00416C4A">
              <w:t>524</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711D39D" w14:textId="09818F60" w:rsidR="00B127F0" w:rsidRPr="00416C4A" w:rsidRDefault="00D96DFB" w:rsidP="00DA6D79">
            <w:pPr>
              <w:spacing w:line="480" w:lineRule="auto"/>
              <w:jc w:val="center"/>
            </w:pPr>
            <w:r w:rsidRPr="00416C4A">
              <w:t>0.0</w:t>
            </w:r>
            <w:r w:rsidR="00E26ED3" w:rsidRPr="00416C4A">
              <w:t>29</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1EFD213" w14:textId="7B6D6F55" w:rsidR="00B127F0" w:rsidRPr="00416C4A" w:rsidRDefault="00D96DFB" w:rsidP="00DA6D79">
            <w:pPr>
              <w:spacing w:line="480" w:lineRule="auto"/>
              <w:jc w:val="center"/>
            </w:pPr>
            <w:r w:rsidRPr="00416C4A">
              <w:t>0.</w:t>
            </w:r>
            <w:r w:rsidR="00E26ED3" w:rsidRPr="00416C4A">
              <w:t>476</w:t>
            </w:r>
          </w:p>
        </w:tc>
      </w:tr>
      <w:tr w:rsidR="00416C4A" w:rsidRPr="00416C4A" w14:paraId="50CE0B0D" w14:textId="77777777" w:rsidTr="00DA6D79">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7BE1E40" w14:textId="0FCF1A67" w:rsidR="00B127F0" w:rsidRPr="00416C4A" w:rsidRDefault="00D96DFB" w:rsidP="00DA6D79">
            <w:pPr>
              <w:spacing w:line="480" w:lineRule="auto"/>
            </w:pPr>
            <w:r w:rsidRPr="00416C4A">
              <w:t xml:space="preserve">Firm </w:t>
            </w:r>
            <w:r w:rsidR="003016D1" w:rsidRPr="00416C4A">
              <w:t>S</w:t>
            </w:r>
            <w:r w:rsidRPr="00416C4A">
              <w:t>ize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39B7177" w14:textId="5E16A7DF" w:rsidR="00B127F0" w:rsidRPr="00416C4A" w:rsidRDefault="00D96DFB" w:rsidP="00DA6D79">
            <w:pPr>
              <w:spacing w:line="480" w:lineRule="auto"/>
              <w:jc w:val="center"/>
            </w:pPr>
            <w:r w:rsidRPr="00416C4A">
              <w:t>-</w:t>
            </w:r>
            <w:r w:rsidR="00F2643C" w:rsidRPr="00416C4A">
              <w:t>2</w:t>
            </w:r>
            <w:r w:rsidRPr="00416C4A">
              <w:t>.</w:t>
            </w:r>
            <w:r w:rsidR="00F2643C" w:rsidRPr="00416C4A">
              <w:t>516</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D5CB181" w14:textId="13ABC70C" w:rsidR="00B127F0" w:rsidRPr="00416C4A" w:rsidRDefault="00D96DFB" w:rsidP="00DA6D79">
            <w:pPr>
              <w:spacing w:line="480" w:lineRule="auto"/>
              <w:jc w:val="center"/>
              <w:rPr>
                <w:bCs/>
              </w:rPr>
            </w:pPr>
            <w:r w:rsidRPr="00416C4A">
              <w:rPr>
                <w:bCs/>
              </w:rPr>
              <w:t>0.0</w:t>
            </w:r>
            <w:r w:rsidR="00F2643C" w:rsidRPr="00416C4A">
              <w:rPr>
                <w:bCs/>
              </w:rPr>
              <w:t>21</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8128273" w14:textId="2D8A2E64" w:rsidR="00B127F0" w:rsidRPr="00416C4A" w:rsidRDefault="00D96DFB" w:rsidP="00DA6D79">
            <w:pPr>
              <w:spacing w:line="480" w:lineRule="auto"/>
              <w:jc w:val="center"/>
            </w:pPr>
            <w:r w:rsidRPr="00416C4A">
              <w:t>-</w:t>
            </w:r>
            <w:r w:rsidR="005F27DC" w:rsidRPr="00416C4A">
              <w:t>1</w:t>
            </w:r>
            <w:r w:rsidRPr="00416C4A">
              <w:t>.</w:t>
            </w:r>
            <w:r w:rsidR="005F27DC" w:rsidRPr="00416C4A">
              <w:t>980</w:t>
            </w:r>
          </w:p>
        </w:tc>
        <w:tc>
          <w:tcPr>
            <w:tcW w:w="97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9232E80" w14:textId="6C41F4DD" w:rsidR="00B127F0" w:rsidRPr="00416C4A" w:rsidRDefault="00D96DFB" w:rsidP="00DA6D79">
            <w:pPr>
              <w:spacing w:line="480" w:lineRule="auto"/>
              <w:jc w:val="center"/>
            </w:pPr>
            <w:r w:rsidRPr="00416C4A">
              <w:t>0.0</w:t>
            </w:r>
            <w:r w:rsidR="005F27DC" w:rsidRPr="00416C4A">
              <w:t>62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5BBAB3B" w14:textId="5ADFC6E3" w:rsidR="00B127F0" w:rsidRPr="00416C4A" w:rsidRDefault="00D96DFB" w:rsidP="00DA6D79">
            <w:pPr>
              <w:spacing w:line="480" w:lineRule="auto"/>
              <w:jc w:val="center"/>
            </w:pPr>
            <w:r w:rsidRPr="00416C4A">
              <w:t>-</w:t>
            </w:r>
            <w:r w:rsidR="008271E7" w:rsidRPr="00416C4A">
              <w:t>2</w:t>
            </w:r>
            <w:r w:rsidRPr="00416C4A">
              <w:t>.</w:t>
            </w:r>
            <w:r w:rsidR="006D3BFF" w:rsidRPr="00416C4A">
              <w:t>384</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BA4E242" w14:textId="708B3AED" w:rsidR="00B127F0" w:rsidRPr="00416C4A" w:rsidRDefault="00D96DFB" w:rsidP="00DA6D79">
            <w:pPr>
              <w:spacing w:line="480" w:lineRule="auto"/>
              <w:jc w:val="center"/>
              <w:rPr>
                <w:bCs/>
              </w:rPr>
            </w:pPr>
            <w:r w:rsidRPr="00416C4A">
              <w:rPr>
                <w:bCs/>
              </w:rPr>
              <w:t>0.0</w:t>
            </w:r>
            <w:r w:rsidR="006D3BFF" w:rsidRPr="00416C4A">
              <w:rPr>
                <w:bCs/>
              </w:rPr>
              <w:t>28</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F88C023" w14:textId="01FA0280" w:rsidR="00B127F0" w:rsidRPr="00416C4A" w:rsidRDefault="00D96DFB" w:rsidP="00DA6D79">
            <w:pPr>
              <w:spacing w:line="480" w:lineRule="auto"/>
              <w:jc w:val="center"/>
            </w:pPr>
            <w:r w:rsidRPr="00416C4A">
              <w:t>-0.</w:t>
            </w:r>
            <w:r w:rsidR="005216D7" w:rsidRPr="00416C4A">
              <w:t>18</w:t>
            </w:r>
            <w:r w:rsidRPr="00416C4A">
              <w:t>0</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C3FE776" w14:textId="065C3425" w:rsidR="00B127F0" w:rsidRPr="00416C4A" w:rsidRDefault="00D96DFB" w:rsidP="00DA6D79">
            <w:pPr>
              <w:spacing w:line="480" w:lineRule="auto"/>
              <w:jc w:val="center"/>
            </w:pPr>
            <w:r w:rsidRPr="00416C4A">
              <w:rPr>
                <w:bCs/>
              </w:rPr>
              <w:t>0.0</w:t>
            </w:r>
            <w:r w:rsidR="00533288" w:rsidRPr="00416C4A">
              <w:rPr>
                <w:bCs/>
              </w:rPr>
              <w:t>92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A9F9786" w14:textId="0C9F8748" w:rsidR="00B127F0" w:rsidRPr="00416C4A" w:rsidRDefault="00D96DFB" w:rsidP="00DA6D79">
            <w:pPr>
              <w:spacing w:line="480" w:lineRule="auto"/>
              <w:jc w:val="center"/>
            </w:pPr>
            <w:r w:rsidRPr="00416C4A">
              <w:t>-0.</w:t>
            </w:r>
            <w:r w:rsidR="00BF4811" w:rsidRPr="00416C4A">
              <w:t>1</w:t>
            </w:r>
            <w:r w:rsidRPr="00416C4A">
              <w:t>6</w:t>
            </w:r>
            <w:r w:rsidR="00BF4811" w:rsidRPr="00416C4A">
              <w:t>0</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784BAB0" w14:textId="599828FA" w:rsidR="00B127F0" w:rsidRPr="00416C4A" w:rsidRDefault="00D96DFB" w:rsidP="00DA6D79">
            <w:pPr>
              <w:spacing w:line="480" w:lineRule="auto"/>
              <w:jc w:val="center"/>
              <w:rPr>
                <w:bCs/>
              </w:rPr>
            </w:pPr>
            <w:r w:rsidRPr="00416C4A">
              <w:rPr>
                <w:bCs/>
              </w:rPr>
              <w:t>0.1</w:t>
            </w:r>
            <w:r w:rsidR="00BF4811" w:rsidRPr="00416C4A">
              <w:rPr>
                <w:bCs/>
              </w:rPr>
              <w:t>23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9FA9E98" w14:textId="49F754F0" w:rsidR="00B127F0" w:rsidRPr="00416C4A" w:rsidRDefault="00D96DFB" w:rsidP="00DA6D79">
            <w:pPr>
              <w:spacing w:line="480" w:lineRule="auto"/>
              <w:jc w:val="center"/>
            </w:pPr>
            <w:r w:rsidRPr="00416C4A">
              <w:t>-0.</w:t>
            </w:r>
            <w:r w:rsidR="00C454EB" w:rsidRPr="00416C4A">
              <w:t>193</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EA310F2" w14:textId="7C874BC2" w:rsidR="00B127F0" w:rsidRPr="00416C4A" w:rsidRDefault="00D96DFB" w:rsidP="00DA6D79">
            <w:pPr>
              <w:spacing w:line="480" w:lineRule="auto"/>
              <w:jc w:val="center"/>
              <w:rPr>
                <w:bCs/>
              </w:rPr>
            </w:pPr>
            <w:r w:rsidRPr="00416C4A">
              <w:rPr>
                <w:bCs/>
              </w:rPr>
              <w:t>0.0</w:t>
            </w:r>
            <w:r w:rsidR="00C454EB" w:rsidRPr="00416C4A">
              <w:rPr>
                <w:bCs/>
              </w:rPr>
              <w:t>65</w:t>
            </w:r>
          </w:p>
        </w:tc>
      </w:tr>
      <w:tr w:rsidR="00416C4A" w:rsidRPr="00416C4A" w14:paraId="506B994F" w14:textId="77777777" w:rsidTr="002637CF">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B8AC45F" w14:textId="77777777" w:rsidR="00B127F0" w:rsidRPr="00416C4A" w:rsidRDefault="00D96DFB" w:rsidP="00DA6D79">
            <w:pPr>
              <w:spacing w:line="480" w:lineRule="auto"/>
            </w:pPr>
            <w:r w:rsidRPr="00416C4A">
              <w:t>Leverage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59C3166" w14:textId="79646F95" w:rsidR="00B127F0" w:rsidRPr="00416C4A" w:rsidRDefault="00D96DFB" w:rsidP="00DA6D79">
            <w:pPr>
              <w:spacing w:line="480" w:lineRule="auto"/>
              <w:jc w:val="center"/>
            </w:pPr>
            <w:r w:rsidRPr="00416C4A">
              <w:t>-</w:t>
            </w:r>
            <w:r w:rsidR="0037169A" w:rsidRPr="00416C4A">
              <w:t>9</w:t>
            </w:r>
            <w:r w:rsidRPr="00416C4A">
              <w:t>.</w:t>
            </w:r>
            <w:r w:rsidR="0037169A" w:rsidRPr="00416C4A">
              <w:t>391</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41FFB6F" w14:textId="4E55F28E" w:rsidR="00B127F0" w:rsidRPr="00416C4A" w:rsidRDefault="00D96DFB" w:rsidP="00DA6D79">
            <w:pPr>
              <w:spacing w:line="480" w:lineRule="auto"/>
              <w:jc w:val="center"/>
            </w:pPr>
            <w:r w:rsidRPr="00416C4A">
              <w:t>0.0</w:t>
            </w:r>
            <w:r w:rsidR="0037169A" w:rsidRPr="00416C4A">
              <w:t>03</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9FDA1F2" w14:textId="7A2E6441" w:rsidR="00B127F0" w:rsidRPr="00416C4A" w:rsidRDefault="00D96DFB" w:rsidP="00DA6D79">
            <w:pPr>
              <w:spacing w:line="480" w:lineRule="auto"/>
              <w:jc w:val="center"/>
            </w:pPr>
            <w:r w:rsidRPr="00416C4A">
              <w:t>-</w:t>
            </w:r>
            <w:r w:rsidR="005F27DC" w:rsidRPr="00416C4A">
              <w:t>9</w:t>
            </w:r>
            <w:r w:rsidRPr="00416C4A">
              <w:t>.</w:t>
            </w:r>
            <w:r w:rsidR="005F27DC" w:rsidRPr="00416C4A">
              <w:t>51</w:t>
            </w:r>
            <w:r w:rsidRPr="00416C4A">
              <w:t>4</w:t>
            </w:r>
          </w:p>
        </w:tc>
        <w:tc>
          <w:tcPr>
            <w:tcW w:w="97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23AABD7" w14:textId="387A0F6C" w:rsidR="00B127F0" w:rsidRPr="00416C4A" w:rsidRDefault="00D96DFB" w:rsidP="00DA6D79">
            <w:pPr>
              <w:spacing w:line="480" w:lineRule="auto"/>
              <w:jc w:val="center"/>
            </w:pPr>
            <w:r w:rsidRPr="00416C4A">
              <w:t>0.0</w:t>
            </w:r>
            <w:r w:rsidR="005F27DC" w:rsidRPr="00416C4A">
              <w:t>02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FDF124D" w14:textId="3AA94892" w:rsidR="00B127F0" w:rsidRPr="00416C4A" w:rsidRDefault="00D96DFB" w:rsidP="00DA6D79">
            <w:pPr>
              <w:spacing w:line="480" w:lineRule="auto"/>
              <w:jc w:val="center"/>
            </w:pPr>
            <w:r w:rsidRPr="00416C4A">
              <w:t>-</w:t>
            </w:r>
            <w:r w:rsidR="006D3BFF" w:rsidRPr="00416C4A">
              <w:t>9</w:t>
            </w:r>
            <w:r w:rsidRPr="00416C4A">
              <w:t>.</w:t>
            </w:r>
            <w:r w:rsidR="006D3BFF" w:rsidRPr="00416C4A">
              <w:t>145</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BCDDA7A" w14:textId="2FE7D401" w:rsidR="00B127F0" w:rsidRPr="00416C4A" w:rsidRDefault="00D96DFB" w:rsidP="00DA6D79">
            <w:pPr>
              <w:spacing w:line="480" w:lineRule="auto"/>
              <w:jc w:val="center"/>
            </w:pPr>
            <w:r w:rsidRPr="00416C4A">
              <w:t>0.0</w:t>
            </w:r>
            <w:r w:rsidR="006D3BFF" w:rsidRPr="00416C4A">
              <w:t>03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3437799" w14:textId="3406E639" w:rsidR="00B127F0" w:rsidRPr="00416C4A" w:rsidRDefault="00D96DFB" w:rsidP="00DA6D79">
            <w:pPr>
              <w:spacing w:line="480" w:lineRule="auto"/>
              <w:jc w:val="center"/>
            </w:pPr>
            <w:r w:rsidRPr="00416C4A">
              <w:t>0.</w:t>
            </w:r>
            <w:r w:rsidR="00533288" w:rsidRPr="00416C4A">
              <w:t>181</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E501D65" w14:textId="3EEA002B" w:rsidR="00B127F0" w:rsidRPr="00416C4A" w:rsidRDefault="00D96DFB" w:rsidP="00DA6D79">
            <w:pPr>
              <w:spacing w:line="480" w:lineRule="auto"/>
              <w:jc w:val="center"/>
              <w:rPr>
                <w:bCs/>
              </w:rPr>
            </w:pPr>
            <w:r w:rsidRPr="00416C4A">
              <w:t>0.</w:t>
            </w:r>
            <w:r w:rsidR="00533288" w:rsidRPr="00416C4A">
              <w:t>377</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2848C59" w14:textId="0F38246D" w:rsidR="00B127F0" w:rsidRPr="00416C4A" w:rsidRDefault="00D96DFB" w:rsidP="00DA6D79">
            <w:pPr>
              <w:spacing w:line="480" w:lineRule="auto"/>
              <w:jc w:val="center"/>
            </w:pPr>
            <w:r w:rsidRPr="00416C4A">
              <w:t>0.1</w:t>
            </w:r>
            <w:r w:rsidR="006D0CA5" w:rsidRPr="00416C4A">
              <w:t>49</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209184F" w14:textId="7ED44985" w:rsidR="00B127F0" w:rsidRPr="00416C4A" w:rsidRDefault="00D96DFB" w:rsidP="00DA6D79">
            <w:pPr>
              <w:spacing w:line="480" w:lineRule="auto"/>
              <w:jc w:val="center"/>
            </w:pPr>
            <w:r w:rsidRPr="00416C4A">
              <w:t>0.</w:t>
            </w:r>
            <w:r w:rsidR="006D0CA5" w:rsidRPr="00416C4A">
              <w:t>482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1F670B4" w14:textId="2D748609" w:rsidR="00B127F0" w:rsidRPr="00416C4A" w:rsidRDefault="00D96DFB" w:rsidP="00DA6D79">
            <w:pPr>
              <w:spacing w:line="480" w:lineRule="auto"/>
              <w:jc w:val="center"/>
            </w:pPr>
            <w:r w:rsidRPr="00416C4A">
              <w:t>0.</w:t>
            </w:r>
            <w:r w:rsidR="00C454EB" w:rsidRPr="00416C4A">
              <w:t>159</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64E99B5" w14:textId="602EB207" w:rsidR="00B127F0" w:rsidRPr="00416C4A" w:rsidRDefault="00D96DFB" w:rsidP="00DA6D79">
            <w:pPr>
              <w:spacing w:line="480" w:lineRule="auto"/>
              <w:jc w:val="center"/>
            </w:pPr>
            <w:r w:rsidRPr="00416C4A">
              <w:t>0.</w:t>
            </w:r>
            <w:r w:rsidR="00C454EB" w:rsidRPr="00416C4A">
              <w:t>431</w:t>
            </w:r>
          </w:p>
        </w:tc>
      </w:tr>
      <w:tr w:rsidR="00416C4A" w:rsidRPr="00416C4A" w14:paraId="769A185F" w14:textId="77777777" w:rsidTr="00ED789E">
        <w:tc>
          <w:tcPr>
            <w:tcW w:w="2263" w:type="dxa"/>
            <w:tcBorders>
              <w:top w:val="single" w:sz="4" w:space="0" w:color="FFFFFF" w:themeColor="background1"/>
              <w:left w:val="single" w:sz="4" w:space="0" w:color="FFFFFF"/>
              <w:bottom w:val="single" w:sz="4" w:space="0" w:color="FFFFFF"/>
              <w:right w:val="single" w:sz="4" w:space="0" w:color="FFFFFF"/>
            </w:tcBorders>
            <w:vAlign w:val="center"/>
          </w:tcPr>
          <w:p w14:paraId="4AE53C66" w14:textId="77777777" w:rsidR="00B127F0" w:rsidRPr="00416C4A" w:rsidRDefault="00D96DFB" w:rsidP="00DA6D79">
            <w:pPr>
              <w:spacing w:line="480" w:lineRule="auto"/>
            </w:pPr>
            <w:r w:rsidRPr="00416C4A">
              <w:t>ROA</w:t>
            </w:r>
          </w:p>
        </w:tc>
        <w:tc>
          <w:tcPr>
            <w:tcW w:w="851" w:type="dxa"/>
            <w:tcBorders>
              <w:top w:val="single" w:sz="4" w:space="0" w:color="FFFFFF" w:themeColor="background1"/>
              <w:left w:val="single" w:sz="4" w:space="0" w:color="FFFFFF"/>
              <w:bottom w:val="single" w:sz="4" w:space="0" w:color="FFFFFF"/>
              <w:right w:val="single" w:sz="4" w:space="0" w:color="FFFFFF"/>
            </w:tcBorders>
            <w:vAlign w:val="center"/>
          </w:tcPr>
          <w:p w14:paraId="574AE095" w14:textId="77777777" w:rsidR="00B127F0" w:rsidRPr="00416C4A" w:rsidRDefault="00B127F0" w:rsidP="00DA6D79">
            <w:pPr>
              <w:spacing w:line="480" w:lineRule="auto"/>
              <w:jc w:val="center"/>
            </w:pPr>
          </w:p>
        </w:tc>
        <w:tc>
          <w:tcPr>
            <w:tcW w:w="992" w:type="dxa"/>
            <w:tcBorders>
              <w:top w:val="single" w:sz="4" w:space="0" w:color="FFFFFF" w:themeColor="background1"/>
              <w:left w:val="single" w:sz="4" w:space="0" w:color="FFFFFF"/>
              <w:bottom w:val="single" w:sz="4" w:space="0" w:color="FFFFFF"/>
              <w:right w:val="single" w:sz="4" w:space="0" w:color="FFFFFF"/>
            </w:tcBorders>
            <w:vAlign w:val="center"/>
          </w:tcPr>
          <w:p w14:paraId="6E969190" w14:textId="77777777" w:rsidR="00B127F0" w:rsidRPr="00416C4A" w:rsidRDefault="00B127F0" w:rsidP="00DA6D79">
            <w:pPr>
              <w:spacing w:line="480" w:lineRule="auto"/>
              <w:jc w:val="center"/>
            </w:pPr>
          </w:p>
        </w:tc>
        <w:tc>
          <w:tcPr>
            <w:tcW w:w="851" w:type="dxa"/>
            <w:tcBorders>
              <w:top w:val="single" w:sz="4" w:space="0" w:color="FFFFFF" w:themeColor="background1"/>
              <w:left w:val="single" w:sz="4" w:space="0" w:color="FFFFFF"/>
              <w:bottom w:val="single" w:sz="4" w:space="0" w:color="FFFFFF"/>
              <w:right w:val="single" w:sz="4" w:space="0" w:color="FFFFFF"/>
            </w:tcBorders>
            <w:vAlign w:val="center"/>
          </w:tcPr>
          <w:p w14:paraId="215B2E8F" w14:textId="77777777" w:rsidR="00B127F0" w:rsidRPr="00416C4A" w:rsidRDefault="00B127F0" w:rsidP="00DA6D79">
            <w:pPr>
              <w:spacing w:line="480" w:lineRule="auto"/>
              <w:jc w:val="center"/>
            </w:pPr>
          </w:p>
        </w:tc>
        <w:tc>
          <w:tcPr>
            <w:tcW w:w="971" w:type="dxa"/>
            <w:tcBorders>
              <w:top w:val="single" w:sz="4" w:space="0" w:color="FFFFFF" w:themeColor="background1"/>
              <w:left w:val="single" w:sz="4" w:space="0" w:color="FFFFFF"/>
              <w:bottom w:val="single" w:sz="4" w:space="0" w:color="FFFFFF"/>
              <w:right w:val="single" w:sz="4" w:space="0" w:color="FFFFFF"/>
            </w:tcBorders>
            <w:vAlign w:val="center"/>
          </w:tcPr>
          <w:p w14:paraId="4215F77F" w14:textId="77777777" w:rsidR="00B127F0" w:rsidRPr="00416C4A" w:rsidRDefault="00B127F0" w:rsidP="00DA6D79">
            <w:pPr>
              <w:spacing w:line="480" w:lineRule="auto"/>
              <w:jc w:val="center"/>
            </w:pP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5FC48AEB" w14:textId="77777777" w:rsidR="00B127F0" w:rsidRPr="00416C4A" w:rsidRDefault="00B127F0" w:rsidP="00DA6D79">
            <w:pPr>
              <w:spacing w:line="480" w:lineRule="auto"/>
              <w:jc w:val="center"/>
            </w:pP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121233AA" w14:textId="77777777" w:rsidR="00B127F0" w:rsidRPr="00416C4A" w:rsidRDefault="00B127F0" w:rsidP="00DA6D79">
            <w:pPr>
              <w:spacing w:line="480" w:lineRule="auto"/>
              <w:jc w:val="center"/>
            </w:pP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5F54AF83" w14:textId="51123AEA" w:rsidR="00B127F0" w:rsidRPr="00416C4A" w:rsidRDefault="00D96DFB" w:rsidP="00DA6D79">
            <w:pPr>
              <w:spacing w:line="480" w:lineRule="auto"/>
              <w:jc w:val="center"/>
            </w:pPr>
            <w:r w:rsidRPr="00416C4A">
              <w:t>0.</w:t>
            </w:r>
            <w:r w:rsidR="00533288" w:rsidRPr="00416C4A">
              <w:t>121</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4EDE1B9E" w14:textId="79F74810" w:rsidR="00B127F0" w:rsidRPr="00416C4A" w:rsidRDefault="00D96DFB" w:rsidP="00DA6D79">
            <w:pPr>
              <w:spacing w:line="480" w:lineRule="auto"/>
              <w:jc w:val="center"/>
            </w:pPr>
            <w:r w:rsidRPr="00416C4A">
              <w:rPr>
                <w:bCs/>
              </w:rPr>
              <w:t>0.00</w:t>
            </w:r>
            <w:r w:rsidR="00533288" w:rsidRPr="00416C4A">
              <w:rPr>
                <w:bCs/>
              </w:rPr>
              <w:t>0</w:t>
            </w: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39D64CDF" w14:textId="1E55DA69" w:rsidR="00B127F0" w:rsidRPr="00416C4A" w:rsidRDefault="00D96DFB" w:rsidP="00DA6D79">
            <w:pPr>
              <w:spacing w:line="480" w:lineRule="auto"/>
              <w:jc w:val="center"/>
            </w:pPr>
            <w:r w:rsidRPr="00416C4A">
              <w:t>0.</w:t>
            </w:r>
            <w:r w:rsidR="006D0CA5" w:rsidRPr="00416C4A">
              <w:t>1</w:t>
            </w:r>
            <w:r w:rsidRPr="00416C4A">
              <w:t>2</w:t>
            </w:r>
            <w:r w:rsidR="006D0CA5" w:rsidRPr="00416C4A">
              <w:t>3</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6D4FE3FF" w14:textId="0655C20D" w:rsidR="00B127F0" w:rsidRPr="00416C4A" w:rsidRDefault="00D96DFB" w:rsidP="00DA6D79">
            <w:pPr>
              <w:spacing w:line="480" w:lineRule="auto"/>
              <w:jc w:val="center"/>
              <w:rPr>
                <w:bCs/>
              </w:rPr>
            </w:pPr>
            <w:r w:rsidRPr="00416C4A">
              <w:rPr>
                <w:bCs/>
              </w:rPr>
              <w:t>0.00</w:t>
            </w:r>
            <w:r w:rsidR="006D0CA5" w:rsidRPr="00416C4A">
              <w:rPr>
                <w:bCs/>
              </w:rPr>
              <w:t>0</w:t>
            </w: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2CEA9770" w14:textId="47C0885A" w:rsidR="00B127F0" w:rsidRPr="00416C4A" w:rsidRDefault="00D96DFB" w:rsidP="00DA6D79">
            <w:pPr>
              <w:spacing w:line="480" w:lineRule="auto"/>
              <w:jc w:val="center"/>
            </w:pPr>
            <w:r w:rsidRPr="00416C4A">
              <w:t>0.</w:t>
            </w:r>
            <w:r w:rsidR="00C454EB" w:rsidRPr="00416C4A">
              <w:t>121</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3EC06972" w14:textId="5B667B42" w:rsidR="00B127F0" w:rsidRPr="00416C4A" w:rsidRDefault="00D96DFB" w:rsidP="00DA6D79">
            <w:pPr>
              <w:spacing w:line="480" w:lineRule="auto"/>
              <w:jc w:val="center"/>
              <w:rPr>
                <w:bCs/>
              </w:rPr>
            </w:pPr>
            <w:r w:rsidRPr="00416C4A">
              <w:rPr>
                <w:bCs/>
              </w:rPr>
              <w:t>0.00</w:t>
            </w:r>
            <w:r w:rsidR="00E67312" w:rsidRPr="00416C4A">
              <w:rPr>
                <w:bCs/>
              </w:rPr>
              <w:t>0</w:t>
            </w:r>
          </w:p>
        </w:tc>
      </w:tr>
      <w:tr w:rsidR="00416C4A" w:rsidRPr="00416C4A" w14:paraId="6738C66C" w14:textId="77777777" w:rsidTr="00ED789E">
        <w:trPr>
          <w:trHeight w:val="335"/>
        </w:trPr>
        <w:tc>
          <w:tcPr>
            <w:tcW w:w="2263" w:type="dxa"/>
            <w:tcBorders>
              <w:top w:val="single" w:sz="4" w:space="0" w:color="FFFFFF"/>
              <w:left w:val="single" w:sz="4" w:space="0" w:color="FFFFFF"/>
              <w:bottom w:val="nil"/>
              <w:right w:val="single" w:sz="4" w:space="0" w:color="FFFFFF"/>
            </w:tcBorders>
            <w:vAlign w:val="center"/>
          </w:tcPr>
          <w:p w14:paraId="067D08D4" w14:textId="5C9F7533" w:rsidR="00ED789E" w:rsidRPr="00416C4A" w:rsidRDefault="00D96DFB" w:rsidP="00ED789E">
            <w:pPr>
              <w:spacing w:line="480" w:lineRule="auto"/>
            </w:pPr>
            <w:r w:rsidRPr="00416C4A">
              <w:t>Constant</w:t>
            </w:r>
          </w:p>
        </w:tc>
        <w:tc>
          <w:tcPr>
            <w:tcW w:w="1843" w:type="dxa"/>
            <w:gridSpan w:val="2"/>
            <w:tcBorders>
              <w:top w:val="single" w:sz="4" w:space="0" w:color="FFFFFF"/>
              <w:left w:val="single" w:sz="4" w:space="0" w:color="FFFFFF"/>
              <w:bottom w:val="nil"/>
              <w:right w:val="single" w:sz="4" w:space="0" w:color="FFFFFF"/>
            </w:tcBorders>
            <w:vAlign w:val="center"/>
          </w:tcPr>
          <w:p w14:paraId="05C870D4" w14:textId="7A50B998" w:rsidR="00ED789E" w:rsidRPr="00416C4A" w:rsidRDefault="00D96DFB" w:rsidP="00ED789E">
            <w:pPr>
              <w:spacing w:line="480" w:lineRule="auto"/>
              <w:jc w:val="center"/>
            </w:pPr>
            <w:r w:rsidRPr="00416C4A">
              <w:t>Included</w:t>
            </w:r>
          </w:p>
        </w:tc>
        <w:tc>
          <w:tcPr>
            <w:tcW w:w="1822" w:type="dxa"/>
            <w:gridSpan w:val="2"/>
            <w:tcBorders>
              <w:top w:val="single" w:sz="4" w:space="0" w:color="FFFFFF"/>
              <w:left w:val="single" w:sz="4" w:space="0" w:color="FFFFFF"/>
              <w:bottom w:val="nil"/>
              <w:right w:val="single" w:sz="4" w:space="0" w:color="FFFFFF"/>
            </w:tcBorders>
            <w:vAlign w:val="center"/>
          </w:tcPr>
          <w:p w14:paraId="759D3740" w14:textId="05ECFF1F" w:rsidR="00ED789E" w:rsidRPr="00416C4A" w:rsidRDefault="00D96DFB" w:rsidP="00ED789E">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2B5D81F8" w14:textId="70040853" w:rsidR="00ED789E" w:rsidRPr="00416C4A" w:rsidRDefault="00D96DFB" w:rsidP="00ED789E">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3D4FDA57" w14:textId="65C03D9A" w:rsidR="00ED789E" w:rsidRPr="00416C4A" w:rsidRDefault="00D96DFB" w:rsidP="00ED789E">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3B780DE1" w14:textId="1B083B0D" w:rsidR="00ED789E" w:rsidRPr="00416C4A" w:rsidRDefault="00D96DFB" w:rsidP="00ED789E">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07B93527" w14:textId="25CE3019" w:rsidR="00ED789E" w:rsidRPr="00416C4A" w:rsidRDefault="00D96DFB" w:rsidP="00ED789E">
            <w:pPr>
              <w:spacing w:line="480" w:lineRule="auto"/>
              <w:jc w:val="center"/>
            </w:pPr>
            <w:r w:rsidRPr="00416C4A">
              <w:t>Included</w:t>
            </w:r>
          </w:p>
        </w:tc>
      </w:tr>
      <w:tr w:rsidR="00416C4A" w:rsidRPr="00416C4A" w14:paraId="29F7C88B" w14:textId="77777777" w:rsidTr="00ED789E">
        <w:trPr>
          <w:trHeight w:val="335"/>
        </w:trPr>
        <w:tc>
          <w:tcPr>
            <w:tcW w:w="2263" w:type="dxa"/>
            <w:tcBorders>
              <w:top w:val="nil"/>
              <w:left w:val="single" w:sz="4" w:space="0" w:color="FFFFFF"/>
              <w:bottom w:val="single" w:sz="4" w:space="0" w:color="auto"/>
              <w:right w:val="single" w:sz="4" w:space="0" w:color="FFFFFF"/>
            </w:tcBorders>
            <w:vAlign w:val="center"/>
          </w:tcPr>
          <w:p w14:paraId="10A5EC2D" w14:textId="77777777" w:rsidR="00ED789E" w:rsidRPr="00416C4A" w:rsidRDefault="00D96DFB" w:rsidP="00ED789E">
            <w:pPr>
              <w:spacing w:line="480" w:lineRule="auto"/>
            </w:pPr>
            <w:r w:rsidRPr="00416C4A">
              <w:t>Industry and year FE</w:t>
            </w:r>
          </w:p>
        </w:tc>
        <w:tc>
          <w:tcPr>
            <w:tcW w:w="1843" w:type="dxa"/>
            <w:gridSpan w:val="2"/>
            <w:tcBorders>
              <w:top w:val="nil"/>
              <w:left w:val="single" w:sz="4" w:space="0" w:color="FFFFFF"/>
              <w:bottom w:val="single" w:sz="4" w:space="0" w:color="auto"/>
              <w:right w:val="single" w:sz="4" w:space="0" w:color="FFFFFF"/>
            </w:tcBorders>
            <w:vAlign w:val="center"/>
          </w:tcPr>
          <w:p w14:paraId="486230F8" w14:textId="77777777" w:rsidR="00ED789E" w:rsidRPr="00416C4A" w:rsidRDefault="00D96DFB" w:rsidP="00ED789E">
            <w:pPr>
              <w:spacing w:line="480" w:lineRule="auto"/>
              <w:jc w:val="center"/>
            </w:pPr>
            <w:r w:rsidRPr="00416C4A">
              <w:t>Included</w:t>
            </w:r>
          </w:p>
        </w:tc>
        <w:tc>
          <w:tcPr>
            <w:tcW w:w="1822" w:type="dxa"/>
            <w:gridSpan w:val="2"/>
            <w:tcBorders>
              <w:top w:val="nil"/>
              <w:left w:val="single" w:sz="4" w:space="0" w:color="FFFFFF"/>
              <w:bottom w:val="single" w:sz="4" w:space="0" w:color="auto"/>
              <w:right w:val="single" w:sz="4" w:space="0" w:color="FFFFFF"/>
            </w:tcBorders>
            <w:vAlign w:val="center"/>
          </w:tcPr>
          <w:p w14:paraId="79FD83E4" w14:textId="77777777" w:rsidR="00ED789E" w:rsidRPr="00416C4A" w:rsidRDefault="00D96DFB" w:rsidP="00ED789E">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0DB9ADF4" w14:textId="77777777" w:rsidR="00ED789E" w:rsidRPr="00416C4A" w:rsidRDefault="00D96DFB" w:rsidP="00ED789E">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27532150" w14:textId="77777777" w:rsidR="00ED789E" w:rsidRPr="00416C4A" w:rsidRDefault="00D96DFB" w:rsidP="00ED789E">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3B31D254" w14:textId="77777777" w:rsidR="00ED789E" w:rsidRPr="00416C4A" w:rsidRDefault="00D96DFB" w:rsidP="00ED789E">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015EB94F" w14:textId="77777777" w:rsidR="00ED789E" w:rsidRPr="00416C4A" w:rsidRDefault="00D96DFB" w:rsidP="00ED789E">
            <w:pPr>
              <w:spacing w:line="480" w:lineRule="auto"/>
              <w:jc w:val="center"/>
            </w:pPr>
            <w:r w:rsidRPr="00416C4A">
              <w:t>Included</w:t>
            </w:r>
          </w:p>
        </w:tc>
      </w:tr>
      <w:tr w:rsidR="00416C4A" w:rsidRPr="00416C4A" w14:paraId="1752E262" w14:textId="77777777" w:rsidTr="002637CF">
        <w:tc>
          <w:tcPr>
            <w:tcW w:w="2263" w:type="dxa"/>
            <w:tcBorders>
              <w:top w:val="single" w:sz="4" w:space="0" w:color="auto"/>
              <w:left w:val="single" w:sz="4" w:space="0" w:color="FFFFFF"/>
              <w:bottom w:val="single" w:sz="4" w:space="0" w:color="FFFFFF"/>
              <w:right w:val="single" w:sz="4" w:space="0" w:color="FFFFFF"/>
            </w:tcBorders>
            <w:vAlign w:val="center"/>
          </w:tcPr>
          <w:p w14:paraId="21D542DB" w14:textId="77777777" w:rsidR="00ED789E" w:rsidRPr="00416C4A" w:rsidRDefault="00D96DFB" w:rsidP="00ED789E">
            <w:pPr>
              <w:spacing w:line="480" w:lineRule="auto"/>
            </w:pPr>
            <w:r w:rsidRPr="00416C4A">
              <w:t>Number of obs.</w:t>
            </w:r>
          </w:p>
        </w:tc>
        <w:tc>
          <w:tcPr>
            <w:tcW w:w="1843" w:type="dxa"/>
            <w:gridSpan w:val="2"/>
            <w:tcBorders>
              <w:top w:val="single" w:sz="4" w:space="0" w:color="auto"/>
              <w:left w:val="single" w:sz="4" w:space="0" w:color="FFFFFF"/>
              <w:bottom w:val="single" w:sz="4" w:space="0" w:color="FFFFFF"/>
              <w:right w:val="single" w:sz="4" w:space="0" w:color="FFFFFF"/>
            </w:tcBorders>
            <w:vAlign w:val="center"/>
          </w:tcPr>
          <w:p w14:paraId="0D72A00B" w14:textId="64E142D5" w:rsidR="00ED789E" w:rsidRPr="00416C4A" w:rsidRDefault="00D96DFB" w:rsidP="00ED789E">
            <w:pPr>
              <w:spacing w:line="480" w:lineRule="auto"/>
              <w:jc w:val="center"/>
            </w:pPr>
            <w:r w:rsidRPr="00416C4A">
              <w:t>499</w:t>
            </w:r>
          </w:p>
        </w:tc>
        <w:tc>
          <w:tcPr>
            <w:tcW w:w="1822" w:type="dxa"/>
            <w:gridSpan w:val="2"/>
            <w:tcBorders>
              <w:top w:val="single" w:sz="4" w:space="0" w:color="auto"/>
              <w:left w:val="single" w:sz="4" w:space="0" w:color="FFFFFF"/>
              <w:bottom w:val="single" w:sz="4" w:space="0" w:color="FFFFFF"/>
              <w:right w:val="single" w:sz="4" w:space="0" w:color="FFFFFF"/>
            </w:tcBorders>
            <w:vAlign w:val="center"/>
          </w:tcPr>
          <w:p w14:paraId="017284FA" w14:textId="5F01F274" w:rsidR="00ED789E" w:rsidRPr="00416C4A" w:rsidRDefault="00D96DFB" w:rsidP="00ED789E">
            <w:pPr>
              <w:spacing w:line="480" w:lineRule="auto"/>
              <w:jc w:val="center"/>
            </w:pPr>
            <w:r w:rsidRPr="00416C4A">
              <w:t>499</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216424C8" w14:textId="4AF47D0A" w:rsidR="00ED789E" w:rsidRPr="00416C4A" w:rsidRDefault="00D96DFB" w:rsidP="00ED789E">
            <w:pPr>
              <w:spacing w:line="480" w:lineRule="auto"/>
              <w:jc w:val="center"/>
            </w:pPr>
            <w:r w:rsidRPr="00416C4A">
              <w:t>499</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19E3C019" w14:textId="00F4FCB5" w:rsidR="00ED789E" w:rsidRPr="00416C4A" w:rsidRDefault="00D96DFB" w:rsidP="00ED789E">
            <w:pPr>
              <w:spacing w:line="480" w:lineRule="auto"/>
              <w:jc w:val="center"/>
            </w:pPr>
            <w:r w:rsidRPr="00416C4A">
              <w:t>499</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514D4597" w14:textId="4F548738" w:rsidR="00ED789E" w:rsidRPr="00416C4A" w:rsidRDefault="00D96DFB" w:rsidP="00ED789E">
            <w:pPr>
              <w:spacing w:line="480" w:lineRule="auto"/>
              <w:jc w:val="center"/>
            </w:pPr>
            <w:r w:rsidRPr="00416C4A">
              <w:t>499</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1C7388C6" w14:textId="36FFADA1" w:rsidR="00ED789E" w:rsidRPr="00416C4A" w:rsidRDefault="00D96DFB" w:rsidP="00ED789E">
            <w:pPr>
              <w:spacing w:line="480" w:lineRule="auto"/>
              <w:jc w:val="center"/>
            </w:pPr>
            <w:r w:rsidRPr="00416C4A">
              <w:t>499</w:t>
            </w:r>
          </w:p>
        </w:tc>
      </w:tr>
      <w:tr w:rsidR="00416C4A" w:rsidRPr="00416C4A" w14:paraId="1F27F3EC" w14:textId="77777777" w:rsidTr="00DA6D79">
        <w:trPr>
          <w:trHeight w:val="521"/>
        </w:trPr>
        <w:tc>
          <w:tcPr>
            <w:tcW w:w="2263" w:type="dxa"/>
            <w:tcBorders>
              <w:top w:val="single" w:sz="4" w:space="0" w:color="FFFFFF"/>
              <w:left w:val="single" w:sz="4" w:space="0" w:color="FFFFFF"/>
              <w:right w:val="single" w:sz="4" w:space="0" w:color="FFFFFF"/>
            </w:tcBorders>
            <w:vAlign w:val="center"/>
          </w:tcPr>
          <w:p w14:paraId="61C383E5" w14:textId="77777777" w:rsidR="00ED789E" w:rsidRPr="00416C4A" w:rsidRDefault="00D96DFB" w:rsidP="00ED789E">
            <w:pPr>
              <w:spacing w:line="480" w:lineRule="auto"/>
            </w:pPr>
            <w:r w:rsidRPr="00416C4A">
              <w:t>Adj.  R</w:t>
            </w:r>
            <w:r w:rsidRPr="00416C4A">
              <w:rPr>
                <w:vertAlign w:val="superscript"/>
              </w:rPr>
              <w:t>2</w:t>
            </w:r>
          </w:p>
        </w:tc>
        <w:tc>
          <w:tcPr>
            <w:tcW w:w="1843" w:type="dxa"/>
            <w:gridSpan w:val="2"/>
            <w:tcBorders>
              <w:top w:val="single" w:sz="4" w:space="0" w:color="FFFFFF"/>
              <w:left w:val="single" w:sz="4" w:space="0" w:color="FFFFFF"/>
              <w:right w:val="single" w:sz="4" w:space="0" w:color="FFFFFF"/>
            </w:tcBorders>
            <w:vAlign w:val="center"/>
          </w:tcPr>
          <w:p w14:paraId="24A7CE2C" w14:textId="34EDB80E" w:rsidR="00ED789E" w:rsidRPr="00416C4A" w:rsidRDefault="00D96DFB" w:rsidP="00ED789E">
            <w:pPr>
              <w:spacing w:line="480" w:lineRule="auto"/>
              <w:jc w:val="center"/>
            </w:pPr>
            <w:r w:rsidRPr="00416C4A">
              <w:t>22.96%</w:t>
            </w:r>
          </w:p>
        </w:tc>
        <w:tc>
          <w:tcPr>
            <w:tcW w:w="1822" w:type="dxa"/>
            <w:gridSpan w:val="2"/>
            <w:tcBorders>
              <w:top w:val="single" w:sz="4" w:space="0" w:color="FFFFFF"/>
              <w:left w:val="single" w:sz="4" w:space="0" w:color="FFFFFF"/>
              <w:right w:val="single" w:sz="4" w:space="0" w:color="FFFFFF"/>
            </w:tcBorders>
            <w:vAlign w:val="center"/>
          </w:tcPr>
          <w:p w14:paraId="549D29A0" w14:textId="46641FD4" w:rsidR="00ED789E" w:rsidRPr="00416C4A" w:rsidRDefault="00D96DFB" w:rsidP="00ED789E">
            <w:pPr>
              <w:spacing w:line="480" w:lineRule="auto"/>
              <w:jc w:val="center"/>
            </w:pPr>
            <w:r w:rsidRPr="00416C4A">
              <w:t>21.41%</w:t>
            </w:r>
          </w:p>
        </w:tc>
        <w:tc>
          <w:tcPr>
            <w:tcW w:w="2005" w:type="dxa"/>
            <w:gridSpan w:val="2"/>
            <w:tcBorders>
              <w:top w:val="single" w:sz="4" w:space="0" w:color="FFFFFF"/>
              <w:left w:val="single" w:sz="4" w:space="0" w:color="FFFFFF"/>
              <w:right w:val="single" w:sz="4" w:space="0" w:color="FFFFFF"/>
            </w:tcBorders>
            <w:vAlign w:val="center"/>
          </w:tcPr>
          <w:p w14:paraId="2C52CF72" w14:textId="1749F9C8" w:rsidR="00ED789E" w:rsidRPr="00416C4A" w:rsidRDefault="00D96DFB" w:rsidP="00ED789E">
            <w:pPr>
              <w:spacing w:line="480" w:lineRule="auto"/>
              <w:jc w:val="center"/>
            </w:pPr>
            <w:r w:rsidRPr="00416C4A">
              <w:t>23.</w:t>
            </w:r>
            <w:r w:rsidR="00800AAE" w:rsidRPr="00416C4A">
              <w:t>21</w:t>
            </w:r>
            <w:r w:rsidRPr="00416C4A">
              <w:t>%</w:t>
            </w:r>
          </w:p>
        </w:tc>
        <w:tc>
          <w:tcPr>
            <w:tcW w:w="2005" w:type="dxa"/>
            <w:gridSpan w:val="2"/>
            <w:tcBorders>
              <w:top w:val="single" w:sz="4" w:space="0" w:color="FFFFFF"/>
              <w:left w:val="single" w:sz="4" w:space="0" w:color="FFFFFF"/>
              <w:right w:val="single" w:sz="4" w:space="0" w:color="FFFFFF"/>
            </w:tcBorders>
            <w:vAlign w:val="center"/>
          </w:tcPr>
          <w:p w14:paraId="7FED069A" w14:textId="7E20714F" w:rsidR="00ED789E" w:rsidRPr="00416C4A" w:rsidRDefault="00D96DFB" w:rsidP="00ED789E">
            <w:pPr>
              <w:spacing w:line="480" w:lineRule="auto"/>
              <w:jc w:val="center"/>
            </w:pPr>
            <w:r w:rsidRPr="00416C4A">
              <w:t>62.</w:t>
            </w:r>
            <w:r w:rsidR="00975E8F" w:rsidRPr="00416C4A">
              <w:t>40</w:t>
            </w:r>
            <w:r w:rsidRPr="00416C4A">
              <w:t>%</w:t>
            </w:r>
          </w:p>
        </w:tc>
        <w:tc>
          <w:tcPr>
            <w:tcW w:w="2005" w:type="dxa"/>
            <w:gridSpan w:val="2"/>
            <w:tcBorders>
              <w:top w:val="single" w:sz="4" w:space="0" w:color="FFFFFF"/>
              <w:left w:val="single" w:sz="4" w:space="0" w:color="FFFFFF"/>
              <w:right w:val="single" w:sz="4" w:space="0" w:color="FFFFFF"/>
            </w:tcBorders>
            <w:vAlign w:val="center"/>
          </w:tcPr>
          <w:p w14:paraId="43233902" w14:textId="4AFA34C8" w:rsidR="00ED789E" w:rsidRPr="00416C4A" w:rsidRDefault="00D96DFB" w:rsidP="00ED789E">
            <w:pPr>
              <w:spacing w:line="480" w:lineRule="auto"/>
              <w:jc w:val="center"/>
            </w:pPr>
            <w:r w:rsidRPr="00416C4A">
              <w:t>62.21%</w:t>
            </w:r>
          </w:p>
        </w:tc>
        <w:tc>
          <w:tcPr>
            <w:tcW w:w="2005" w:type="dxa"/>
            <w:gridSpan w:val="2"/>
            <w:tcBorders>
              <w:top w:val="single" w:sz="4" w:space="0" w:color="FFFFFF"/>
              <w:left w:val="single" w:sz="4" w:space="0" w:color="FFFFFF"/>
              <w:right w:val="single" w:sz="4" w:space="0" w:color="FFFFFF"/>
            </w:tcBorders>
            <w:vAlign w:val="center"/>
          </w:tcPr>
          <w:p w14:paraId="394ECD54" w14:textId="53B20BBC" w:rsidR="00ED789E" w:rsidRPr="00416C4A" w:rsidRDefault="00D96DFB" w:rsidP="00ED789E">
            <w:pPr>
              <w:spacing w:line="480" w:lineRule="auto"/>
              <w:jc w:val="center"/>
            </w:pPr>
            <w:r w:rsidRPr="00416C4A">
              <w:t>62.50%</w:t>
            </w:r>
          </w:p>
        </w:tc>
      </w:tr>
    </w:tbl>
    <w:p w14:paraId="1AEE2B70" w14:textId="7476B29B" w:rsidR="00B127F0" w:rsidRPr="00416C4A" w:rsidRDefault="00D96DFB" w:rsidP="00B127F0">
      <w:pPr>
        <w:spacing w:line="480" w:lineRule="auto"/>
        <w:jc w:val="both"/>
      </w:pPr>
      <w:r w:rsidRPr="00416C4A">
        <w:t xml:space="preserve">Note: </w:t>
      </w:r>
      <w:r w:rsidR="00F26554" w:rsidRPr="00416C4A">
        <w:t>We use two-tailed tests</w:t>
      </w:r>
      <w:r w:rsidR="002504F6">
        <w:t>. A</w:t>
      </w:r>
      <w:r w:rsidRPr="00416C4A">
        <w:t>ll variables are defined in the appendix.</w:t>
      </w:r>
    </w:p>
    <w:p w14:paraId="16B03809" w14:textId="08AEDA06" w:rsidR="004B3079" w:rsidRPr="00416C4A" w:rsidRDefault="00D96DFB" w:rsidP="004B3079">
      <w:pPr>
        <w:spacing w:line="480" w:lineRule="auto"/>
        <w:jc w:val="center"/>
      </w:pPr>
      <w:r w:rsidRPr="00416C4A">
        <w:lastRenderedPageBreak/>
        <w:t xml:space="preserve">Panel B – </w:t>
      </w:r>
      <w:r w:rsidR="00BA2A83" w:rsidRPr="00416C4A">
        <w:t>I</w:t>
      </w:r>
      <w:r w:rsidR="002A6B5B" w:rsidRPr="00416C4A">
        <w:t>nitial years</w:t>
      </w:r>
      <w:r w:rsidRPr="00416C4A">
        <w:t xml:space="preserve"> (2012 and 2014</w:t>
      </w:r>
      <w:r w:rsidR="00392202" w:rsidRPr="00416C4A">
        <w:t>)</w:t>
      </w:r>
    </w:p>
    <w:tbl>
      <w:tblPr>
        <w:tblStyle w:val="TableGrid"/>
        <w:tblpPr w:leftFromText="180" w:rightFromText="180" w:vertAnchor="text" w:horzAnchor="margin" w:tblpY="-57"/>
        <w:tblW w:w="14090" w:type="dxa"/>
        <w:tblLayout w:type="fixed"/>
        <w:tblLook w:val="04A0" w:firstRow="1" w:lastRow="0" w:firstColumn="1" w:lastColumn="0" w:noHBand="0" w:noVBand="1"/>
      </w:tblPr>
      <w:tblGrid>
        <w:gridCol w:w="2263"/>
        <w:gridCol w:w="993"/>
        <w:gridCol w:w="850"/>
        <w:gridCol w:w="142"/>
        <w:gridCol w:w="851"/>
        <w:gridCol w:w="829"/>
        <w:gridCol w:w="142"/>
        <w:gridCol w:w="1009"/>
        <w:gridCol w:w="996"/>
        <w:gridCol w:w="1009"/>
        <w:gridCol w:w="854"/>
        <w:gridCol w:w="142"/>
        <w:gridCol w:w="1009"/>
        <w:gridCol w:w="854"/>
        <w:gridCol w:w="142"/>
        <w:gridCol w:w="1009"/>
        <w:gridCol w:w="854"/>
        <w:gridCol w:w="142"/>
      </w:tblGrid>
      <w:tr w:rsidR="00416C4A" w:rsidRPr="00416C4A" w14:paraId="18CC7B62" w14:textId="77777777" w:rsidTr="00BA4439">
        <w:trPr>
          <w:gridAfter w:val="1"/>
          <w:wAfter w:w="142" w:type="dxa"/>
        </w:trPr>
        <w:tc>
          <w:tcPr>
            <w:tcW w:w="2263" w:type="dxa"/>
            <w:vMerge w:val="restart"/>
            <w:tcBorders>
              <w:left w:val="single" w:sz="4" w:space="0" w:color="FFFFFF"/>
              <w:right w:val="single" w:sz="4" w:space="0" w:color="FFFFFF"/>
            </w:tcBorders>
            <w:vAlign w:val="center"/>
          </w:tcPr>
          <w:p w14:paraId="05AC5FB4" w14:textId="77777777" w:rsidR="00A711B9" w:rsidRPr="00416C4A" w:rsidRDefault="00A711B9" w:rsidP="00A711B9">
            <w:pPr>
              <w:spacing w:line="480" w:lineRule="auto"/>
              <w:jc w:val="center"/>
            </w:pPr>
          </w:p>
        </w:tc>
        <w:tc>
          <w:tcPr>
            <w:tcW w:w="5812" w:type="dxa"/>
            <w:gridSpan w:val="8"/>
            <w:tcBorders>
              <w:left w:val="single" w:sz="4" w:space="0" w:color="FFFFFF"/>
              <w:bottom w:val="nil"/>
            </w:tcBorders>
            <w:vAlign w:val="center"/>
          </w:tcPr>
          <w:p w14:paraId="40E02F0B" w14:textId="77777777" w:rsidR="00A711B9" w:rsidRPr="00416C4A" w:rsidRDefault="00D96DFB" w:rsidP="00A711B9">
            <w:pPr>
              <w:spacing w:line="480" w:lineRule="auto"/>
              <w:jc w:val="center"/>
            </w:pPr>
            <w:r w:rsidRPr="00416C4A">
              <w:t>ROA</w:t>
            </w:r>
          </w:p>
        </w:tc>
        <w:tc>
          <w:tcPr>
            <w:tcW w:w="5873" w:type="dxa"/>
            <w:gridSpan w:val="8"/>
            <w:tcBorders>
              <w:bottom w:val="nil"/>
              <w:right w:val="single" w:sz="4" w:space="0" w:color="FFFFFF"/>
            </w:tcBorders>
            <w:vAlign w:val="center"/>
          </w:tcPr>
          <w:p w14:paraId="73798ABD" w14:textId="77777777" w:rsidR="00A711B9" w:rsidRPr="00416C4A" w:rsidRDefault="00D96DFB" w:rsidP="00A711B9">
            <w:pPr>
              <w:spacing w:line="480" w:lineRule="auto"/>
              <w:jc w:val="center"/>
            </w:pPr>
            <w:r w:rsidRPr="00416C4A">
              <w:t>Tobin’s Q</w:t>
            </w:r>
          </w:p>
        </w:tc>
      </w:tr>
      <w:tr w:rsidR="00416C4A" w:rsidRPr="00416C4A" w14:paraId="5B8DB38E" w14:textId="77777777" w:rsidTr="00BA4439">
        <w:trPr>
          <w:gridAfter w:val="1"/>
          <w:wAfter w:w="142" w:type="dxa"/>
        </w:trPr>
        <w:tc>
          <w:tcPr>
            <w:tcW w:w="2263" w:type="dxa"/>
            <w:vMerge/>
            <w:tcBorders>
              <w:left w:val="single" w:sz="4" w:space="0" w:color="FFFFFF"/>
              <w:right w:val="single" w:sz="4" w:space="0" w:color="FFFFFF"/>
            </w:tcBorders>
            <w:vAlign w:val="center"/>
          </w:tcPr>
          <w:p w14:paraId="77A628DA" w14:textId="77777777" w:rsidR="00A711B9" w:rsidRPr="00416C4A" w:rsidRDefault="00A711B9" w:rsidP="00A711B9">
            <w:pPr>
              <w:spacing w:line="480" w:lineRule="auto"/>
              <w:jc w:val="center"/>
            </w:pPr>
          </w:p>
        </w:tc>
        <w:tc>
          <w:tcPr>
            <w:tcW w:w="1843" w:type="dxa"/>
            <w:gridSpan w:val="2"/>
            <w:tcBorders>
              <w:top w:val="nil"/>
              <w:left w:val="single" w:sz="4" w:space="0" w:color="FFFFFF"/>
              <w:right w:val="nil"/>
            </w:tcBorders>
            <w:vAlign w:val="center"/>
          </w:tcPr>
          <w:p w14:paraId="3C7A339F" w14:textId="77777777" w:rsidR="00A711B9" w:rsidRPr="00416C4A" w:rsidRDefault="00D96DFB" w:rsidP="00A711B9">
            <w:pPr>
              <w:spacing w:line="480" w:lineRule="auto"/>
              <w:jc w:val="center"/>
            </w:pPr>
            <w:r w:rsidRPr="00416C4A">
              <w:t>1</w:t>
            </w:r>
          </w:p>
        </w:tc>
        <w:tc>
          <w:tcPr>
            <w:tcW w:w="1822" w:type="dxa"/>
            <w:gridSpan w:val="3"/>
            <w:tcBorders>
              <w:top w:val="nil"/>
              <w:left w:val="nil"/>
              <w:right w:val="nil"/>
            </w:tcBorders>
            <w:vAlign w:val="center"/>
          </w:tcPr>
          <w:p w14:paraId="371B417D" w14:textId="77777777" w:rsidR="00A711B9" w:rsidRPr="00416C4A" w:rsidRDefault="00D96DFB" w:rsidP="00A711B9">
            <w:pPr>
              <w:spacing w:line="480" w:lineRule="auto"/>
              <w:jc w:val="center"/>
            </w:pPr>
            <w:r w:rsidRPr="00416C4A">
              <w:t>2</w:t>
            </w:r>
          </w:p>
        </w:tc>
        <w:tc>
          <w:tcPr>
            <w:tcW w:w="2147" w:type="dxa"/>
            <w:gridSpan w:val="3"/>
            <w:tcBorders>
              <w:top w:val="nil"/>
              <w:left w:val="nil"/>
            </w:tcBorders>
            <w:vAlign w:val="center"/>
          </w:tcPr>
          <w:p w14:paraId="2BAC3360" w14:textId="77777777" w:rsidR="00A711B9" w:rsidRPr="00416C4A" w:rsidRDefault="00D96DFB" w:rsidP="00A711B9">
            <w:pPr>
              <w:spacing w:line="480" w:lineRule="auto"/>
              <w:jc w:val="center"/>
            </w:pPr>
            <w:r w:rsidRPr="00416C4A">
              <w:t>3</w:t>
            </w:r>
          </w:p>
        </w:tc>
        <w:tc>
          <w:tcPr>
            <w:tcW w:w="1863" w:type="dxa"/>
            <w:gridSpan w:val="2"/>
            <w:tcBorders>
              <w:top w:val="nil"/>
              <w:right w:val="nil"/>
            </w:tcBorders>
            <w:vAlign w:val="center"/>
          </w:tcPr>
          <w:p w14:paraId="083BB0FC" w14:textId="77777777" w:rsidR="00A711B9" w:rsidRPr="00416C4A" w:rsidRDefault="00D96DFB" w:rsidP="00A711B9">
            <w:pPr>
              <w:spacing w:line="480" w:lineRule="auto"/>
              <w:jc w:val="center"/>
            </w:pPr>
            <w:r w:rsidRPr="00416C4A">
              <w:t>1</w:t>
            </w:r>
          </w:p>
        </w:tc>
        <w:tc>
          <w:tcPr>
            <w:tcW w:w="2005" w:type="dxa"/>
            <w:gridSpan w:val="3"/>
            <w:tcBorders>
              <w:top w:val="nil"/>
              <w:left w:val="nil"/>
              <w:right w:val="nil"/>
            </w:tcBorders>
            <w:vAlign w:val="center"/>
          </w:tcPr>
          <w:p w14:paraId="7501757B" w14:textId="77777777" w:rsidR="00A711B9" w:rsidRPr="00416C4A" w:rsidRDefault="00D96DFB" w:rsidP="00A711B9">
            <w:pPr>
              <w:spacing w:line="480" w:lineRule="auto"/>
              <w:jc w:val="center"/>
            </w:pPr>
            <w:r w:rsidRPr="00416C4A">
              <w:t>2</w:t>
            </w:r>
          </w:p>
        </w:tc>
        <w:tc>
          <w:tcPr>
            <w:tcW w:w="2005" w:type="dxa"/>
            <w:gridSpan w:val="3"/>
            <w:tcBorders>
              <w:top w:val="nil"/>
              <w:left w:val="nil"/>
              <w:right w:val="single" w:sz="4" w:space="0" w:color="FFFFFF"/>
            </w:tcBorders>
            <w:vAlign w:val="center"/>
          </w:tcPr>
          <w:p w14:paraId="5404E9E4" w14:textId="77777777" w:rsidR="00A711B9" w:rsidRPr="00416C4A" w:rsidRDefault="00D96DFB" w:rsidP="00A711B9">
            <w:pPr>
              <w:spacing w:line="480" w:lineRule="auto"/>
              <w:jc w:val="center"/>
            </w:pPr>
            <w:r w:rsidRPr="00416C4A">
              <w:t>3</w:t>
            </w:r>
          </w:p>
        </w:tc>
      </w:tr>
      <w:tr w:rsidR="00416C4A" w:rsidRPr="00416C4A" w14:paraId="052FA61E" w14:textId="77777777" w:rsidTr="005B64E8">
        <w:tc>
          <w:tcPr>
            <w:tcW w:w="2263" w:type="dxa"/>
            <w:vMerge/>
            <w:tcBorders>
              <w:left w:val="single" w:sz="4" w:space="0" w:color="FFFFFF"/>
              <w:right w:val="single" w:sz="4" w:space="0" w:color="FFFFFF"/>
            </w:tcBorders>
            <w:vAlign w:val="center"/>
          </w:tcPr>
          <w:p w14:paraId="662E45B8" w14:textId="77777777" w:rsidR="00A711B9" w:rsidRPr="00416C4A" w:rsidRDefault="00A711B9" w:rsidP="00A711B9">
            <w:pPr>
              <w:spacing w:line="480" w:lineRule="auto"/>
              <w:jc w:val="center"/>
            </w:pPr>
          </w:p>
        </w:tc>
        <w:tc>
          <w:tcPr>
            <w:tcW w:w="993" w:type="dxa"/>
            <w:tcBorders>
              <w:left w:val="single" w:sz="4" w:space="0" w:color="FFFFFF"/>
              <w:right w:val="nil"/>
            </w:tcBorders>
            <w:vAlign w:val="center"/>
          </w:tcPr>
          <w:p w14:paraId="18359CB5" w14:textId="77777777" w:rsidR="00A711B9" w:rsidRPr="00416C4A" w:rsidRDefault="00D96DFB" w:rsidP="005B64E8">
            <w:pPr>
              <w:spacing w:line="480" w:lineRule="auto"/>
              <w:ind w:right="-246"/>
              <w:jc w:val="center"/>
            </w:pPr>
            <w:r w:rsidRPr="00416C4A">
              <w:t>Coeff.</w:t>
            </w:r>
          </w:p>
        </w:tc>
        <w:tc>
          <w:tcPr>
            <w:tcW w:w="992" w:type="dxa"/>
            <w:gridSpan w:val="2"/>
            <w:tcBorders>
              <w:left w:val="nil"/>
            </w:tcBorders>
            <w:vAlign w:val="center"/>
          </w:tcPr>
          <w:p w14:paraId="5BC97EB4" w14:textId="498A7D3A" w:rsidR="00A711B9" w:rsidRPr="00416C4A" w:rsidRDefault="00D96DFB" w:rsidP="00A711B9">
            <w:pPr>
              <w:spacing w:line="480" w:lineRule="auto"/>
              <w:jc w:val="center"/>
            </w:pPr>
            <w:r w:rsidRPr="00416C4A">
              <w:t>P-value</w:t>
            </w:r>
          </w:p>
        </w:tc>
        <w:tc>
          <w:tcPr>
            <w:tcW w:w="851" w:type="dxa"/>
            <w:tcBorders>
              <w:right w:val="nil"/>
            </w:tcBorders>
            <w:vAlign w:val="center"/>
          </w:tcPr>
          <w:p w14:paraId="5C0EAD02" w14:textId="77777777" w:rsidR="00A711B9" w:rsidRPr="00416C4A" w:rsidRDefault="00D96DFB" w:rsidP="00A711B9">
            <w:pPr>
              <w:spacing w:line="480" w:lineRule="auto"/>
              <w:jc w:val="center"/>
            </w:pPr>
            <w:r w:rsidRPr="00416C4A">
              <w:t>Coeff.</w:t>
            </w:r>
          </w:p>
        </w:tc>
        <w:tc>
          <w:tcPr>
            <w:tcW w:w="971" w:type="dxa"/>
            <w:gridSpan w:val="2"/>
            <w:tcBorders>
              <w:left w:val="nil"/>
            </w:tcBorders>
            <w:vAlign w:val="center"/>
          </w:tcPr>
          <w:p w14:paraId="3A101BF7" w14:textId="634D65C6" w:rsidR="00A711B9" w:rsidRPr="00416C4A" w:rsidRDefault="00D96DFB" w:rsidP="00A711B9">
            <w:pPr>
              <w:spacing w:line="480" w:lineRule="auto"/>
              <w:jc w:val="center"/>
            </w:pPr>
            <w:r w:rsidRPr="00416C4A">
              <w:t>P-value</w:t>
            </w:r>
          </w:p>
        </w:tc>
        <w:tc>
          <w:tcPr>
            <w:tcW w:w="1009" w:type="dxa"/>
            <w:tcBorders>
              <w:right w:val="nil"/>
            </w:tcBorders>
            <w:vAlign w:val="center"/>
          </w:tcPr>
          <w:p w14:paraId="170D9E56" w14:textId="77777777" w:rsidR="00A711B9" w:rsidRPr="00416C4A" w:rsidRDefault="00D96DFB" w:rsidP="00A711B9">
            <w:pPr>
              <w:spacing w:line="480" w:lineRule="auto"/>
              <w:jc w:val="center"/>
            </w:pPr>
            <w:r w:rsidRPr="00416C4A">
              <w:t>Coeff.</w:t>
            </w:r>
          </w:p>
        </w:tc>
        <w:tc>
          <w:tcPr>
            <w:tcW w:w="996" w:type="dxa"/>
            <w:tcBorders>
              <w:left w:val="nil"/>
            </w:tcBorders>
            <w:vAlign w:val="center"/>
          </w:tcPr>
          <w:p w14:paraId="00800749" w14:textId="3FDB134C" w:rsidR="00A711B9" w:rsidRPr="00416C4A" w:rsidRDefault="00D96DFB" w:rsidP="00A711B9">
            <w:pPr>
              <w:spacing w:line="480" w:lineRule="auto"/>
              <w:jc w:val="center"/>
            </w:pPr>
            <w:r w:rsidRPr="00416C4A">
              <w:t>P-value</w:t>
            </w:r>
          </w:p>
        </w:tc>
        <w:tc>
          <w:tcPr>
            <w:tcW w:w="1009" w:type="dxa"/>
            <w:tcBorders>
              <w:right w:val="nil"/>
            </w:tcBorders>
            <w:vAlign w:val="center"/>
          </w:tcPr>
          <w:p w14:paraId="4AA43E48" w14:textId="77777777" w:rsidR="00A711B9" w:rsidRPr="00416C4A" w:rsidRDefault="00D96DFB" w:rsidP="00A711B9">
            <w:pPr>
              <w:spacing w:line="480" w:lineRule="auto"/>
              <w:jc w:val="center"/>
            </w:pPr>
            <w:r w:rsidRPr="00416C4A">
              <w:t>Coeff.</w:t>
            </w:r>
          </w:p>
        </w:tc>
        <w:tc>
          <w:tcPr>
            <w:tcW w:w="996" w:type="dxa"/>
            <w:gridSpan w:val="2"/>
            <w:tcBorders>
              <w:left w:val="nil"/>
            </w:tcBorders>
            <w:vAlign w:val="center"/>
          </w:tcPr>
          <w:p w14:paraId="19F623EE" w14:textId="1B2DE87E" w:rsidR="00A711B9" w:rsidRPr="00416C4A" w:rsidRDefault="00D96DFB" w:rsidP="00A711B9">
            <w:pPr>
              <w:spacing w:line="480" w:lineRule="auto"/>
              <w:jc w:val="center"/>
            </w:pPr>
            <w:r w:rsidRPr="00416C4A">
              <w:t>P-value</w:t>
            </w:r>
          </w:p>
        </w:tc>
        <w:tc>
          <w:tcPr>
            <w:tcW w:w="1009" w:type="dxa"/>
            <w:tcBorders>
              <w:right w:val="nil"/>
            </w:tcBorders>
            <w:vAlign w:val="center"/>
          </w:tcPr>
          <w:p w14:paraId="12CD2340" w14:textId="77777777" w:rsidR="00A711B9" w:rsidRPr="00416C4A" w:rsidRDefault="00D96DFB" w:rsidP="00A711B9">
            <w:pPr>
              <w:spacing w:line="480" w:lineRule="auto"/>
              <w:jc w:val="center"/>
            </w:pPr>
            <w:r w:rsidRPr="00416C4A">
              <w:t>Coeff.</w:t>
            </w:r>
          </w:p>
        </w:tc>
        <w:tc>
          <w:tcPr>
            <w:tcW w:w="996" w:type="dxa"/>
            <w:gridSpan w:val="2"/>
            <w:tcBorders>
              <w:left w:val="nil"/>
            </w:tcBorders>
            <w:vAlign w:val="center"/>
          </w:tcPr>
          <w:p w14:paraId="62CE1428" w14:textId="7A7940FA" w:rsidR="00A711B9" w:rsidRPr="00416C4A" w:rsidRDefault="00D96DFB" w:rsidP="00A711B9">
            <w:pPr>
              <w:spacing w:line="480" w:lineRule="auto"/>
              <w:jc w:val="center"/>
            </w:pPr>
            <w:r w:rsidRPr="00416C4A">
              <w:t>P-value</w:t>
            </w:r>
          </w:p>
        </w:tc>
        <w:tc>
          <w:tcPr>
            <w:tcW w:w="1009" w:type="dxa"/>
            <w:tcBorders>
              <w:right w:val="nil"/>
            </w:tcBorders>
            <w:vAlign w:val="center"/>
          </w:tcPr>
          <w:p w14:paraId="16E82E6E" w14:textId="77777777" w:rsidR="00A711B9" w:rsidRPr="00416C4A" w:rsidRDefault="00D96DFB" w:rsidP="00A711B9">
            <w:pPr>
              <w:spacing w:line="480" w:lineRule="auto"/>
              <w:jc w:val="center"/>
            </w:pPr>
            <w:r w:rsidRPr="00416C4A">
              <w:t>Coeff.</w:t>
            </w:r>
          </w:p>
        </w:tc>
        <w:tc>
          <w:tcPr>
            <w:tcW w:w="996" w:type="dxa"/>
            <w:gridSpan w:val="2"/>
            <w:tcBorders>
              <w:left w:val="nil"/>
              <w:right w:val="single" w:sz="4" w:space="0" w:color="FFFFFF"/>
            </w:tcBorders>
            <w:vAlign w:val="center"/>
          </w:tcPr>
          <w:p w14:paraId="6449FB04" w14:textId="67049869" w:rsidR="00A711B9" w:rsidRPr="00416C4A" w:rsidRDefault="00D96DFB" w:rsidP="00A711B9">
            <w:pPr>
              <w:spacing w:line="480" w:lineRule="auto"/>
              <w:jc w:val="center"/>
            </w:pPr>
            <w:r w:rsidRPr="00416C4A">
              <w:t>P-value</w:t>
            </w:r>
          </w:p>
        </w:tc>
      </w:tr>
      <w:tr w:rsidR="00416C4A" w:rsidRPr="00416C4A" w14:paraId="429B0C0D" w14:textId="77777777" w:rsidTr="005B64E8">
        <w:tc>
          <w:tcPr>
            <w:tcW w:w="2263" w:type="dxa"/>
            <w:tcBorders>
              <w:left w:val="single" w:sz="4" w:space="0" w:color="FFFFFF"/>
              <w:bottom w:val="single" w:sz="4" w:space="0" w:color="FFFFFF" w:themeColor="background1"/>
              <w:right w:val="single" w:sz="4" w:space="0" w:color="FFFFFF"/>
            </w:tcBorders>
            <w:vAlign w:val="center"/>
          </w:tcPr>
          <w:p w14:paraId="10048253" w14:textId="77777777" w:rsidR="00A711B9" w:rsidRPr="00416C4A" w:rsidRDefault="00D96DFB" w:rsidP="00A711B9">
            <w:pPr>
              <w:spacing w:line="480" w:lineRule="auto"/>
              <w:rPr>
                <w:b/>
              </w:rPr>
            </w:pPr>
            <w:r w:rsidRPr="00416C4A">
              <w:rPr>
                <w:b/>
              </w:rPr>
              <w:t>%Female</w:t>
            </w:r>
          </w:p>
        </w:tc>
        <w:tc>
          <w:tcPr>
            <w:tcW w:w="993" w:type="dxa"/>
            <w:tcBorders>
              <w:left w:val="single" w:sz="4" w:space="0" w:color="FFFFFF"/>
              <w:bottom w:val="single" w:sz="4" w:space="0" w:color="FFFFFF" w:themeColor="background1"/>
              <w:right w:val="single" w:sz="4" w:space="0" w:color="FFFFFF"/>
            </w:tcBorders>
            <w:vAlign w:val="center"/>
          </w:tcPr>
          <w:p w14:paraId="18087130" w14:textId="0E2C7C55" w:rsidR="00A711B9" w:rsidRPr="00416C4A" w:rsidRDefault="00D96DFB" w:rsidP="005B64E8">
            <w:pPr>
              <w:spacing w:line="480" w:lineRule="auto"/>
              <w:ind w:right="-246"/>
              <w:jc w:val="center"/>
              <w:rPr>
                <w:b/>
              </w:rPr>
            </w:pPr>
            <w:r w:rsidRPr="00416C4A">
              <w:rPr>
                <w:b/>
              </w:rPr>
              <w:t>0.0</w:t>
            </w:r>
            <w:r w:rsidR="00531A5D" w:rsidRPr="00416C4A">
              <w:rPr>
                <w:b/>
              </w:rPr>
              <w:t>6</w:t>
            </w:r>
            <w:r w:rsidRPr="00416C4A">
              <w:rPr>
                <w:b/>
              </w:rPr>
              <w:t>3</w:t>
            </w:r>
          </w:p>
        </w:tc>
        <w:tc>
          <w:tcPr>
            <w:tcW w:w="992" w:type="dxa"/>
            <w:gridSpan w:val="2"/>
            <w:tcBorders>
              <w:left w:val="single" w:sz="4" w:space="0" w:color="FFFFFF"/>
              <w:bottom w:val="single" w:sz="4" w:space="0" w:color="FFFFFF" w:themeColor="background1"/>
              <w:right w:val="single" w:sz="4" w:space="0" w:color="FFFFFF"/>
            </w:tcBorders>
            <w:vAlign w:val="center"/>
          </w:tcPr>
          <w:p w14:paraId="16EAF969" w14:textId="62CB3150" w:rsidR="00A711B9" w:rsidRPr="00416C4A" w:rsidRDefault="00D96DFB" w:rsidP="00A711B9">
            <w:pPr>
              <w:spacing w:line="480" w:lineRule="auto"/>
              <w:jc w:val="center"/>
              <w:rPr>
                <w:b/>
              </w:rPr>
            </w:pPr>
            <w:r w:rsidRPr="00416C4A">
              <w:rPr>
                <w:b/>
              </w:rPr>
              <w:t>0.4</w:t>
            </w:r>
            <w:r w:rsidR="000B20A5" w:rsidRPr="00416C4A">
              <w:rPr>
                <w:b/>
              </w:rPr>
              <w:t>11</w:t>
            </w:r>
          </w:p>
        </w:tc>
        <w:tc>
          <w:tcPr>
            <w:tcW w:w="851" w:type="dxa"/>
            <w:tcBorders>
              <w:left w:val="single" w:sz="4" w:space="0" w:color="FFFFFF"/>
              <w:bottom w:val="single" w:sz="4" w:space="0" w:color="FFFFFF" w:themeColor="background1"/>
              <w:right w:val="single" w:sz="4" w:space="0" w:color="FFFFFF"/>
            </w:tcBorders>
            <w:vAlign w:val="center"/>
          </w:tcPr>
          <w:p w14:paraId="4F6EE2BF" w14:textId="77777777" w:rsidR="00A711B9" w:rsidRPr="00416C4A" w:rsidRDefault="00A711B9" w:rsidP="00A711B9">
            <w:pPr>
              <w:spacing w:line="480" w:lineRule="auto"/>
              <w:jc w:val="center"/>
              <w:rPr>
                <w:b/>
              </w:rPr>
            </w:pPr>
          </w:p>
        </w:tc>
        <w:tc>
          <w:tcPr>
            <w:tcW w:w="971" w:type="dxa"/>
            <w:gridSpan w:val="2"/>
            <w:tcBorders>
              <w:left w:val="single" w:sz="4" w:space="0" w:color="FFFFFF"/>
              <w:bottom w:val="single" w:sz="4" w:space="0" w:color="FFFFFF" w:themeColor="background1"/>
              <w:right w:val="single" w:sz="4" w:space="0" w:color="FFFFFF"/>
            </w:tcBorders>
            <w:vAlign w:val="center"/>
          </w:tcPr>
          <w:p w14:paraId="6BFD9CAA" w14:textId="77777777" w:rsidR="00A711B9" w:rsidRPr="00416C4A" w:rsidRDefault="00A711B9" w:rsidP="00A711B9">
            <w:pPr>
              <w:spacing w:line="480" w:lineRule="auto"/>
              <w:jc w:val="center"/>
              <w:rPr>
                <w:b/>
              </w:rPr>
            </w:pPr>
          </w:p>
        </w:tc>
        <w:tc>
          <w:tcPr>
            <w:tcW w:w="1009" w:type="dxa"/>
            <w:tcBorders>
              <w:left w:val="single" w:sz="4" w:space="0" w:color="FFFFFF"/>
              <w:bottom w:val="single" w:sz="4" w:space="0" w:color="FFFFFF" w:themeColor="background1"/>
              <w:right w:val="single" w:sz="4" w:space="0" w:color="FFFFFF"/>
            </w:tcBorders>
            <w:vAlign w:val="center"/>
          </w:tcPr>
          <w:p w14:paraId="7B701972" w14:textId="36B590A7" w:rsidR="00A711B9" w:rsidRPr="00416C4A" w:rsidRDefault="00D96DFB" w:rsidP="00A711B9">
            <w:pPr>
              <w:spacing w:line="480" w:lineRule="auto"/>
              <w:jc w:val="center"/>
              <w:rPr>
                <w:b/>
              </w:rPr>
            </w:pPr>
            <w:r w:rsidRPr="00416C4A">
              <w:rPr>
                <w:b/>
              </w:rPr>
              <w:t>0.0</w:t>
            </w:r>
            <w:r w:rsidR="008B5920" w:rsidRPr="00416C4A">
              <w:rPr>
                <w:b/>
              </w:rPr>
              <w:t>65</w:t>
            </w:r>
          </w:p>
        </w:tc>
        <w:tc>
          <w:tcPr>
            <w:tcW w:w="996" w:type="dxa"/>
            <w:tcBorders>
              <w:left w:val="single" w:sz="4" w:space="0" w:color="FFFFFF"/>
              <w:bottom w:val="single" w:sz="4" w:space="0" w:color="FFFFFF" w:themeColor="background1"/>
              <w:right w:val="single" w:sz="4" w:space="0" w:color="FFFFFF"/>
            </w:tcBorders>
            <w:vAlign w:val="center"/>
          </w:tcPr>
          <w:p w14:paraId="168D15A4" w14:textId="231B63F4" w:rsidR="00A711B9" w:rsidRPr="00416C4A" w:rsidRDefault="00D96DFB" w:rsidP="00A711B9">
            <w:pPr>
              <w:spacing w:line="480" w:lineRule="auto"/>
              <w:jc w:val="center"/>
              <w:rPr>
                <w:b/>
              </w:rPr>
            </w:pPr>
            <w:r w:rsidRPr="00416C4A">
              <w:rPr>
                <w:b/>
              </w:rPr>
              <w:t>0.4</w:t>
            </w:r>
            <w:r w:rsidR="008B5920" w:rsidRPr="00416C4A">
              <w:rPr>
                <w:b/>
              </w:rPr>
              <w:t>50</w:t>
            </w:r>
          </w:p>
        </w:tc>
        <w:tc>
          <w:tcPr>
            <w:tcW w:w="1009" w:type="dxa"/>
            <w:tcBorders>
              <w:left w:val="single" w:sz="4" w:space="0" w:color="FFFFFF"/>
              <w:bottom w:val="single" w:sz="4" w:space="0" w:color="FFFFFF" w:themeColor="background1"/>
              <w:right w:val="single" w:sz="4" w:space="0" w:color="FFFFFF"/>
            </w:tcBorders>
            <w:vAlign w:val="center"/>
          </w:tcPr>
          <w:p w14:paraId="3D83E55B" w14:textId="66ECA7F5" w:rsidR="00A711B9" w:rsidRPr="00416C4A" w:rsidRDefault="00D96DFB" w:rsidP="00A711B9">
            <w:pPr>
              <w:spacing w:line="480" w:lineRule="auto"/>
              <w:jc w:val="center"/>
              <w:rPr>
                <w:b/>
              </w:rPr>
            </w:pPr>
            <w:r w:rsidRPr="00416C4A">
              <w:rPr>
                <w:b/>
              </w:rPr>
              <w:t>0.0</w:t>
            </w:r>
            <w:r w:rsidR="00975B8D" w:rsidRPr="00416C4A">
              <w:rPr>
                <w:b/>
              </w:rPr>
              <w:t>05</w:t>
            </w:r>
          </w:p>
        </w:tc>
        <w:tc>
          <w:tcPr>
            <w:tcW w:w="996" w:type="dxa"/>
            <w:gridSpan w:val="2"/>
            <w:tcBorders>
              <w:left w:val="single" w:sz="4" w:space="0" w:color="FFFFFF"/>
              <w:bottom w:val="single" w:sz="4" w:space="0" w:color="FFFFFF" w:themeColor="background1"/>
              <w:right w:val="single" w:sz="4" w:space="0" w:color="FFFFFF"/>
            </w:tcBorders>
            <w:vAlign w:val="center"/>
          </w:tcPr>
          <w:p w14:paraId="0802B76B" w14:textId="53A7DEFD" w:rsidR="00A711B9" w:rsidRPr="00416C4A" w:rsidRDefault="00D96DFB" w:rsidP="00A711B9">
            <w:pPr>
              <w:spacing w:line="480" w:lineRule="auto"/>
              <w:jc w:val="center"/>
              <w:rPr>
                <w:b/>
              </w:rPr>
            </w:pPr>
            <w:r w:rsidRPr="00416C4A">
              <w:rPr>
                <w:b/>
              </w:rPr>
              <w:t>0.</w:t>
            </w:r>
            <w:r w:rsidR="00975B8D" w:rsidRPr="00416C4A">
              <w:rPr>
                <w:b/>
              </w:rPr>
              <w:t>4</w:t>
            </w:r>
            <w:r w:rsidRPr="00416C4A">
              <w:rPr>
                <w:b/>
              </w:rPr>
              <w:t>4</w:t>
            </w:r>
            <w:r w:rsidR="00975B8D" w:rsidRPr="00416C4A">
              <w:rPr>
                <w:b/>
              </w:rPr>
              <w:t>9</w:t>
            </w:r>
          </w:p>
        </w:tc>
        <w:tc>
          <w:tcPr>
            <w:tcW w:w="1009" w:type="dxa"/>
            <w:tcBorders>
              <w:left w:val="single" w:sz="4" w:space="0" w:color="FFFFFF"/>
              <w:bottom w:val="single" w:sz="4" w:space="0" w:color="FFFFFF" w:themeColor="background1"/>
              <w:right w:val="single" w:sz="4" w:space="0" w:color="FFFFFF"/>
            </w:tcBorders>
            <w:vAlign w:val="center"/>
          </w:tcPr>
          <w:p w14:paraId="6B4331CD" w14:textId="77777777" w:rsidR="00A711B9" w:rsidRPr="00416C4A" w:rsidRDefault="00A711B9" w:rsidP="00A711B9">
            <w:pPr>
              <w:spacing w:line="480" w:lineRule="auto"/>
              <w:jc w:val="center"/>
              <w:rPr>
                <w:b/>
              </w:rPr>
            </w:pPr>
          </w:p>
        </w:tc>
        <w:tc>
          <w:tcPr>
            <w:tcW w:w="996" w:type="dxa"/>
            <w:gridSpan w:val="2"/>
            <w:tcBorders>
              <w:left w:val="single" w:sz="4" w:space="0" w:color="FFFFFF"/>
              <w:bottom w:val="single" w:sz="4" w:space="0" w:color="FFFFFF" w:themeColor="background1"/>
              <w:right w:val="single" w:sz="4" w:space="0" w:color="FFFFFF"/>
            </w:tcBorders>
            <w:vAlign w:val="center"/>
          </w:tcPr>
          <w:p w14:paraId="0BDA6C94" w14:textId="77777777" w:rsidR="00A711B9" w:rsidRPr="00416C4A" w:rsidRDefault="00A711B9" w:rsidP="00A711B9">
            <w:pPr>
              <w:spacing w:line="480" w:lineRule="auto"/>
              <w:jc w:val="center"/>
              <w:rPr>
                <w:b/>
              </w:rPr>
            </w:pPr>
          </w:p>
        </w:tc>
        <w:tc>
          <w:tcPr>
            <w:tcW w:w="1009" w:type="dxa"/>
            <w:tcBorders>
              <w:left w:val="single" w:sz="4" w:space="0" w:color="FFFFFF"/>
              <w:bottom w:val="single" w:sz="4" w:space="0" w:color="FFFFFF" w:themeColor="background1"/>
              <w:right w:val="single" w:sz="4" w:space="0" w:color="FFFFFF"/>
            </w:tcBorders>
            <w:vAlign w:val="center"/>
          </w:tcPr>
          <w:p w14:paraId="55841AD8" w14:textId="7FBA629A" w:rsidR="00A711B9" w:rsidRPr="00416C4A" w:rsidRDefault="00D96DFB" w:rsidP="00A711B9">
            <w:pPr>
              <w:spacing w:line="480" w:lineRule="auto"/>
              <w:jc w:val="center"/>
              <w:rPr>
                <w:b/>
              </w:rPr>
            </w:pPr>
            <w:r w:rsidRPr="00416C4A">
              <w:rPr>
                <w:b/>
              </w:rPr>
              <w:t>0.0</w:t>
            </w:r>
            <w:r w:rsidR="00834B1A" w:rsidRPr="00416C4A">
              <w:rPr>
                <w:b/>
              </w:rPr>
              <w:t>03</w:t>
            </w:r>
          </w:p>
        </w:tc>
        <w:tc>
          <w:tcPr>
            <w:tcW w:w="996" w:type="dxa"/>
            <w:gridSpan w:val="2"/>
            <w:tcBorders>
              <w:left w:val="single" w:sz="4" w:space="0" w:color="FFFFFF"/>
              <w:bottom w:val="single" w:sz="4" w:space="0" w:color="FFFFFF" w:themeColor="background1"/>
              <w:right w:val="single" w:sz="4" w:space="0" w:color="FFFFFF"/>
            </w:tcBorders>
            <w:vAlign w:val="center"/>
          </w:tcPr>
          <w:p w14:paraId="4806A955" w14:textId="6DED1C85" w:rsidR="00A711B9" w:rsidRPr="00416C4A" w:rsidRDefault="00D96DFB" w:rsidP="00A711B9">
            <w:pPr>
              <w:spacing w:line="480" w:lineRule="auto"/>
              <w:jc w:val="center"/>
              <w:rPr>
                <w:b/>
              </w:rPr>
            </w:pPr>
            <w:r w:rsidRPr="00416C4A">
              <w:rPr>
                <w:b/>
              </w:rPr>
              <w:t>0.</w:t>
            </w:r>
            <w:r w:rsidR="00834B1A" w:rsidRPr="00416C4A">
              <w:rPr>
                <w:b/>
              </w:rPr>
              <w:t>717</w:t>
            </w:r>
          </w:p>
        </w:tc>
      </w:tr>
      <w:tr w:rsidR="00416C4A" w:rsidRPr="00416C4A" w14:paraId="3878C092" w14:textId="77777777" w:rsidTr="005B64E8">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12A3752" w14:textId="03201097" w:rsidR="00A711B9" w:rsidRPr="00416C4A" w:rsidRDefault="00D96DFB" w:rsidP="00A711B9">
            <w:pPr>
              <w:spacing w:line="480" w:lineRule="auto"/>
            </w:pPr>
            <w:r w:rsidRPr="00416C4A">
              <w:t>%Executive Female</w:t>
            </w:r>
          </w:p>
        </w:tc>
        <w:tc>
          <w:tcPr>
            <w:tcW w:w="99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B993481" w14:textId="77777777" w:rsidR="00A711B9" w:rsidRPr="00416C4A" w:rsidRDefault="00A711B9" w:rsidP="005B64E8">
            <w:pPr>
              <w:spacing w:line="480" w:lineRule="auto"/>
              <w:ind w:right="-246"/>
              <w:jc w:val="center"/>
            </w:pPr>
          </w:p>
        </w:tc>
        <w:tc>
          <w:tcPr>
            <w:tcW w:w="99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F803266" w14:textId="77777777" w:rsidR="00A711B9" w:rsidRPr="00416C4A" w:rsidRDefault="00A711B9" w:rsidP="00A711B9">
            <w:pPr>
              <w:spacing w:line="480" w:lineRule="auto"/>
              <w:jc w:val="center"/>
            </w:pP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41A3E5C" w14:textId="43038818" w:rsidR="00A711B9" w:rsidRPr="00416C4A" w:rsidRDefault="00D96DFB" w:rsidP="00A711B9">
            <w:pPr>
              <w:spacing w:line="480" w:lineRule="auto"/>
              <w:jc w:val="center"/>
            </w:pPr>
            <w:r w:rsidRPr="00416C4A">
              <w:t>0.</w:t>
            </w:r>
            <w:r w:rsidR="00076E37" w:rsidRPr="00416C4A">
              <w:t>041</w:t>
            </w:r>
          </w:p>
        </w:tc>
        <w:tc>
          <w:tcPr>
            <w:tcW w:w="971"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DD717F4" w14:textId="755F1677" w:rsidR="00A711B9" w:rsidRPr="00416C4A" w:rsidRDefault="00D96DFB" w:rsidP="00A711B9">
            <w:pPr>
              <w:spacing w:line="480" w:lineRule="auto"/>
              <w:jc w:val="center"/>
            </w:pPr>
            <w:r w:rsidRPr="00416C4A">
              <w:t>0.</w:t>
            </w:r>
            <w:r w:rsidR="00076E37" w:rsidRPr="00416C4A">
              <w:t>755</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FBEBEE3" w14:textId="3C94F916" w:rsidR="00A711B9" w:rsidRPr="00416C4A" w:rsidRDefault="00D96DFB" w:rsidP="00A711B9">
            <w:pPr>
              <w:spacing w:line="480" w:lineRule="auto"/>
              <w:jc w:val="center"/>
            </w:pPr>
            <w:r w:rsidRPr="00416C4A">
              <w:t>-0.007</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3ADDCBC" w14:textId="2D1FFB1B" w:rsidR="00A711B9" w:rsidRPr="00416C4A" w:rsidRDefault="00D96DFB" w:rsidP="00A711B9">
            <w:pPr>
              <w:spacing w:line="480" w:lineRule="auto"/>
              <w:jc w:val="center"/>
            </w:pPr>
            <w:r w:rsidRPr="00416C4A">
              <w:t>0.</w:t>
            </w:r>
            <w:r w:rsidR="002A42C7" w:rsidRPr="00416C4A">
              <w:t>960</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FFA0312" w14:textId="77777777" w:rsidR="00A711B9" w:rsidRPr="00416C4A" w:rsidRDefault="00A711B9" w:rsidP="00A711B9">
            <w:pPr>
              <w:spacing w:line="480" w:lineRule="auto"/>
              <w:jc w:val="center"/>
            </w:pP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5549D28" w14:textId="77777777" w:rsidR="00A711B9" w:rsidRPr="00416C4A" w:rsidRDefault="00A711B9" w:rsidP="00A711B9">
            <w:pPr>
              <w:spacing w:line="480" w:lineRule="auto"/>
              <w:jc w:val="center"/>
              <w:rPr>
                <w:b/>
                <w:bCs/>
              </w:rPr>
            </w:pP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A1DFCA5" w14:textId="2CDE7447" w:rsidR="00A711B9" w:rsidRPr="00416C4A" w:rsidRDefault="00D96DFB" w:rsidP="00A711B9">
            <w:pPr>
              <w:spacing w:line="480" w:lineRule="auto"/>
              <w:jc w:val="center"/>
            </w:pPr>
            <w:r w:rsidRPr="00416C4A">
              <w:t>0.01</w:t>
            </w:r>
            <w:r w:rsidR="006036B0" w:rsidRPr="00416C4A">
              <w:t>3</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B721C1C" w14:textId="6282E307" w:rsidR="00A711B9" w:rsidRPr="00416C4A" w:rsidRDefault="00D96DFB" w:rsidP="00A711B9">
            <w:pPr>
              <w:spacing w:line="480" w:lineRule="auto"/>
              <w:jc w:val="center"/>
            </w:pPr>
            <w:r w:rsidRPr="00416C4A">
              <w:t>0.</w:t>
            </w:r>
            <w:r w:rsidR="006036B0" w:rsidRPr="00416C4A">
              <w:t>1</w:t>
            </w:r>
            <w:r w:rsidRPr="00416C4A">
              <w:t>9</w:t>
            </w:r>
            <w:r w:rsidR="006036B0" w:rsidRPr="00416C4A">
              <w:t>0</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3AD33AA" w14:textId="54D6DABE" w:rsidR="00A711B9" w:rsidRPr="00416C4A" w:rsidRDefault="00D96DFB" w:rsidP="00A711B9">
            <w:pPr>
              <w:spacing w:line="480" w:lineRule="auto"/>
              <w:jc w:val="center"/>
            </w:pPr>
            <w:r w:rsidRPr="00416C4A">
              <w:t>0.0</w:t>
            </w:r>
            <w:r w:rsidR="00834B1A" w:rsidRPr="00416C4A">
              <w:t>11</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6A3E443" w14:textId="2868FA96" w:rsidR="00A711B9" w:rsidRPr="00416C4A" w:rsidRDefault="00D96DFB" w:rsidP="00A711B9">
            <w:pPr>
              <w:spacing w:line="480" w:lineRule="auto"/>
              <w:jc w:val="center"/>
            </w:pPr>
            <w:r w:rsidRPr="00416C4A">
              <w:t>0.</w:t>
            </w:r>
            <w:r w:rsidR="00834B1A" w:rsidRPr="00416C4A">
              <w:t>292</w:t>
            </w:r>
          </w:p>
        </w:tc>
      </w:tr>
      <w:tr w:rsidR="00416C4A" w:rsidRPr="00416C4A" w14:paraId="3673D7EF" w14:textId="77777777" w:rsidTr="005B64E8">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B807FE7" w14:textId="0A827B39" w:rsidR="00A711B9" w:rsidRPr="00416C4A" w:rsidRDefault="00D96DFB" w:rsidP="00A711B9">
            <w:pPr>
              <w:spacing w:line="480" w:lineRule="auto"/>
            </w:pPr>
            <w:r w:rsidRPr="00416C4A">
              <w:t xml:space="preserve">Board </w:t>
            </w:r>
            <w:r w:rsidR="003016D1" w:rsidRPr="00416C4A">
              <w:t>S</w:t>
            </w:r>
            <w:r w:rsidRPr="00416C4A">
              <w:t>ize</w:t>
            </w:r>
          </w:p>
        </w:tc>
        <w:tc>
          <w:tcPr>
            <w:tcW w:w="99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BB772BE" w14:textId="50C5BE64" w:rsidR="00A711B9" w:rsidRPr="00416C4A" w:rsidRDefault="00D96DFB" w:rsidP="005B64E8">
            <w:pPr>
              <w:spacing w:line="480" w:lineRule="auto"/>
              <w:ind w:right="-246"/>
              <w:jc w:val="center"/>
            </w:pPr>
            <w:r w:rsidRPr="00416C4A">
              <w:t>0.</w:t>
            </w:r>
            <w:r w:rsidR="000B20A5" w:rsidRPr="00416C4A">
              <w:t>691</w:t>
            </w:r>
          </w:p>
        </w:tc>
        <w:tc>
          <w:tcPr>
            <w:tcW w:w="99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7B9DB36" w14:textId="540FA255" w:rsidR="00A711B9" w:rsidRPr="00416C4A" w:rsidRDefault="00D96DFB" w:rsidP="00A711B9">
            <w:pPr>
              <w:spacing w:line="480" w:lineRule="auto"/>
              <w:jc w:val="center"/>
              <w:rPr>
                <w:bCs/>
              </w:rPr>
            </w:pPr>
            <w:r w:rsidRPr="00416C4A">
              <w:t>0.</w:t>
            </w:r>
            <w:r w:rsidR="000B20A5" w:rsidRPr="00416C4A">
              <w:t>844</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01B6795" w14:textId="5615627E" w:rsidR="00A711B9" w:rsidRPr="00416C4A" w:rsidRDefault="00D96DFB" w:rsidP="00A711B9">
            <w:pPr>
              <w:spacing w:line="480" w:lineRule="auto"/>
              <w:jc w:val="center"/>
            </w:pPr>
            <w:r w:rsidRPr="00416C4A">
              <w:t>0.</w:t>
            </w:r>
            <w:r w:rsidR="00076E37" w:rsidRPr="00416C4A">
              <w:t>0</w:t>
            </w:r>
            <w:r w:rsidRPr="00416C4A">
              <w:t>7</w:t>
            </w:r>
            <w:r w:rsidR="00076E37" w:rsidRPr="00416C4A">
              <w:t>2</w:t>
            </w:r>
          </w:p>
        </w:tc>
        <w:tc>
          <w:tcPr>
            <w:tcW w:w="971"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661851C" w14:textId="5DC7892E" w:rsidR="00A711B9" w:rsidRPr="00416C4A" w:rsidRDefault="00D96DFB" w:rsidP="00A711B9">
            <w:pPr>
              <w:spacing w:line="480" w:lineRule="auto"/>
              <w:jc w:val="center"/>
            </w:pPr>
            <w:r w:rsidRPr="00416C4A">
              <w:t>0.</w:t>
            </w:r>
            <w:r w:rsidR="00076E37" w:rsidRPr="00416C4A">
              <w:t>840</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63C7609" w14:textId="40FA6CB4" w:rsidR="00A711B9" w:rsidRPr="00416C4A" w:rsidRDefault="00D96DFB" w:rsidP="00A711B9">
            <w:pPr>
              <w:spacing w:line="480" w:lineRule="auto"/>
              <w:jc w:val="center"/>
            </w:pPr>
            <w:r w:rsidRPr="00416C4A">
              <w:t>0.</w:t>
            </w:r>
            <w:r w:rsidR="00DD710E" w:rsidRPr="00416C4A">
              <w:t>0</w:t>
            </w:r>
            <w:r w:rsidRPr="00416C4A">
              <w:t>6</w:t>
            </w:r>
            <w:r w:rsidR="00DD710E" w:rsidRPr="00416C4A">
              <w:t>9</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8892292" w14:textId="527D3A0D" w:rsidR="00A711B9" w:rsidRPr="00416C4A" w:rsidRDefault="00D96DFB" w:rsidP="00A711B9">
            <w:pPr>
              <w:spacing w:line="480" w:lineRule="auto"/>
              <w:jc w:val="center"/>
            </w:pPr>
            <w:r w:rsidRPr="00416C4A">
              <w:t>0.</w:t>
            </w:r>
            <w:r w:rsidR="00DD710E" w:rsidRPr="00416C4A">
              <w:t>845</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FFFF2B7" w14:textId="4B8D6649" w:rsidR="00A711B9" w:rsidRPr="00416C4A" w:rsidRDefault="00D96DFB" w:rsidP="00A711B9">
            <w:pPr>
              <w:spacing w:line="480" w:lineRule="auto"/>
              <w:jc w:val="center"/>
            </w:pPr>
            <w:r w:rsidRPr="00416C4A">
              <w:t>-0.0</w:t>
            </w:r>
            <w:r w:rsidR="0008306B" w:rsidRPr="00416C4A">
              <w:t>09</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90F0861" w14:textId="486E8993" w:rsidR="00A711B9" w:rsidRPr="00416C4A" w:rsidRDefault="00D96DFB" w:rsidP="00A711B9">
            <w:pPr>
              <w:spacing w:line="480" w:lineRule="auto"/>
              <w:jc w:val="center"/>
              <w:rPr>
                <w:bCs/>
              </w:rPr>
            </w:pPr>
            <w:r w:rsidRPr="00416C4A">
              <w:rPr>
                <w:bCs/>
              </w:rPr>
              <w:t>0.</w:t>
            </w:r>
            <w:r w:rsidR="0008306B" w:rsidRPr="00416C4A">
              <w:rPr>
                <w:bCs/>
              </w:rPr>
              <w:t>814</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0C17065" w14:textId="133F1234" w:rsidR="00A711B9" w:rsidRPr="00416C4A" w:rsidRDefault="00D96DFB" w:rsidP="00A711B9">
            <w:pPr>
              <w:spacing w:line="480" w:lineRule="auto"/>
              <w:jc w:val="center"/>
            </w:pPr>
            <w:r w:rsidRPr="00416C4A">
              <w:t>-0.</w:t>
            </w:r>
            <w:r w:rsidR="006036B0" w:rsidRPr="00416C4A">
              <w:t>009</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8018F89" w14:textId="63916F5A" w:rsidR="00A711B9" w:rsidRPr="00416C4A" w:rsidRDefault="00D96DFB" w:rsidP="00A711B9">
            <w:pPr>
              <w:spacing w:line="480" w:lineRule="auto"/>
              <w:jc w:val="center"/>
              <w:rPr>
                <w:bCs/>
              </w:rPr>
            </w:pPr>
            <w:r w:rsidRPr="00416C4A">
              <w:rPr>
                <w:bCs/>
              </w:rPr>
              <w:t>0.</w:t>
            </w:r>
            <w:r w:rsidR="006036B0" w:rsidRPr="00416C4A">
              <w:rPr>
                <w:bCs/>
              </w:rPr>
              <w:t>80</w:t>
            </w:r>
            <w:r w:rsidRPr="00416C4A">
              <w:rPr>
                <w:bCs/>
              </w:rPr>
              <w:t>9</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EEC4122" w14:textId="1EF44E92" w:rsidR="00A711B9" w:rsidRPr="00416C4A" w:rsidRDefault="00D96DFB" w:rsidP="00A711B9">
            <w:pPr>
              <w:spacing w:line="480" w:lineRule="auto"/>
              <w:jc w:val="center"/>
            </w:pPr>
            <w:r w:rsidRPr="00416C4A">
              <w:t>-0.</w:t>
            </w:r>
            <w:r w:rsidR="00D46CFD" w:rsidRPr="00416C4A">
              <w:t>009</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88B6379" w14:textId="20E7D1E9" w:rsidR="00A711B9" w:rsidRPr="00416C4A" w:rsidRDefault="00D96DFB" w:rsidP="00A711B9">
            <w:pPr>
              <w:spacing w:line="480" w:lineRule="auto"/>
              <w:jc w:val="center"/>
              <w:rPr>
                <w:bCs/>
              </w:rPr>
            </w:pPr>
            <w:r w:rsidRPr="00416C4A">
              <w:rPr>
                <w:bCs/>
              </w:rPr>
              <w:t>0.</w:t>
            </w:r>
            <w:r w:rsidR="00D46CFD" w:rsidRPr="00416C4A">
              <w:rPr>
                <w:bCs/>
              </w:rPr>
              <w:t>807</w:t>
            </w:r>
          </w:p>
        </w:tc>
      </w:tr>
      <w:tr w:rsidR="00416C4A" w:rsidRPr="00416C4A" w14:paraId="4F5ABCBB" w14:textId="77777777" w:rsidTr="005B64E8">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52FCC26" w14:textId="72E4F9E2" w:rsidR="00A711B9" w:rsidRPr="00416C4A" w:rsidRDefault="00D96DFB" w:rsidP="00A711B9">
            <w:pPr>
              <w:spacing w:line="480" w:lineRule="auto"/>
            </w:pPr>
            <w:r w:rsidRPr="00416C4A">
              <w:t xml:space="preserve">Firm </w:t>
            </w:r>
            <w:r w:rsidR="003016D1" w:rsidRPr="00416C4A">
              <w:t>S</w:t>
            </w:r>
            <w:r w:rsidRPr="00416C4A">
              <w:t>ize</w:t>
            </w:r>
          </w:p>
        </w:tc>
        <w:tc>
          <w:tcPr>
            <w:tcW w:w="99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5B78134" w14:textId="6ED04F97" w:rsidR="00A711B9" w:rsidRPr="00416C4A" w:rsidRDefault="00D96DFB" w:rsidP="005B64E8">
            <w:pPr>
              <w:spacing w:line="480" w:lineRule="auto"/>
              <w:ind w:right="-246"/>
              <w:jc w:val="center"/>
            </w:pPr>
            <w:r w:rsidRPr="00416C4A">
              <w:t>-</w:t>
            </w:r>
            <w:r w:rsidR="000B20A5" w:rsidRPr="00416C4A">
              <w:t>3</w:t>
            </w:r>
            <w:r w:rsidRPr="00416C4A">
              <w:t>.74</w:t>
            </w:r>
            <w:r w:rsidR="005B64E8" w:rsidRPr="00416C4A">
              <w:t>5</w:t>
            </w:r>
          </w:p>
        </w:tc>
        <w:tc>
          <w:tcPr>
            <w:tcW w:w="99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BE498F5" w14:textId="7F7CB750" w:rsidR="00A711B9" w:rsidRPr="00416C4A" w:rsidRDefault="00D96DFB" w:rsidP="00A711B9">
            <w:pPr>
              <w:spacing w:line="480" w:lineRule="auto"/>
              <w:jc w:val="center"/>
              <w:rPr>
                <w:bCs/>
              </w:rPr>
            </w:pPr>
            <w:r w:rsidRPr="00416C4A">
              <w:rPr>
                <w:bCs/>
              </w:rPr>
              <w:t>0.0</w:t>
            </w:r>
            <w:r w:rsidR="005B64E8" w:rsidRPr="00416C4A">
              <w:rPr>
                <w:bCs/>
              </w:rPr>
              <w:t>01</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BCCCC84" w14:textId="44863E91" w:rsidR="00A711B9" w:rsidRPr="00416C4A" w:rsidRDefault="00D96DFB" w:rsidP="00A711B9">
            <w:pPr>
              <w:spacing w:line="480" w:lineRule="auto"/>
              <w:jc w:val="center"/>
            </w:pPr>
            <w:r w:rsidRPr="00416C4A">
              <w:t>-</w:t>
            </w:r>
            <w:r w:rsidR="00076E37" w:rsidRPr="00416C4A">
              <w:t>3</w:t>
            </w:r>
            <w:r w:rsidRPr="00416C4A">
              <w:t>.</w:t>
            </w:r>
            <w:r w:rsidR="00B92B8D" w:rsidRPr="00416C4A">
              <w:t>639</w:t>
            </w:r>
          </w:p>
        </w:tc>
        <w:tc>
          <w:tcPr>
            <w:tcW w:w="971"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ACEB1CE" w14:textId="7C566486" w:rsidR="00A711B9" w:rsidRPr="00416C4A" w:rsidRDefault="00D96DFB" w:rsidP="00A711B9">
            <w:pPr>
              <w:spacing w:line="480" w:lineRule="auto"/>
              <w:jc w:val="center"/>
            </w:pPr>
            <w:r w:rsidRPr="00416C4A">
              <w:t>0.0</w:t>
            </w:r>
            <w:r w:rsidR="00B92B8D" w:rsidRPr="00416C4A">
              <w:t>02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687FB1D" w14:textId="7604351E" w:rsidR="00A711B9" w:rsidRPr="00416C4A" w:rsidRDefault="00D96DFB" w:rsidP="00A711B9">
            <w:pPr>
              <w:spacing w:line="480" w:lineRule="auto"/>
              <w:jc w:val="center"/>
            </w:pPr>
            <w:r w:rsidRPr="00416C4A">
              <w:t>-</w:t>
            </w:r>
            <w:r w:rsidR="00DD710E" w:rsidRPr="00416C4A">
              <w:t>3</w:t>
            </w:r>
            <w:r w:rsidRPr="00416C4A">
              <w:t>.</w:t>
            </w:r>
            <w:r w:rsidR="00DD710E" w:rsidRPr="00416C4A">
              <w:t>754</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9B941C2" w14:textId="57FBCAF9" w:rsidR="00A711B9" w:rsidRPr="00416C4A" w:rsidRDefault="00D96DFB" w:rsidP="00A711B9">
            <w:pPr>
              <w:spacing w:line="480" w:lineRule="auto"/>
              <w:jc w:val="center"/>
              <w:rPr>
                <w:bCs/>
              </w:rPr>
            </w:pPr>
            <w:r w:rsidRPr="00416C4A">
              <w:rPr>
                <w:bCs/>
              </w:rPr>
              <w:t>0.0</w:t>
            </w:r>
            <w:r w:rsidR="00DD710E" w:rsidRPr="00416C4A">
              <w:rPr>
                <w:bCs/>
              </w:rPr>
              <w:t>02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31C681F" w14:textId="2B4D0F41" w:rsidR="00A711B9" w:rsidRPr="00416C4A" w:rsidRDefault="00D96DFB" w:rsidP="00A711B9">
            <w:pPr>
              <w:spacing w:line="480" w:lineRule="auto"/>
              <w:jc w:val="center"/>
            </w:pPr>
            <w:r w:rsidRPr="00416C4A">
              <w:t>-0.</w:t>
            </w:r>
            <w:r w:rsidR="0008306B" w:rsidRPr="00416C4A">
              <w:t>0</w:t>
            </w:r>
            <w:r w:rsidRPr="00416C4A">
              <w:t>1</w:t>
            </w:r>
            <w:r w:rsidR="0008306B" w:rsidRPr="00416C4A">
              <w:t>1</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3D35364" w14:textId="0B7DC9DB" w:rsidR="00A711B9" w:rsidRPr="00416C4A" w:rsidRDefault="00D96DFB" w:rsidP="00A711B9">
            <w:pPr>
              <w:spacing w:line="480" w:lineRule="auto"/>
              <w:jc w:val="center"/>
            </w:pPr>
            <w:r w:rsidRPr="00416C4A">
              <w:rPr>
                <w:bCs/>
              </w:rPr>
              <w:t>0.</w:t>
            </w:r>
            <w:r w:rsidR="0008306B" w:rsidRPr="00416C4A">
              <w:rPr>
                <w:bCs/>
              </w:rPr>
              <w:t>922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D32ECE8" w14:textId="2259D109" w:rsidR="00A711B9" w:rsidRPr="00416C4A" w:rsidRDefault="00D96DFB" w:rsidP="00A711B9">
            <w:pPr>
              <w:spacing w:line="480" w:lineRule="auto"/>
              <w:jc w:val="center"/>
            </w:pPr>
            <w:r w:rsidRPr="00416C4A">
              <w:t>0.</w:t>
            </w:r>
            <w:r w:rsidR="002858E3" w:rsidRPr="00416C4A">
              <w:t>007</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5B7685C" w14:textId="6E465A57" w:rsidR="00A711B9" w:rsidRPr="00416C4A" w:rsidRDefault="00D96DFB" w:rsidP="00A711B9">
            <w:pPr>
              <w:spacing w:line="480" w:lineRule="auto"/>
              <w:jc w:val="center"/>
              <w:rPr>
                <w:bCs/>
              </w:rPr>
            </w:pPr>
            <w:r w:rsidRPr="00416C4A">
              <w:rPr>
                <w:bCs/>
              </w:rPr>
              <w:t>0.</w:t>
            </w:r>
            <w:r w:rsidR="002858E3" w:rsidRPr="00416C4A">
              <w:rPr>
                <w:bCs/>
              </w:rPr>
              <w:t>953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82B505C" w14:textId="6F22D3A7" w:rsidR="00A711B9" w:rsidRPr="00416C4A" w:rsidRDefault="00D96DFB" w:rsidP="00A711B9">
            <w:pPr>
              <w:spacing w:line="480" w:lineRule="auto"/>
              <w:jc w:val="center"/>
            </w:pPr>
            <w:r w:rsidRPr="00416C4A">
              <w:t>0.</w:t>
            </w:r>
            <w:r w:rsidR="00D46CFD" w:rsidRPr="00416C4A">
              <w:t>002</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0B6C971" w14:textId="774E3063" w:rsidR="00A711B9" w:rsidRPr="00416C4A" w:rsidRDefault="00D96DFB" w:rsidP="00A711B9">
            <w:pPr>
              <w:spacing w:line="480" w:lineRule="auto"/>
              <w:jc w:val="center"/>
              <w:rPr>
                <w:bCs/>
              </w:rPr>
            </w:pPr>
            <w:r w:rsidRPr="00416C4A">
              <w:rPr>
                <w:bCs/>
              </w:rPr>
              <w:t>0.</w:t>
            </w:r>
            <w:r w:rsidR="00D46CFD" w:rsidRPr="00416C4A">
              <w:rPr>
                <w:bCs/>
              </w:rPr>
              <w:t>988</w:t>
            </w:r>
          </w:p>
        </w:tc>
      </w:tr>
      <w:tr w:rsidR="00416C4A" w:rsidRPr="00416C4A" w14:paraId="23534CA8" w14:textId="77777777" w:rsidTr="005B64E8">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707331D" w14:textId="77777777" w:rsidR="00A711B9" w:rsidRPr="00416C4A" w:rsidRDefault="00D96DFB" w:rsidP="00A711B9">
            <w:pPr>
              <w:spacing w:line="480" w:lineRule="auto"/>
            </w:pPr>
            <w:r w:rsidRPr="00416C4A">
              <w:t>Leverage</w:t>
            </w:r>
          </w:p>
        </w:tc>
        <w:tc>
          <w:tcPr>
            <w:tcW w:w="99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A40CFEE" w14:textId="04AA933C" w:rsidR="00A711B9" w:rsidRPr="00416C4A" w:rsidRDefault="00D96DFB" w:rsidP="005B64E8">
            <w:pPr>
              <w:spacing w:line="480" w:lineRule="auto"/>
              <w:ind w:right="-246"/>
              <w:jc w:val="center"/>
            </w:pPr>
            <w:r w:rsidRPr="00416C4A">
              <w:t>-1</w:t>
            </w:r>
            <w:r w:rsidR="005B64E8" w:rsidRPr="00416C4A">
              <w:t>6</w:t>
            </w:r>
            <w:r w:rsidRPr="00416C4A">
              <w:t>.</w:t>
            </w:r>
            <w:r w:rsidR="005B64E8" w:rsidRPr="00416C4A">
              <w:t>206</w:t>
            </w:r>
          </w:p>
        </w:tc>
        <w:tc>
          <w:tcPr>
            <w:tcW w:w="99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375A29F" w14:textId="724B0939" w:rsidR="00A711B9" w:rsidRPr="00416C4A" w:rsidRDefault="00D96DFB" w:rsidP="00A711B9">
            <w:pPr>
              <w:spacing w:line="480" w:lineRule="auto"/>
              <w:jc w:val="center"/>
              <w:rPr>
                <w:bCs/>
              </w:rPr>
            </w:pPr>
            <w:r w:rsidRPr="00416C4A">
              <w:rPr>
                <w:bCs/>
              </w:rPr>
              <w:t>0.0</w:t>
            </w:r>
            <w:r w:rsidR="005B64E8" w:rsidRPr="00416C4A">
              <w:rPr>
                <w:bCs/>
              </w:rPr>
              <w:t>0</w:t>
            </w:r>
            <w:r w:rsidRPr="00416C4A">
              <w:rPr>
                <w:bCs/>
              </w:rPr>
              <w:t>0</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2EC7A57" w14:textId="4951BD4D" w:rsidR="00A711B9" w:rsidRPr="00416C4A" w:rsidRDefault="00D96DFB" w:rsidP="00B92B8D">
            <w:pPr>
              <w:spacing w:line="480" w:lineRule="auto"/>
              <w:ind w:right="-108"/>
              <w:jc w:val="center"/>
            </w:pPr>
            <w:r w:rsidRPr="00416C4A">
              <w:t>-1</w:t>
            </w:r>
            <w:r w:rsidR="00B92B8D" w:rsidRPr="00416C4A">
              <w:t>6</w:t>
            </w:r>
            <w:r w:rsidRPr="00416C4A">
              <w:t>.</w:t>
            </w:r>
            <w:r w:rsidR="00B92B8D" w:rsidRPr="00416C4A">
              <w:t>145</w:t>
            </w:r>
          </w:p>
        </w:tc>
        <w:tc>
          <w:tcPr>
            <w:tcW w:w="971"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51E2783" w14:textId="396FE513" w:rsidR="00A711B9" w:rsidRPr="00416C4A" w:rsidRDefault="00D96DFB" w:rsidP="00A711B9">
            <w:pPr>
              <w:spacing w:line="480" w:lineRule="auto"/>
              <w:jc w:val="center"/>
              <w:rPr>
                <w:bCs/>
              </w:rPr>
            </w:pPr>
            <w:r w:rsidRPr="00416C4A">
              <w:rPr>
                <w:bCs/>
              </w:rPr>
              <w:t>0.0</w:t>
            </w:r>
            <w:r w:rsidR="00B92B8D" w:rsidRPr="00416C4A">
              <w:rPr>
                <w:bCs/>
              </w:rPr>
              <w:t>00</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0DE8024" w14:textId="415673E0" w:rsidR="00A711B9" w:rsidRPr="00416C4A" w:rsidRDefault="00D96DFB" w:rsidP="00A711B9">
            <w:pPr>
              <w:spacing w:line="480" w:lineRule="auto"/>
              <w:jc w:val="center"/>
            </w:pPr>
            <w:r w:rsidRPr="00416C4A">
              <w:t>-1</w:t>
            </w:r>
            <w:r w:rsidR="007D75DC" w:rsidRPr="00416C4A">
              <w:t>6</w:t>
            </w:r>
            <w:r w:rsidRPr="00416C4A">
              <w:t>.</w:t>
            </w:r>
            <w:r w:rsidR="007D75DC" w:rsidRPr="00416C4A">
              <w:t>220</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2E6BDB8" w14:textId="021CF52F" w:rsidR="00A711B9" w:rsidRPr="00416C4A" w:rsidRDefault="00D96DFB" w:rsidP="00A711B9">
            <w:pPr>
              <w:spacing w:line="480" w:lineRule="auto"/>
              <w:jc w:val="center"/>
              <w:rPr>
                <w:bCs/>
              </w:rPr>
            </w:pPr>
            <w:r w:rsidRPr="00416C4A">
              <w:rPr>
                <w:bCs/>
              </w:rPr>
              <w:t>0.0</w:t>
            </w:r>
            <w:r w:rsidR="007D75DC" w:rsidRPr="00416C4A">
              <w:rPr>
                <w:bCs/>
              </w:rPr>
              <w:t>00</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909111C" w14:textId="320176CA" w:rsidR="00A711B9" w:rsidRPr="00416C4A" w:rsidRDefault="00D96DFB" w:rsidP="00A711B9">
            <w:pPr>
              <w:spacing w:line="480" w:lineRule="auto"/>
              <w:jc w:val="center"/>
            </w:pPr>
            <w:r w:rsidRPr="00416C4A">
              <w:t>0.</w:t>
            </w:r>
            <w:r w:rsidR="00A020F8" w:rsidRPr="00416C4A">
              <w:t>377</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BE25422" w14:textId="68F50B80" w:rsidR="00A711B9" w:rsidRPr="00416C4A" w:rsidRDefault="00D96DFB" w:rsidP="00A711B9">
            <w:pPr>
              <w:spacing w:line="480" w:lineRule="auto"/>
              <w:jc w:val="center"/>
              <w:rPr>
                <w:bCs/>
              </w:rPr>
            </w:pPr>
            <w:r w:rsidRPr="00416C4A">
              <w:t>0.2</w:t>
            </w:r>
            <w:r w:rsidR="00A020F8" w:rsidRPr="00416C4A">
              <w:t>50</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4C28AF2" w14:textId="087BA377" w:rsidR="00A711B9" w:rsidRPr="00416C4A" w:rsidRDefault="00D96DFB" w:rsidP="00A711B9">
            <w:pPr>
              <w:spacing w:line="480" w:lineRule="auto"/>
              <w:jc w:val="center"/>
            </w:pPr>
            <w:r w:rsidRPr="00416C4A">
              <w:t>0.</w:t>
            </w:r>
            <w:r w:rsidR="002858E3" w:rsidRPr="00416C4A">
              <w:t>404</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65943A5" w14:textId="719BB507" w:rsidR="00A711B9" w:rsidRPr="00416C4A" w:rsidRDefault="00D96DFB" w:rsidP="00A711B9">
            <w:pPr>
              <w:spacing w:line="480" w:lineRule="auto"/>
              <w:jc w:val="center"/>
            </w:pPr>
            <w:r w:rsidRPr="00416C4A">
              <w:t>0.</w:t>
            </w:r>
            <w:r w:rsidR="002858E3" w:rsidRPr="00416C4A">
              <w:t>221</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9851A0F" w14:textId="73EB29DF" w:rsidR="00A711B9" w:rsidRPr="00416C4A" w:rsidRDefault="00D96DFB" w:rsidP="00A711B9">
            <w:pPr>
              <w:spacing w:line="480" w:lineRule="auto"/>
              <w:jc w:val="center"/>
            </w:pPr>
            <w:r w:rsidRPr="00416C4A">
              <w:t>0.</w:t>
            </w:r>
            <w:r w:rsidR="001B742D" w:rsidRPr="00416C4A">
              <w:t>398</w:t>
            </w:r>
          </w:p>
        </w:tc>
        <w:tc>
          <w:tcPr>
            <w:tcW w:w="996"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2459ADF" w14:textId="344C056E" w:rsidR="00A711B9" w:rsidRPr="00416C4A" w:rsidRDefault="00D96DFB" w:rsidP="00A711B9">
            <w:pPr>
              <w:spacing w:line="480" w:lineRule="auto"/>
              <w:jc w:val="center"/>
            </w:pPr>
            <w:r w:rsidRPr="00416C4A">
              <w:t>0.</w:t>
            </w:r>
            <w:r w:rsidR="001B742D" w:rsidRPr="00416C4A">
              <w:t>233</w:t>
            </w:r>
          </w:p>
        </w:tc>
      </w:tr>
      <w:tr w:rsidR="00416C4A" w:rsidRPr="00416C4A" w14:paraId="552416B5" w14:textId="77777777" w:rsidTr="005B64E8">
        <w:tc>
          <w:tcPr>
            <w:tcW w:w="2263" w:type="dxa"/>
            <w:tcBorders>
              <w:top w:val="single" w:sz="4" w:space="0" w:color="FFFFFF" w:themeColor="background1"/>
              <w:left w:val="single" w:sz="4" w:space="0" w:color="FFFFFF"/>
              <w:bottom w:val="single" w:sz="4" w:space="0" w:color="FFFFFF"/>
              <w:right w:val="single" w:sz="4" w:space="0" w:color="FFFFFF"/>
            </w:tcBorders>
            <w:vAlign w:val="center"/>
          </w:tcPr>
          <w:p w14:paraId="4DB0953C" w14:textId="77777777" w:rsidR="00A711B9" w:rsidRPr="00416C4A" w:rsidRDefault="00D96DFB" w:rsidP="00A711B9">
            <w:pPr>
              <w:spacing w:line="480" w:lineRule="auto"/>
            </w:pPr>
            <w:r w:rsidRPr="00416C4A">
              <w:t>ROA</w:t>
            </w:r>
          </w:p>
        </w:tc>
        <w:tc>
          <w:tcPr>
            <w:tcW w:w="993" w:type="dxa"/>
            <w:tcBorders>
              <w:top w:val="single" w:sz="4" w:space="0" w:color="FFFFFF" w:themeColor="background1"/>
              <w:left w:val="single" w:sz="4" w:space="0" w:color="FFFFFF"/>
              <w:bottom w:val="single" w:sz="4" w:space="0" w:color="FFFFFF"/>
              <w:right w:val="single" w:sz="4" w:space="0" w:color="FFFFFF"/>
            </w:tcBorders>
            <w:vAlign w:val="center"/>
          </w:tcPr>
          <w:p w14:paraId="0A59EE39" w14:textId="77777777" w:rsidR="00A711B9" w:rsidRPr="00416C4A" w:rsidRDefault="00A711B9" w:rsidP="005B64E8">
            <w:pPr>
              <w:spacing w:line="480" w:lineRule="auto"/>
              <w:ind w:right="-246"/>
              <w:jc w:val="center"/>
            </w:pPr>
          </w:p>
        </w:tc>
        <w:tc>
          <w:tcPr>
            <w:tcW w:w="992" w:type="dxa"/>
            <w:gridSpan w:val="2"/>
            <w:tcBorders>
              <w:top w:val="single" w:sz="4" w:space="0" w:color="FFFFFF" w:themeColor="background1"/>
              <w:left w:val="single" w:sz="4" w:space="0" w:color="FFFFFF"/>
              <w:bottom w:val="single" w:sz="4" w:space="0" w:color="FFFFFF"/>
              <w:right w:val="single" w:sz="4" w:space="0" w:color="FFFFFF"/>
            </w:tcBorders>
            <w:vAlign w:val="center"/>
          </w:tcPr>
          <w:p w14:paraId="3714C8DD" w14:textId="77777777" w:rsidR="00A711B9" w:rsidRPr="00416C4A" w:rsidRDefault="00A711B9" w:rsidP="00A711B9">
            <w:pPr>
              <w:spacing w:line="480" w:lineRule="auto"/>
              <w:jc w:val="center"/>
            </w:pPr>
          </w:p>
        </w:tc>
        <w:tc>
          <w:tcPr>
            <w:tcW w:w="851" w:type="dxa"/>
            <w:tcBorders>
              <w:top w:val="single" w:sz="4" w:space="0" w:color="FFFFFF" w:themeColor="background1"/>
              <w:left w:val="single" w:sz="4" w:space="0" w:color="FFFFFF"/>
              <w:bottom w:val="single" w:sz="4" w:space="0" w:color="FFFFFF"/>
              <w:right w:val="single" w:sz="4" w:space="0" w:color="FFFFFF"/>
            </w:tcBorders>
            <w:vAlign w:val="center"/>
          </w:tcPr>
          <w:p w14:paraId="336A9D0E" w14:textId="77777777" w:rsidR="00A711B9" w:rsidRPr="00416C4A" w:rsidRDefault="00A711B9" w:rsidP="00A711B9">
            <w:pPr>
              <w:spacing w:line="480" w:lineRule="auto"/>
              <w:jc w:val="center"/>
            </w:pPr>
          </w:p>
        </w:tc>
        <w:tc>
          <w:tcPr>
            <w:tcW w:w="971" w:type="dxa"/>
            <w:gridSpan w:val="2"/>
            <w:tcBorders>
              <w:top w:val="single" w:sz="4" w:space="0" w:color="FFFFFF" w:themeColor="background1"/>
              <w:left w:val="single" w:sz="4" w:space="0" w:color="FFFFFF"/>
              <w:bottom w:val="single" w:sz="4" w:space="0" w:color="FFFFFF"/>
              <w:right w:val="single" w:sz="4" w:space="0" w:color="FFFFFF"/>
            </w:tcBorders>
            <w:vAlign w:val="center"/>
          </w:tcPr>
          <w:p w14:paraId="1C17E29A" w14:textId="77777777" w:rsidR="00A711B9" w:rsidRPr="00416C4A" w:rsidRDefault="00A711B9" w:rsidP="00A711B9">
            <w:pPr>
              <w:spacing w:line="480" w:lineRule="auto"/>
              <w:jc w:val="center"/>
            </w:pP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5B5CF07B" w14:textId="77777777" w:rsidR="00A711B9" w:rsidRPr="00416C4A" w:rsidRDefault="00A711B9" w:rsidP="00A711B9">
            <w:pPr>
              <w:spacing w:line="480" w:lineRule="auto"/>
              <w:jc w:val="center"/>
            </w:pP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178283EA" w14:textId="77777777" w:rsidR="00A711B9" w:rsidRPr="00416C4A" w:rsidRDefault="00A711B9" w:rsidP="00A711B9">
            <w:pPr>
              <w:spacing w:line="480" w:lineRule="auto"/>
              <w:jc w:val="center"/>
            </w:pP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050B6AB3" w14:textId="31467B82" w:rsidR="00A711B9" w:rsidRPr="00416C4A" w:rsidRDefault="00D96DFB" w:rsidP="00A711B9">
            <w:pPr>
              <w:spacing w:line="480" w:lineRule="auto"/>
              <w:jc w:val="center"/>
            </w:pPr>
            <w:r w:rsidRPr="00416C4A">
              <w:t>0.</w:t>
            </w:r>
            <w:r w:rsidR="00A020F8" w:rsidRPr="00416C4A">
              <w:t>129</w:t>
            </w:r>
          </w:p>
        </w:tc>
        <w:tc>
          <w:tcPr>
            <w:tcW w:w="996" w:type="dxa"/>
            <w:gridSpan w:val="2"/>
            <w:tcBorders>
              <w:top w:val="single" w:sz="4" w:space="0" w:color="FFFFFF" w:themeColor="background1"/>
              <w:left w:val="single" w:sz="4" w:space="0" w:color="FFFFFF"/>
              <w:bottom w:val="single" w:sz="4" w:space="0" w:color="FFFFFF"/>
              <w:right w:val="single" w:sz="4" w:space="0" w:color="FFFFFF"/>
            </w:tcBorders>
            <w:vAlign w:val="center"/>
          </w:tcPr>
          <w:p w14:paraId="2208FB78" w14:textId="22FB9200" w:rsidR="00A711B9" w:rsidRPr="00416C4A" w:rsidRDefault="00D96DFB" w:rsidP="00A711B9">
            <w:pPr>
              <w:spacing w:line="480" w:lineRule="auto"/>
              <w:jc w:val="center"/>
            </w:pPr>
            <w:r w:rsidRPr="00416C4A">
              <w:rPr>
                <w:bCs/>
              </w:rPr>
              <w:t>0.0</w:t>
            </w:r>
            <w:r w:rsidR="00A020F8" w:rsidRPr="00416C4A">
              <w:rPr>
                <w:bCs/>
              </w:rPr>
              <w:t>00</w:t>
            </w: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4DA3E50A" w14:textId="5D2930A2" w:rsidR="00A711B9" w:rsidRPr="00416C4A" w:rsidRDefault="00D96DFB" w:rsidP="00A711B9">
            <w:pPr>
              <w:spacing w:line="480" w:lineRule="auto"/>
              <w:jc w:val="center"/>
            </w:pPr>
            <w:r w:rsidRPr="00416C4A">
              <w:t>0.</w:t>
            </w:r>
            <w:r w:rsidR="00CD3BD6" w:rsidRPr="00416C4A">
              <w:t>129</w:t>
            </w:r>
          </w:p>
        </w:tc>
        <w:tc>
          <w:tcPr>
            <w:tcW w:w="996" w:type="dxa"/>
            <w:gridSpan w:val="2"/>
            <w:tcBorders>
              <w:top w:val="single" w:sz="4" w:space="0" w:color="FFFFFF" w:themeColor="background1"/>
              <w:left w:val="single" w:sz="4" w:space="0" w:color="FFFFFF"/>
              <w:bottom w:val="single" w:sz="4" w:space="0" w:color="FFFFFF"/>
              <w:right w:val="single" w:sz="4" w:space="0" w:color="FFFFFF"/>
            </w:tcBorders>
            <w:vAlign w:val="center"/>
          </w:tcPr>
          <w:p w14:paraId="23967E30" w14:textId="1D1DFC5E" w:rsidR="00A711B9" w:rsidRPr="00416C4A" w:rsidRDefault="00D96DFB" w:rsidP="00A711B9">
            <w:pPr>
              <w:spacing w:line="480" w:lineRule="auto"/>
              <w:jc w:val="center"/>
              <w:rPr>
                <w:bCs/>
              </w:rPr>
            </w:pPr>
            <w:r w:rsidRPr="00416C4A">
              <w:rPr>
                <w:bCs/>
              </w:rPr>
              <w:t>0.0</w:t>
            </w:r>
            <w:r w:rsidR="00CD3BD6" w:rsidRPr="00416C4A">
              <w:rPr>
                <w:bCs/>
              </w:rPr>
              <w:t>00</w:t>
            </w: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5F73AAD6" w14:textId="6B55F573" w:rsidR="00A711B9" w:rsidRPr="00416C4A" w:rsidRDefault="00D96DFB" w:rsidP="00A711B9">
            <w:pPr>
              <w:spacing w:line="480" w:lineRule="auto"/>
              <w:jc w:val="center"/>
            </w:pPr>
            <w:r w:rsidRPr="00416C4A">
              <w:t>0.</w:t>
            </w:r>
            <w:r w:rsidR="001B742D" w:rsidRPr="00416C4A">
              <w:t>129</w:t>
            </w:r>
          </w:p>
        </w:tc>
        <w:tc>
          <w:tcPr>
            <w:tcW w:w="996" w:type="dxa"/>
            <w:gridSpan w:val="2"/>
            <w:tcBorders>
              <w:top w:val="single" w:sz="4" w:space="0" w:color="FFFFFF" w:themeColor="background1"/>
              <w:left w:val="single" w:sz="4" w:space="0" w:color="FFFFFF"/>
              <w:bottom w:val="single" w:sz="4" w:space="0" w:color="FFFFFF"/>
              <w:right w:val="single" w:sz="4" w:space="0" w:color="FFFFFF"/>
            </w:tcBorders>
            <w:vAlign w:val="center"/>
          </w:tcPr>
          <w:p w14:paraId="736DC4CE" w14:textId="75E2CA96" w:rsidR="00A711B9" w:rsidRPr="00416C4A" w:rsidRDefault="00D96DFB" w:rsidP="00A711B9">
            <w:pPr>
              <w:spacing w:line="480" w:lineRule="auto"/>
              <w:jc w:val="center"/>
              <w:rPr>
                <w:bCs/>
              </w:rPr>
            </w:pPr>
            <w:r w:rsidRPr="00416C4A">
              <w:rPr>
                <w:bCs/>
              </w:rPr>
              <w:t>0.0</w:t>
            </w:r>
            <w:r w:rsidR="001B742D" w:rsidRPr="00416C4A">
              <w:rPr>
                <w:bCs/>
              </w:rPr>
              <w:t>00</w:t>
            </w:r>
          </w:p>
        </w:tc>
      </w:tr>
      <w:tr w:rsidR="00416C4A" w:rsidRPr="00416C4A" w14:paraId="5C197442" w14:textId="77777777" w:rsidTr="00BA4439">
        <w:trPr>
          <w:gridAfter w:val="1"/>
          <w:wAfter w:w="142" w:type="dxa"/>
          <w:trHeight w:val="335"/>
        </w:trPr>
        <w:tc>
          <w:tcPr>
            <w:tcW w:w="2263" w:type="dxa"/>
            <w:tcBorders>
              <w:top w:val="single" w:sz="4" w:space="0" w:color="FFFFFF"/>
              <w:left w:val="single" w:sz="4" w:space="0" w:color="FFFFFF"/>
              <w:bottom w:val="nil"/>
              <w:right w:val="single" w:sz="4" w:space="0" w:color="FFFFFF"/>
            </w:tcBorders>
            <w:vAlign w:val="center"/>
          </w:tcPr>
          <w:p w14:paraId="11F42339" w14:textId="5BEAD0D8" w:rsidR="00ED789E" w:rsidRPr="00416C4A" w:rsidRDefault="00D96DFB" w:rsidP="00ED789E">
            <w:pPr>
              <w:spacing w:line="480" w:lineRule="auto"/>
            </w:pPr>
            <w:r w:rsidRPr="00416C4A">
              <w:t>Constant</w:t>
            </w:r>
          </w:p>
        </w:tc>
        <w:tc>
          <w:tcPr>
            <w:tcW w:w="1843" w:type="dxa"/>
            <w:gridSpan w:val="2"/>
            <w:tcBorders>
              <w:top w:val="single" w:sz="4" w:space="0" w:color="FFFFFF"/>
              <w:left w:val="single" w:sz="4" w:space="0" w:color="FFFFFF"/>
              <w:bottom w:val="nil"/>
              <w:right w:val="single" w:sz="4" w:space="0" w:color="FFFFFF"/>
            </w:tcBorders>
            <w:vAlign w:val="center"/>
          </w:tcPr>
          <w:p w14:paraId="5DF7FA34" w14:textId="42E48848" w:rsidR="00ED789E" w:rsidRPr="00416C4A" w:rsidRDefault="00D96DFB" w:rsidP="00ED789E">
            <w:pPr>
              <w:spacing w:line="480" w:lineRule="auto"/>
              <w:jc w:val="center"/>
            </w:pPr>
            <w:r w:rsidRPr="00416C4A">
              <w:t>Included</w:t>
            </w:r>
          </w:p>
        </w:tc>
        <w:tc>
          <w:tcPr>
            <w:tcW w:w="1822" w:type="dxa"/>
            <w:gridSpan w:val="3"/>
            <w:tcBorders>
              <w:top w:val="single" w:sz="4" w:space="0" w:color="FFFFFF"/>
              <w:left w:val="single" w:sz="4" w:space="0" w:color="FFFFFF"/>
              <w:bottom w:val="nil"/>
              <w:right w:val="single" w:sz="4" w:space="0" w:color="FFFFFF"/>
            </w:tcBorders>
            <w:vAlign w:val="center"/>
          </w:tcPr>
          <w:p w14:paraId="0D467516" w14:textId="544CFEE2" w:rsidR="00ED789E" w:rsidRPr="00416C4A" w:rsidRDefault="00D96DFB" w:rsidP="00ED789E">
            <w:pPr>
              <w:spacing w:line="480" w:lineRule="auto"/>
              <w:jc w:val="center"/>
            </w:pPr>
            <w:r w:rsidRPr="00416C4A">
              <w:t>Included</w:t>
            </w:r>
          </w:p>
        </w:tc>
        <w:tc>
          <w:tcPr>
            <w:tcW w:w="2147" w:type="dxa"/>
            <w:gridSpan w:val="3"/>
            <w:tcBorders>
              <w:top w:val="single" w:sz="4" w:space="0" w:color="FFFFFF"/>
              <w:left w:val="single" w:sz="4" w:space="0" w:color="FFFFFF"/>
              <w:bottom w:val="nil"/>
              <w:right w:val="single" w:sz="4" w:space="0" w:color="FFFFFF"/>
            </w:tcBorders>
            <w:vAlign w:val="center"/>
          </w:tcPr>
          <w:p w14:paraId="63067873" w14:textId="28DAFDF1" w:rsidR="00ED789E" w:rsidRPr="00416C4A" w:rsidRDefault="00D96DFB" w:rsidP="00ED789E">
            <w:pPr>
              <w:spacing w:line="480" w:lineRule="auto"/>
              <w:jc w:val="center"/>
            </w:pPr>
            <w:r w:rsidRPr="00416C4A">
              <w:t>Included</w:t>
            </w:r>
          </w:p>
        </w:tc>
        <w:tc>
          <w:tcPr>
            <w:tcW w:w="1863" w:type="dxa"/>
            <w:gridSpan w:val="2"/>
            <w:tcBorders>
              <w:top w:val="single" w:sz="4" w:space="0" w:color="FFFFFF"/>
              <w:left w:val="single" w:sz="4" w:space="0" w:color="FFFFFF"/>
              <w:bottom w:val="nil"/>
              <w:right w:val="single" w:sz="4" w:space="0" w:color="FFFFFF"/>
            </w:tcBorders>
            <w:vAlign w:val="center"/>
          </w:tcPr>
          <w:p w14:paraId="0A47BB1B" w14:textId="744CD838" w:rsidR="00ED789E" w:rsidRPr="00416C4A" w:rsidRDefault="00D96DFB" w:rsidP="00ED789E">
            <w:pPr>
              <w:spacing w:line="480" w:lineRule="auto"/>
              <w:jc w:val="center"/>
            </w:pPr>
            <w:r w:rsidRPr="00416C4A">
              <w:t>Included</w:t>
            </w:r>
          </w:p>
        </w:tc>
        <w:tc>
          <w:tcPr>
            <w:tcW w:w="2005" w:type="dxa"/>
            <w:gridSpan w:val="3"/>
            <w:tcBorders>
              <w:top w:val="single" w:sz="4" w:space="0" w:color="FFFFFF"/>
              <w:left w:val="single" w:sz="4" w:space="0" w:color="FFFFFF"/>
              <w:bottom w:val="nil"/>
              <w:right w:val="single" w:sz="4" w:space="0" w:color="FFFFFF"/>
            </w:tcBorders>
            <w:vAlign w:val="center"/>
          </w:tcPr>
          <w:p w14:paraId="7CE1C0CA" w14:textId="430FDC19" w:rsidR="00ED789E" w:rsidRPr="00416C4A" w:rsidRDefault="00D96DFB" w:rsidP="00ED789E">
            <w:pPr>
              <w:spacing w:line="480" w:lineRule="auto"/>
              <w:jc w:val="center"/>
            </w:pPr>
            <w:r w:rsidRPr="00416C4A">
              <w:t>Included</w:t>
            </w:r>
          </w:p>
        </w:tc>
        <w:tc>
          <w:tcPr>
            <w:tcW w:w="2005" w:type="dxa"/>
            <w:gridSpan w:val="3"/>
            <w:tcBorders>
              <w:top w:val="single" w:sz="4" w:space="0" w:color="FFFFFF"/>
              <w:left w:val="single" w:sz="4" w:space="0" w:color="FFFFFF"/>
              <w:bottom w:val="nil"/>
              <w:right w:val="single" w:sz="4" w:space="0" w:color="FFFFFF"/>
            </w:tcBorders>
            <w:vAlign w:val="center"/>
          </w:tcPr>
          <w:p w14:paraId="7BADF83F" w14:textId="527B7962" w:rsidR="00ED789E" w:rsidRPr="00416C4A" w:rsidRDefault="00D96DFB" w:rsidP="00ED789E">
            <w:pPr>
              <w:spacing w:line="480" w:lineRule="auto"/>
              <w:jc w:val="center"/>
            </w:pPr>
            <w:r w:rsidRPr="00416C4A">
              <w:t>Included</w:t>
            </w:r>
          </w:p>
        </w:tc>
      </w:tr>
      <w:tr w:rsidR="00416C4A" w:rsidRPr="00416C4A" w14:paraId="680D29CE" w14:textId="77777777" w:rsidTr="00BA4439">
        <w:trPr>
          <w:gridAfter w:val="1"/>
          <w:wAfter w:w="142" w:type="dxa"/>
          <w:trHeight w:val="335"/>
        </w:trPr>
        <w:tc>
          <w:tcPr>
            <w:tcW w:w="2263" w:type="dxa"/>
            <w:tcBorders>
              <w:top w:val="nil"/>
              <w:left w:val="single" w:sz="4" w:space="0" w:color="FFFFFF"/>
              <w:bottom w:val="single" w:sz="4" w:space="0" w:color="auto"/>
              <w:right w:val="single" w:sz="4" w:space="0" w:color="FFFFFF"/>
            </w:tcBorders>
            <w:vAlign w:val="center"/>
          </w:tcPr>
          <w:p w14:paraId="648811F7" w14:textId="77777777" w:rsidR="00ED789E" w:rsidRPr="00416C4A" w:rsidRDefault="00D96DFB" w:rsidP="00ED789E">
            <w:pPr>
              <w:spacing w:line="480" w:lineRule="auto"/>
            </w:pPr>
            <w:r w:rsidRPr="00416C4A">
              <w:t>Industry and year FE</w:t>
            </w:r>
          </w:p>
        </w:tc>
        <w:tc>
          <w:tcPr>
            <w:tcW w:w="1843" w:type="dxa"/>
            <w:gridSpan w:val="2"/>
            <w:tcBorders>
              <w:top w:val="nil"/>
              <w:left w:val="single" w:sz="4" w:space="0" w:color="FFFFFF"/>
              <w:bottom w:val="single" w:sz="4" w:space="0" w:color="auto"/>
              <w:right w:val="single" w:sz="4" w:space="0" w:color="FFFFFF"/>
            </w:tcBorders>
            <w:vAlign w:val="center"/>
          </w:tcPr>
          <w:p w14:paraId="5326265E" w14:textId="77777777" w:rsidR="00ED789E" w:rsidRPr="00416C4A" w:rsidRDefault="00D96DFB" w:rsidP="00ED789E">
            <w:pPr>
              <w:spacing w:line="480" w:lineRule="auto"/>
              <w:jc w:val="center"/>
            </w:pPr>
            <w:r w:rsidRPr="00416C4A">
              <w:t>Included</w:t>
            </w:r>
          </w:p>
        </w:tc>
        <w:tc>
          <w:tcPr>
            <w:tcW w:w="1822" w:type="dxa"/>
            <w:gridSpan w:val="3"/>
            <w:tcBorders>
              <w:top w:val="nil"/>
              <w:left w:val="single" w:sz="4" w:space="0" w:color="FFFFFF"/>
              <w:bottom w:val="single" w:sz="4" w:space="0" w:color="auto"/>
              <w:right w:val="single" w:sz="4" w:space="0" w:color="FFFFFF"/>
            </w:tcBorders>
            <w:vAlign w:val="center"/>
          </w:tcPr>
          <w:p w14:paraId="799AC4BA" w14:textId="77777777" w:rsidR="00ED789E" w:rsidRPr="00416C4A" w:rsidRDefault="00D96DFB" w:rsidP="00ED789E">
            <w:pPr>
              <w:spacing w:line="480" w:lineRule="auto"/>
              <w:jc w:val="center"/>
            </w:pPr>
            <w:r w:rsidRPr="00416C4A">
              <w:t>Included</w:t>
            </w:r>
          </w:p>
        </w:tc>
        <w:tc>
          <w:tcPr>
            <w:tcW w:w="2147" w:type="dxa"/>
            <w:gridSpan w:val="3"/>
            <w:tcBorders>
              <w:top w:val="nil"/>
              <w:left w:val="single" w:sz="4" w:space="0" w:color="FFFFFF"/>
              <w:bottom w:val="single" w:sz="4" w:space="0" w:color="auto"/>
              <w:right w:val="single" w:sz="4" w:space="0" w:color="FFFFFF"/>
            </w:tcBorders>
            <w:vAlign w:val="center"/>
          </w:tcPr>
          <w:p w14:paraId="417A18F1" w14:textId="77777777" w:rsidR="00ED789E" w:rsidRPr="00416C4A" w:rsidRDefault="00D96DFB" w:rsidP="00ED789E">
            <w:pPr>
              <w:spacing w:line="480" w:lineRule="auto"/>
              <w:jc w:val="center"/>
            </w:pPr>
            <w:r w:rsidRPr="00416C4A">
              <w:t>Included</w:t>
            </w:r>
          </w:p>
        </w:tc>
        <w:tc>
          <w:tcPr>
            <w:tcW w:w="1863" w:type="dxa"/>
            <w:gridSpan w:val="2"/>
            <w:tcBorders>
              <w:top w:val="nil"/>
              <w:left w:val="single" w:sz="4" w:space="0" w:color="FFFFFF"/>
              <w:bottom w:val="single" w:sz="4" w:space="0" w:color="auto"/>
              <w:right w:val="single" w:sz="4" w:space="0" w:color="FFFFFF"/>
            </w:tcBorders>
            <w:vAlign w:val="center"/>
          </w:tcPr>
          <w:p w14:paraId="041BBBAF" w14:textId="77777777" w:rsidR="00ED789E" w:rsidRPr="00416C4A" w:rsidRDefault="00D96DFB" w:rsidP="00ED789E">
            <w:pPr>
              <w:spacing w:line="480" w:lineRule="auto"/>
              <w:jc w:val="center"/>
            </w:pPr>
            <w:r w:rsidRPr="00416C4A">
              <w:t>Included</w:t>
            </w:r>
          </w:p>
        </w:tc>
        <w:tc>
          <w:tcPr>
            <w:tcW w:w="2005" w:type="dxa"/>
            <w:gridSpan w:val="3"/>
            <w:tcBorders>
              <w:top w:val="nil"/>
              <w:left w:val="single" w:sz="4" w:space="0" w:color="FFFFFF"/>
              <w:bottom w:val="single" w:sz="4" w:space="0" w:color="auto"/>
              <w:right w:val="single" w:sz="4" w:space="0" w:color="FFFFFF"/>
            </w:tcBorders>
            <w:vAlign w:val="center"/>
          </w:tcPr>
          <w:p w14:paraId="36FBCBCB" w14:textId="77777777" w:rsidR="00ED789E" w:rsidRPr="00416C4A" w:rsidRDefault="00D96DFB" w:rsidP="00ED789E">
            <w:pPr>
              <w:spacing w:line="480" w:lineRule="auto"/>
              <w:jc w:val="center"/>
            </w:pPr>
            <w:r w:rsidRPr="00416C4A">
              <w:t>Included</w:t>
            </w:r>
          </w:p>
        </w:tc>
        <w:tc>
          <w:tcPr>
            <w:tcW w:w="2005" w:type="dxa"/>
            <w:gridSpan w:val="3"/>
            <w:tcBorders>
              <w:top w:val="nil"/>
              <w:left w:val="single" w:sz="4" w:space="0" w:color="FFFFFF"/>
              <w:bottom w:val="single" w:sz="4" w:space="0" w:color="auto"/>
              <w:right w:val="single" w:sz="4" w:space="0" w:color="FFFFFF"/>
            </w:tcBorders>
            <w:vAlign w:val="center"/>
          </w:tcPr>
          <w:p w14:paraId="74C5EC75" w14:textId="77777777" w:rsidR="00ED789E" w:rsidRPr="00416C4A" w:rsidRDefault="00D96DFB" w:rsidP="00ED789E">
            <w:pPr>
              <w:spacing w:line="480" w:lineRule="auto"/>
              <w:jc w:val="center"/>
            </w:pPr>
            <w:r w:rsidRPr="00416C4A">
              <w:t>Included</w:t>
            </w:r>
          </w:p>
        </w:tc>
      </w:tr>
      <w:tr w:rsidR="00416C4A" w:rsidRPr="00416C4A" w14:paraId="3AA34835" w14:textId="77777777" w:rsidTr="00BA4439">
        <w:trPr>
          <w:gridAfter w:val="1"/>
          <w:wAfter w:w="142" w:type="dxa"/>
        </w:trPr>
        <w:tc>
          <w:tcPr>
            <w:tcW w:w="2263" w:type="dxa"/>
            <w:tcBorders>
              <w:top w:val="single" w:sz="4" w:space="0" w:color="auto"/>
              <w:left w:val="single" w:sz="4" w:space="0" w:color="FFFFFF"/>
              <w:bottom w:val="single" w:sz="4" w:space="0" w:color="FFFFFF"/>
              <w:right w:val="single" w:sz="4" w:space="0" w:color="FFFFFF"/>
            </w:tcBorders>
            <w:vAlign w:val="center"/>
          </w:tcPr>
          <w:p w14:paraId="5C09B3DA" w14:textId="77777777" w:rsidR="00ED789E" w:rsidRPr="00416C4A" w:rsidRDefault="00D96DFB" w:rsidP="00ED789E">
            <w:pPr>
              <w:spacing w:line="480" w:lineRule="auto"/>
            </w:pPr>
            <w:r w:rsidRPr="00416C4A">
              <w:t>Number of obs.</w:t>
            </w:r>
          </w:p>
        </w:tc>
        <w:tc>
          <w:tcPr>
            <w:tcW w:w="1843" w:type="dxa"/>
            <w:gridSpan w:val="2"/>
            <w:tcBorders>
              <w:top w:val="single" w:sz="4" w:space="0" w:color="auto"/>
              <w:left w:val="single" w:sz="4" w:space="0" w:color="FFFFFF"/>
              <w:bottom w:val="single" w:sz="4" w:space="0" w:color="FFFFFF"/>
              <w:right w:val="single" w:sz="4" w:space="0" w:color="FFFFFF"/>
            </w:tcBorders>
            <w:vAlign w:val="center"/>
          </w:tcPr>
          <w:p w14:paraId="7B45A13C" w14:textId="50909FC2" w:rsidR="00ED789E" w:rsidRPr="00416C4A" w:rsidRDefault="00D96DFB" w:rsidP="00ED789E">
            <w:pPr>
              <w:spacing w:line="480" w:lineRule="auto"/>
              <w:jc w:val="center"/>
            </w:pPr>
            <w:r w:rsidRPr="00416C4A">
              <w:t>245</w:t>
            </w:r>
          </w:p>
        </w:tc>
        <w:tc>
          <w:tcPr>
            <w:tcW w:w="1822" w:type="dxa"/>
            <w:gridSpan w:val="3"/>
            <w:tcBorders>
              <w:top w:val="single" w:sz="4" w:space="0" w:color="auto"/>
              <w:left w:val="single" w:sz="4" w:space="0" w:color="FFFFFF"/>
              <w:bottom w:val="single" w:sz="4" w:space="0" w:color="FFFFFF"/>
              <w:right w:val="single" w:sz="4" w:space="0" w:color="FFFFFF"/>
            </w:tcBorders>
            <w:vAlign w:val="center"/>
          </w:tcPr>
          <w:p w14:paraId="39478258" w14:textId="4CC012AB" w:rsidR="00ED789E" w:rsidRPr="00416C4A" w:rsidRDefault="00D96DFB" w:rsidP="00ED789E">
            <w:pPr>
              <w:spacing w:line="480" w:lineRule="auto"/>
              <w:jc w:val="center"/>
            </w:pPr>
            <w:r w:rsidRPr="00416C4A">
              <w:t>245</w:t>
            </w:r>
          </w:p>
        </w:tc>
        <w:tc>
          <w:tcPr>
            <w:tcW w:w="2147" w:type="dxa"/>
            <w:gridSpan w:val="3"/>
            <w:tcBorders>
              <w:top w:val="single" w:sz="4" w:space="0" w:color="auto"/>
              <w:left w:val="single" w:sz="4" w:space="0" w:color="FFFFFF"/>
              <w:bottom w:val="single" w:sz="4" w:space="0" w:color="FFFFFF"/>
              <w:right w:val="single" w:sz="4" w:space="0" w:color="FFFFFF"/>
            </w:tcBorders>
            <w:vAlign w:val="center"/>
          </w:tcPr>
          <w:p w14:paraId="07603414" w14:textId="30126A52" w:rsidR="00ED789E" w:rsidRPr="00416C4A" w:rsidRDefault="00D96DFB" w:rsidP="00ED789E">
            <w:pPr>
              <w:spacing w:line="480" w:lineRule="auto"/>
              <w:jc w:val="center"/>
            </w:pPr>
            <w:r w:rsidRPr="00416C4A">
              <w:t>245</w:t>
            </w:r>
          </w:p>
        </w:tc>
        <w:tc>
          <w:tcPr>
            <w:tcW w:w="1863" w:type="dxa"/>
            <w:gridSpan w:val="2"/>
            <w:tcBorders>
              <w:top w:val="single" w:sz="4" w:space="0" w:color="auto"/>
              <w:left w:val="single" w:sz="4" w:space="0" w:color="FFFFFF"/>
              <w:bottom w:val="single" w:sz="4" w:space="0" w:color="FFFFFF"/>
              <w:right w:val="single" w:sz="4" w:space="0" w:color="FFFFFF"/>
            </w:tcBorders>
            <w:vAlign w:val="center"/>
          </w:tcPr>
          <w:p w14:paraId="10BA8908" w14:textId="19E9CF68" w:rsidR="00ED789E" w:rsidRPr="00416C4A" w:rsidRDefault="00D96DFB" w:rsidP="00ED789E">
            <w:pPr>
              <w:spacing w:line="480" w:lineRule="auto"/>
              <w:jc w:val="center"/>
            </w:pPr>
            <w:r w:rsidRPr="00416C4A">
              <w:t>245</w:t>
            </w:r>
          </w:p>
        </w:tc>
        <w:tc>
          <w:tcPr>
            <w:tcW w:w="2005" w:type="dxa"/>
            <w:gridSpan w:val="3"/>
            <w:tcBorders>
              <w:top w:val="single" w:sz="4" w:space="0" w:color="auto"/>
              <w:left w:val="single" w:sz="4" w:space="0" w:color="FFFFFF"/>
              <w:bottom w:val="single" w:sz="4" w:space="0" w:color="FFFFFF"/>
              <w:right w:val="single" w:sz="4" w:space="0" w:color="FFFFFF"/>
            </w:tcBorders>
            <w:vAlign w:val="center"/>
          </w:tcPr>
          <w:p w14:paraId="5F27C05C" w14:textId="52B97478" w:rsidR="00ED789E" w:rsidRPr="00416C4A" w:rsidRDefault="00D96DFB" w:rsidP="00ED789E">
            <w:pPr>
              <w:spacing w:line="480" w:lineRule="auto"/>
              <w:jc w:val="center"/>
            </w:pPr>
            <w:r w:rsidRPr="00416C4A">
              <w:t>245</w:t>
            </w:r>
          </w:p>
        </w:tc>
        <w:tc>
          <w:tcPr>
            <w:tcW w:w="2005" w:type="dxa"/>
            <w:gridSpan w:val="3"/>
            <w:tcBorders>
              <w:top w:val="single" w:sz="4" w:space="0" w:color="auto"/>
              <w:left w:val="single" w:sz="4" w:space="0" w:color="FFFFFF"/>
              <w:bottom w:val="single" w:sz="4" w:space="0" w:color="FFFFFF"/>
              <w:right w:val="single" w:sz="4" w:space="0" w:color="FFFFFF"/>
            </w:tcBorders>
            <w:vAlign w:val="center"/>
          </w:tcPr>
          <w:p w14:paraId="130B7C11" w14:textId="402B54A9" w:rsidR="00ED789E" w:rsidRPr="00416C4A" w:rsidRDefault="00D96DFB" w:rsidP="00ED789E">
            <w:pPr>
              <w:spacing w:line="480" w:lineRule="auto"/>
              <w:jc w:val="center"/>
            </w:pPr>
            <w:r w:rsidRPr="00416C4A">
              <w:t>245</w:t>
            </w:r>
          </w:p>
        </w:tc>
      </w:tr>
      <w:tr w:rsidR="00416C4A" w:rsidRPr="00416C4A" w14:paraId="3BEFF5C1" w14:textId="77777777" w:rsidTr="00BA4439">
        <w:trPr>
          <w:gridAfter w:val="1"/>
          <w:wAfter w:w="142" w:type="dxa"/>
          <w:trHeight w:val="524"/>
        </w:trPr>
        <w:tc>
          <w:tcPr>
            <w:tcW w:w="2263" w:type="dxa"/>
            <w:tcBorders>
              <w:top w:val="single" w:sz="4" w:space="0" w:color="FFFFFF"/>
              <w:left w:val="single" w:sz="4" w:space="0" w:color="FFFFFF"/>
              <w:right w:val="single" w:sz="4" w:space="0" w:color="FFFFFF"/>
            </w:tcBorders>
            <w:vAlign w:val="center"/>
          </w:tcPr>
          <w:p w14:paraId="2515DD4A" w14:textId="77777777" w:rsidR="00ED789E" w:rsidRPr="00416C4A" w:rsidRDefault="00D96DFB" w:rsidP="00ED789E">
            <w:pPr>
              <w:spacing w:line="480" w:lineRule="auto"/>
            </w:pPr>
            <w:r w:rsidRPr="00416C4A">
              <w:t>Adj.  R</w:t>
            </w:r>
            <w:r w:rsidRPr="00416C4A">
              <w:rPr>
                <w:vertAlign w:val="superscript"/>
              </w:rPr>
              <w:t>2</w:t>
            </w:r>
          </w:p>
        </w:tc>
        <w:tc>
          <w:tcPr>
            <w:tcW w:w="1843" w:type="dxa"/>
            <w:gridSpan w:val="2"/>
            <w:tcBorders>
              <w:top w:val="single" w:sz="4" w:space="0" w:color="FFFFFF"/>
              <w:left w:val="single" w:sz="4" w:space="0" w:color="FFFFFF"/>
              <w:right w:val="single" w:sz="4" w:space="0" w:color="FFFFFF"/>
            </w:tcBorders>
            <w:vAlign w:val="center"/>
          </w:tcPr>
          <w:p w14:paraId="52D73706" w14:textId="3CC35791" w:rsidR="00ED789E" w:rsidRPr="00416C4A" w:rsidRDefault="00D96DFB" w:rsidP="00ED789E">
            <w:pPr>
              <w:spacing w:line="480" w:lineRule="auto"/>
              <w:jc w:val="center"/>
            </w:pPr>
            <w:r w:rsidRPr="00416C4A">
              <w:t>28.24%</w:t>
            </w:r>
          </w:p>
        </w:tc>
        <w:tc>
          <w:tcPr>
            <w:tcW w:w="1822" w:type="dxa"/>
            <w:gridSpan w:val="3"/>
            <w:tcBorders>
              <w:top w:val="single" w:sz="4" w:space="0" w:color="FFFFFF"/>
              <w:left w:val="single" w:sz="4" w:space="0" w:color="FFFFFF"/>
              <w:right w:val="single" w:sz="4" w:space="0" w:color="FFFFFF"/>
            </w:tcBorders>
            <w:vAlign w:val="center"/>
          </w:tcPr>
          <w:p w14:paraId="2566C489" w14:textId="42233D53" w:rsidR="00ED789E" w:rsidRPr="00416C4A" w:rsidRDefault="00D96DFB" w:rsidP="00ED789E">
            <w:pPr>
              <w:spacing w:line="480" w:lineRule="auto"/>
              <w:jc w:val="center"/>
            </w:pPr>
            <w:r w:rsidRPr="00416C4A">
              <w:t>2</w:t>
            </w:r>
            <w:r w:rsidR="00FF35E2" w:rsidRPr="00416C4A">
              <w:t>7</w:t>
            </w:r>
            <w:r w:rsidRPr="00416C4A">
              <w:t>.</w:t>
            </w:r>
            <w:r w:rsidR="00FF35E2" w:rsidRPr="00416C4A">
              <w:t>94</w:t>
            </w:r>
            <w:r w:rsidRPr="00416C4A">
              <w:t>%</w:t>
            </w:r>
          </w:p>
        </w:tc>
        <w:tc>
          <w:tcPr>
            <w:tcW w:w="2147" w:type="dxa"/>
            <w:gridSpan w:val="3"/>
            <w:tcBorders>
              <w:top w:val="single" w:sz="4" w:space="0" w:color="FFFFFF"/>
              <w:left w:val="single" w:sz="4" w:space="0" w:color="FFFFFF"/>
              <w:right w:val="single" w:sz="4" w:space="0" w:color="FFFFFF"/>
            </w:tcBorders>
            <w:vAlign w:val="center"/>
          </w:tcPr>
          <w:p w14:paraId="728E9010" w14:textId="168952A0" w:rsidR="00ED789E" w:rsidRPr="00416C4A" w:rsidRDefault="00D96DFB" w:rsidP="00ED789E">
            <w:pPr>
              <w:spacing w:line="480" w:lineRule="auto"/>
              <w:jc w:val="center"/>
            </w:pPr>
            <w:r w:rsidRPr="00416C4A">
              <w:t>27.92%</w:t>
            </w:r>
          </w:p>
        </w:tc>
        <w:tc>
          <w:tcPr>
            <w:tcW w:w="1863" w:type="dxa"/>
            <w:gridSpan w:val="2"/>
            <w:tcBorders>
              <w:top w:val="single" w:sz="4" w:space="0" w:color="FFFFFF"/>
              <w:left w:val="single" w:sz="4" w:space="0" w:color="FFFFFF"/>
              <w:right w:val="single" w:sz="4" w:space="0" w:color="FFFFFF"/>
            </w:tcBorders>
            <w:vAlign w:val="center"/>
          </w:tcPr>
          <w:p w14:paraId="62399CE9" w14:textId="1742B7A2" w:rsidR="00ED789E" w:rsidRPr="00416C4A" w:rsidRDefault="00D96DFB" w:rsidP="00ED789E">
            <w:pPr>
              <w:spacing w:line="480" w:lineRule="auto"/>
              <w:jc w:val="center"/>
            </w:pPr>
            <w:r w:rsidRPr="00416C4A">
              <w:t>64.</w:t>
            </w:r>
            <w:r w:rsidR="00CD72E9" w:rsidRPr="00416C4A">
              <w:t>4</w:t>
            </w:r>
            <w:r w:rsidRPr="00416C4A">
              <w:t>7%</w:t>
            </w:r>
          </w:p>
        </w:tc>
        <w:tc>
          <w:tcPr>
            <w:tcW w:w="2005" w:type="dxa"/>
            <w:gridSpan w:val="3"/>
            <w:tcBorders>
              <w:top w:val="single" w:sz="4" w:space="0" w:color="FFFFFF"/>
              <w:left w:val="single" w:sz="4" w:space="0" w:color="FFFFFF"/>
              <w:right w:val="single" w:sz="4" w:space="0" w:color="FFFFFF"/>
            </w:tcBorders>
            <w:vAlign w:val="center"/>
          </w:tcPr>
          <w:p w14:paraId="57459473" w14:textId="68EBADD5" w:rsidR="00ED789E" w:rsidRPr="00416C4A" w:rsidRDefault="00D96DFB" w:rsidP="00ED789E">
            <w:pPr>
              <w:spacing w:line="480" w:lineRule="auto"/>
              <w:jc w:val="center"/>
            </w:pPr>
            <w:r w:rsidRPr="00416C4A">
              <w:t>64.55%</w:t>
            </w:r>
          </w:p>
        </w:tc>
        <w:tc>
          <w:tcPr>
            <w:tcW w:w="2005" w:type="dxa"/>
            <w:gridSpan w:val="3"/>
            <w:tcBorders>
              <w:top w:val="single" w:sz="4" w:space="0" w:color="FFFFFF"/>
              <w:left w:val="single" w:sz="4" w:space="0" w:color="FFFFFF"/>
              <w:right w:val="single" w:sz="4" w:space="0" w:color="FFFFFF"/>
            </w:tcBorders>
            <w:vAlign w:val="center"/>
          </w:tcPr>
          <w:p w14:paraId="235CD8A5" w14:textId="1E19AAD3" w:rsidR="00ED789E" w:rsidRPr="00416C4A" w:rsidRDefault="00D96DFB" w:rsidP="00ED789E">
            <w:pPr>
              <w:spacing w:line="480" w:lineRule="auto"/>
              <w:jc w:val="center"/>
            </w:pPr>
            <w:r w:rsidRPr="00416C4A">
              <w:t>64.40%</w:t>
            </w:r>
          </w:p>
        </w:tc>
      </w:tr>
    </w:tbl>
    <w:p w14:paraId="7904FF46" w14:textId="77777777" w:rsidR="00167262" w:rsidRPr="00416C4A" w:rsidRDefault="00167262" w:rsidP="00A711B9">
      <w:pPr>
        <w:tabs>
          <w:tab w:val="left" w:pos="4448"/>
        </w:tabs>
        <w:spacing w:line="480" w:lineRule="auto"/>
        <w:jc w:val="both"/>
      </w:pPr>
    </w:p>
    <w:p w14:paraId="26440E05" w14:textId="0418A5E9" w:rsidR="00B127F0" w:rsidRPr="00416C4A" w:rsidRDefault="00D96DFB" w:rsidP="00A711B9">
      <w:pPr>
        <w:tabs>
          <w:tab w:val="left" w:pos="4448"/>
        </w:tabs>
        <w:spacing w:line="480" w:lineRule="auto"/>
        <w:jc w:val="both"/>
      </w:pPr>
      <w:r w:rsidRPr="00416C4A">
        <w:t xml:space="preserve">Note: </w:t>
      </w:r>
      <w:r w:rsidR="00F26554" w:rsidRPr="00416C4A">
        <w:t>We use two-tailed tests</w:t>
      </w:r>
      <w:r w:rsidR="002504F6">
        <w:t>. A</w:t>
      </w:r>
      <w:r w:rsidRPr="00416C4A">
        <w:t>ll variables are defined in the appendix.</w:t>
      </w:r>
    </w:p>
    <w:p w14:paraId="1326B681" w14:textId="40A197AA" w:rsidR="00421919" w:rsidRPr="00416C4A" w:rsidRDefault="00D96DFB" w:rsidP="00421919">
      <w:pPr>
        <w:spacing w:line="480" w:lineRule="auto"/>
        <w:jc w:val="center"/>
      </w:pPr>
      <w:r w:rsidRPr="00416C4A">
        <w:lastRenderedPageBreak/>
        <w:t xml:space="preserve">Panel C – </w:t>
      </w:r>
      <w:r w:rsidR="002A6B5B" w:rsidRPr="00416C4A">
        <w:t>Recent years</w:t>
      </w:r>
      <w:r w:rsidRPr="00416C4A">
        <w:t xml:space="preserve"> (2016 and 2018)</w:t>
      </w:r>
    </w:p>
    <w:tbl>
      <w:tblPr>
        <w:tblStyle w:val="TableGrid"/>
        <w:tblpPr w:leftFromText="180" w:rightFromText="180" w:vertAnchor="text" w:horzAnchor="margin" w:tblpY="51"/>
        <w:tblW w:w="0" w:type="auto"/>
        <w:tblLayout w:type="fixed"/>
        <w:tblLook w:val="04A0" w:firstRow="1" w:lastRow="0" w:firstColumn="1" w:lastColumn="0" w:noHBand="0" w:noVBand="1"/>
      </w:tblPr>
      <w:tblGrid>
        <w:gridCol w:w="2263"/>
        <w:gridCol w:w="851"/>
        <w:gridCol w:w="992"/>
        <w:gridCol w:w="851"/>
        <w:gridCol w:w="971"/>
        <w:gridCol w:w="1009"/>
        <w:gridCol w:w="996"/>
        <w:gridCol w:w="1009"/>
        <w:gridCol w:w="996"/>
        <w:gridCol w:w="1009"/>
        <w:gridCol w:w="996"/>
        <w:gridCol w:w="1009"/>
        <w:gridCol w:w="996"/>
      </w:tblGrid>
      <w:tr w:rsidR="00416C4A" w:rsidRPr="00416C4A" w14:paraId="28DD0EFC" w14:textId="77777777" w:rsidTr="00421919">
        <w:tc>
          <w:tcPr>
            <w:tcW w:w="2263" w:type="dxa"/>
            <w:vMerge w:val="restart"/>
            <w:tcBorders>
              <w:left w:val="single" w:sz="4" w:space="0" w:color="FFFFFF"/>
              <w:right w:val="single" w:sz="4" w:space="0" w:color="FFFFFF"/>
            </w:tcBorders>
            <w:vAlign w:val="center"/>
          </w:tcPr>
          <w:p w14:paraId="0BF83C71" w14:textId="77777777" w:rsidR="00A711B9" w:rsidRPr="00416C4A" w:rsidRDefault="00A711B9" w:rsidP="00A711B9">
            <w:pPr>
              <w:spacing w:line="480" w:lineRule="auto"/>
              <w:jc w:val="center"/>
            </w:pPr>
          </w:p>
        </w:tc>
        <w:tc>
          <w:tcPr>
            <w:tcW w:w="5670" w:type="dxa"/>
            <w:gridSpan w:val="6"/>
            <w:tcBorders>
              <w:left w:val="single" w:sz="4" w:space="0" w:color="FFFFFF"/>
              <w:bottom w:val="nil"/>
            </w:tcBorders>
            <w:vAlign w:val="center"/>
          </w:tcPr>
          <w:p w14:paraId="4D33733F" w14:textId="77777777" w:rsidR="00A711B9" w:rsidRPr="00416C4A" w:rsidRDefault="00D96DFB" w:rsidP="00A711B9">
            <w:pPr>
              <w:spacing w:line="480" w:lineRule="auto"/>
              <w:jc w:val="center"/>
            </w:pPr>
            <w:r w:rsidRPr="00416C4A">
              <w:t>ROA</w:t>
            </w:r>
          </w:p>
        </w:tc>
        <w:tc>
          <w:tcPr>
            <w:tcW w:w="6015" w:type="dxa"/>
            <w:gridSpan w:val="6"/>
            <w:tcBorders>
              <w:bottom w:val="nil"/>
              <w:right w:val="single" w:sz="4" w:space="0" w:color="FFFFFF"/>
            </w:tcBorders>
            <w:vAlign w:val="center"/>
          </w:tcPr>
          <w:p w14:paraId="49D91A91" w14:textId="77777777" w:rsidR="00A711B9" w:rsidRPr="00416C4A" w:rsidRDefault="00D96DFB" w:rsidP="00A711B9">
            <w:pPr>
              <w:spacing w:line="480" w:lineRule="auto"/>
              <w:jc w:val="center"/>
            </w:pPr>
            <w:r w:rsidRPr="00416C4A">
              <w:t>Tobin’s Q</w:t>
            </w:r>
          </w:p>
        </w:tc>
      </w:tr>
      <w:tr w:rsidR="00416C4A" w:rsidRPr="00416C4A" w14:paraId="1F70AC99" w14:textId="77777777" w:rsidTr="00421919">
        <w:tc>
          <w:tcPr>
            <w:tcW w:w="2263" w:type="dxa"/>
            <w:vMerge/>
            <w:tcBorders>
              <w:left w:val="single" w:sz="4" w:space="0" w:color="FFFFFF"/>
              <w:right w:val="single" w:sz="4" w:space="0" w:color="FFFFFF"/>
            </w:tcBorders>
            <w:vAlign w:val="center"/>
          </w:tcPr>
          <w:p w14:paraId="43949903" w14:textId="77777777" w:rsidR="00A711B9" w:rsidRPr="00416C4A" w:rsidRDefault="00A711B9" w:rsidP="00A711B9">
            <w:pPr>
              <w:spacing w:line="480" w:lineRule="auto"/>
              <w:jc w:val="center"/>
            </w:pPr>
          </w:p>
        </w:tc>
        <w:tc>
          <w:tcPr>
            <w:tcW w:w="1843" w:type="dxa"/>
            <w:gridSpan w:val="2"/>
            <w:tcBorders>
              <w:top w:val="nil"/>
              <w:left w:val="single" w:sz="4" w:space="0" w:color="FFFFFF"/>
              <w:right w:val="nil"/>
            </w:tcBorders>
            <w:vAlign w:val="center"/>
          </w:tcPr>
          <w:p w14:paraId="36BEDC29" w14:textId="77777777" w:rsidR="00A711B9" w:rsidRPr="00416C4A" w:rsidRDefault="00D96DFB" w:rsidP="00A711B9">
            <w:pPr>
              <w:spacing w:line="480" w:lineRule="auto"/>
              <w:jc w:val="center"/>
            </w:pPr>
            <w:r w:rsidRPr="00416C4A">
              <w:t>1</w:t>
            </w:r>
          </w:p>
        </w:tc>
        <w:tc>
          <w:tcPr>
            <w:tcW w:w="1822" w:type="dxa"/>
            <w:gridSpan w:val="2"/>
            <w:tcBorders>
              <w:top w:val="nil"/>
              <w:left w:val="nil"/>
              <w:right w:val="nil"/>
            </w:tcBorders>
            <w:vAlign w:val="center"/>
          </w:tcPr>
          <w:p w14:paraId="5310E317" w14:textId="77777777" w:rsidR="00A711B9" w:rsidRPr="00416C4A" w:rsidRDefault="00D96DFB" w:rsidP="00A711B9">
            <w:pPr>
              <w:spacing w:line="480" w:lineRule="auto"/>
              <w:jc w:val="center"/>
            </w:pPr>
            <w:r w:rsidRPr="00416C4A">
              <w:t>2</w:t>
            </w:r>
          </w:p>
        </w:tc>
        <w:tc>
          <w:tcPr>
            <w:tcW w:w="2005" w:type="dxa"/>
            <w:gridSpan w:val="2"/>
            <w:tcBorders>
              <w:top w:val="nil"/>
              <w:left w:val="nil"/>
            </w:tcBorders>
            <w:vAlign w:val="center"/>
          </w:tcPr>
          <w:p w14:paraId="49E4CD29" w14:textId="77777777" w:rsidR="00A711B9" w:rsidRPr="00416C4A" w:rsidRDefault="00D96DFB" w:rsidP="00A711B9">
            <w:pPr>
              <w:spacing w:line="480" w:lineRule="auto"/>
              <w:jc w:val="center"/>
            </w:pPr>
            <w:r w:rsidRPr="00416C4A">
              <w:t>3</w:t>
            </w:r>
          </w:p>
        </w:tc>
        <w:tc>
          <w:tcPr>
            <w:tcW w:w="2005" w:type="dxa"/>
            <w:gridSpan w:val="2"/>
            <w:tcBorders>
              <w:top w:val="nil"/>
              <w:right w:val="nil"/>
            </w:tcBorders>
            <w:vAlign w:val="center"/>
          </w:tcPr>
          <w:p w14:paraId="699F75A2" w14:textId="77777777" w:rsidR="00A711B9" w:rsidRPr="00416C4A" w:rsidRDefault="00D96DFB" w:rsidP="00A711B9">
            <w:pPr>
              <w:spacing w:line="480" w:lineRule="auto"/>
              <w:jc w:val="center"/>
            </w:pPr>
            <w:r w:rsidRPr="00416C4A">
              <w:t>1</w:t>
            </w:r>
          </w:p>
        </w:tc>
        <w:tc>
          <w:tcPr>
            <w:tcW w:w="2005" w:type="dxa"/>
            <w:gridSpan w:val="2"/>
            <w:tcBorders>
              <w:top w:val="nil"/>
              <w:left w:val="nil"/>
              <w:right w:val="nil"/>
            </w:tcBorders>
            <w:vAlign w:val="center"/>
          </w:tcPr>
          <w:p w14:paraId="2570BC97" w14:textId="77777777" w:rsidR="00A711B9" w:rsidRPr="00416C4A" w:rsidRDefault="00D96DFB" w:rsidP="00A711B9">
            <w:pPr>
              <w:spacing w:line="480" w:lineRule="auto"/>
              <w:jc w:val="center"/>
            </w:pPr>
            <w:r w:rsidRPr="00416C4A">
              <w:t>2</w:t>
            </w:r>
          </w:p>
        </w:tc>
        <w:tc>
          <w:tcPr>
            <w:tcW w:w="2005" w:type="dxa"/>
            <w:gridSpan w:val="2"/>
            <w:tcBorders>
              <w:top w:val="nil"/>
              <w:left w:val="nil"/>
              <w:right w:val="single" w:sz="4" w:space="0" w:color="FFFFFF"/>
            </w:tcBorders>
            <w:vAlign w:val="center"/>
          </w:tcPr>
          <w:p w14:paraId="70FFC68B" w14:textId="77777777" w:rsidR="00A711B9" w:rsidRPr="00416C4A" w:rsidRDefault="00D96DFB" w:rsidP="00A711B9">
            <w:pPr>
              <w:spacing w:line="480" w:lineRule="auto"/>
              <w:jc w:val="center"/>
            </w:pPr>
            <w:r w:rsidRPr="00416C4A">
              <w:t>3</w:t>
            </w:r>
          </w:p>
        </w:tc>
      </w:tr>
      <w:tr w:rsidR="00416C4A" w:rsidRPr="00416C4A" w14:paraId="6098C187" w14:textId="77777777" w:rsidTr="00421919">
        <w:tc>
          <w:tcPr>
            <w:tcW w:w="2263" w:type="dxa"/>
            <w:vMerge/>
            <w:tcBorders>
              <w:left w:val="single" w:sz="4" w:space="0" w:color="FFFFFF"/>
              <w:right w:val="single" w:sz="4" w:space="0" w:color="FFFFFF"/>
            </w:tcBorders>
            <w:vAlign w:val="center"/>
          </w:tcPr>
          <w:p w14:paraId="409A24DA" w14:textId="77777777" w:rsidR="00A711B9" w:rsidRPr="00416C4A" w:rsidRDefault="00A711B9" w:rsidP="00A711B9">
            <w:pPr>
              <w:spacing w:line="480" w:lineRule="auto"/>
              <w:jc w:val="center"/>
            </w:pPr>
          </w:p>
        </w:tc>
        <w:tc>
          <w:tcPr>
            <w:tcW w:w="851" w:type="dxa"/>
            <w:tcBorders>
              <w:left w:val="single" w:sz="4" w:space="0" w:color="FFFFFF"/>
              <w:right w:val="nil"/>
            </w:tcBorders>
            <w:vAlign w:val="center"/>
          </w:tcPr>
          <w:p w14:paraId="74848CAB" w14:textId="77777777" w:rsidR="00A711B9" w:rsidRPr="00416C4A" w:rsidRDefault="00D96DFB" w:rsidP="00A711B9">
            <w:pPr>
              <w:spacing w:line="480" w:lineRule="auto"/>
              <w:jc w:val="center"/>
            </w:pPr>
            <w:r w:rsidRPr="00416C4A">
              <w:t>Coeff.</w:t>
            </w:r>
          </w:p>
        </w:tc>
        <w:tc>
          <w:tcPr>
            <w:tcW w:w="992" w:type="dxa"/>
            <w:tcBorders>
              <w:left w:val="nil"/>
            </w:tcBorders>
            <w:vAlign w:val="center"/>
          </w:tcPr>
          <w:p w14:paraId="1C157548" w14:textId="650405FF" w:rsidR="00A711B9" w:rsidRPr="00416C4A" w:rsidRDefault="00D96DFB" w:rsidP="00A711B9">
            <w:pPr>
              <w:spacing w:line="480" w:lineRule="auto"/>
              <w:jc w:val="center"/>
            </w:pPr>
            <w:r w:rsidRPr="00416C4A">
              <w:t>P-value</w:t>
            </w:r>
          </w:p>
        </w:tc>
        <w:tc>
          <w:tcPr>
            <w:tcW w:w="851" w:type="dxa"/>
            <w:tcBorders>
              <w:right w:val="nil"/>
            </w:tcBorders>
            <w:vAlign w:val="center"/>
          </w:tcPr>
          <w:p w14:paraId="7E411A0D" w14:textId="77777777" w:rsidR="00A711B9" w:rsidRPr="00416C4A" w:rsidRDefault="00D96DFB" w:rsidP="00A711B9">
            <w:pPr>
              <w:spacing w:line="480" w:lineRule="auto"/>
              <w:jc w:val="center"/>
            </w:pPr>
            <w:r w:rsidRPr="00416C4A">
              <w:t>Coeff.</w:t>
            </w:r>
          </w:p>
        </w:tc>
        <w:tc>
          <w:tcPr>
            <w:tcW w:w="971" w:type="dxa"/>
            <w:tcBorders>
              <w:left w:val="nil"/>
            </w:tcBorders>
            <w:vAlign w:val="center"/>
          </w:tcPr>
          <w:p w14:paraId="22916F31" w14:textId="173A9096" w:rsidR="00A711B9" w:rsidRPr="00416C4A" w:rsidRDefault="00D96DFB" w:rsidP="00A711B9">
            <w:pPr>
              <w:spacing w:line="480" w:lineRule="auto"/>
              <w:jc w:val="center"/>
            </w:pPr>
            <w:r w:rsidRPr="00416C4A">
              <w:t>P-value</w:t>
            </w:r>
          </w:p>
        </w:tc>
        <w:tc>
          <w:tcPr>
            <w:tcW w:w="1009" w:type="dxa"/>
            <w:tcBorders>
              <w:right w:val="nil"/>
            </w:tcBorders>
            <w:vAlign w:val="center"/>
          </w:tcPr>
          <w:p w14:paraId="4063780D" w14:textId="77777777" w:rsidR="00A711B9" w:rsidRPr="00416C4A" w:rsidRDefault="00D96DFB" w:rsidP="00A711B9">
            <w:pPr>
              <w:spacing w:line="480" w:lineRule="auto"/>
              <w:jc w:val="center"/>
            </w:pPr>
            <w:r w:rsidRPr="00416C4A">
              <w:t>Coeff.</w:t>
            </w:r>
          </w:p>
        </w:tc>
        <w:tc>
          <w:tcPr>
            <w:tcW w:w="996" w:type="dxa"/>
            <w:tcBorders>
              <w:left w:val="nil"/>
            </w:tcBorders>
            <w:vAlign w:val="center"/>
          </w:tcPr>
          <w:p w14:paraId="43016EFA" w14:textId="196DFF35" w:rsidR="00A711B9" w:rsidRPr="00416C4A" w:rsidRDefault="00D96DFB" w:rsidP="00A711B9">
            <w:pPr>
              <w:spacing w:line="480" w:lineRule="auto"/>
              <w:jc w:val="center"/>
            </w:pPr>
            <w:r w:rsidRPr="00416C4A">
              <w:t>P-value</w:t>
            </w:r>
          </w:p>
        </w:tc>
        <w:tc>
          <w:tcPr>
            <w:tcW w:w="1009" w:type="dxa"/>
            <w:tcBorders>
              <w:right w:val="nil"/>
            </w:tcBorders>
            <w:vAlign w:val="center"/>
          </w:tcPr>
          <w:p w14:paraId="290B4803" w14:textId="77777777" w:rsidR="00A711B9" w:rsidRPr="00416C4A" w:rsidRDefault="00D96DFB" w:rsidP="00A711B9">
            <w:pPr>
              <w:spacing w:line="480" w:lineRule="auto"/>
              <w:jc w:val="center"/>
            </w:pPr>
            <w:r w:rsidRPr="00416C4A">
              <w:t>Coeff.</w:t>
            </w:r>
          </w:p>
        </w:tc>
        <w:tc>
          <w:tcPr>
            <w:tcW w:w="996" w:type="dxa"/>
            <w:tcBorders>
              <w:left w:val="nil"/>
            </w:tcBorders>
            <w:vAlign w:val="center"/>
          </w:tcPr>
          <w:p w14:paraId="30D650BD" w14:textId="71BFEA29" w:rsidR="00A711B9" w:rsidRPr="00416C4A" w:rsidRDefault="00D96DFB" w:rsidP="00A711B9">
            <w:pPr>
              <w:spacing w:line="480" w:lineRule="auto"/>
              <w:jc w:val="center"/>
            </w:pPr>
            <w:r w:rsidRPr="00416C4A">
              <w:t>P-value</w:t>
            </w:r>
          </w:p>
        </w:tc>
        <w:tc>
          <w:tcPr>
            <w:tcW w:w="1009" w:type="dxa"/>
            <w:tcBorders>
              <w:right w:val="nil"/>
            </w:tcBorders>
            <w:vAlign w:val="center"/>
          </w:tcPr>
          <w:p w14:paraId="28E43E99" w14:textId="77777777" w:rsidR="00A711B9" w:rsidRPr="00416C4A" w:rsidRDefault="00D96DFB" w:rsidP="00A711B9">
            <w:pPr>
              <w:spacing w:line="480" w:lineRule="auto"/>
              <w:jc w:val="center"/>
            </w:pPr>
            <w:r w:rsidRPr="00416C4A">
              <w:t>Coeff.</w:t>
            </w:r>
          </w:p>
        </w:tc>
        <w:tc>
          <w:tcPr>
            <w:tcW w:w="996" w:type="dxa"/>
            <w:tcBorders>
              <w:left w:val="nil"/>
            </w:tcBorders>
            <w:vAlign w:val="center"/>
          </w:tcPr>
          <w:p w14:paraId="5742488D" w14:textId="5C24F0B9" w:rsidR="00A711B9" w:rsidRPr="00416C4A" w:rsidRDefault="00D96DFB" w:rsidP="00A711B9">
            <w:pPr>
              <w:spacing w:line="480" w:lineRule="auto"/>
              <w:jc w:val="center"/>
            </w:pPr>
            <w:r w:rsidRPr="00416C4A">
              <w:t>P-value</w:t>
            </w:r>
          </w:p>
        </w:tc>
        <w:tc>
          <w:tcPr>
            <w:tcW w:w="1009" w:type="dxa"/>
            <w:tcBorders>
              <w:right w:val="nil"/>
            </w:tcBorders>
            <w:vAlign w:val="center"/>
          </w:tcPr>
          <w:p w14:paraId="24E62250" w14:textId="77777777" w:rsidR="00A711B9" w:rsidRPr="00416C4A" w:rsidRDefault="00D96DFB" w:rsidP="00A711B9">
            <w:pPr>
              <w:spacing w:line="480" w:lineRule="auto"/>
              <w:jc w:val="center"/>
            </w:pPr>
            <w:r w:rsidRPr="00416C4A">
              <w:t>Coeff.</w:t>
            </w:r>
          </w:p>
        </w:tc>
        <w:tc>
          <w:tcPr>
            <w:tcW w:w="996" w:type="dxa"/>
            <w:tcBorders>
              <w:left w:val="nil"/>
              <w:right w:val="single" w:sz="4" w:space="0" w:color="FFFFFF"/>
            </w:tcBorders>
            <w:vAlign w:val="center"/>
          </w:tcPr>
          <w:p w14:paraId="2BBF2FC7" w14:textId="3085EA3A" w:rsidR="00A711B9" w:rsidRPr="00416C4A" w:rsidRDefault="00D96DFB" w:rsidP="00A711B9">
            <w:pPr>
              <w:spacing w:line="480" w:lineRule="auto"/>
              <w:jc w:val="center"/>
            </w:pPr>
            <w:r w:rsidRPr="00416C4A">
              <w:t>P-value</w:t>
            </w:r>
          </w:p>
        </w:tc>
      </w:tr>
      <w:tr w:rsidR="00416C4A" w:rsidRPr="00416C4A" w14:paraId="7FF0656D" w14:textId="77777777" w:rsidTr="00A711B9">
        <w:tc>
          <w:tcPr>
            <w:tcW w:w="2263" w:type="dxa"/>
            <w:tcBorders>
              <w:left w:val="single" w:sz="4" w:space="0" w:color="FFFFFF"/>
              <w:bottom w:val="single" w:sz="4" w:space="0" w:color="FFFFFF" w:themeColor="background1"/>
              <w:right w:val="single" w:sz="4" w:space="0" w:color="FFFFFF"/>
            </w:tcBorders>
            <w:vAlign w:val="center"/>
          </w:tcPr>
          <w:p w14:paraId="5F4548E2" w14:textId="77777777" w:rsidR="00A711B9" w:rsidRPr="00416C4A" w:rsidRDefault="00D96DFB" w:rsidP="00A711B9">
            <w:pPr>
              <w:spacing w:line="480" w:lineRule="auto"/>
              <w:rPr>
                <w:b/>
              </w:rPr>
            </w:pPr>
            <w:r w:rsidRPr="00416C4A">
              <w:rPr>
                <w:b/>
              </w:rPr>
              <w:t>%Female</w:t>
            </w:r>
          </w:p>
        </w:tc>
        <w:tc>
          <w:tcPr>
            <w:tcW w:w="851" w:type="dxa"/>
            <w:tcBorders>
              <w:left w:val="single" w:sz="4" w:space="0" w:color="FFFFFF"/>
              <w:bottom w:val="single" w:sz="4" w:space="0" w:color="FFFFFF" w:themeColor="background1"/>
              <w:right w:val="single" w:sz="4" w:space="0" w:color="FFFFFF"/>
            </w:tcBorders>
            <w:vAlign w:val="center"/>
          </w:tcPr>
          <w:p w14:paraId="0009F513" w14:textId="479CBB49" w:rsidR="00A711B9" w:rsidRPr="00416C4A" w:rsidRDefault="00D96DFB" w:rsidP="00A711B9">
            <w:pPr>
              <w:spacing w:line="480" w:lineRule="auto"/>
              <w:jc w:val="center"/>
              <w:rPr>
                <w:b/>
              </w:rPr>
            </w:pPr>
            <w:r w:rsidRPr="00416C4A">
              <w:rPr>
                <w:b/>
              </w:rPr>
              <w:t>0.30</w:t>
            </w:r>
            <w:r w:rsidR="00F94E3A" w:rsidRPr="00416C4A">
              <w:rPr>
                <w:b/>
              </w:rPr>
              <w:t>8</w:t>
            </w:r>
          </w:p>
        </w:tc>
        <w:tc>
          <w:tcPr>
            <w:tcW w:w="992" w:type="dxa"/>
            <w:tcBorders>
              <w:left w:val="single" w:sz="4" w:space="0" w:color="FFFFFF"/>
              <w:bottom w:val="single" w:sz="4" w:space="0" w:color="FFFFFF" w:themeColor="background1"/>
              <w:right w:val="single" w:sz="4" w:space="0" w:color="FFFFFF"/>
            </w:tcBorders>
            <w:vAlign w:val="center"/>
          </w:tcPr>
          <w:p w14:paraId="190B8DC1" w14:textId="55AA319F" w:rsidR="00A711B9" w:rsidRPr="00416C4A" w:rsidRDefault="00D96DFB" w:rsidP="00A711B9">
            <w:pPr>
              <w:spacing w:line="480" w:lineRule="auto"/>
              <w:jc w:val="center"/>
              <w:rPr>
                <w:b/>
                <w:bCs/>
              </w:rPr>
            </w:pPr>
            <w:r w:rsidRPr="00416C4A">
              <w:rPr>
                <w:b/>
                <w:bCs/>
              </w:rPr>
              <w:t>0.00</w:t>
            </w:r>
            <w:r w:rsidR="0005056A" w:rsidRPr="00416C4A">
              <w:rPr>
                <w:b/>
                <w:bCs/>
              </w:rPr>
              <w:t>0</w:t>
            </w:r>
          </w:p>
        </w:tc>
        <w:tc>
          <w:tcPr>
            <w:tcW w:w="851" w:type="dxa"/>
            <w:tcBorders>
              <w:left w:val="single" w:sz="4" w:space="0" w:color="FFFFFF"/>
              <w:bottom w:val="single" w:sz="4" w:space="0" w:color="FFFFFF" w:themeColor="background1"/>
              <w:right w:val="single" w:sz="4" w:space="0" w:color="FFFFFF"/>
            </w:tcBorders>
            <w:vAlign w:val="center"/>
          </w:tcPr>
          <w:p w14:paraId="6B49F343" w14:textId="77777777" w:rsidR="00A711B9" w:rsidRPr="00416C4A" w:rsidRDefault="00A711B9" w:rsidP="00A711B9">
            <w:pPr>
              <w:spacing w:line="480" w:lineRule="auto"/>
              <w:jc w:val="center"/>
              <w:rPr>
                <w:b/>
              </w:rPr>
            </w:pPr>
          </w:p>
        </w:tc>
        <w:tc>
          <w:tcPr>
            <w:tcW w:w="971" w:type="dxa"/>
            <w:tcBorders>
              <w:left w:val="single" w:sz="4" w:space="0" w:color="FFFFFF"/>
              <w:bottom w:val="single" w:sz="4" w:space="0" w:color="FFFFFF" w:themeColor="background1"/>
              <w:right w:val="single" w:sz="4" w:space="0" w:color="FFFFFF"/>
            </w:tcBorders>
            <w:vAlign w:val="center"/>
          </w:tcPr>
          <w:p w14:paraId="0F064A25" w14:textId="77777777" w:rsidR="00A711B9" w:rsidRPr="00416C4A" w:rsidRDefault="00A711B9" w:rsidP="00A711B9">
            <w:pPr>
              <w:spacing w:line="480" w:lineRule="auto"/>
              <w:jc w:val="center"/>
              <w:rPr>
                <w:b/>
              </w:rPr>
            </w:pPr>
          </w:p>
        </w:tc>
        <w:tc>
          <w:tcPr>
            <w:tcW w:w="1009" w:type="dxa"/>
            <w:tcBorders>
              <w:left w:val="single" w:sz="4" w:space="0" w:color="FFFFFF"/>
              <w:bottom w:val="single" w:sz="4" w:space="0" w:color="FFFFFF" w:themeColor="background1"/>
              <w:right w:val="single" w:sz="4" w:space="0" w:color="FFFFFF"/>
            </w:tcBorders>
            <w:vAlign w:val="center"/>
          </w:tcPr>
          <w:p w14:paraId="7F5737FE" w14:textId="4994CA4D" w:rsidR="00A711B9" w:rsidRPr="00416C4A" w:rsidRDefault="00D96DFB" w:rsidP="00A711B9">
            <w:pPr>
              <w:spacing w:line="480" w:lineRule="auto"/>
              <w:jc w:val="center"/>
              <w:rPr>
                <w:b/>
              </w:rPr>
            </w:pPr>
            <w:r w:rsidRPr="00416C4A">
              <w:rPr>
                <w:b/>
              </w:rPr>
              <w:t>0.2</w:t>
            </w:r>
            <w:r w:rsidR="00161BD5" w:rsidRPr="00416C4A">
              <w:rPr>
                <w:b/>
              </w:rPr>
              <w:t>54</w:t>
            </w:r>
          </w:p>
        </w:tc>
        <w:tc>
          <w:tcPr>
            <w:tcW w:w="996" w:type="dxa"/>
            <w:tcBorders>
              <w:left w:val="single" w:sz="4" w:space="0" w:color="FFFFFF"/>
              <w:bottom w:val="single" w:sz="4" w:space="0" w:color="FFFFFF" w:themeColor="background1"/>
              <w:right w:val="single" w:sz="4" w:space="0" w:color="FFFFFF"/>
            </w:tcBorders>
            <w:vAlign w:val="center"/>
          </w:tcPr>
          <w:p w14:paraId="500C0136" w14:textId="67E22065" w:rsidR="00A711B9" w:rsidRPr="00416C4A" w:rsidRDefault="00D96DFB" w:rsidP="00A711B9">
            <w:pPr>
              <w:spacing w:line="480" w:lineRule="auto"/>
              <w:jc w:val="center"/>
              <w:rPr>
                <w:b/>
                <w:bCs/>
              </w:rPr>
            </w:pPr>
            <w:r w:rsidRPr="00416C4A">
              <w:rPr>
                <w:b/>
                <w:bCs/>
              </w:rPr>
              <w:t>0.00</w:t>
            </w:r>
            <w:r w:rsidR="00161BD5" w:rsidRPr="00416C4A">
              <w:rPr>
                <w:b/>
                <w:bCs/>
              </w:rPr>
              <w:t>2</w:t>
            </w:r>
          </w:p>
        </w:tc>
        <w:tc>
          <w:tcPr>
            <w:tcW w:w="1009" w:type="dxa"/>
            <w:tcBorders>
              <w:left w:val="single" w:sz="4" w:space="0" w:color="FFFFFF"/>
              <w:bottom w:val="single" w:sz="4" w:space="0" w:color="FFFFFF" w:themeColor="background1"/>
              <w:right w:val="single" w:sz="4" w:space="0" w:color="FFFFFF"/>
            </w:tcBorders>
            <w:vAlign w:val="center"/>
          </w:tcPr>
          <w:p w14:paraId="77974ADB" w14:textId="01BC39E9" w:rsidR="00A711B9" w:rsidRPr="00416C4A" w:rsidRDefault="00D96DFB" w:rsidP="00A711B9">
            <w:pPr>
              <w:spacing w:line="480" w:lineRule="auto"/>
              <w:jc w:val="center"/>
              <w:rPr>
                <w:b/>
              </w:rPr>
            </w:pPr>
            <w:r w:rsidRPr="00416C4A">
              <w:rPr>
                <w:b/>
              </w:rPr>
              <w:t>0.01</w:t>
            </w:r>
            <w:r w:rsidR="002E2128" w:rsidRPr="00416C4A">
              <w:rPr>
                <w:b/>
              </w:rPr>
              <w:t>4</w:t>
            </w:r>
          </w:p>
        </w:tc>
        <w:tc>
          <w:tcPr>
            <w:tcW w:w="996" w:type="dxa"/>
            <w:tcBorders>
              <w:left w:val="single" w:sz="4" w:space="0" w:color="FFFFFF"/>
              <w:bottom w:val="single" w:sz="4" w:space="0" w:color="FFFFFF" w:themeColor="background1"/>
              <w:right w:val="single" w:sz="4" w:space="0" w:color="FFFFFF"/>
            </w:tcBorders>
            <w:vAlign w:val="center"/>
          </w:tcPr>
          <w:p w14:paraId="021FB663" w14:textId="6CAC17AF" w:rsidR="00A711B9" w:rsidRPr="00416C4A" w:rsidRDefault="00D96DFB" w:rsidP="00A711B9">
            <w:pPr>
              <w:spacing w:line="480" w:lineRule="auto"/>
              <w:jc w:val="center"/>
              <w:rPr>
                <w:b/>
              </w:rPr>
            </w:pPr>
            <w:r w:rsidRPr="00416C4A">
              <w:rPr>
                <w:b/>
              </w:rPr>
              <w:t>0.</w:t>
            </w:r>
            <w:r w:rsidR="002E2128" w:rsidRPr="00416C4A">
              <w:rPr>
                <w:b/>
              </w:rPr>
              <w:t>0</w:t>
            </w:r>
            <w:r w:rsidRPr="00416C4A">
              <w:rPr>
                <w:b/>
              </w:rPr>
              <w:t>6</w:t>
            </w:r>
            <w:r w:rsidR="002E2128" w:rsidRPr="00416C4A">
              <w:rPr>
                <w:b/>
              </w:rPr>
              <w:t>4</w:t>
            </w:r>
          </w:p>
        </w:tc>
        <w:tc>
          <w:tcPr>
            <w:tcW w:w="1009" w:type="dxa"/>
            <w:tcBorders>
              <w:left w:val="single" w:sz="4" w:space="0" w:color="FFFFFF"/>
              <w:bottom w:val="single" w:sz="4" w:space="0" w:color="FFFFFF" w:themeColor="background1"/>
              <w:right w:val="single" w:sz="4" w:space="0" w:color="FFFFFF"/>
            </w:tcBorders>
            <w:vAlign w:val="center"/>
          </w:tcPr>
          <w:p w14:paraId="15A4AD23" w14:textId="77777777" w:rsidR="00A711B9" w:rsidRPr="00416C4A" w:rsidRDefault="00A711B9" w:rsidP="00A711B9">
            <w:pPr>
              <w:spacing w:line="480" w:lineRule="auto"/>
              <w:jc w:val="center"/>
              <w:rPr>
                <w:b/>
              </w:rPr>
            </w:pPr>
          </w:p>
        </w:tc>
        <w:tc>
          <w:tcPr>
            <w:tcW w:w="996" w:type="dxa"/>
            <w:tcBorders>
              <w:left w:val="single" w:sz="4" w:space="0" w:color="FFFFFF"/>
              <w:bottom w:val="single" w:sz="4" w:space="0" w:color="FFFFFF" w:themeColor="background1"/>
              <w:right w:val="single" w:sz="4" w:space="0" w:color="FFFFFF"/>
            </w:tcBorders>
            <w:vAlign w:val="center"/>
          </w:tcPr>
          <w:p w14:paraId="6992E1E5" w14:textId="77777777" w:rsidR="00A711B9" w:rsidRPr="00416C4A" w:rsidRDefault="00A711B9" w:rsidP="00A711B9">
            <w:pPr>
              <w:spacing w:line="480" w:lineRule="auto"/>
              <w:jc w:val="center"/>
              <w:rPr>
                <w:b/>
              </w:rPr>
            </w:pPr>
          </w:p>
        </w:tc>
        <w:tc>
          <w:tcPr>
            <w:tcW w:w="1009" w:type="dxa"/>
            <w:tcBorders>
              <w:left w:val="single" w:sz="4" w:space="0" w:color="FFFFFF"/>
              <w:bottom w:val="single" w:sz="4" w:space="0" w:color="FFFFFF" w:themeColor="background1"/>
              <w:right w:val="single" w:sz="4" w:space="0" w:color="FFFFFF"/>
            </w:tcBorders>
            <w:vAlign w:val="center"/>
          </w:tcPr>
          <w:p w14:paraId="42F0F84A" w14:textId="321A4245" w:rsidR="00A711B9" w:rsidRPr="00416C4A" w:rsidRDefault="00D96DFB" w:rsidP="00A711B9">
            <w:pPr>
              <w:spacing w:line="480" w:lineRule="auto"/>
              <w:jc w:val="center"/>
              <w:rPr>
                <w:b/>
              </w:rPr>
            </w:pPr>
            <w:r w:rsidRPr="00416C4A">
              <w:rPr>
                <w:b/>
              </w:rPr>
              <w:t>0.0</w:t>
            </w:r>
            <w:r w:rsidR="00FB2F01" w:rsidRPr="00416C4A">
              <w:rPr>
                <w:b/>
              </w:rPr>
              <w:t>22</w:t>
            </w:r>
          </w:p>
        </w:tc>
        <w:tc>
          <w:tcPr>
            <w:tcW w:w="996" w:type="dxa"/>
            <w:tcBorders>
              <w:left w:val="single" w:sz="4" w:space="0" w:color="FFFFFF"/>
              <w:bottom w:val="single" w:sz="4" w:space="0" w:color="FFFFFF" w:themeColor="background1"/>
              <w:right w:val="single" w:sz="4" w:space="0" w:color="FFFFFF"/>
            </w:tcBorders>
            <w:vAlign w:val="center"/>
          </w:tcPr>
          <w:p w14:paraId="31721084" w14:textId="136FCE06" w:rsidR="00A711B9" w:rsidRPr="00416C4A" w:rsidRDefault="00D96DFB" w:rsidP="00A711B9">
            <w:pPr>
              <w:spacing w:line="480" w:lineRule="auto"/>
              <w:jc w:val="center"/>
              <w:rPr>
                <w:b/>
              </w:rPr>
            </w:pPr>
            <w:r w:rsidRPr="00416C4A">
              <w:rPr>
                <w:b/>
              </w:rPr>
              <w:t>0.</w:t>
            </w:r>
            <w:r w:rsidR="00FB2F01" w:rsidRPr="00416C4A">
              <w:rPr>
                <w:b/>
              </w:rPr>
              <w:t>0</w:t>
            </w:r>
            <w:r w:rsidRPr="00416C4A">
              <w:rPr>
                <w:b/>
              </w:rPr>
              <w:t>1</w:t>
            </w:r>
            <w:r w:rsidR="00FB2F01" w:rsidRPr="00416C4A">
              <w:rPr>
                <w:b/>
              </w:rPr>
              <w:t>7</w:t>
            </w:r>
          </w:p>
        </w:tc>
      </w:tr>
      <w:tr w:rsidR="00416C4A" w:rsidRPr="00416C4A" w14:paraId="27B6C744" w14:textId="77777777" w:rsidTr="00A711B9">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46FFFC2" w14:textId="00292AA1" w:rsidR="00A711B9" w:rsidRPr="00416C4A" w:rsidRDefault="00D96DFB" w:rsidP="00A711B9">
            <w:pPr>
              <w:spacing w:line="480" w:lineRule="auto"/>
            </w:pPr>
            <w:r w:rsidRPr="00416C4A">
              <w:t>%Executive Female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7B38461" w14:textId="77777777" w:rsidR="00A711B9" w:rsidRPr="00416C4A" w:rsidRDefault="00A711B9" w:rsidP="00A711B9">
            <w:pPr>
              <w:spacing w:line="480" w:lineRule="auto"/>
              <w:jc w:val="center"/>
            </w:pP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CEA3AFA" w14:textId="77777777" w:rsidR="00A711B9" w:rsidRPr="00416C4A" w:rsidRDefault="00A711B9" w:rsidP="00A711B9">
            <w:pPr>
              <w:spacing w:line="480" w:lineRule="auto"/>
              <w:jc w:val="center"/>
            </w:pP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0E57C70" w14:textId="1026CD72" w:rsidR="00A711B9" w:rsidRPr="00416C4A" w:rsidRDefault="00D96DFB" w:rsidP="00A711B9">
            <w:pPr>
              <w:spacing w:line="480" w:lineRule="auto"/>
              <w:jc w:val="center"/>
            </w:pPr>
            <w:r w:rsidRPr="00416C4A">
              <w:t>0.</w:t>
            </w:r>
            <w:r w:rsidR="003E1432" w:rsidRPr="00416C4A">
              <w:t>39</w:t>
            </w:r>
            <w:r w:rsidRPr="00416C4A">
              <w:t>4</w:t>
            </w:r>
          </w:p>
        </w:tc>
        <w:tc>
          <w:tcPr>
            <w:tcW w:w="97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EE39295" w14:textId="2DE0FAEB" w:rsidR="00A711B9" w:rsidRPr="00416C4A" w:rsidRDefault="00D96DFB" w:rsidP="00A711B9">
            <w:pPr>
              <w:spacing w:line="480" w:lineRule="auto"/>
              <w:jc w:val="center"/>
            </w:pPr>
            <w:r w:rsidRPr="00416C4A">
              <w:t>0.0</w:t>
            </w:r>
            <w:r w:rsidR="003E1432" w:rsidRPr="00416C4A">
              <w:t>13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B7B12F5" w14:textId="757DC207" w:rsidR="00A711B9" w:rsidRPr="00416C4A" w:rsidRDefault="00D96DFB" w:rsidP="00A711B9">
            <w:pPr>
              <w:spacing w:line="480" w:lineRule="auto"/>
              <w:jc w:val="center"/>
            </w:pPr>
            <w:r w:rsidRPr="00416C4A">
              <w:t>0.</w:t>
            </w:r>
            <w:r w:rsidR="00161BD5" w:rsidRPr="00416C4A">
              <w:t>226</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B92F6A7" w14:textId="01440793" w:rsidR="00A711B9" w:rsidRPr="00416C4A" w:rsidRDefault="00D96DFB" w:rsidP="00A711B9">
            <w:pPr>
              <w:spacing w:line="480" w:lineRule="auto"/>
              <w:jc w:val="center"/>
            </w:pPr>
            <w:r w:rsidRPr="00416C4A">
              <w:t>0.1</w:t>
            </w:r>
            <w:r w:rsidR="00161BD5" w:rsidRPr="00416C4A">
              <w:t>28</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00D409B" w14:textId="77777777" w:rsidR="00A711B9" w:rsidRPr="00416C4A" w:rsidRDefault="00A711B9" w:rsidP="00A711B9">
            <w:pPr>
              <w:spacing w:line="480" w:lineRule="auto"/>
              <w:jc w:val="center"/>
            </w:pP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7744F48" w14:textId="77777777" w:rsidR="00A711B9" w:rsidRPr="00416C4A" w:rsidRDefault="00A711B9" w:rsidP="00A711B9">
            <w:pPr>
              <w:spacing w:line="480" w:lineRule="auto"/>
              <w:jc w:val="center"/>
            </w:pP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4122FE3" w14:textId="3A55F197" w:rsidR="00A711B9" w:rsidRPr="00416C4A" w:rsidRDefault="00D96DFB" w:rsidP="00A711B9">
            <w:pPr>
              <w:spacing w:line="480" w:lineRule="auto"/>
              <w:jc w:val="center"/>
            </w:pPr>
            <w:r w:rsidRPr="00416C4A">
              <w:t>-0.02</w:t>
            </w:r>
            <w:r w:rsidR="005D2385" w:rsidRPr="00416C4A">
              <w:t>3</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8C3C9D2" w14:textId="158DAA27" w:rsidR="00A711B9" w:rsidRPr="00416C4A" w:rsidRDefault="00D96DFB" w:rsidP="00A711B9">
            <w:pPr>
              <w:spacing w:line="480" w:lineRule="auto"/>
              <w:jc w:val="center"/>
              <w:rPr>
                <w:bCs/>
              </w:rPr>
            </w:pPr>
            <w:r w:rsidRPr="00416C4A">
              <w:rPr>
                <w:bCs/>
              </w:rPr>
              <w:t>0.</w:t>
            </w:r>
            <w:r w:rsidR="005D2385" w:rsidRPr="00416C4A">
              <w:rPr>
                <w:bCs/>
              </w:rPr>
              <w:t>133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A22332A" w14:textId="77777777" w:rsidR="00A711B9" w:rsidRPr="00416C4A" w:rsidRDefault="00D96DFB" w:rsidP="00A711B9">
            <w:pPr>
              <w:spacing w:line="480" w:lineRule="auto"/>
              <w:jc w:val="center"/>
            </w:pPr>
            <w:r w:rsidRPr="00416C4A">
              <w:t>-0.035</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D119CBC" w14:textId="74F8C2B3" w:rsidR="00A711B9" w:rsidRPr="00416C4A" w:rsidRDefault="00D96DFB" w:rsidP="00A711B9">
            <w:pPr>
              <w:spacing w:line="480" w:lineRule="auto"/>
              <w:jc w:val="center"/>
              <w:rPr>
                <w:bCs/>
              </w:rPr>
            </w:pPr>
            <w:r w:rsidRPr="00416C4A">
              <w:rPr>
                <w:bCs/>
              </w:rPr>
              <w:t>0.03</w:t>
            </w:r>
            <w:r w:rsidR="00FB2F01" w:rsidRPr="00416C4A">
              <w:rPr>
                <w:bCs/>
              </w:rPr>
              <w:t>9</w:t>
            </w:r>
          </w:p>
        </w:tc>
      </w:tr>
      <w:tr w:rsidR="00416C4A" w:rsidRPr="00416C4A" w14:paraId="787A05E2" w14:textId="77777777" w:rsidTr="00A711B9">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A0755FE" w14:textId="65C8968F" w:rsidR="00A711B9" w:rsidRPr="00416C4A" w:rsidRDefault="00D96DFB" w:rsidP="00A711B9">
            <w:pPr>
              <w:spacing w:line="480" w:lineRule="auto"/>
            </w:pPr>
            <w:r w:rsidRPr="00416C4A">
              <w:t xml:space="preserve">Board </w:t>
            </w:r>
            <w:r w:rsidR="003016D1" w:rsidRPr="00416C4A">
              <w:t>S</w:t>
            </w:r>
            <w:r w:rsidRPr="00416C4A">
              <w:t>ize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67AC664" w14:textId="575A5BDC" w:rsidR="00A711B9" w:rsidRPr="00416C4A" w:rsidRDefault="00D96DFB" w:rsidP="00A711B9">
            <w:pPr>
              <w:spacing w:line="480" w:lineRule="auto"/>
              <w:jc w:val="center"/>
            </w:pPr>
            <w:r w:rsidRPr="00416C4A">
              <w:t>-0.</w:t>
            </w:r>
            <w:r w:rsidR="0005056A" w:rsidRPr="00416C4A">
              <w:t>313</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F19D15A" w14:textId="21B67755" w:rsidR="00A711B9" w:rsidRPr="00416C4A" w:rsidRDefault="00D96DFB" w:rsidP="00A711B9">
            <w:pPr>
              <w:spacing w:line="480" w:lineRule="auto"/>
              <w:jc w:val="center"/>
            </w:pPr>
            <w:r w:rsidRPr="00416C4A">
              <w:t>0.</w:t>
            </w:r>
            <w:r w:rsidR="0005056A" w:rsidRPr="00416C4A">
              <w:t>375</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C81609A" w14:textId="7A202762" w:rsidR="00A711B9" w:rsidRPr="00416C4A" w:rsidRDefault="00D96DFB" w:rsidP="00A711B9">
            <w:pPr>
              <w:spacing w:line="480" w:lineRule="auto"/>
              <w:jc w:val="center"/>
            </w:pPr>
            <w:r w:rsidRPr="00416C4A">
              <w:t>-0.5</w:t>
            </w:r>
            <w:r w:rsidR="003E1432" w:rsidRPr="00416C4A">
              <w:t>14</w:t>
            </w:r>
          </w:p>
        </w:tc>
        <w:tc>
          <w:tcPr>
            <w:tcW w:w="97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A63FE44" w14:textId="2A2212DC" w:rsidR="00A711B9" w:rsidRPr="00416C4A" w:rsidRDefault="00D96DFB" w:rsidP="00A711B9">
            <w:pPr>
              <w:spacing w:line="480" w:lineRule="auto"/>
              <w:jc w:val="center"/>
            </w:pPr>
            <w:r w:rsidRPr="00416C4A">
              <w:t>0.1</w:t>
            </w:r>
            <w:r w:rsidR="003E1432" w:rsidRPr="00416C4A">
              <w:t>32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91E362B" w14:textId="5C58BE4F" w:rsidR="00A711B9" w:rsidRPr="00416C4A" w:rsidRDefault="00D96DFB" w:rsidP="00A711B9">
            <w:pPr>
              <w:spacing w:line="480" w:lineRule="auto"/>
              <w:jc w:val="center"/>
            </w:pPr>
            <w:r w:rsidRPr="00416C4A">
              <w:t>-0.</w:t>
            </w:r>
            <w:r w:rsidR="00674400" w:rsidRPr="00416C4A">
              <w:t>349</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710E3B1" w14:textId="4CAB715D" w:rsidR="00A711B9" w:rsidRPr="00416C4A" w:rsidRDefault="00D96DFB" w:rsidP="00A711B9">
            <w:pPr>
              <w:spacing w:line="480" w:lineRule="auto"/>
              <w:jc w:val="center"/>
            </w:pPr>
            <w:r w:rsidRPr="00416C4A">
              <w:t>0.3</w:t>
            </w:r>
            <w:r w:rsidR="00674400" w:rsidRPr="00416C4A">
              <w:t>02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DFBCF7F" w14:textId="0723101D" w:rsidR="00A711B9" w:rsidRPr="00416C4A" w:rsidRDefault="00D96DFB" w:rsidP="00A711B9">
            <w:pPr>
              <w:spacing w:line="480" w:lineRule="auto"/>
              <w:jc w:val="center"/>
            </w:pPr>
            <w:r w:rsidRPr="00416C4A">
              <w:t>0.0</w:t>
            </w:r>
            <w:r w:rsidR="002A76A9" w:rsidRPr="00416C4A">
              <w:t>71</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0541EF2" w14:textId="6053FA71" w:rsidR="00A711B9" w:rsidRPr="00416C4A" w:rsidRDefault="00D96DFB" w:rsidP="00A711B9">
            <w:pPr>
              <w:spacing w:line="480" w:lineRule="auto"/>
              <w:jc w:val="center"/>
            </w:pPr>
            <w:r w:rsidRPr="00416C4A">
              <w:t>0.</w:t>
            </w:r>
            <w:r w:rsidR="002A76A9" w:rsidRPr="00416C4A">
              <w:t>17</w:t>
            </w:r>
            <w:r w:rsidRPr="00416C4A">
              <w:t>6</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633DB4B" w14:textId="7587A43A" w:rsidR="00A711B9" w:rsidRPr="00416C4A" w:rsidRDefault="00D96DFB" w:rsidP="00A711B9">
            <w:pPr>
              <w:spacing w:line="480" w:lineRule="auto"/>
              <w:jc w:val="center"/>
            </w:pPr>
            <w:r w:rsidRPr="00416C4A">
              <w:t>0.0</w:t>
            </w:r>
            <w:r w:rsidR="005D2385" w:rsidRPr="00416C4A">
              <w:t>66</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E709A9E" w14:textId="6FB2078D" w:rsidR="00A711B9" w:rsidRPr="00416C4A" w:rsidRDefault="00D96DFB" w:rsidP="00A711B9">
            <w:pPr>
              <w:spacing w:line="480" w:lineRule="auto"/>
              <w:jc w:val="center"/>
            </w:pPr>
            <w:r w:rsidRPr="00416C4A">
              <w:t>0.</w:t>
            </w:r>
            <w:r w:rsidR="005D2385" w:rsidRPr="00416C4A">
              <w:t>200</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0E8ADD6" w14:textId="37BA3BC7" w:rsidR="00A711B9" w:rsidRPr="00416C4A" w:rsidRDefault="00D96DFB" w:rsidP="00A711B9">
            <w:pPr>
              <w:spacing w:line="480" w:lineRule="auto"/>
              <w:jc w:val="center"/>
            </w:pPr>
            <w:r w:rsidRPr="00416C4A">
              <w:t>0.0</w:t>
            </w:r>
            <w:r w:rsidR="001D0B8F" w:rsidRPr="00416C4A">
              <w:t>77</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961D01F" w14:textId="49AD9921" w:rsidR="00A711B9" w:rsidRPr="00416C4A" w:rsidRDefault="00D96DFB" w:rsidP="00A711B9">
            <w:pPr>
              <w:spacing w:line="480" w:lineRule="auto"/>
              <w:jc w:val="center"/>
            </w:pPr>
            <w:r w:rsidRPr="00416C4A">
              <w:t>0.</w:t>
            </w:r>
            <w:r w:rsidR="001D0B8F" w:rsidRPr="00416C4A">
              <w:t>131</w:t>
            </w:r>
          </w:p>
        </w:tc>
      </w:tr>
      <w:tr w:rsidR="00416C4A" w:rsidRPr="00416C4A" w14:paraId="57C96147" w14:textId="77777777" w:rsidTr="00A711B9">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C409A05" w14:textId="7A5031F0" w:rsidR="00A711B9" w:rsidRPr="00416C4A" w:rsidRDefault="00D96DFB" w:rsidP="00A711B9">
            <w:pPr>
              <w:spacing w:line="480" w:lineRule="auto"/>
            </w:pPr>
            <w:r w:rsidRPr="00416C4A">
              <w:t xml:space="preserve">Firm </w:t>
            </w:r>
            <w:r w:rsidR="003016D1" w:rsidRPr="00416C4A">
              <w:t>S</w:t>
            </w:r>
            <w:r w:rsidRPr="00416C4A">
              <w:t>ize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561B9CF" w14:textId="2300F93D" w:rsidR="00A711B9" w:rsidRPr="00416C4A" w:rsidRDefault="00D96DFB" w:rsidP="00A711B9">
            <w:pPr>
              <w:spacing w:line="480" w:lineRule="auto"/>
              <w:jc w:val="center"/>
            </w:pPr>
            <w:r w:rsidRPr="00416C4A">
              <w:t>-</w:t>
            </w:r>
            <w:r w:rsidR="0005056A" w:rsidRPr="00416C4A">
              <w:t>1</w:t>
            </w:r>
            <w:r w:rsidRPr="00416C4A">
              <w:t>.</w:t>
            </w:r>
            <w:r w:rsidR="0005056A" w:rsidRPr="00416C4A">
              <w:t>492</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1222E1E" w14:textId="4EBB7C63" w:rsidR="00A711B9" w:rsidRPr="00416C4A" w:rsidRDefault="00D96DFB" w:rsidP="00A711B9">
            <w:pPr>
              <w:spacing w:line="480" w:lineRule="auto"/>
              <w:jc w:val="center"/>
            </w:pPr>
            <w:r w:rsidRPr="00416C4A">
              <w:t>0.</w:t>
            </w:r>
            <w:r w:rsidR="0069116A" w:rsidRPr="00416C4A">
              <w:t>259</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74FE84D" w14:textId="3F79627A" w:rsidR="00A711B9" w:rsidRPr="00416C4A" w:rsidRDefault="00D96DFB" w:rsidP="00A711B9">
            <w:pPr>
              <w:spacing w:line="480" w:lineRule="auto"/>
              <w:jc w:val="center"/>
            </w:pPr>
            <w:r w:rsidRPr="00416C4A">
              <w:t>-</w:t>
            </w:r>
            <w:r w:rsidR="00FA56DB" w:rsidRPr="00416C4A">
              <w:t>0</w:t>
            </w:r>
            <w:r w:rsidRPr="00416C4A">
              <w:t>.</w:t>
            </w:r>
            <w:r w:rsidR="00FA56DB" w:rsidRPr="00416C4A">
              <w:t>442</w:t>
            </w:r>
          </w:p>
        </w:tc>
        <w:tc>
          <w:tcPr>
            <w:tcW w:w="97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F8F9CAE" w14:textId="385D4E5B" w:rsidR="00A711B9" w:rsidRPr="00416C4A" w:rsidRDefault="00D96DFB" w:rsidP="00A711B9">
            <w:pPr>
              <w:spacing w:line="480" w:lineRule="auto"/>
              <w:jc w:val="center"/>
            </w:pPr>
            <w:r w:rsidRPr="00416C4A">
              <w:t>0.</w:t>
            </w:r>
            <w:r w:rsidR="00FA56DB" w:rsidRPr="00416C4A">
              <w:t>727</w:t>
            </w:r>
            <w:r w:rsidRPr="00416C4A">
              <w:t xml:space="preserve">  </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37A765C" w14:textId="36A35DF2" w:rsidR="00A711B9" w:rsidRPr="00416C4A" w:rsidRDefault="00D96DFB" w:rsidP="00A711B9">
            <w:pPr>
              <w:spacing w:line="480" w:lineRule="auto"/>
              <w:jc w:val="center"/>
            </w:pPr>
            <w:r w:rsidRPr="00416C4A">
              <w:t>-</w:t>
            </w:r>
            <w:r w:rsidR="00674400" w:rsidRPr="00416C4A">
              <w:t>1</w:t>
            </w:r>
            <w:r w:rsidRPr="00416C4A">
              <w:t>.</w:t>
            </w:r>
            <w:r w:rsidR="00674400" w:rsidRPr="00416C4A">
              <w:t>29</w:t>
            </w:r>
            <w:r w:rsidRPr="00416C4A">
              <w:t>3</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C1B7545" w14:textId="44E0EC5D" w:rsidR="00A711B9" w:rsidRPr="00416C4A" w:rsidRDefault="00D96DFB" w:rsidP="00A711B9">
            <w:pPr>
              <w:spacing w:line="480" w:lineRule="auto"/>
              <w:jc w:val="center"/>
            </w:pPr>
            <w:r w:rsidRPr="00416C4A">
              <w:t>0.</w:t>
            </w:r>
            <w:r w:rsidR="00674400" w:rsidRPr="00416C4A">
              <w:t>324</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46ECDB5" w14:textId="09B5FD0B" w:rsidR="00A711B9" w:rsidRPr="00416C4A" w:rsidRDefault="00D96DFB" w:rsidP="00A711B9">
            <w:pPr>
              <w:spacing w:line="480" w:lineRule="auto"/>
              <w:jc w:val="center"/>
            </w:pPr>
            <w:r w:rsidRPr="00416C4A">
              <w:t>-0.</w:t>
            </w:r>
            <w:r w:rsidR="002A76A9" w:rsidRPr="00416C4A">
              <w:t>3</w:t>
            </w:r>
            <w:r w:rsidRPr="00416C4A">
              <w:t>54</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9D652F9" w14:textId="5203AD6D" w:rsidR="00A711B9" w:rsidRPr="00416C4A" w:rsidRDefault="00D96DFB" w:rsidP="00A711B9">
            <w:pPr>
              <w:spacing w:line="480" w:lineRule="auto"/>
              <w:jc w:val="center"/>
              <w:rPr>
                <w:bCs/>
              </w:rPr>
            </w:pPr>
            <w:r w:rsidRPr="00416C4A">
              <w:rPr>
                <w:bCs/>
              </w:rPr>
              <w:t>0.01</w:t>
            </w:r>
            <w:r w:rsidR="002A76A9" w:rsidRPr="00416C4A">
              <w:rPr>
                <w:bCs/>
              </w:rPr>
              <w:t>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E39F977" w14:textId="17F574B8" w:rsidR="00A711B9" w:rsidRPr="00416C4A" w:rsidRDefault="00D96DFB" w:rsidP="00A711B9">
            <w:pPr>
              <w:spacing w:line="480" w:lineRule="auto"/>
              <w:jc w:val="center"/>
            </w:pPr>
            <w:r w:rsidRPr="00416C4A">
              <w:t>-0.</w:t>
            </w:r>
            <w:r w:rsidR="00CB7D8A" w:rsidRPr="00416C4A">
              <w:t>30</w:t>
            </w:r>
            <w:r w:rsidRPr="00416C4A">
              <w:t>5</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124305B" w14:textId="0740C908" w:rsidR="00A711B9" w:rsidRPr="00416C4A" w:rsidRDefault="00D96DFB" w:rsidP="00A711B9">
            <w:pPr>
              <w:spacing w:line="480" w:lineRule="auto"/>
              <w:jc w:val="center"/>
              <w:rPr>
                <w:bCs/>
              </w:rPr>
            </w:pPr>
            <w:r w:rsidRPr="00416C4A">
              <w:rPr>
                <w:bCs/>
              </w:rPr>
              <w:t>0.02</w:t>
            </w:r>
            <w:r w:rsidR="00CB7D8A" w:rsidRPr="00416C4A">
              <w:rPr>
                <w:bCs/>
              </w:rPr>
              <w:t>5</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4600300" w14:textId="5597728B" w:rsidR="00A711B9" w:rsidRPr="00416C4A" w:rsidRDefault="00D96DFB" w:rsidP="00A711B9">
            <w:pPr>
              <w:spacing w:line="480" w:lineRule="auto"/>
              <w:jc w:val="center"/>
            </w:pPr>
            <w:r w:rsidRPr="00416C4A">
              <w:t>-0.</w:t>
            </w:r>
            <w:r w:rsidR="001D0B8F" w:rsidRPr="00416C4A">
              <w:t>380</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25FFF14" w14:textId="07F1EEB2" w:rsidR="00A711B9" w:rsidRPr="00416C4A" w:rsidRDefault="00D96DFB" w:rsidP="00A711B9">
            <w:pPr>
              <w:spacing w:line="480" w:lineRule="auto"/>
              <w:jc w:val="center"/>
              <w:rPr>
                <w:bCs/>
              </w:rPr>
            </w:pPr>
            <w:r w:rsidRPr="00416C4A">
              <w:rPr>
                <w:bCs/>
              </w:rPr>
              <w:t>0.0</w:t>
            </w:r>
            <w:r w:rsidR="001D0B8F" w:rsidRPr="00416C4A">
              <w:rPr>
                <w:bCs/>
              </w:rPr>
              <w:t>08</w:t>
            </w:r>
          </w:p>
        </w:tc>
      </w:tr>
      <w:tr w:rsidR="00416C4A" w:rsidRPr="00416C4A" w14:paraId="20113C8C" w14:textId="77777777" w:rsidTr="00A711B9">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3A5D7C7" w14:textId="77777777" w:rsidR="00A711B9" w:rsidRPr="00416C4A" w:rsidRDefault="00D96DFB" w:rsidP="00A711B9">
            <w:pPr>
              <w:spacing w:line="480" w:lineRule="auto"/>
            </w:pPr>
            <w:r w:rsidRPr="00416C4A">
              <w:t>Leverage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C53D837" w14:textId="4225DD81" w:rsidR="00A711B9" w:rsidRPr="00416C4A" w:rsidRDefault="00D96DFB" w:rsidP="00A711B9">
            <w:pPr>
              <w:spacing w:line="480" w:lineRule="auto"/>
              <w:jc w:val="center"/>
            </w:pPr>
            <w:r w:rsidRPr="00416C4A">
              <w:t>-</w:t>
            </w:r>
            <w:r w:rsidR="0069116A" w:rsidRPr="00416C4A">
              <w:t>3</w:t>
            </w:r>
            <w:r w:rsidRPr="00416C4A">
              <w:t>.7</w:t>
            </w:r>
            <w:r w:rsidR="0069116A" w:rsidRPr="00416C4A">
              <w:t>33</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79A9789" w14:textId="509C49A8" w:rsidR="00A711B9" w:rsidRPr="00416C4A" w:rsidRDefault="00D96DFB" w:rsidP="00A711B9">
            <w:pPr>
              <w:spacing w:line="480" w:lineRule="auto"/>
              <w:jc w:val="center"/>
            </w:pPr>
            <w:r w:rsidRPr="00416C4A">
              <w:t>0.1</w:t>
            </w:r>
            <w:r w:rsidR="0069116A" w:rsidRPr="00416C4A">
              <w:t>92</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0B44FCB" w14:textId="171BB98B" w:rsidR="00A711B9" w:rsidRPr="00416C4A" w:rsidRDefault="00D96DFB" w:rsidP="00A711B9">
            <w:pPr>
              <w:spacing w:line="480" w:lineRule="auto"/>
              <w:jc w:val="center"/>
            </w:pPr>
            <w:r w:rsidRPr="00416C4A">
              <w:t>-</w:t>
            </w:r>
            <w:r w:rsidR="00FA56DB" w:rsidRPr="00416C4A">
              <w:t>4</w:t>
            </w:r>
            <w:r w:rsidRPr="00416C4A">
              <w:t>.5</w:t>
            </w:r>
            <w:r w:rsidR="00FA56DB" w:rsidRPr="00416C4A">
              <w:t>20</w:t>
            </w:r>
          </w:p>
        </w:tc>
        <w:tc>
          <w:tcPr>
            <w:tcW w:w="97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065DD3D" w14:textId="0A0BC8FE" w:rsidR="00A711B9" w:rsidRPr="00416C4A" w:rsidRDefault="00D96DFB" w:rsidP="00A711B9">
            <w:pPr>
              <w:spacing w:line="480" w:lineRule="auto"/>
              <w:jc w:val="center"/>
            </w:pPr>
            <w:r w:rsidRPr="00416C4A">
              <w:t>0.</w:t>
            </w:r>
            <w:r w:rsidR="00FA56DB" w:rsidRPr="00416C4A">
              <w:t>127</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EE5335F" w14:textId="2D86FA4D" w:rsidR="00A711B9" w:rsidRPr="00416C4A" w:rsidRDefault="00D96DFB" w:rsidP="00A711B9">
            <w:pPr>
              <w:spacing w:line="480" w:lineRule="auto"/>
              <w:jc w:val="center"/>
            </w:pPr>
            <w:r w:rsidRPr="00416C4A">
              <w:t>-</w:t>
            </w:r>
            <w:r w:rsidR="00674400" w:rsidRPr="00416C4A">
              <w:t>3</w:t>
            </w:r>
            <w:r w:rsidRPr="00416C4A">
              <w:t>.</w:t>
            </w:r>
            <w:r w:rsidR="00674400" w:rsidRPr="00416C4A">
              <w:t>307</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9F07E8F" w14:textId="68AEF554" w:rsidR="00A711B9" w:rsidRPr="00416C4A" w:rsidRDefault="00D96DFB" w:rsidP="00A711B9">
            <w:pPr>
              <w:spacing w:line="480" w:lineRule="auto"/>
              <w:jc w:val="center"/>
            </w:pPr>
            <w:r w:rsidRPr="00416C4A">
              <w:t>0.</w:t>
            </w:r>
            <w:r w:rsidR="00674400" w:rsidRPr="00416C4A">
              <w:t>2</w:t>
            </w:r>
            <w:r w:rsidRPr="00416C4A">
              <w:t>4</w:t>
            </w:r>
            <w:r w:rsidR="00674400" w:rsidRPr="00416C4A">
              <w:t>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A33EC86" w14:textId="7B420648" w:rsidR="00A711B9" w:rsidRPr="00416C4A" w:rsidRDefault="00D96DFB" w:rsidP="00A711B9">
            <w:pPr>
              <w:spacing w:line="480" w:lineRule="auto"/>
              <w:jc w:val="center"/>
            </w:pPr>
            <w:r w:rsidRPr="00416C4A">
              <w:t>0.1</w:t>
            </w:r>
            <w:r w:rsidR="002A76A9" w:rsidRPr="00416C4A">
              <w:t>27</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505897B" w14:textId="543A9494" w:rsidR="00A711B9" w:rsidRPr="00416C4A" w:rsidRDefault="00D96DFB" w:rsidP="00A711B9">
            <w:pPr>
              <w:spacing w:line="480" w:lineRule="auto"/>
              <w:jc w:val="center"/>
            </w:pPr>
            <w:r w:rsidRPr="00416C4A">
              <w:t>0.</w:t>
            </w:r>
            <w:r w:rsidR="00321F3F" w:rsidRPr="00416C4A">
              <w:t>588</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077DB05" w14:textId="0E226EF4" w:rsidR="00A711B9" w:rsidRPr="00416C4A" w:rsidRDefault="00D96DFB" w:rsidP="00A711B9">
            <w:pPr>
              <w:spacing w:line="480" w:lineRule="auto"/>
              <w:jc w:val="center"/>
            </w:pPr>
            <w:r w:rsidRPr="00416C4A">
              <w:t>-0.</w:t>
            </w:r>
            <w:r w:rsidR="00CB7D8A" w:rsidRPr="00416C4A">
              <w:t>005</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11A3684" w14:textId="475F9E6C" w:rsidR="00A711B9" w:rsidRPr="00416C4A" w:rsidRDefault="00D96DFB" w:rsidP="00A711B9">
            <w:pPr>
              <w:spacing w:line="480" w:lineRule="auto"/>
              <w:jc w:val="center"/>
            </w:pPr>
            <w:r w:rsidRPr="00416C4A">
              <w:t>0.</w:t>
            </w:r>
            <w:r w:rsidR="00CB7D8A" w:rsidRPr="00416C4A">
              <w:t>984</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5AA4EC6" w14:textId="412D666E" w:rsidR="00A711B9" w:rsidRPr="00416C4A" w:rsidRDefault="00D96DFB" w:rsidP="00A711B9">
            <w:pPr>
              <w:spacing w:line="480" w:lineRule="auto"/>
              <w:jc w:val="center"/>
            </w:pPr>
            <w:r w:rsidRPr="00416C4A">
              <w:t>0.0</w:t>
            </w:r>
            <w:r w:rsidR="00360079" w:rsidRPr="00416C4A">
              <w:t>72</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19D068E" w14:textId="39788263" w:rsidR="00A711B9" w:rsidRPr="00416C4A" w:rsidRDefault="00D96DFB" w:rsidP="00A711B9">
            <w:pPr>
              <w:spacing w:line="480" w:lineRule="auto"/>
              <w:jc w:val="center"/>
            </w:pPr>
            <w:r w:rsidRPr="00416C4A">
              <w:t>0.</w:t>
            </w:r>
            <w:r w:rsidR="00360079" w:rsidRPr="00416C4A">
              <w:t>767</w:t>
            </w:r>
          </w:p>
        </w:tc>
      </w:tr>
      <w:tr w:rsidR="00416C4A" w:rsidRPr="00416C4A" w14:paraId="2C6F8EB3" w14:textId="77777777" w:rsidTr="00ED789E">
        <w:tc>
          <w:tcPr>
            <w:tcW w:w="2263" w:type="dxa"/>
            <w:tcBorders>
              <w:top w:val="single" w:sz="4" w:space="0" w:color="FFFFFF" w:themeColor="background1"/>
              <w:left w:val="single" w:sz="4" w:space="0" w:color="FFFFFF"/>
              <w:bottom w:val="single" w:sz="4" w:space="0" w:color="FFFFFF"/>
              <w:right w:val="single" w:sz="4" w:space="0" w:color="FFFFFF"/>
            </w:tcBorders>
            <w:vAlign w:val="center"/>
          </w:tcPr>
          <w:p w14:paraId="504C7ADC" w14:textId="77777777" w:rsidR="00A711B9" w:rsidRPr="00416C4A" w:rsidRDefault="00D96DFB" w:rsidP="00A711B9">
            <w:pPr>
              <w:spacing w:line="480" w:lineRule="auto"/>
            </w:pPr>
            <w:r w:rsidRPr="00416C4A">
              <w:t>ROA</w:t>
            </w:r>
          </w:p>
        </w:tc>
        <w:tc>
          <w:tcPr>
            <w:tcW w:w="851" w:type="dxa"/>
            <w:tcBorders>
              <w:top w:val="single" w:sz="4" w:space="0" w:color="FFFFFF" w:themeColor="background1"/>
              <w:left w:val="single" w:sz="4" w:space="0" w:color="FFFFFF"/>
              <w:bottom w:val="single" w:sz="4" w:space="0" w:color="FFFFFF"/>
              <w:right w:val="single" w:sz="4" w:space="0" w:color="FFFFFF"/>
            </w:tcBorders>
            <w:vAlign w:val="center"/>
          </w:tcPr>
          <w:p w14:paraId="21122603" w14:textId="77777777" w:rsidR="00A711B9" w:rsidRPr="00416C4A" w:rsidRDefault="00A711B9" w:rsidP="00A711B9">
            <w:pPr>
              <w:spacing w:line="480" w:lineRule="auto"/>
              <w:jc w:val="center"/>
            </w:pPr>
          </w:p>
        </w:tc>
        <w:tc>
          <w:tcPr>
            <w:tcW w:w="992" w:type="dxa"/>
            <w:tcBorders>
              <w:top w:val="single" w:sz="4" w:space="0" w:color="FFFFFF" w:themeColor="background1"/>
              <w:left w:val="single" w:sz="4" w:space="0" w:color="FFFFFF"/>
              <w:bottom w:val="single" w:sz="4" w:space="0" w:color="FFFFFF"/>
              <w:right w:val="single" w:sz="4" w:space="0" w:color="FFFFFF"/>
            </w:tcBorders>
            <w:vAlign w:val="center"/>
          </w:tcPr>
          <w:p w14:paraId="5048FDA2" w14:textId="77777777" w:rsidR="00A711B9" w:rsidRPr="00416C4A" w:rsidRDefault="00A711B9" w:rsidP="00A711B9">
            <w:pPr>
              <w:spacing w:line="480" w:lineRule="auto"/>
              <w:jc w:val="center"/>
            </w:pPr>
          </w:p>
        </w:tc>
        <w:tc>
          <w:tcPr>
            <w:tcW w:w="851" w:type="dxa"/>
            <w:tcBorders>
              <w:top w:val="single" w:sz="4" w:space="0" w:color="FFFFFF" w:themeColor="background1"/>
              <w:left w:val="single" w:sz="4" w:space="0" w:color="FFFFFF"/>
              <w:bottom w:val="single" w:sz="4" w:space="0" w:color="FFFFFF"/>
              <w:right w:val="single" w:sz="4" w:space="0" w:color="FFFFFF"/>
            </w:tcBorders>
            <w:vAlign w:val="center"/>
          </w:tcPr>
          <w:p w14:paraId="1B3700B4" w14:textId="77777777" w:rsidR="00A711B9" w:rsidRPr="00416C4A" w:rsidRDefault="00A711B9" w:rsidP="00A711B9">
            <w:pPr>
              <w:spacing w:line="480" w:lineRule="auto"/>
              <w:jc w:val="center"/>
            </w:pPr>
          </w:p>
        </w:tc>
        <w:tc>
          <w:tcPr>
            <w:tcW w:w="971" w:type="dxa"/>
            <w:tcBorders>
              <w:top w:val="single" w:sz="4" w:space="0" w:color="FFFFFF" w:themeColor="background1"/>
              <w:left w:val="single" w:sz="4" w:space="0" w:color="FFFFFF"/>
              <w:bottom w:val="single" w:sz="4" w:space="0" w:color="FFFFFF"/>
              <w:right w:val="single" w:sz="4" w:space="0" w:color="FFFFFF"/>
            </w:tcBorders>
            <w:vAlign w:val="center"/>
          </w:tcPr>
          <w:p w14:paraId="2822AC7E" w14:textId="77777777" w:rsidR="00A711B9" w:rsidRPr="00416C4A" w:rsidRDefault="00A711B9" w:rsidP="00A711B9">
            <w:pPr>
              <w:spacing w:line="480" w:lineRule="auto"/>
              <w:jc w:val="center"/>
            </w:pP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554032F7" w14:textId="77777777" w:rsidR="00A711B9" w:rsidRPr="00416C4A" w:rsidRDefault="00A711B9" w:rsidP="00A711B9">
            <w:pPr>
              <w:spacing w:line="480" w:lineRule="auto"/>
              <w:jc w:val="center"/>
            </w:pP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1AF01BBA" w14:textId="77777777" w:rsidR="00A711B9" w:rsidRPr="00416C4A" w:rsidRDefault="00A711B9" w:rsidP="00A711B9">
            <w:pPr>
              <w:spacing w:line="480" w:lineRule="auto"/>
              <w:jc w:val="center"/>
            </w:pP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08647AED" w14:textId="65284A75" w:rsidR="00A711B9" w:rsidRPr="00416C4A" w:rsidRDefault="00D96DFB" w:rsidP="00A711B9">
            <w:pPr>
              <w:spacing w:line="480" w:lineRule="auto"/>
              <w:jc w:val="center"/>
            </w:pPr>
            <w:r w:rsidRPr="00416C4A">
              <w:t>0.1</w:t>
            </w:r>
            <w:r w:rsidR="00321F3F" w:rsidRPr="00416C4A">
              <w:t>17</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11CC8D19" w14:textId="5A9482E3" w:rsidR="00A711B9" w:rsidRPr="00416C4A" w:rsidRDefault="00D96DFB" w:rsidP="00A711B9">
            <w:pPr>
              <w:spacing w:line="480" w:lineRule="auto"/>
              <w:jc w:val="center"/>
              <w:rPr>
                <w:bCs/>
              </w:rPr>
            </w:pPr>
            <w:r w:rsidRPr="00416C4A">
              <w:rPr>
                <w:bCs/>
              </w:rPr>
              <w:t>0.00</w:t>
            </w:r>
            <w:r w:rsidR="00321F3F" w:rsidRPr="00416C4A">
              <w:rPr>
                <w:bCs/>
              </w:rPr>
              <w:t>0</w:t>
            </w: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6F4DB7FE" w14:textId="279EFA2A" w:rsidR="00A711B9" w:rsidRPr="00416C4A" w:rsidRDefault="00D96DFB" w:rsidP="00A711B9">
            <w:pPr>
              <w:spacing w:line="480" w:lineRule="auto"/>
              <w:jc w:val="center"/>
            </w:pPr>
            <w:r w:rsidRPr="00416C4A">
              <w:t>0.1</w:t>
            </w:r>
            <w:r w:rsidR="00CB7D8A" w:rsidRPr="00416C4A">
              <w:t>26</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13988928" w14:textId="439D68AB" w:rsidR="00A711B9" w:rsidRPr="00416C4A" w:rsidRDefault="00D96DFB" w:rsidP="00A711B9">
            <w:pPr>
              <w:spacing w:line="480" w:lineRule="auto"/>
              <w:jc w:val="center"/>
              <w:rPr>
                <w:bCs/>
              </w:rPr>
            </w:pPr>
            <w:r w:rsidRPr="00416C4A">
              <w:rPr>
                <w:bCs/>
              </w:rPr>
              <w:t>0.00</w:t>
            </w:r>
            <w:r w:rsidR="00CB7D8A" w:rsidRPr="00416C4A">
              <w:rPr>
                <w:bCs/>
              </w:rPr>
              <w:t>0</w:t>
            </w: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5DD27D00" w14:textId="275343EC" w:rsidR="00A711B9" w:rsidRPr="00416C4A" w:rsidRDefault="00D96DFB" w:rsidP="00A711B9">
            <w:pPr>
              <w:spacing w:line="480" w:lineRule="auto"/>
              <w:jc w:val="center"/>
            </w:pPr>
            <w:r w:rsidRPr="00416C4A">
              <w:t>0.1</w:t>
            </w:r>
            <w:r w:rsidR="00360079" w:rsidRPr="00416C4A">
              <w:t>2</w:t>
            </w:r>
            <w:r w:rsidRPr="00416C4A">
              <w:t>0</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6F124F0D" w14:textId="76155832" w:rsidR="00A711B9" w:rsidRPr="00416C4A" w:rsidRDefault="00D96DFB" w:rsidP="00A711B9">
            <w:pPr>
              <w:spacing w:line="480" w:lineRule="auto"/>
              <w:jc w:val="center"/>
              <w:rPr>
                <w:bCs/>
              </w:rPr>
            </w:pPr>
            <w:r w:rsidRPr="00416C4A">
              <w:rPr>
                <w:bCs/>
              </w:rPr>
              <w:t>0.00</w:t>
            </w:r>
            <w:r w:rsidR="00360079" w:rsidRPr="00416C4A">
              <w:rPr>
                <w:bCs/>
              </w:rPr>
              <w:t>0</w:t>
            </w:r>
          </w:p>
        </w:tc>
      </w:tr>
      <w:tr w:rsidR="00416C4A" w:rsidRPr="00416C4A" w14:paraId="40A7A707" w14:textId="77777777" w:rsidTr="00ED789E">
        <w:trPr>
          <w:trHeight w:val="335"/>
        </w:trPr>
        <w:tc>
          <w:tcPr>
            <w:tcW w:w="2263" w:type="dxa"/>
            <w:tcBorders>
              <w:top w:val="single" w:sz="4" w:space="0" w:color="FFFFFF"/>
              <w:left w:val="single" w:sz="4" w:space="0" w:color="FFFFFF"/>
              <w:bottom w:val="nil"/>
              <w:right w:val="single" w:sz="4" w:space="0" w:color="FFFFFF"/>
            </w:tcBorders>
            <w:vAlign w:val="center"/>
          </w:tcPr>
          <w:p w14:paraId="389A8D2D" w14:textId="39526A8C" w:rsidR="00ED789E" w:rsidRPr="00416C4A" w:rsidRDefault="00D96DFB" w:rsidP="00ED789E">
            <w:pPr>
              <w:spacing w:line="480" w:lineRule="auto"/>
            </w:pPr>
            <w:r w:rsidRPr="00416C4A">
              <w:t>Constant</w:t>
            </w:r>
          </w:p>
        </w:tc>
        <w:tc>
          <w:tcPr>
            <w:tcW w:w="1843" w:type="dxa"/>
            <w:gridSpan w:val="2"/>
            <w:tcBorders>
              <w:top w:val="single" w:sz="4" w:space="0" w:color="FFFFFF"/>
              <w:left w:val="single" w:sz="4" w:space="0" w:color="FFFFFF"/>
              <w:bottom w:val="nil"/>
              <w:right w:val="single" w:sz="4" w:space="0" w:color="FFFFFF"/>
            </w:tcBorders>
            <w:vAlign w:val="center"/>
          </w:tcPr>
          <w:p w14:paraId="1C26C9EC" w14:textId="338A9CF3" w:rsidR="00ED789E" w:rsidRPr="00416C4A" w:rsidRDefault="00D96DFB" w:rsidP="00ED789E">
            <w:pPr>
              <w:spacing w:line="480" w:lineRule="auto"/>
              <w:jc w:val="center"/>
            </w:pPr>
            <w:r w:rsidRPr="00416C4A">
              <w:t>Included</w:t>
            </w:r>
          </w:p>
        </w:tc>
        <w:tc>
          <w:tcPr>
            <w:tcW w:w="1822" w:type="dxa"/>
            <w:gridSpan w:val="2"/>
            <w:tcBorders>
              <w:top w:val="single" w:sz="4" w:space="0" w:color="FFFFFF"/>
              <w:left w:val="single" w:sz="4" w:space="0" w:color="FFFFFF"/>
              <w:bottom w:val="nil"/>
              <w:right w:val="single" w:sz="4" w:space="0" w:color="FFFFFF"/>
            </w:tcBorders>
            <w:vAlign w:val="center"/>
          </w:tcPr>
          <w:p w14:paraId="171D1CA8" w14:textId="67B3F835" w:rsidR="00ED789E" w:rsidRPr="00416C4A" w:rsidRDefault="00D96DFB" w:rsidP="00ED789E">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52E11C2B" w14:textId="7E45F299" w:rsidR="00ED789E" w:rsidRPr="00416C4A" w:rsidRDefault="00D96DFB" w:rsidP="00ED789E">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21026DDF" w14:textId="5C78E69E" w:rsidR="00ED789E" w:rsidRPr="00416C4A" w:rsidRDefault="00D96DFB" w:rsidP="00ED789E">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753DCC17" w14:textId="25343229" w:rsidR="00ED789E" w:rsidRPr="00416C4A" w:rsidRDefault="00D96DFB" w:rsidP="00ED789E">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5ECB8484" w14:textId="5E7524E9" w:rsidR="00ED789E" w:rsidRPr="00416C4A" w:rsidRDefault="00D96DFB" w:rsidP="00ED789E">
            <w:pPr>
              <w:spacing w:line="480" w:lineRule="auto"/>
              <w:jc w:val="center"/>
            </w:pPr>
            <w:r w:rsidRPr="00416C4A">
              <w:t>Included</w:t>
            </w:r>
          </w:p>
        </w:tc>
      </w:tr>
      <w:tr w:rsidR="00416C4A" w:rsidRPr="00416C4A" w14:paraId="41387E12" w14:textId="77777777" w:rsidTr="00ED789E">
        <w:trPr>
          <w:trHeight w:val="335"/>
        </w:trPr>
        <w:tc>
          <w:tcPr>
            <w:tcW w:w="2263" w:type="dxa"/>
            <w:tcBorders>
              <w:top w:val="nil"/>
              <w:left w:val="single" w:sz="4" w:space="0" w:color="FFFFFF"/>
              <w:bottom w:val="single" w:sz="4" w:space="0" w:color="auto"/>
              <w:right w:val="single" w:sz="4" w:space="0" w:color="FFFFFF"/>
            </w:tcBorders>
            <w:vAlign w:val="center"/>
          </w:tcPr>
          <w:p w14:paraId="4EC22EEF" w14:textId="77777777" w:rsidR="00ED789E" w:rsidRPr="00416C4A" w:rsidRDefault="00D96DFB" w:rsidP="00ED789E">
            <w:pPr>
              <w:spacing w:line="480" w:lineRule="auto"/>
            </w:pPr>
            <w:r w:rsidRPr="00416C4A">
              <w:t>Industry and year FE</w:t>
            </w:r>
          </w:p>
        </w:tc>
        <w:tc>
          <w:tcPr>
            <w:tcW w:w="1843" w:type="dxa"/>
            <w:gridSpan w:val="2"/>
            <w:tcBorders>
              <w:top w:val="nil"/>
              <w:left w:val="single" w:sz="4" w:space="0" w:color="FFFFFF"/>
              <w:bottom w:val="single" w:sz="4" w:space="0" w:color="auto"/>
              <w:right w:val="single" w:sz="4" w:space="0" w:color="FFFFFF"/>
            </w:tcBorders>
            <w:vAlign w:val="center"/>
          </w:tcPr>
          <w:p w14:paraId="0A8F72B9" w14:textId="77777777" w:rsidR="00ED789E" w:rsidRPr="00416C4A" w:rsidRDefault="00D96DFB" w:rsidP="00ED789E">
            <w:pPr>
              <w:spacing w:line="480" w:lineRule="auto"/>
              <w:jc w:val="center"/>
            </w:pPr>
            <w:r w:rsidRPr="00416C4A">
              <w:t>Included</w:t>
            </w:r>
          </w:p>
        </w:tc>
        <w:tc>
          <w:tcPr>
            <w:tcW w:w="1822" w:type="dxa"/>
            <w:gridSpan w:val="2"/>
            <w:tcBorders>
              <w:top w:val="nil"/>
              <w:left w:val="single" w:sz="4" w:space="0" w:color="FFFFFF"/>
              <w:bottom w:val="single" w:sz="4" w:space="0" w:color="auto"/>
              <w:right w:val="single" w:sz="4" w:space="0" w:color="FFFFFF"/>
            </w:tcBorders>
            <w:vAlign w:val="center"/>
          </w:tcPr>
          <w:p w14:paraId="3C30EC43" w14:textId="77777777" w:rsidR="00ED789E" w:rsidRPr="00416C4A" w:rsidRDefault="00D96DFB" w:rsidP="00ED789E">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3BE4A400" w14:textId="77777777" w:rsidR="00ED789E" w:rsidRPr="00416C4A" w:rsidRDefault="00D96DFB" w:rsidP="00ED789E">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4D746FC9" w14:textId="77777777" w:rsidR="00ED789E" w:rsidRPr="00416C4A" w:rsidRDefault="00D96DFB" w:rsidP="00ED789E">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06F15F6B" w14:textId="77777777" w:rsidR="00ED789E" w:rsidRPr="00416C4A" w:rsidRDefault="00D96DFB" w:rsidP="00ED789E">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74E646D6" w14:textId="77777777" w:rsidR="00ED789E" w:rsidRPr="00416C4A" w:rsidRDefault="00D96DFB" w:rsidP="00ED789E">
            <w:pPr>
              <w:spacing w:line="480" w:lineRule="auto"/>
              <w:jc w:val="center"/>
            </w:pPr>
            <w:r w:rsidRPr="00416C4A">
              <w:t>Included</w:t>
            </w:r>
          </w:p>
        </w:tc>
      </w:tr>
      <w:tr w:rsidR="00416C4A" w:rsidRPr="00416C4A" w14:paraId="1CB65486" w14:textId="77777777" w:rsidTr="00421919">
        <w:tc>
          <w:tcPr>
            <w:tcW w:w="2263" w:type="dxa"/>
            <w:tcBorders>
              <w:top w:val="single" w:sz="4" w:space="0" w:color="auto"/>
              <w:left w:val="single" w:sz="4" w:space="0" w:color="FFFFFF"/>
              <w:bottom w:val="single" w:sz="4" w:space="0" w:color="FFFFFF"/>
              <w:right w:val="single" w:sz="4" w:space="0" w:color="FFFFFF"/>
            </w:tcBorders>
            <w:vAlign w:val="center"/>
          </w:tcPr>
          <w:p w14:paraId="2F495BF8" w14:textId="77777777" w:rsidR="00ED789E" w:rsidRPr="00416C4A" w:rsidRDefault="00D96DFB" w:rsidP="00ED789E">
            <w:pPr>
              <w:spacing w:line="480" w:lineRule="auto"/>
            </w:pPr>
            <w:r w:rsidRPr="00416C4A">
              <w:t>Number of obs.</w:t>
            </w:r>
          </w:p>
        </w:tc>
        <w:tc>
          <w:tcPr>
            <w:tcW w:w="1843" w:type="dxa"/>
            <w:gridSpan w:val="2"/>
            <w:tcBorders>
              <w:top w:val="single" w:sz="4" w:space="0" w:color="auto"/>
              <w:left w:val="single" w:sz="4" w:space="0" w:color="FFFFFF"/>
              <w:bottom w:val="single" w:sz="4" w:space="0" w:color="FFFFFF"/>
              <w:right w:val="single" w:sz="4" w:space="0" w:color="FFFFFF"/>
            </w:tcBorders>
            <w:vAlign w:val="center"/>
          </w:tcPr>
          <w:p w14:paraId="2C5A145C" w14:textId="40076846" w:rsidR="00ED789E" w:rsidRPr="00416C4A" w:rsidRDefault="00D96DFB" w:rsidP="00ED789E">
            <w:pPr>
              <w:spacing w:line="480" w:lineRule="auto"/>
              <w:jc w:val="center"/>
            </w:pPr>
            <w:r w:rsidRPr="00416C4A">
              <w:t>254</w:t>
            </w:r>
          </w:p>
        </w:tc>
        <w:tc>
          <w:tcPr>
            <w:tcW w:w="1822" w:type="dxa"/>
            <w:gridSpan w:val="2"/>
            <w:tcBorders>
              <w:top w:val="single" w:sz="4" w:space="0" w:color="auto"/>
              <w:left w:val="single" w:sz="4" w:space="0" w:color="FFFFFF"/>
              <w:bottom w:val="single" w:sz="4" w:space="0" w:color="FFFFFF"/>
              <w:right w:val="single" w:sz="4" w:space="0" w:color="FFFFFF"/>
            </w:tcBorders>
            <w:vAlign w:val="center"/>
          </w:tcPr>
          <w:p w14:paraId="16CBCA0B" w14:textId="01B3856E" w:rsidR="00ED789E" w:rsidRPr="00416C4A" w:rsidRDefault="00D96DFB" w:rsidP="00ED789E">
            <w:pPr>
              <w:spacing w:line="480" w:lineRule="auto"/>
              <w:jc w:val="center"/>
            </w:pPr>
            <w:r w:rsidRPr="00416C4A">
              <w:t>254</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2312B973" w14:textId="3FE2AEBF" w:rsidR="00ED789E" w:rsidRPr="00416C4A" w:rsidRDefault="00D96DFB" w:rsidP="00ED789E">
            <w:pPr>
              <w:spacing w:line="480" w:lineRule="auto"/>
              <w:jc w:val="center"/>
            </w:pPr>
            <w:r w:rsidRPr="00416C4A">
              <w:t>254</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2061461F" w14:textId="0980BFE9" w:rsidR="00ED789E" w:rsidRPr="00416C4A" w:rsidRDefault="00D96DFB" w:rsidP="00ED789E">
            <w:pPr>
              <w:spacing w:line="480" w:lineRule="auto"/>
              <w:jc w:val="center"/>
            </w:pPr>
            <w:r w:rsidRPr="00416C4A">
              <w:t>254</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4ECBE8D4" w14:textId="44D2FA37" w:rsidR="00ED789E" w:rsidRPr="00416C4A" w:rsidRDefault="00D96DFB" w:rsidP="00ED789E">
            <w:pPr>
              <w:spacing w:line="480" w:lineRule="auto"/>
              <w:jc w:val="center"/>
            </w:pPr>
            <w:r w:rsidRPr="00416C4A">
              <w:t>254</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7FAFF77C" w14:textId="568A34BC" w:rsidR="00ED789E" w:rsidRPr="00416C4A" w:rsidRDefault="00D96DFB" w:rsidP="00ED789E">
            <w:pPr>
              <w:spacing w:line="480" w:lineRule="auto"/>
              <w:jc w:val="center"/>
            </w:pPr>
            <w:r w:rsidRPr="00416C4A">
              <w:t>254</w:t>
            </w:r>
          </w:p>
        </w:tc>
      </w:tr>
      <w:tr w:rsidR="00416C4A" w:rsidRPr="00416C4A" w14:paraId="63586726" w14:textId="77777777" w:rsidTr="00A711B9">
        <w:trPr>
          <w:trHeight w:val="524"/>
        </w:trPr>
        <w:tc>
          <w:tcPr>
            <w:tcW w:w="2263" w:type="dxa"/>
            <w:tcBorders>
              <w:top w:val="single" w:sz="4" w:space="0" w:color="FFFFFF"/>
              <w:left w:val="single" w:sz="4" w:space="0" w:color="FFFFFF"/>
              <w:right w:val="single" w:sz="4" w:space="0" w:color="FFFFFF"/>
            </w:tcBorders>
            <w:vAlign w:val="center"/>
          </w:tcPr>
          <w:p w14:paraId="19D5518E" w14:textId="77777777" w:rsidR="00ED789E" w:rsidRPr="00416C4A" w:rsidRDefault="00D96DFB" w:rsidP="00ED789E">
            <w:pPr>
              <w:spacing w:line="480" w:lineRule="auto"/>
            </w:pPr>
            <w:r w:rsidRPr="00416C4A">
              <w:t>Adj.  R</w:t>
            </w:r>
            <w:r w:rsidRPr="00416C4A">
              <w:rPr>
                <w:vertAlign w:val="superscript"/>
              </w:rPr>
              <w:t>2</w:t>
            </w:r>
          </w:p>
        </w:tc>
        <w:tc>
          <w:tcPr>
            <w:tcW w:w="1843" w:type="dxa"/>
            <w:gridSpan w:val="2"/>
            <w:tcBorders>
              <w:top w:val="single" w:sz="4" w:space="0" w:color="FFFFFF"/>
              <w:left w:val="single" w:sz="4" w:space="0" w:color="FFFFFF"/>
              <w:right w:val="single" w:sz="4" w:space="0" w:color="FFFFFF"/>
            </w:tcBorders>
            <w:vAlign w:val="center"/>
          </w:tcPr>
          <w:p w14:paraId="27A662E5" w14:textId="08F41DBC" w:rsidR="00ED789E" w:rsidRPr="00416C4A" w:rsidRDefault="00D96DFB" w:rsidP="00ED789E">
            <w:pPr>
              <w:spacing w:line="480" w:lineRule="auto"/>
              <w:jc w:val="center"/>
            </w:pPr>
            <w:r w:rsidRPr="00416C4A">
              <w:t>1</w:t>
            </w:r>
            <w:r w:rsidR="0069116A" w:rsidRPr="00416C4A">
              <w:t>7</w:t>
            </w:r>
            <w:r w:rsidRPr="00416C4A">
              <w:t>.8</w:t>
            </w:r>
            <w:r w:rsidR="003E1432" w:rsidRPr="00416C4A">
              <w:t>9</w:t>
            </w:r>
            <w:r w:rsidRPr="00416C4A">
              <w:t>%</w:t>
            </w:r>
          </w:p>
        </w:tc>
        <w:tc>
          <w:tcPr>
            <w:tcW w:w="1822" w:type="dxa"/>
            <w:gridSpan w:val="2"/>
            <w:tcBorders>
              <w:top w:val="single" w:sz="4" w:space="0" w:color="FFFFFF"/>
              <w:left w:val="single" w:sz="4" w:space="0" w:color="FFFFFF"/>
              <w:right w:val="single" w:sz="4" w:space="0" w:color="FFFFFF"/>
            </w:tcBorders>
            <w:vAlign w:val="center"/>
          </w:tcPr>
          <w:p w14:paraId="352CA869" w14:textId="08C624C1" w:rsidR="00ED789E" w:rsidRPr="00416C4A" w:rsidRDefault="00D96DFB" w:rsidP="00ED789E">
            <w:pPr>
              <w:spacing w:line="480" w:lineRule="auto"/>
              <w:jc w:val="center"/>
            </w:pPr>
            <w:r w:rsidRPr="00416C4A">
              <w:t>1</w:t>
            </w:r>
            <w:r w:rsidR="00FA56DB" w:rsidRPr="00416C4A">
              <w:t>3</w:t>
            </w:r>
            <w:r w:rsidRPr="00416C4A">
              <w:t>.</w:t>
            </w:r>
            <w:r w:rsidR="00FA56DB" w:rsidRPr="00416C4A">
              <w:t>67</w:t>
            </w:r>
            <w:r w:rsidRPr="00416C4A">
              <w:t>%</w:t>
            </w:r>
          </w:p>
        </w:tc>
        <w:tc>
          <w:tcPr>
            <w:tcW w:w="2005" w:type="dxa"/>
            <w:gridSpan w:val="2"/>
            <w:tcBorders>
              <w:top w:val="single" w:sz="4" w:space="0" w:color="FFFFFF"/>
              <w:left w:val="single" w:sz="4" w:space="0" w:color="FFFFFF"/>
              <w:right w:val="single" w:sz="4" w:space="0" w:color="FFFFFF"/>
            </w:tcBorders>
            <w:vAlign w:val="center"/>
          </w:tcPr>
          <w:p w14:paraId="0D4586FC" w14:textId="6AA0DE67" w:rsidR="00ED789E" w:rsidRPr="00416C4A" w:rsidRDefault="00D96DFB" w:rsidP="00ED789E">
            <w:pPr>
              <w:spacing w:line="480" w:lineRule="auto"/>
              <w:jc w:val="center"/>
            </w:pPr>
            <w:r w:rsidRPr="00416C4A">
              <w:t>19.</w:t>
            </w:r>
            <w:r w:rsidR="006730E6" w:rsidRPr="00416C4A">
              <w:t>19</w:t>
            </w:r>
            <w:r w:rsidRPr="00416C4A">
              <w:t>%</w:t>
            </w:r>
          </w:p>
        </w:tc>
        <w:tc>
          <w:tcPr>
            <w:tcW w:w="2005" w:type="dxa"/>
            <w:gridSpan w:val="2"/>
            <w:tcBorders>
              <w:top w:val="single" w:sz="4" w:space="0" w:color="FFFFFF"/>
              <w:left w:val="single" w:sz="4" w:space="0" w:color="FFFFFF"/>
              <w:right w:val="single" w:sz="4" w:space="0" w:color="FFFFFF"/>
            </w:tcBorders>
            <w:vAlign w:val="center"/>
          </w:tcPr>
          <w:p w14:paraId="3F5825EC" w14:textId="08B014C9" w:rsidR="00ED789E" w:rsidRPr="00416C4A" w:rsidRDefault="00D96DFB" w:rsidP="00ED789E">
            <w:pPr>
              <w:spacing w:line="480" w:lineRule="auto"/>
              <w:jc w:val="center"/>
            </w:pPr>
            <w:r w:rsidRPr="00416C4A">
              <w:t>58.</w:t>
            </w:r>
            <w:r w:rsidR="00321F3F" w:rsidRPr="00416C4A">
              <w:t>82</w:t>
            </w:r>
            <w:r w:rsidRPr="00416C4A">
              <w:t>%</w:t>
            </w:r>
          </w:p>
        </w:tc>
        <w:tc>
          <w:tcPr>
            <w:tcW w:w="2005" w:type="dxa"/>
            <w:gridSpan w:val="2"/>
            <w:tcBorders>
              <w:top w:val="single" w:sz="4" w:space="0" w:color="FFFFFF"/>
              <w:left w:val="single" w:sz="4" w:space="0" w:color="FFFFFF"/>
              <w:right w:val="single" w:sz="4" w:space="0" w:color="FFFFFF"/>
            </w:tcBorders>
            <w:vAlign w:val="center"/>
          </w:tcPr>
          <w:p w14:paraId="33B3A74D" w14:textId="42D11DB8" w:rsidR="00ED789E" w:rsidRPr="00416C4A" w:rsidRDefault="00D96DFB" w:rsidP="00ED789E">
            <w:pPr>
              <w:spacing w:line="480" w:lineRule="auto"/>
              <w:jc w:val="center"/>
            </w:pPr>
            <w:r w:rsidRPr="00416C4A">
              <w:t>5</w:t>
            </w:r>
            <w:r w:rsidR="00CB7D8A" w:rsidRPr="00416C4A">
              <w:t>8</w:t>
            </w:r>
            <w:r w:rsidRPr="00416C4A">
              <w:t>.7</w:t>
            </w:r>
            <w:r w:rsidR="00FB2F01" w:rsidRPr="00416C4A">
              <w:t>9</w:t>
            </w:r>
            <w:r w:rsidRPr="00416C4A">
              <w:t>%</w:t>
            </w:r>
          </w:p>
        </w:tc>
        <w:tc>
          <w:tcPr>
            <w:tcW w:w="2005" w:type="dxa"/>
            <w:gridSpan w:val="2"/>
            <w:tcBorders>
              <w:top w:val="single" w:sz="4" w:space="0" w:color="FFFFFF"/>
              <w:left w:val="single" w:sz="4" w:space="0" w:color="FFFFFF"/>
              <w:right w:val="single" w:sz="4" w:space="0" w:color="FFFFFF"/>
            </w:tcBorders>
            <w:vAlign w:val="center"/>
          </w:tcPr>
          <w:p w14:paraId="0E260347" w14:textId="4437F7F7" w:rsidR="00ED789E" w:rsidRPr="00416C4A" w:rsidRDefault="00D96DFB" w:rsidP="00ED789E">
            <w:pPr>
              <w:spacing w:line="480" w:lineRule="auto"/>
              <w:jc w:val="center"/>
            </w:pPr>
            <w:r w:rsidRPr="00416C4A">
              <w:t>59.</w:t>
            </w:r>
            <w:r w:rsidR="007B04E1" w:rsidRPr="00416C4A">
              <w:t>97</w:t>
            </w:r>
            <w:r w:rsidRPr="00416C4A">
              <w:t>%</w:t>
            </w:r>
          </w:p>
        </w:tc>
      </w:tr>
    </w:tbl>
    <w:p w14:paraId="0A6C6179" w14:textId="5C6D7DDD" w:rsidR="00A711B9" w:rsidRPr="00416C4A" w:rsidRDefault="00A711B9" w:rsidP="00A711B9">
      <w:pPr>
        <w:spacing w:line="480" w:lineRule="auto"/>
      </w:pPr>
    </w:p>
    <w:p w14:paraId="6F8279FF" w14:textId="59D3F6BF" w:rsidR="00167262" w:rsidRPr="00416C4A" w:rsidRDefault="00D96DFB" w:rsidP="00A711B9">
      <w:pPr>
        <w:spacing w:line="480" w:lineRule="auto"/>
      </w:pPr>
      <w:r w:rsidRPr="00416C4A">
        <w:t xml:space="preserve">Note: </w:t>
      </w:r>
      <w:r w:rsidR="00F26554" w:rsidRPr="00416C4A">
        <w:t>We use two-tailed tests</w:t>
      </w:r>
      <w:r w:rsidR="002504F6">
        <w:t>. A</w:t>
      </w:r>
      <w:r w:rsidRPr="00416C4A">
        <w:t>ll variables are defined in the appendix.</w:t>
      </w:r>
    </w:p>
    <w:p w14:paraId="79EA7059" w14:textId="6D75E5F0" w:rsidR="006037A4" w:rsidRPr="00416C4A" w:rsidRDefault="00D96DFB" w:rsidP="00731E4D">
      <w:pPr>
        <w:spacing w:line="480" w:lineRule="auto"/>
        <w:jc w:val="center"/>
        <w:rPr>
          <w:b/>
          <w:bCs/>
        </w:rPr>
      </w:pPr>
      <w:r w:rsidRPr="00416C4A">
        <w:rPr>
          <w:b/>
          <w:bCs/>
        </w:rPr>
        <w:lastRenderedPageBreak/>
        <w:t xml:space="preserve">Table </w:t>
      </w:r>
      <w:r w:rsidR="00926726" w:rsidRPr="00416C4A">
        <w:rPr>
          <w:b/>
          <w:bCs/>
        </w:rPr>
        <w:t>5</w:t>
      </w:r>
      <w:r w:rsidRPr="00416C4A">
        <w:t>:</w:t>
      </w:r>
      <w:r w:rsidRPr="00416C4A">
        <w:rPr>
          <w:b/>
          <w:bCs/>
        </w:rPr>
        <w:t xml:space="preserve"> Simultaneous equation</w:t>
      </w:r>
      <w:r w:rsidR="002504F6">
        <w:rPr>
          <w:b/>
          <w:bCs/>
        </w:rPr>
        <w:t>s</w:t>
      </w:r>
      <w:r w:rsidRPr="00416C4A">
        <w:rPr>
          <w:b/>
          <w:bCs/>
        </w:rPr>
        <w:t xml:space="preserve"> model</w:t>
      </w:r>
    </w:p>
    <w:tbl>
      <w:tblPr>
        <w:tblStyle w:val="TableGrid"/>
        <w:tblpPr w:leftFromText="180" w:rightFromText="180" w:vertAnchor="page" w:tblpY="1877"/>
        <w:tblW w:w="14029" w:type="dxa"/>
        <w:tblLayout w:type="fixed"/>
        <w:tblLook w:val="04A0" w:firstRow="1" w:lastRow="0" w:firstColumn="1" w:lastColumn="0" w:noHBand="0" w:noVBand="1"/>
      </w:tblPr>
      <w:tblGrid>
        <w:gridCol w:w="2263"/>
        <w:gridCol w:w="2694"/>
        <w:gridCol w:w="2976"/>
        <w:gridCol w:w="3544"/>
        <w:gridCol w:w="2471"/>
        <w:gridCol w:w="81"/>
      </w:tblGrid>
      <w:tr w:rsidR="00416C4A" w:rsidRPr="00416C4A" w14:paraId="0091F359" w14:textId="77777777" w:rsidTr="00582E9A">
        <w:trPr>
          <w:gridAfter w:val="1"/>
          <w:wAfter w:w="81" w:type="dxa"/>
          <w:trHeight w:hRule="exact" w:val="510"/>
        </w:trPr>
        <w:tc>
          <w:tcPr>
            <w:tcW w:w="2263" w:type="dxa"/>
            <w:vMerge w:val="restart"/>
            <w:tcBorders>
              <w:left w:val="single" w:sz="4" w:space="0" w:color="FFFFFF"/>
              <w:right w:val="single" w:sz="4" w:space="0" w:color="FFFFFF"/>
            </w:tcBorders>
            <w:vAlign w:val="center"/>
          </w:tcPr>
          <w:p w14:paraId="10AA3F9C" w14:textId="77777777" w:rsidR="006037A4" w:rsidRPr="00416C4A" w:rsidRDefault="006037A4" w:rsidP="00702A5E">
            <w:pPr>
              <w:spacing w:line="480" w:lineRule="auto"/>
              <w:jc w:val="center"/>
            </w:pPr>
          </w:p>
        </w:tc>
        <w:tc>
          <w:tcPr>
            <w:tcW w:w="5670" w:type="dxa"/>
            <w:gridSpan w:val="2"/>
            <w:tcBorders>
              <w:top w:val="single" w:sz="4" w:space="0" w:color="auto"/>
              <w:left w:val="single" w:sz="4" w:space="0" w:color="FFFFFF"/>
            </w:tcBorders>
            <w:vAlign w:val="center"/>
          </w:tcPr>
          <w:p w14:paraId="6E570EBF" w14:textId="77777777" w:rsidR="006037A4" w:rsidRPr="00416C4A" w:rsidRDefault="00D96DFB" w:rsidP="00702A5E">
            <w:pPr>
              <w:spacing w:line="480" w:lineRule="auto"/>
              <w:jc w:val="center"/>
            </w:pPr>
            <w:r w:rsidRPr="00416C4A">
              <w:t>ROA</w:t>
            </w:r>
          </w:p>
        </w:tc>
        <w:tc>
          <w:tcPr>
            <w:tcW w:w="6015" w:type="dxa"/>
            <w:gridSpan w:val="2"/>
            <w:tcBorders>
              <w:top w:val="single" w:sz="4" w:space="0" w:color="auto"/>
              <w:right w:val="single" w:sz="4" w:space="0" w:color="FFFFFF"/>
            </w:tcBorders>
            <w:vAlign w:val="center"/>
          </w:tcPr>
          <w:p w14:paraId="1CDDB5BE" w14:textId="77777777" w:rsidR="006037A4" w:rsidRPr="00416C4A" w:rsidRDefault="00D96DFB" w:rsidP="00702A5E">
            <w:pPr>
              <w:spacing w:line="480" w:lineRule="auto"/>
              <w:jc w:val="center"/>
            </w:pPr>
            <w:r w:rsidRPr="00416C4A">
              <w:t>Tobin’s Q</w:t>
            </w:r>
          </w:p>
        </w:tc>
      </w:tr>
      <w:tr w:rsidR="00416C4A" w:rsidRPr="00416C4A" w14:paraId="2E125539" w14:textId="77777777" w:rsidTr="00582E9A">
        <w:trPr>
          <w:trHeight w:hRule="exact" w:val="510"/>
        </w:trPr>
        <w:tc>
          <w:tcPr>
            <w:tcW w:w="2263" w:type="dxa"/>
            <w:vMerge/>
            <w:tcBorders>
              <w:left w:val="single" w:sz="4" w:space="0" w:color="FFFFFF"/>
              <w:right w:val="single" w:sz="4" w:space="0" w:color="FFFFFF"/>
            </w:tcBorders>
            <w:vAlign w:val="center"/>
          </w:tcPr>
          <w:p w14:paraId="7A314F15" w14:textId="77777777" w:rsidR="006037A4" w:rsidRPr="00416C4A" w:rsidRDefault="006037A4" w:rsidP="00702A5E">
            <w:pPr>
              <w:spacing w:line="480" w:lineRule="auto"/>
              <w:jc w:val="center"/>
            </w:pPr>
          </w:p>
        </w:tc>
        <w:tc>
          <w:tcPr>
            <w:tcW w:w="2694" w:type="dxa"/>
            <w:tcBorders>
              <w:left w:val="single" w:sz="4" w:space="0" w:color="FFFFFF"/>
              <w:right w:val="nil"/>
            </w:tcBorders>
            <w:vAlign w:val="center"/>
          </w:tcPr>
          <w:p w14:paraId="50B3C9D9" w14:textId="77777777" w:rsidR="006037A4" w:rsidRPr="00416C4A" w:rsidRDefault="00D96DFB" w:rsidP="00702A5E">
            <w:pPr>
              <w:spacing w:line="480" w:lineRule="auto"/>
              <w:jc w:val="center"/>
            </w:pPr>
            <w:r w:rsidRPr="00416C4A">
              <w:t>Coeff.</w:t>
            </w:r>
          </w:p>
        </w:tc>
        <w:tc>
          <w:tcPr>
            <w:tcW w:w="2976" w:type="dxa"/>
            <w:tcBorders>
              <w:left w:val="nil"/>
            </w:tcBorders>
            <w:vAlign w:val="center"/>
          </w:tcPr>
          <w:p w14:paraId="1C535A88" w14:textId="1A97F2CE" w:rsidR="006037A4" w:rsidRPr="00416C4A" w:rsidRDefault="00D96DFB" w:rsidP="00702A5E">
            <w:pPr>
              <w:spacing w:line="480" w:lineRule="auto"/>
              <w:jc w:val="center"/>
            </w:pPr>
            <w:r w:rsidRPr="00416C4A">
              <w:t>P-value</w:t>
            </w:r>
          </w:p>
        </w:tc>
        <w:tc>
          <w:tcPr>
            <w:tcW w:w="3544" w:type="dxa"/>
            <w:tcBorders>
              <w:right w:val="nil"/>
            </w:tcBorders>
            <w:vAlign w:val="center"/>
          </w:tcPr>
          <w:p w14:paraId="44C4DEEF" w14:textId="77777777" w:rsidR="006037A4" w:rsidRPr="00416C4A" w:rsidRDefault="00D96DFB" w:rsidP="00702A5E">
            <w:pPr>
              <w:spacing w:line="480" w:lineRule="auto"/>
              <w:jc w:val="center"/>
            </w:pPr>
            <w:r w:rsidRPr="00416C4A">
              <w:t>Coeff.</w:t>
            </w:r>
          </w:p>
        </w:tc>
        <w:tc>
          <w:tcPr>
            <w:tcW w:w="2552" w:type="dxa"/>
            <w:gridSpan w:val="2"/>
            <w:tcBorders>
              <w:left w:val="nil"/>
              <w:right w:val="single" w:sz="4" w:space="0" w:color="FFFFFF" w:themeColor="background1"/>
            </w:tcBorders>
            <w:vAlign w:val="center"/>
          </w:tcPr>
          <w:p w14:paraId="4FA95442" w14:textId="11A6572C" w:rsidR="006037A4" w:rsidRPr="00416C4A" w:rsidRDefault="00D96DFB" w:rsidP="00702A5E">
            <w:pPr>
              <w:spacing w:line="480" w:lineRule="auto"/>
              <w:jc w:val="center"/>
            </w:pPr>
            <w:r w:rsidRPr="00416C4A">
              <w:t>P-value</w:t>
            </w:r>
          </w:p>
        </w:tc>
      </w:tr>
      <w:tr w:rsidR="00416C4A" w:rsidRPr="00416C4A" w14:paraId="44A8ADA9" w14:textId="77777777" w:rsidTr="00702A5E">
        <w:trPr>
          <w:trHeight w:hRule="exact" w:val="510"/>
        </w:trPr>
        <w:tc>
          <w:tcPr>
            <w:tcW w:w="2263" w:type="dxa"/>
            <w:tcBorders>
              <w:left w:val="single" w:sz="4" w:space="0" w:color="FFFFFF"/>
              <w:bottom w:val="single" w:sz="4" w:space="0" w:color="FFFFFF" w:themeColor="background1"/>
              <w:right w:val="single" w:sz="4" w:space="0" w:color="FFFFFF"/>
            </w:tcBorders>
            <w:vAlign w:val="center"/>
          </w:tcPr>
          <w:p w14:paraId="105C3F1B" w14:textId="77777777" w:rsidR="006037A4" w:rsidRPr="00416C4A" w:rsidRDefault="00D96DFB" w:rsidP="00702A5E">
            <w:pPr>
              <w:spacing w:line="480" w:lineRule="auto"/>
              <w:rPr>
                <w:b/>
              </w:rPr>
            </w:pPr>
            <w:r w:rsidRPr="00416C4A">
              <w:rPr>
                <w:b/>
              </w:rPr>
              <w:t>%Female</w:t>
            </w:r>
          </w:p>
        </w:tc>
        <w:tc>
          <w:tcPr>
            <w:tcW w:w="2694" w:type="dxa"/>
            <w:tcBorders>
              <w:left w:val="single" w:sz="4" w:space="0" w:color="FFFFFF"/>
              <w:bottom w:val="single" w:sz="4" w:space="0" w:color="FFFFFF" w:themeColor="background1"/>
              <w:right w:val="single" w:sz="4" w:space="0" w:color="FFFFFF"/>
            </w:tcBorders>
            <w:vAlign w:val="center"/>
          </w:tcPr>
          <w:p w14:paraId="3DEDA8A7" w14:textId="1DA4C646" w:rsidR="006037A4" w:rsidRPr="00416C4A" w:rsidRDefault="00D96DFB" w:rsidP="00702A5E">
            <w:pPr>
              <w:spacing w:line="480" w:lineRule="auto"/>
              <w:jc w:val="center"/>
              <w:rPr>
                <w:b/>
              </w:rPr>
            </w:pPr>
            <w:r w:rsidRPr="00416C4A">
              <w:rPr>
                <w:b/>
              </w:rPr>
              <w:t>0.</w:t>
            </w:r>
            <w:r w:rsidR="0051647B" w:rsidRPr="00416C4A">
              <w:rPr>
                <w:b/>
              </w:rPr>
              <w:t>332</w:t>
            </w:r>
          </w:p>
        </w:tc>
        <w:tc>
          <w:tcPr>
            <w:tcW w:w="2976" w:type="dxa"/>
            <w:tcBorders>
              <w:left w:val="single" w:sz="4" w:space="0" w:color="FFFFFF"/>
              <w:bottom w:val="single" w:sz="4" w:space="0" w:color="FFFFFF" w:themeColor="background1"/>
              <w:right w:val="single" w:sz="4" w:space="0" w:color="FFFFFF"/>
            </w:tcBorders>
            <w:vAlign w:val="center"/>
          </w:tcPr>
          <w:p w14:paraId="616BF132" w14:textId="4FB05BD8" w:rsidR="006037A4" w:rsidRPr="00416C4A" w:rsidRDefault="00D96DFB" w:rsidP="00702A5E">
            <w:pPr>
              <w:spacing w:line="480" w:lineRule="auto"/>
              <w:jc w:val="center"/>
              <w:rPr>
                <w:b/>
                <w:bCs/>
              </w:rPr>
            </w:pPr>
            <w:r w:rsidRPr="00416C4A">
              <w:rPr>
                <w:b/>
                <w:bCs/>
              </w:rPr>
              <w:t>0.0</w:t>
            </w:r>
            <w:r w:rsidR="0051647B" w:rsidRPr="00416C4A">
              <w:rPr>
                <w:b/>
                <w:bCs/>
              </w:rPr>
              <w:t>03</w:t>
            </w:r>
          </w:p>
        </w:tc>
        <w:tc>
          <w:tcPr>
            <w:tcW w:w="3544" w:type="dxa"/>
            <w:tcBorders>
              <w:left w:val="single" w:sz="4" w:space="0" w:color="FFFFFF"/>
              <w:bottom w:val="single" w:sz="4" w:space="0" w:color="FFFFFF" w:themeColor="background1"/>
              <w:right w:val="single" w:sz="4" w:space="0" w:color="FFFFFF"/>
            </w:tcBorders>
            <w:vAlign w:val="center"/>
          </w:tcPr>
          <w:p w14:paraId="051105E7" w14:textId="4F571E52" w:rsidR="006037A4" w:rsidRPr="00416C4A" w:rsidRDefault="00D96DFB" w:rsidP="00702A5E">
            <w:pPr>
              <w:spacing w:line="480" w:lineRule="auto"/>
              <w:jc w:val="center"/>
              <w:rPr>
                <w:b/>
              </w:rPr>
            </w:pPr>
            <w:r w:rsidRPr="00416C4A">
              <w:rPr>
                <w:b/>
              </w:rPr>
              <w:t>0.0</w:t>
            </w:r>
            <w:r w:rsidR="0069288C" w:rsidRPr="00416C4A">
              <w:rPr>
                <w:b/>
              </w:rPr>
              <w:t>6</w:t>
            </w:r>
            <w:r w:rsidR="00A4124E" w:rsidRPr="00416C4A">
              <w:rPr>
                <w:b/>
              </w:rPr>
              <w:t>9</w:t>
            </w:r>
          </w:p>
        </w:tc>
        <w:tc>
          <w:tcPr>
            <w:tcW w:w="2552" w:type="dxa"/>
            <w:gridSpan w:val="2"/>
            <w:tcBorders>
              <w:left w:val="single" w:sz="4" w:space="0" w:color="FFFFFF"/>
              <w:bottom w:val="single" w:sz="4" w:space="0" w:color="FFFFFF" w:themeColor="background1"/>
              <w:right w:val="single" w:sz="4" w:space="0" w:color="FFFFFF"/>
            </w:tcBorders>
            <w:vAlign w:val="center"/>
          </w:tcPr>
          <w:p w14:paraId="791C1042" w14:textId="3060B07E" w:rsidR="006037A4" w:rsidRPr="00416C4A" w:rsidRDefault="00D96DFB" w:rsidP="00702A5E">
            <w:pPr>
              <w:spacing w:line="480" w:lineRule="auto"/>
              <w:jc w:val="center"/>
              <w:rPr>
                <w:b/>
                <w:bCs/>
              </w:rPr>
            </w:pPr>
            <w:r w:rsidRPr="00416C4A">
              <w:rPr>
                <w:b/>
                <w:bCs/>
              </w:rPr>
              <w:t>0.0</w:t>
            </w:r>
            <w:r w:rsidR="0069288C" w:rsidRPr="00416C4A">
              <w:rPr>
                <w:b/>
                <w:bCs/>
              </w:rPr>
              <w:t>0</w:t>
            </w:r>
            <w:r w:rsidR="00A4124E" w:rsidRPr="00416C4A">
              <w:rPr>
                <w:b/>
                <w:bCs/>
              </w:rPr>
              <w:t>0</w:t>
            </w:r>
          </w:p>
        </w:tc>
      </w:tr>
      <w:tr w:rsidR="00416C4A" w:rsidRPr="00416C4A" w14:paraId="628AB34C" w14:textId="77777777" w:rsidTr="00702A5E">
        <w:trPr>
          <w:trHeight w:hRule="exact" w:val="510"/>
        </w:trPr>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61B05A3" w14:textId="465517B1" w:rsidR="006037A4" w:rsidRPr="00416C4A" w:rsidRDefault="00D96DFB" w:rsidP="00702A5E">
            <w:pPr>
              <w:spacing w:line="480" w:lineRule="auto"/>
            </w:pPr>
            <w:r w:rsidRPr="00416C4A">
              <w:t>%Executive Female</w:t>
            </w:r>
          </w:p>
        </w:tc>
        <w:tc>
          <w:tcPr>
            <w:tcW w:w="269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5B3FE81" w14:textId="77777777" w:rsidR="006037A4" w:rsidRPr="00416C4A" w:rsidRDefault="006037A4" w:rsidP="00702A5E">
            <w:pPr>
              <w:spacing w:line="480" w:lineRule="auto"/>
              <w:jc w:val="center"/>
            </w:pPr>
          </w:p>
        </w:tc>
        <w:tc>
          <w:tcPr>
            <w:tcW w:w="2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5376EDD" w14:textId="77777777" w:rsidR="006037A4" w:rsidRPr="00416C4A" w:rsidRDefault="006037A4" w:rsidP="00702A5E">
            <w:pPr>
              <w:spacing w:line="480" w:lineRule="auto"/>
              <w:jc w:val="center"/>
            </w:pPr>
          </w:p>
        </w:tc>
        <w:tc>
          <w:tcPr>
            <w:tcW w:w="354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AA4B927" w14:textId="1D905A4C" w:rsidR="006037A4" w:rsidRPr="00416C4A" w:rsidRDefault="00D96DFB" w:rsidP="00702A5E">
            <w:pPr>
              <w:spacing w:line="480" w:lineRule="auto"/>
              <w:jc w:val="center"/>
            </w:pPr>
            <w:r w:rsidRPr="00416C4A">
              <w:t>-0.05</w:t>
            </w:r>
            <w:r w:rsidR="00320200" w:rsidRPr="00416C4A">
              <w:t>4</w:t>
            </w:r>
          </w:p>
        </w:tc>
        <w:tc>
          <w:tcPr>
            <w:tcW w:w="255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C5FCEBB" w14:textId="7889BA0D" w:rsidR="006037A4" w:rsidRPr="00416C4A" w:rsidRDefault="00D96DFB" w:rsidP="00702A5E">
            <w:pPr>
              <w:spacing w:line="480" w:lineRule="auto"/>
              <w:jc w:val="center"/>
            </w:pPr>
            <w:r w:rsidRPr="00416C4A">
              <w:t>0.</w:t>
            </w:r>
            <w:r w:rsidR="009106DE" w:rsidRPr="00416C4A">
              <w:t>00</w:t>
            </w:r>
            <w:r w:rsidR="00320200" w:rsidRPr="00416C4A">
              <w:t>0</w:t>
            </w:r>
          </w:p>
        </w:tc>
      </w:tr>
      <w:tr w:rsidR="00416C4A" w:rsidRPr="00416C4A" w14:paraId="5940E37C" w14:textId="77777777" w:rsidTr="00702A5E">
        <w:trPr>
          <w:trHeight w:hRule="exact" w:val="510"/>
        </w:trPr>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E0D62DE" w14:textId="77777777" w:rsidR="006037A4" w:rsidRPr="00416C4A" w:rsidRDefault="00D96DFB" w:rsidP="00702A5E">
            <w:pPr>
              <w:spacing w:line="480" w:lineRule="auto"/>
            </w:pPr>
            <w:r w:rsidRPr="00416C4A">
              <w:t>Board size</w:t>
            </w:r>
          </w:p>
        </w:tc>
        <w:tc>
          <w:tcPr>
            <w:tcW w:w="269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296CCF1" w14:textId="77777777" w:rsidR="006037A4" w:rsidRPr="00416C4A" w:rsidRDefault="006037A4" w:rsidP="00702A5E">
            <w:pPr>
              <w:spacing w:line="480" w:lineRule="auto"/>
              <w:jc w:val="center"/>
            </w:pPr>
          </w:p>
        </w:tc>
        <w:tc>
          <w:tcPr>
            <w:tcW w:w="2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E4121C7" w14:textId="77777777" w:rsidR="006037A4" w:rsidRPr="00416C4A" w:rsidRDefault="006037A4" w:rsidP="00702A5E">
            <w:pPr>
              <w:spacing w:line="480" w:lineRule="auto"/>
              <w:jc w:val="center"/>
            </w:pPr>
          </w:p>
        </w:tc>
        <w:tc>
          <w:tcPr>
            <w:tcW w:w="354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3B99C2C" w14:textId="5DBA8C18" w:rsidR="006037A4" w:rsidRPr="00416C4A" w:rsidRDefault="00D96DFB" w:rsidP="00702A5E">
            <w:pPr>
              <w:spacing w:line="480" w:lineRule="auto"/>
              <w:jc w:val="center"/>
            </w:pPr>
            <w:r w:rsidRPr="00416C4A">
              <w:t>0.0</w:t>
            </w:r>
            <w:r w:rsidR="00320200" w:rsidRPr="00416C4A">
              <w:t>40</w:t>
            </w:r>
          </w:p>
        </w:tc>
        <w:tc>
          <w:tcPr>
            <w:tcW w:w="255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2A90565" w14:textId="057F7855" w:rsidR="006037A4" w:rsidRPr="00416C4A" w:rsidRDefault="00D96DFB" w:rsidP="00702A5E">
            <w:pPr>
              <w:spacing w:line="480" w:lineRule="auto"/>
              <w:jc w:val="center"/>
              <w:rPr>
                <w:bCs/>
              </w:rPr>
            </w:pPr>
            <w:r w:rsidRPr="00416C4A">
              <w:rPr>
                <w:bCs/>
              </w:rPr>
              <w:t>0.</w:t>
            </w:r>
            <w:r w:rsidR="00320200" w:rsidRPr="00416C4A">
              <w:rPr>
                <w:bCs/>
              </w:rPr>
              <w:t>133</w:t>
            </w:r>
          </w:p>
        </w:tc>
      </w:tr>
      <w:tr w:rsidR="00416C4A" w:rsidRPr="00416C4A" w14:paraId="7ED3F1AB" w14:textId="77777777" w:rsidTr="00702A5E">
        <w:trPr>
          <w:trHeight w:hRule="exact" w:val="510"/>
        </w:trPr>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963E630" w14:textId="77777777" w:rsidR="006037A4" w:rsidRPr="00416C4A" w:rsidRDefault="00D96DFB" w:rsidP="00702A5E">
            <w:pPr>
              <w:spacing w:line="480" w:lineRule="auto"/>
            </w:pPr>
            <w:r w:rsidRPr="00416C4A">
              <w:t>Firm size</w:t>
            </w:r>
          </w:p>
        </w:tc>
        <w:tc>
          <w:tcPr>
            <w:tcW w:w="269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882869E" w14:textId="75151E79" w:rsidR="006037A4" w:rsidRPr="00416C4A" w:rsidRDefault="00D96DFB" w:rsidP="00702A5E">
            <w:pPr>
              <w:spacing w:line="480" w:lineRule="auto"/>
              <w:jc w:val="center"/>
            </w:pPr>
            <w:r w:rsidRPr="00416C4A">
              <w:t>-</w:t>
            </w:r>
            <w:r w:rsidR="0051647B" w:rsidRPr="00416C4A">
              <w:t>3</w:t>
            </w:r>
            <w:r w:rsidRPr="00416C4A">
              <w:t>.</w:t>
            </w:r>
            <w:r w:rsidR="00812A57" w:rsidRPr="00416C4A">
              <w:t>003</w:t>
            </w:r>
          </w:p>
        </w:tc>
        <w:tc>
          <w:tcPr>
            <w:tcW w:w="2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2734AAB" w14:textId="584332DC" w:rsidR="006037A4" w:rsidRPr="00416C4A" w:rsidRDefault="00D96DFB" w:rsidP="00702A5E">
            <w:pPr>
              <w:spacing w:line="480" w:lineRule="auto"/>
              <w:jc w:val="center"/>
              <w:rPr>
                <w:bCs/>
              </w:rPr>
            </w:pPr>
            <w:r w:rsidRPr="00416C4A">
              <w:rPr>
                <w:bCs/>
              </w:rPr>
              <w:t>0.000</w:t>
            </w:r>
          </w:p>
        </w:tc>
        <w:tc>
          <w:tcPr>
            <w:tcW w:w="354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C0451EB" w14:textId="2EE9506E" w:rsidR="006037A4" w:rsidRPr="00416C4A" w:rsidRDefault="00D96DFB" w:rsidP="00702A5E">
            <w:pPr>
              <w:spacing w:line="480" w:lineRule="auto"/>
              <w:jc w:val="center"/>
            </w:pPr>
            <w:r w:rsidRPr="00416C4A">
              <w:t>-0.</w:t>
            </w:r>
            <w:r w:rsidR="00320200" w:rsidRPr="00416C4A">
              <w:t>278</w:t>
            </w:r>
          </w:p>
        </w:tc>
        <w:tc>
          <w:tcPr>
            <w:tcW w:w="255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CC78F5F" w14:textId="326FE137" w:rsidR="006037A4" w:rsidRPr="00416C4A" w:rsidRDefault="00D96DFB" w:rsidP="00702A5E">
            <w:pPr>
              <w:spacing w:line="480" w:lineRule="auto"/>
              <w:jc w:val="center"/>
              <w:rPr>
                <w:bCs/>
              </w:rPr>
            </w:pPr>
            <w:r w:rsidRPr="00416C4A">
              <w:rPr>
                <w:bCs/>
              </w:rPr>
              <w:t>0.00</w:t>
            </w:r>
            <w:r w:rsidR="00DE4E41" w:rsidRPr="00416C4A">
              <w:rPr>
                <w:bCs/>
              </w:rPr>
              <w:t>1</w:t>
            </w:r>
          </w:p>
        </w:tc>
      </w:tr>
      <w:tr w:rsidR="00416C4A" w:rsidRPr="00416C4A" w14:paraId="09878FF8" w14:textId="77777777" w:rsidTr="00702A5E">
        <w:trPr>
          <w:trHeight w:hRule="exact" w:val="510"/>
        </w:trPr>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3EB3C3C" w14:textId="77777777" w:rsidR="006037A4" w:rsidRPr="00416C4A" w:rsidRDefault="00D96DFB" w:rsidP="00702A5E">
            <w:pPr>
              <w:spacing w:line="480" w:lineRule="auto"/>
            </w:pPr>
            <w:r w:rsidRPr="00416C4A">
              <w:t>Leverage</w:t>
            </w:r>
          </w:p>
        </w:tc>
        <w:tc>
          <w:tcPr>
            <w:tcW w:w="269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272A13E" w14:textId="6C3DE88E" w:rsidR="006037A4" w:rsidRPr="00416C4A" w:rsidRDefault="00D96DFB" w:rsidP="00702A5E">
            <w:pPr>
              <w:spacing w:line="480" w:lineRule="auto"/>
              <w:jc w:val="center"/>
            </w:pPr>
            <w:r w:rsidRPr="00416C4A">
              <w:t>-</w:t>
            </w:r>
            <w:r w:rsidR="00812A57" w:rsidRPr="00416C4A">
              <w:t>8</w:t>
            </w:r>
            <w:r w:rsidRPr="00416C4A">
              <w:t>.</w:t>
            </w:r>
            <w:r w:rsidR="00812A57" w:rsidRPr="00416C4A">
              <w:t>580</w:t>
            </w:r>
          </w:p>
        </w:tc>
        <w:tc>
          <w:tcPr>
            <w:tcW w:w="2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2A07A06" w14:textId="2BED21F8" w:rsidR="006037A4" w:rsidRPr="00416C4A" w:rsidRDefault="00D96DFB" w:rsidP="00702A5E">
            <w:pPr>
              <w:spacing w:line="480" w:lineRule="auto"/>
              <w:jc w:val="center"/>
            </w:pPr>
            <w:r w:rsidRPr="00416C4A">
              <w:t>0.0</w:t>
            </w:r>
            <w:r w:rsidR="00812A57" w:rsidRPr="00416C4A">
              <w:t>00</w:t>
            </w:r>
          </w:p>
        </w:tc>
        <w:tc>
          <w:tcPr>
            <w:tcW w:w="354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176225A" w14:textId="4745B290" w:rsidR="006037A4" w:rsidRPr="00416C4A" w:rsidRDefault="00D96DFB" w:rsidP="00702A5E">
            <w:pPr>
              <w:spacing w:line="480" w:lineRule="auto"/>
              <w:jc w:val="center"/>
            </w:pPr>
            <w:r w:rsidRPr="00416C4A">
              <w:t>0.</w:t>
            </w:r>
            <w:r w:rsidR="00FB529E" w:rsidRPr="00416C4A">
              <w:t>624</w:t>
            </w:r>
          </w:p>
        </w:tc>
        <w:tc>
          <w:tcPr>
            <w:tcW w:w="255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C10BF4B" w14:textId="42524CA7" w:rsidR="006037A4" w:rsidRPr="00416C4A" w:rsidRDefault="00D96DFB" w:rsidP="00702A5E">
            <w:pPr>
              <w:spacing w:line="480" w:lineRule="auto"/>
              <w:jc w:val="center"/>
              <w:rPr>
                <w:bCs/>
              </w:rPr>
            </w:pPr>
            <w:r w:rsidRPr="00416C4A">
              <w:rPr>
                <w:bCs/>
              </w:rPr>
              <w:t>0.</w:t>
            </w:r>
            <w:r w:rsidR="00FB529E" w:rsidRPr="00416C4A">
              <w:rPr>
                <w:bCs/>
              </w:rPr>
              <w:t>014</w:t>
            </w:r>
          </w:p>
        </w:tc>
      </w:tr>
      <w:tr w:rsidR="00416C4A" w:rsidRPr="00416C4A" w14:paraId="06590180" w14:textId="77777777" w:rsidTr="00C3700D">
        <w:trPr>
          <w:trHeight w:hRule="exact" w:val="510"/>
        </w:trPr>
        <w:tc>
          <w:tcPr>
            <w:tcW w:w="2263" w:type="dxa"/>
            <w:tcBorders>
              <w:top w:val="single" w:sz="4" w:space="0" w:color="FFFFFF" w:themeColor="background1"/>
              <w:left w:val="single" w:sz="4" w:space="0" w:color="FFFFFF"/>
              <w:bottom w:val="single" w:sz="4" w:space="0" w:color="FFFFFF"/>
              <w:right w:val="single" w:sz="4" w:space="0" w:color="FFFFFF"/>
            </w:tcBorders>
            <w:vAlign w:val="center"/>
          </w:tcPr>
          <w:p w14:paraId="30AAC9E7" w14:textId="77777777" w:rsidR="006037A4" w:rsidRPr="00416C4A" w:rsidRDefault="00D96DFB" w:rsidP="00702A5E">
            <w:pPr>
              <w:spacing w:line="480" w:lineRule="auto"/>
            </w:pPr>
            <w:r w:rsidRPr="00416C4A">
              <w:t>ROA</w:t>
            </w:r>
          </w:p>
        </w:tc>
        <w:tc>
          <w:tcPr>
            <w:tcW w:w="2694" w:type="dxa"/>
            <w:tcBorders>
              <w:top w:val="single" w:sz="4" w:space="0" w:color="FFFFFF" w:themeColor="background1"/>
              <w:left w:val="single" w:sz="4" w:space="0" w:color="FFFFFF"/>
              <w:bottom w:val="single" w:sz="4" w:space="0" w:color="FFFFFF"/>
              <w:right w:val="single" w:sz="4" w:space="0" w:color="FFFFFF"/>
            </w:tcBorders>
            <w:vAlign w:val="center"/>
          </w:tcPr>
          <w:p w14:paraId="23106E39" w14:textId="77777777" w:rsidR="006037A4" w:rsidRPr="00416C4A" w:rsidRDefault="006037A4" w:rsidP="00702A5E">
            <w:pPr>
              <w:spacing w:line="480" w:lineRule="auto"/>
              <w:jc w:val="center"/>
            </w:pPr>
          </w:p>
        </w:tc>
        <w:tc>
          <w:tcPr>
            <w:tcW w:w="2976" w:type="dxa"/>
            <w:tcBorders>
              <w:top w:val="single" w:sz="4" w:space="0" w:color="FFFFFF" w:themeColor="background1"/>
              <w:left w:val="single" w:sz="4" w:space="0" w:color="FFFFFF"/>
              <w:bottom w:val="single" w:sz="4" w:space="0" w:color="FFFFFF"/>
              <w:right w:val="single" w:sz="4" w:space="0" w:color="FFFFFF"/>
            </w:tcBorders>
            <w:vAlign w:val="center"/>
          </w:tcPr>
          <w:p w14:paraId="4861493D" w14:textId="77777777" w:rsidR="006037A4" w:rsidRPr="00416C4A" w:rsidRDefault="006037A4" w:rsidP="00702A5E">
            <w:pPr>
              <w:spacing w:line="480" w:lineRule="auto"/>
              <w:jc w:val="center"/>
            </w:pPr>
          </w:p>
        </w:tc>
        <w:tc>
          <w:tcPr>
            <w:tcW w:w="3544" w:type="dxa"/>
            <w:tcBorders>
              <w:top w:val="single" w:sz="4" w:space="0" w:color="FFFFFF" w:themeColor="background1"/>
              <w:left w:val="single" w:sz="4" w:space="0" w:color="FFFFFF"/>
              <w:bottom w:val="single" w:sz="4" w:space="0" w:color="FFFFFF"/>
              <w:right w:val="single" w:sz="4" w:space="0" w:color="FFFFFF"/>
            </w:tcBorders>
            <w:vAlign w:val="center"/>
          </w:tcPr>
          <w:p w14:paraId="57437C68" w14:textId="21074B73" w:rsidR="006037A4" w:rsidRPr="00416C4A" w:rsidRDefault="00D96DFB" w:rsidP="00702A5E">
            <w:pPr>
              <w:spacing w:line="480" w:lineRule="auto"/>
              <w:jc w:val="center"/>
            </w:pPr>
            <w:r w:rsidRPr="00416C4A">
              <w:t>0.</w:t>
            </w:r>
            <w:r w:rsidR="00DE4E41" w:rsidRPr="00416C4A">
              <w:t>1</w:t>
            </w:r>
            <w:r w:rsidR="00FB529E" w:rsidRPr="00416C4A">
              <w:t>4</w:t>
            </w:r>
            <w:r w:rsidR="00DE4E41" w:rsidRPr="00416C4A">
              <w:t>1</w:t>
            </w:r>
          </w:p>
        </w:tc>
        <w:tc>
          <w:tcPr>
            <w:tcW w:w="2552" w:type="dxa"/>
            <w:gridSpan w:val="2"/>
            <w:tcBorders>
              <w:top w:val="single" w:sz="4" w:space="0" w:color="FFFFFF" w:themeColor="background1"/>
              <w:left w:val="single" w:sz="4" w:space="0" w:color="FFFFFF"/>
              <w:bottom w:val="single" w:sz="4" w:space="0" w:color="FFFFFF"/>
              <w:right w:val="single" w:sz="4" w:space="0" w:color="FFFFFF"/>
            </w:tcBorders>
            <w:vAlign w:val="center"/>
          </w:tcPr>
          <w:p w14:paraId="5308740D" w14:textId="0322B37A" w:rsidR="006037A4" w:rsidRPr="00416C4A" w:rsidRDefault="00D96DFB" w:rsidP="00702A5E">
            <w:pPr>
              <w:spacing w:line="480" w:lineRule="auto"/>
              <w:jc w:val="center"/>
              <w:rPr>
                <w:bCs/>
              </w:rPr>
            </w:pPr>
            <w:r w:rsidRPr="00416C4A">
              <w:rPr>
                <w:bCs/>
              </w:rPr>
              <w:t>0.00</w:t>
            </w:r>
            <w:r w:rsidR="00DE4E41" w:rsidRPr="00416C4A">
              <w:rPr>
                <w:bCs/>
              </w:rPr>
              <w:t>0</w:t>
            </w:r>
          </w:p>
        </w:tc>
      </w:tr>
      <w:tr w:rsidR="00416C4A" w:rsidRPr="00416C4A" w14:paraId="5DE7E87A" w14:textId="77777777" w:rsidTr="000D6643">
        <w:trPr>
          <w:trHeight w:hRule="exact" w:val="510"/>
        </w:trPr>
        <w:tc>
          <w:tcPr>
            <w:tcW w:w="2263" w:type="dxa"/>
            <w:tcBorders>
              <w:top w:val="single" w:sz="4" w:space="0" w:color="FFFFFF"/>
              <w:left w:val="single" w:sz="4" w:space="0" w:color="FFFFFF"/>
              <w:bottom w:val="nil"/>
              <w:right w:val="single" w:sz="4" w:space="0" w:color="FFFFFF"/>
            </w:tcBorders>
            <w:vAlign w:val="center"/>
          </w:tcPr>
          <w:p w14:paraId="5BB2AAA5" w14:textId="0F962E15" w:rsidR="00C3700D" w:rsidRPr="00416C4A" w:rsidRDefault="00D96DFB" w:rsidP="00C3700D">
            <w:pPr>
              <w:spacing w:line="480" w:lineRule="auto"/>
            </w:pPr>
            <w:r w:rsidRPr="00416C4A">
              <w:t>Constant</w:t>
            </w:r>
          </w:p>
        </w:tc>
        <w:tc>
          <w:tcPr>
            <w:tcW w:w="5670" w:type="dxa"/>
            <w:gridSpan w:val="2"/>
            <w:tcBorders>
              <w:top w:val="single" w:sz="4" w:space="0" w:color="FFFFFF"/>
              <w:left w:val="single" w:sz="4" w:space="0" w:color="FFFFFF"/>
              <w:bottom w:val="nil"/>
              <w:right w:val="single" w:sz="4" w:space="0" w:color="FFFFFF"/>
            </w:tcBorders>
            <w:vAlign w:val="center"/>
          </w:tcPr>
          <w:p w14:paraId="70497446" w14:textId="2610B057" w:rsidR="00C3700D" w:rsidRPr="00416C4A" w:rsidRDefault="00D96DFB" w:rsidP="00C3700D">
            <w:pPr>
              <w:spacing w:line="480" w:lineRule="auto"/>
              <w:jc w:val="center"/>
            </w:pPr>
            <w:r w:rsidRPr="00416C4A">
              <w:t>Included</w:t>
            </w:r>
          </w:p>
        </w:tc>
        <w:tc>
          <w:tcPr>
            <w:tcW w:w="6096" w:type="dxa"/>
            <w:gridSpan w:val="3"/>
            <w:tcBorders>
              <w:top w:val="single" w:sz="4" w:space="0" w:color="FFFFFF"/>
              <w:left w:val="single" w:sz="4" w:space="0" w:color="FFFFFF"/>
              <w:bottom w:val="nil"/>
              <w:right w:val="single" w:sz="4" w:space="0" w:color="FFFFFF"/>
            </w:tcBorders>
            <w:vAlign w:val="center"/>
          </w:tcPr>
          <w:p w14:paraId="4CFE96B1" w14:textId="6949B5EC" w:rsidR="00C3700D" w:rsidRPr="00416C4A" w:rsidRDefault="00D96DFB" w:rsidP="00C3700D">
            <w:pPr>
              <w:spacing w:line="480" w:lineRule="auto"/>
              <w:jc w:val="center"/>
            </w:pPr>
            <w:r w:rsidRPr="00416C4A">
              <w:t>Included</w:t>
            </w:r>
          </w:p>
        </w:tc>
      </w:tr>
      <w:tr w:rsidR="00416C4A" w:rsidRPr="00416C4A" w14:paraId="5579B62C" w14:textId="77777777" w:rsidTr="000D6643">
        <w:trPr>
          <w:trHeight w:hRule="exact" w:val="510"/>
        </w:trPr>
        <w:tc>
          <w:tcPr>
            <w:tcW w:w="2263" w:type="dxa"/>
            <w:tcBorders>
              <w:top w:val="nil"/>
              <w:left w:val="single" w:sz="4" w:space="0" w:color="FFFFFF"/>
              <w:bottom w:val="nil"/>
              <w:right w:val="single" w:sz="4" w:space="0" w:color="FFFFFF"/>
            </w:tcBorders>
            <w:vAlign w:val="center"/>
          </w:tcPr>
          <w:p w14:paraId="00748202" w14:textId="1613D5A4" w:rsidR="000D6643" w:rsidRPr="00416C4A" w:rsidRDefault="00D96DFB" w:rsidP="000D6643">
            <w:pPr>
              <w:spacing w:line="480" w:lineRule="auto"/>
            </w:pPr>
            <w:r w:rsidRPr="00416C4A">
              <w:t>Industry FE</w:t>
            </w:r>
          </w:p>
        </w:tc>
        <w:tc>
          <w:tcPr>
            <w:tcW w:w="5670" w:type="dxa"/>
            <w:gridSpan w:val="2"/>
            <w:tcBorders>
              <w:top w:val="nil"/>
              <w:left w:val="single" w:sz="4" w:space="0" w:color="FFFFFF"/>
              <w:bottom w:val="nil"/>
              <w:right w:val="single" w:sz="4" w:space="0" w:color="FFFFFF"/>
            </w:tcBorders>
            <w:vAlign w:val="center"/>
          </w:tcPr>
          <w:p w14:paraId="10AC3DA7" w14:textId="251C6A12" w:rsidR="000D6643" w:rsidRPr="00416C4A" w:rsidRDefault="00D96DFB" w:rsidP="000D6643">
            <w:pPr>
              <w:spacing w:line="480" w:lineRule="auto"/>
              <w:jc w:val="center"/>
            </w:pPr>
            <w:r w:rsidRPr="00416C4A">
              <w:t>Included</w:t>
            </w:r>
          </w:p>
        </w:tc>
        <w:tc>
          <w:tcPr>
            <w:tcW w:w="6096" w:type="dxa"/>
            <w:gridSpan w:val="3"/>
            <w:tcBorders>
              <w:top w:val="nil"/>
              <w:left w:val="single" w:sz="4" w:space="0" w:color="FFFFFF"/>
              <w:bottom w:val="nil"/>
              <w:right w:val="single" w:sz="4" w:space="0" w:color="FFFFFF"/>
            </w:tcBorders>
            <w:vAlign w:val="center"/>
          </w:tcPr>
          <w:p w14:paraId="3AC5E89E" w14:textId="6D7A77BE" w:rsidR="000D6643" w:rsidRPr="00416C4A" w:rsidRDefault="000D6643" w:rsidP="000D6643">
            <w:pPr>
              <w:spacing w:line="480" w:lineRule="auto"/>
              <w:jc w:val="center"/>
            </w:pPr>
          </w:p>
        </w:tc>
      </w:tr>
      <w:tr w:rsidR="00416C4A" w:rsidRPr="00416C4A" w14:paraId="37EF5E58" w14:textId="77777777" w:rsidTr="000D6643">
        <w:trPr>
          <w:trHeight w:hRule="exact" w:val="510"/>
        </w:trPr>
        <w:tc>
          <w:tcPr>
            <w:tcW w:w="2263" w:type="dxa"/>
            <w:tcBorders>
              <w:top w:val="nil"/>
              <w:left w:val="single" w:sz="4" w:space="0" w:color="FFFFFF"/>
              <w:bottom w:val="single" w:sz="4" w:space="0" w:color="auto"/>
              <w:right w:val="single" w:sz="4" w:space="0" w:color="FFFFFF"/>
            </w:tcBorders>
            <w:vAlign w:val="center"/>
          </w:tcPr>
          <w:p w14:paraId="20DDB0FE" w14:textId="4BA3FF00" w:rsidR="000D6643" w:rsidRPr="00416C4A" w:rsidRDefault="00D96DFB" w:rsidP="000D6643">
            <w:pPr>
              <w:spacing w:line="480" w:lineRule="auto"/>
            </w:pPr>
            <w:r w:rsidRPr="00416C4A">
              <w:t>Year FE</w:t>
            </w:r>
          </w:p>
        </w:tc>
        <w:tc>
          <w:tcPr>
            <w:tcW w:w="5670" w:type="dxa"/>
            <w:gridSpan w:val="2"/>
            <w:tcBorders>
              <w:top w:val="nil"/>
              <w:left w:val="single" w:sz="4" w:space="0" w:color="FFFFFF"/>
              <w:bottom w:val="single" w:sz="4" w:space="0" w:color="auto"/>
              <w:right w:val="single" w:sz="4" w:space="0" w:color="FFFFFF"/>
            </w:tcBorders>
            <w:vAlign w:val="center"/>
          </w:tcPr>
          <w:p w14:paraId="73DBB133" w14:textId="77777777" w:rsidR="000D6643" w:rsidRPr="00416C4A" w:rsidRDefault="00D96DFB" w:rsidP="000D6643">
            <w:pPr>
              <w:spacing w:line="480" w:lineRule="auto"/>
              <w:jc w:val="center"/>
            </w:pPr>
            <w:r w:rsidRPr="00416C4A">
              <w:t>Included</w:t>
            </w:r>
          </w:p>
        </w:tc>
        <w:tc>
          <w:tcPr>
            <w:tcW w:w="6096" w:type="dxa"/>
            <w:gridSpan w:val="3"/>
            <w:tcBorders>
              <w:top w:val="nil"/>
              <w:left w:val="single" w:sz="4" w:space="0" w:color="FFFFFF"/>
              <w:bottom w:val="single" w:sz="4" w:space="0" w:color="auto"/>
              <w:right w:val="single" w:sz="4" w:space="0" w:color="FFFFFF"/>
            </w:tcBorders>
            <w:vAlign w:val="center"/>
          </w:tcPr>
          <w:p w14:paraId="4E29E2D2" w14:textId="77777777" w:rsidR="000D6643" w:rsidRPr="00416C4A" w:rsidRDefault="00D96DFB" w:rsidP="000D6643">
            <w:pPr>
              <w:spacing w:line="480" w:lineRule="auto"/>
              <w:jc w:val="center"/>
            </w:pPr>
            <w:r w:rsidRPr="00416C4A">
              <w:t>Included</w:t>
            </w:r>
          </w:p>
        </w:tc>
      </w:tr>
      <w:tr w:rsidR="00416C4A" w:rsidRPr="00416C4A" w14:paraId="0854F09E" w14:textId="77777777" w:rsidTr="00555180">
        <w:trPr>
          <w:trHeight w:hRule="exact" w:val="510"/>
        </w:trPr>
        <w:tc>
          <w:tcPr>
            <w:tcW w:w="2263" w:type="dxa"/>
            <w:tcBorders>
              <w:top w:val="single" w:sz="4" w:space="0" w:color="auto"/>
              <w:left w:val="single" w:sz="4" w:space="0" w:color="FFFFFF"/>
              <w:bottom w:val="single" w:sz="4" w:space="0" w:color="FFFFFF"/>
              <w:right w:val="single" w:sz="4" w:space="0" w:color="FFFFFF"/>
            </w:tcBorders>
            <w:vAlign w:val="center"/>
          </w:tcPr>
          <w:p w14:paraId="75031774" w14:textId="77777777" w:rsidR="000D6643" w:rsidRPr="00416C4A" w:rsidRDefault="00D96DFB" w:rsidP="000D6643">
            <w:pPr>
              <w:spacing w:line="480" w:lineRule="auto"/>
            </w:pPr>
            <w:r w:rsidRPr="00416C4A">
              <w:t>Number of obs.</w:t>
            </w:r>
          </w:p>
        </w:tc>
        <w:tc>
          <w:tcPr>
            <w:tcW w:w="5670" w:type="dxa"/>
            <w:gridSpan w:val="2"/>
            <w:tcBorders>
              <w:top w:val="single" w:sz="4" w:space="0" w:color="auto"/>
              <w:left w:val="single" w:sz="4" w:space="0" w:color="FFFFFF"/>
              <w:bottom w:val="single" w:sz="4" w:space="0" w:color="FFFFFF"/>
              <w:right w:val="single" w:sz="4" w:space="0" w:color="FFFFFF"/>
            </w:tcBorders>
            <w:vAlign w:val="center"/>
          </w:tcPr>
          <w:p w14:paraId="12A7B3E8" w14:textId="105B1627" w:rsidR="000D6643" w:rsidRPr="00416C4A" w:rsidRDefault="00D96DFB" w:rsidP="000D6643">
            <w:pPr>
              <w:spacing w:line="480" w:lineRule="auto"/>
              <w:jc w:val="center"/>
            </w:pPr>
            <w:r w:rsidRPr="00416C4A">
              <w:t>499</w:t>
            </w:r>
          </w:p>
        </w:tc>
        <w:tc>
          <w:tcPr>
            <w:tcW w:w="6096" w:type="dxa"/>
            <w:gridSpan w:val="3"/>
            <w:tcBorders>
              <w:top w:val="single" w:sz="4" w:space="0" w:color="auto"/>
              <w:left w:val="single" w:sz="4" w:space="0" w:color="FFFFFF"/>
              <w:bottom w:val="single" w:sz="4" w:space="0" w:color="FFFFFF"/>
              <w:right w:val="single" w:sz="4" w:space="0" w:color="FFFFFF"/>
            </w:tcBorders>
            <w:vAlign w:val="center"/>
          </w:tcPr>
          <w:p w14:paraId="46AD7B03" w14:textId="1630AA63" w:rsidR="000D6643" w:rsidRPr="00416C4A" w:rsidRDefault="00D96DFB" w:rsidP="000D6643">
            <w:pPr>
              <w:spacing w:line="480" w:lineRule="auto"/>
              <w:jc w:val="center"/>
            </w:pPr>
            <w:r w:rsidRPr="00416C4A">
              <w:t>499</w:t>
            </w:r>
          </w:p>
        </w:tc>
      </w:tr>
      <w:tr w:rsidR="00416C4A" w:rsidRPr="00416C4A" w14:paraId="7AF3B548" w14:textId="77777777" w:rsidTr="00555180">
        <w:trPr>
          <w:trHeight w:hRule="exact" w:val="510"/>
        </w:trPr>
        <w:tc>
          <w:tcPr>
            <w:tcW w:w="2263" w:type="dxa"/>
            <w:tcBorders>
              <w:top w:val="nil"/>
              <w:left w:val="single" w:sz="4" w:space="0" w:color="FFFFFF"/>
              <w:right w:val="single" w:sz="4" w:space="0" w:color="FFFFFF"/>
            </w:tcBorders>
            <w:vAlign w:val="center"/>
          </w:tcPr>
          <w:p w14:paraId="3D9F9EA9" w14:textId="2D1ADCFA" w:rsidR="000D6643" w:rsidRPr="00416C4A" w:rsidRDefault="00D96DFB" w:rsidP="000D6643">
            <w:pPr>
              <w:spacing w:line="480" w:lineRule="auto"/>
            </w:pPr>
            <w:r w:rsidRPr="00416C4A">
              <w:t>R</w:t>
            </w:r>
            <w:r w:rsidRPr="00416C4A">
              <w:rPr>
                <w:vertAlign w:val="superscript"/>
              </w:rPr>
              <w:t>2</w:t>
            </w:r>
          </w:p>
        </w:tc>
        <w:tc>
          <w:tcPr>
            <w:tcW w:w="5670" w:type="dxa"/>
            <w:gridSpan w:val="2"/>
            <w:tcBorders>
              <w:top w:val="nil"/>
              <w:left w:val="single" w:sz="4" w:space="0" w:color="FFFFFF"/>
              <w:right w:val="single" w:sz="4" w:space="0" w:color="FFFFFF"/>
            </w:tcBorders>
            <w:vAlign w:val="center"/>
          </w:tcPr>
          <w:p w14:paraId="2F969B41" w14:textId="70ECB690" w:rsidR="000D6643" w:rsidRPr="00416C4A" w:rsidRDefault="00D96DFB" w:rsidP="000D6643">
            <w:pPr>
              <w:spacing w:line="480" w:lineRule="auto"/>
              <w:jc w:val="center"/>
            </w:pPr>
            <w:r w:rsidRPr="00416C4A">
              <w:t>2</w:t>
            </w:r>
            <w:r w:rsidR="00A4124E" w:rsidRPr="00416C4A">
              <w:t>5</w:t>
            </w:r>
            <w:r w:rsidRPr="00416C4A">
              <w:t>.</w:t>
            </w:r>
            <w:r w:rsidR="00A4124E" w:rsidRPr="00416C4A">
              <w:t>21</w:t>
            </w:r>
            <w:r w:rsidRPr="00416C4A">
              <w:t>%</w:t>
            </w:r>
          </w:p>
        </w:tc>
        <w:tc>
          <w:tcPr>
            <w:tcW w:w="6096" w:type="dxa"/>
            <w:gridSpan w:val="3"/>
            <w:tcBorders>
              <w:top w:val="nil"/>
              <w:left w:val="single" w:sz="4" w:space="0" w:color="FFFFFF"/>
              <w:right w:val="single" w:sz="4" w:space="0" w:color="FFFFFF"/>
            </w:tcBorders>
            <w:vAlign w:val="center"/>
          </w:tcPr>
          <w:p w14:paraId="3FCEC8A2" w14:textId="3D756AD4" w:rsidR="000D6643" w:rsidRPr="00416C4A" w:rsidRDefault="00D96DFB" w:rsidP="000D6643">
            <w:pPr>
              <w:spacing w:line="480" w:lineRule="auto"/>
              <w:jc w:val="center"/>
            </w:pPr>
            <w:r w:rsidRPr="00416C4A">
              <w:t>50.93%</w:t>
            </w:r>
          </w:p>
        </w:tc>
      </w:tr>
    </w:tbl>
    <w:p w14:paraId="59817A14" w14:textId="5735240F" w:rsidR="00C76204" w:rsidRPr="00416C4A" w:rsidRDefault="00C76204" w:rsidP="006037A4">
      <w:pPr>
        <w:jc w:val="both"/>
        <w:rPr>
          <w:b/>
          <w:bCs/>
        </w:rPr>
      </w:pPr>
    </w:p>
    <w:p w14:paraId="2CB548A3" w14:textId="33CF8813" w:rsidR="00C76204" w:rsidRPr="00416C4A" w:rsidRDefault="00D96DFB" w:rsidP="006037A4">
      <w:pPr>
        <w:jc w:val="both"/>
        <w:rPr>
          <w:b/>
          <w:bCs/>
        </w:rPr>
      </w:pPr>
      <w:r w:rsidRPr="00416C4A">
        <w:t xml:space="preserve">Note: </w:t>
      </w:r>
      <w:r w:rsidR="00F26554" w:rsidRPr="00416C4A">
        <w:t>We use two-tailed tests</w:t>
      </w:r>
      <w:r w:rsidR="002504F6">
        <w:t>. A</w:t>
      </w:r>
      <w:r w:rsidRPr="00416C4A">
        <w:t>ll variables are defined in the appendix.</w:t>
      </w:r>
    </w:p>
    <w:p w14:paraId="3977F01B" w14:textId="7CDA3072" w:rsidR="006037A4" w:rsidRPr="00416C4A" w:rsidRDefault="00D96DFB" w:rsidP="006037A4">
      <w:pPr>
        <w:jc w:val="both"/>
        <w:rPr>
          <w:noProof/>
        </w:rPr>
      </w:pPr>
      <w:r w:rsidRPr="00416C4A">
        <w:rPr>
          <w:b/>
          <w:bCs/>
        </w:rPr>
        <w:br w:type="page"/>
      </w:r>
    </w:p>
    <w:tbl>
      <w:tblPr>
        <w:tblStyle w:val="TableGrid"/>
        <w:tblpPr w:leftFromText="180" w:rightFromText="180" w:vertAnchor="page" w:horzAnchor="margin" w:tblpY="2820"/>
        <w:tblW w:w="0" w:type="auto"/>
        <w:tblLayout w:type="fixed"/>
        <w:tblLook w:val="04A0" w:firstRow="1" w:lastRow="0" w:firstColumn="1" w:lastColumn="0" w:noHBand="0" w:noVBand="1"/>
      </w:tblPr>
      <w:tblGrid>
        <w:gridCol w:w="2263"/>
        <w:gridCol w:w="851"/>
        <w:gridCol w:w="992"/>
        <w:gridCol w:w="1009"/>
        <w:gridCol w:w="976"/>
        <w:gridCol w:w="1029"/>
        <w:gridCol w:w="996"/>
        <w:gridCol w:w="1009"/>
        <w:gridCol w:w="996"/>
      </w:tblGrid>
      <w:tr w:rsidR="005E7B7E" w:rsidRPr="00416C4A" w14:paraId="4E790130" w14:textId="77777777" w:rsidTr="00480075">
        <w:tc>
          <w:tcPr>
            <w:tcW w:w="2263" w:type="dxa"/>
            <w:vMerge w:val="restart"/>
            <w:tcBorders>
              <w:left w:val="single" w:sz="4" w:space="0" w:color="FFFFFF"/>
              <w:right w:val="nil"/>
            </w:tcBorders>
            <w:vAlign w:val="center"/>
          </w:tcPr>
          <w:p w14:paraId="049030FF" w14:textId="77777777" w:rsidR="005E7B7E" w:rsidRPr="00416C4A" w:rsidRDefault="005E7B7E" w:rsidP="00592D9C">
            <w:pPr>
              <w:spacing w:line="480" w:lineRule="auto"/>
              <w:jc w:val="center"/>
            </w:pPr>
          </w:p>
        </w:tc>
        <w:tc>
          <w:tcPr>
            <w:tcW w:w="1843" w:type="dxa"/>
            <w:gridSpan w:val="2"/>
            <w:tcBorders>
              <w:top w:val="single" w:sz="4" w:space="0" w:color="auto"/>
              <w:left w:val="nil"/>
              <w:bottom w:val="nil"/>
              <w:right w:val="nil"/>
            </w:tcBorders>
            <w:vAlign w:val="center"/>
          </w:tcPr>
          <w:p w14:paraId="2AB467C0" w14:textId="7B6C14CC" w:rsidR="005E7B7E" w:rsidRPr="00416C4A" w:rsidRDefault="00592D9C" w:rsidP="00592D9C">
            <w:pPr>
              <w:spacing w:line="480" w:lineRule="auto"/>
              <w:jc w:val="center"/>
            </w:pPr>
            <w:r w:rsidRPr="00416C4A">
              <w:t>ROA</w:t>
            </w:r>
            <w:r w:rsidRPr="0097264A">
              <w:rPr>
                <w:b/>
                <w:bCs/>
                <w:vertAlign w:val="subscript"/>
              </w:rPr>
              <w:t>(t+1)</w:t>
            </w:r>
          </w:p>
        </w:tc>
        <w:tc>
          <w:tcPr>
            <w:tcW w:w="1985" w:type="dxa"/>
            <w:gridSpan w:val="2"/>
            <w:tcBorders>
              <w:top w:val="single" w:sz="4" w:space="0" w:color="auto"/>
              <w:left w:val="nil"/>
              <w:bottom w:val="nil"/>
              <w:right w:val="nil"/>
            </w:tcBorders>
            <w:vAlign w:val="center"/>
          </w:tcPr>
          <w:p w14:paraId="36A8FEBF" w14:textId="02DD1B3D" w:rsidR="005E7B7E" w:rsidRPr="00416C4A" w:rsidRDefault="00592D9C" w:rsidP="00592D9C">
            <w:pPr>
              <w:spacing w:line="480" w:lineRule="auto"/>
              <w:jc w:val="center"/>
            </w:pPr>
            <w:r w:rsidRPr="00416C4A">
              <w:t>ROA</w:t>
            </w:r>
            <w:r w:rsidRPr="0097264A">
              <w:rPr>
                <w:b/>
                <w:bCs/>
                <w:vertAlign w:val="subscript"/>
              </w:rPr>
              <w:t>(t+</w:t>
            </w:r>
            <w:r>
              <w:rPr>
                <w:b/>
                <w:bCs/>
                <w:vertAlign w:val="subscript"/>
              </w:rPr>
              <w:t>2</w:t>
            </w:r>
            <w:r w:rsidRPr="0097264A">
              <w:rPr>
                <w:b/>
                <w:bCs/>
                <w:vertAlign w:val="subscript"/>
              </w:rPr>
              <w:t>)</w:t>
            </w:r>
          </w:p>
        </w:tc>
        <w:tc>
          <w:tcPr>
            <w:tcW w:w="2025" w:type="dxa"/>
            <w:gridSpan w:val="2"/>
            <w:tcBorders>
              <w:top w:val="single" w:sz="4" w:space="0" w:color="auto"/>
              <w:left w:val="nil"/>
              <w:bottom w:val="nil"/>
              <w:right w:val="nil"/>
            </w:tcBorders>
            <w:vAlign w:val="center"/>
          </w:tcPr>
          <w:p w14:paraId="0C41AB13" w14:textId="596DB9F7" w:rsidR="005E7B7E" w:rsidRPr="00416C4A" w:rsidRDefault="00592D9C" w:rsidP="00592D9C">
            <w:pPr>
              <w:spacing w:line="480" w:lineRule="auto"/>
              <w:jc w:val="center"/>
            </w:pPr>
            <w:r w:rsidRPr="00416C4A">
              <w:t>Tobin’s Q</w:t>
            </w:r>
            <w:r w:rsidRPr="0097264A">
              <w:rPr>
                <w:b/>
                <w:bCs/>
                <w:vertAlign w:val="subscript"/>
              </w:rPr>
              <w:t>(t+1)</w:t>
            </w:r>
          </w:p>
        </w:tc>
        <w:tc>
          <w:tcPr>
            <w:tcW w:w="2005" w:type="dxa"/>
            <w:gridSpan w:val="2"/>
            <w:tcBorders>
              <w:top w:val="single" w:sz="4" w:space="0" w:color="auto"/>
              <w:left w:val="nil"/>
              <w:bottom w:val="nil"/>
              <w:right w:val="single" w:sz="4" w:space="0" w:color="FFFFFF"/>
            </w:tcBorders>
            <w:vAlign w:val="center"/>
          </w:tcPr>
          <w:p w14:paraId="6DEA3ED2" w14:textId="34D53A4C" w:rsidR="005E7B7E" w:rsidRPr="00416C4A" w:rsidRDefault="00592D9C" w:rsidP="00592D9C">
            <w:pPr>
              <w:spacing w:line="480" w:lineRule="auto"/>
              <w:jc w:val="center"/>
            </w:pPr>
            <w:r w:rsidRPr="00416C4A">
              <w:t>Tobin’s Q</w:t>
            </w:r>
            <w:r w:rsidRPr="0097264A">
              <w:rPr>
                <w:b/>
                <w:bCs/>
                <w:vertAlign w:val="subscript"/>
              </w:rPr>
              <w:t>(t+</w:t>
            </w:r>
            <w:r>
              <w:rPr>
                <w:b/>
                <w:bCs/>
                <w:vertAlign w:val="subscript"/>
              </w:rPr>
              <w:t>2</w:t>
            </w:r>
            <w:r w:rsidRPr="0097264A">
              <w:rPr>
                <w:b/>
                <w:bCs/>
                <w:vertAlign w:val="subscript"/>
              </w:rPr>
              <w:t>)</w:t>
            </w:r>
          </w:p>
        </w:tc>
      </w:tr>
      <w:tr w:rsidR="005E7B7E" w:rsidRPr="00416C4A" w14:paraId="69AEF155" w14:textId="77777777" w:rsidTr="00480075">
        <w:tc>
          <w:tcPr>
            <w:tcW w:w="2263" w:type="dxa"/>
            <w:vMerge/>
            <w:tcBorders>
              <w:left w:val="single" w:sz="4" w:space="0" w:color="FFFFFF"/>
              <w:right w:val="nil"/>
            </w:tcBorders>
            <w:vAlign w:val="center"/>
          </w:tcPr>
          <w:p w14:paraId="132F74DE" w14:textId="77777777" w:rsidR="005E7B7E" w:rsidRPr="00416C4A" w:rsidRDefault="005E7B7E" w:rsidP="00592D9C">
            <w:pPr>
              <w:spacing w:line="480" w:lineRule="auto"/>
              <w:jc w:val="center"/>
            </w:pPr>
          </w:p>
        </w:tc>
        <w:tc>
          <w:tcPr>
            <w:tcW w:w="851" w:type="dxa"/>
            <w:tcBorders>
              <w:top w:val="nil"/>
              <w:left w:val="nil"/>
              <w:right w:val="nil"/>
            </w:tcBorders>
            <w:vAlign w:val="center"/>
          </w:tcPr>
          <w:p w14:paraId="1EA327BE" w14:textId="77777777" w:rsidR="005E7B7E" w:rsidRPr="00416C4A" w:rsidRDefault="005E7B7E" w:rsidP="00592D9C">
            <w:pPr>
              <w:spacing w:line="480" w:lineRule="auto"/>
              <w:jc w:val="center"/>
            </w:pPr>
            <w:r w:rsidRPr="00416C4A">
              <w:t>Coeff.</w:t>
            </w:r>
          </w:p>
        </w:tc>
        <w:tc>
          <w:tcPr>
            <w:tcW w:w="992" w:type="dxa"/>
            <w:tcBorders>
              <w:top w:val="nil"/>
              <w:left w:val="nil"/>
              <w:right w:val="nil"/>
            </w:tcBorders>
            <w:vAlign w:val="center"/>
          </w:tcPr>
          <w:p w14:paraId="74385540" w14:textId="77777777" w:rsidR="005E7B7E" w:rsidRPr="00416C4A" w:rsidRDefault="005E7B7E" w:rsidP="00592D9C">
            <w:pPr>
              <w:spacing w:line="480" w:lineRule="auto"/>
              <w:jc w:val="center"/>
            </w:pPr>
            <w:r w:rsidRPr="00416C4A">
              <w:t>P-value</w:t>
            </w:r>
          </w:p>
        </w:tc>
        <w:tc>
          <w:tcPr>
            <w:tcW w:w="1009" w:type="dxa"/>
            <w:tcBorders>
              <w:top w:val="nil"/>
              <w:left w:val="nil"/>
              <w:right w:val="nil"/>
            </w:tcBorders>
            <w:vAlign w:val="center"/>
          </w:tcPr>
          <w:p w14:paraId="5B318B04" w14:textId="77777777" w:rsidR="005E7B7E" w:rsidRPr="00416C4A" w:rsidRDefault="005E7B7E" w:rsidP="00592D9C">
            <w:pPr>
              <w:spacing w:line="480" w:lineRule="auto"/>
              <w:jc w:val="center"/>
            </w:pPr>
            <w:r w:rsidRPr="00416C4A">
              <w:t>Coeff.</w:t>
            </w:r>
          </w:p>
        </w:tc>
        <w:tc>
          <w:tcPr>
            <w:tcW w:w="976" w:type="dxa"/>
            <w:tcBorders>
              <w:top w:val="nil"/>
              <w:left w:val="nil"/>
              <w:right w:val="nil"/>
            </w:tcBorders>
            <w:vAlign w:val="center"/>
          </w:tcPr>
          <w:p w14:paraId="16AF0121" w14:textId="77777777" w:rsidR="005E7B7E" w:rsidRPr="00416C4A" w:rsidRDefault="005E7B7E" w:rsidP="00592D9C">
            <w:pPr>
              <w:spacing w:line="480" w:lineRule="auto"/>
              <w:jc w:val="center"/>
            </w:pPr>
            <w:r w:rsidRPr="00416C4A">
              <w:t>P-value</w:t>
            </w:r>
          </w:p>
        </w:tc>
        <w:tc>
          <w:tcPr>
            <w:tcW w:w="1029" w:type="dxa"/>
            <w:tcBorders>
              <w:top w:val="nil"/>
              <w:left w:val="nil"/>
              <w:right w:val="nil"/>
            </w:tcBorders>
            <w:vAlign w:val="center"/>
          </w:tcPr>
          <w:p w14:paraId="52CB1F50" w14:textId="77777777" w:rsidR="005E7B7E" w:rsidRPr="00416C4A" w:rsidRDefault="005E7B7E" w:rsidP="00592D9C">
            <w:pPr>
              <w:spacing w:line="480" w:lineRule="auto"/>
              <w:jc w:val="center"/>
            </w:pPr>
            <w:r w:rsidRPr="00416C4A">
              <w:t>Coeff.</w:t>
            </w:r>
          </w:p>
        </w:tc>
        <w:tc>
          <w:tcPr>
            <w:tcW w:w="996" w:type="dxa"/>
            <w:tcBorders>
              <w:top w:val="nil"/>
              <w:left w:val="nil"/>
              <w:right w:val="nil"/>
            </w:tcBorders>
            <w:vAlign w:val="center"/>
          </w:tcPr>
          <w:p w14:paraId="557D0F1C" w14:textId="77777777" w:rsidR="005E7B7E" w:rsidRPr="00416C4A" w:rsidRDefault="005E7B7E" w:rsidP="00592D9C">
            <w:pPr>
              <w:spacing w:line="480" w:lineRule="auto"/>
              <w:jc w:val="center"/>
            </w:pPr>
            <w:r w:rsidRPr="00416C4A">
              <w:t>P-value</w:t>
            </w:r>
          </w:p>
        </w:tc>
        <w:tc>
          <w:tcPr>
            <w:tcW w:w="1009" w:type="dxa"/>
            <w:tcBorders>
              <w:top w:val="nil"/>
              <w:left w:val="nil"/>
              <w:right w:val="nil"/>
            </w:tcBorders>
            <w:vAlign w:val="center"/>
          </w:tcPr>
          <w:p w14:paraId="105317EB" w14:textId="77777777" w:rsidR="005E7B7E" w:rsidRPr="00416C4A" w:rsidRDefault="005E7B7E" w:rsidP="00592D9C">
            <w:pPr>
              <w:spacing w:line="480" w:lineRule="auto"/>
              <w:jc w:val="center"/>
            </w:pPr>
            <w:r w:rsidRPr="00416C4A">
              <w:t>Coeff.</w:t>
            </w:r>
          </w:p>
        </w:tc>
        <w:tc>
          <w:tcPr>
            <w:tcW w:w="996" w:type="dxa"/>
            <w:tcBorders>
              <w:top w:val="nil"/>
              <w:left w:val="nil"/>
              <w:right w:val="single" w:sz="4" w:space="0" w:color="FFFFFF"/>
            </w:tcBorders>
            <w:vAlign w:val="center"/>
          </w:tcPr>
          <w:p w14:paraId="5EC94027" w14:textId="77777777" w:rsidR="005E7B7E" w:rsidRPr="00416C4A" w:rsidRDefault="005E7B7E" w:rsidP="00592D9C">
            <w:pPr>
              <w:spacing w:line="480" w:lineRule="auto"/>
              <w:jc w:val="center"/>
            </w:pPr>
            <w:r w:rsidRPr="00416C4A">
              <w:t>P-value</w:t>
            </w:r>
          </w:p>
        </w:tc>
      </w:tr>
      <w:tr w:rsidR="005E7B7E" w:rsidRPr="00416C4A" w14:paraId="45AFE21F" w14:textId="77777777" w:rsidTr="00592D9C">
        <w:tc>
          <w:tcPr>
            <w:tcW w:w="2263" w:type="dxa"/>
            <w:tcBorders>
              <w:left w:val="single" w:sz="4" w:space="0" w:color="FFFFFF"/>
              <w:bottom w:val="single" w:sz="4" w:space="0" w:color="FFFFFF" w:themeColor="background1"/>
              <w:right w:val="single" w:sz="4" w:space="0" w:color="FFFFFF"/>
            </w:tcBorders>
            <w:vAlign w:val="center"/>
          </w:tcPr>
          <w:p w14:paraId="776D298F" w14:textId="77777777" w:rsidR="005E7B7E" w:rsidRPr="00416C4A" w:rsidRDefault="005E7B7E" w:rsidP="00592D9C">
            <w:pPr>
              <w:spacing w:line="480" w:lineRule="auto"/>
              <w:rPr>
                <w:b/>
              </w:rPr>
            </w:pPr>
            <w:r w:rsidRPr="00416C4A">
              <w:rPr>
                <w:b/>
              </w:rPr>
              <w:t>%Female</w:t>
            </w:r>
          </w:p>
        </w:tc>
        <w:tc>
          <w:tcPr>
            <w:tcW w:w="851" w:type="dxa"/>
            <w:tcBorders>
              <w:left w:val="single" w:sz="4" w:space="0" w:color="FFFFFF"/>
              <w:bottom w:val="single" w:sz="4" w:space="0" w:color="FFFFFF" w:themeColor="background1"/>
              <w:right w:val="single" w:sz="4" w:space="0" w:color="FFFFFF"/>
            </w:tcBorders>
            <w:vAlign w:val="center"/>
          </w:tcPr>
          <w:p w14:paraId="31E0516E" w14:textId="5B495BD0" w:rsidR="005E7B7E" w:rsidRPr="00416C4A" w:rsidRDefault="005E7B7E" w:rsidP="00592D9C">
            <w:pPr>
              <w:spacing w:line="480" w:lineRule="auto"/>
              <w:jc w:val="center"/>
              <w:rPr>
                <w:b/>
              </w:rPr>
            </w:pPr>
            <w:r w:rsidRPr="00416C4A">
              <w:rPr>
                <w:b/>
              </w:rPr>
              <w:t>0.</w:t>
            </w:r>
            <w:r w:rsidR="00C52212">
              <w:rPr>
                <w:b/>
              </w:rPr>
              <w:t>2</w:t>
            </w:r>
            <w:r w:rsidRPr="00416C4A">
              <w:rPr>
                <w:b/>
              </w:rPr>
              <w:t>1</w:t>
            </w:r>
            <w:r w:rsidR="00C52212">
              <w:rPr>
                <w:b/>
              </w:rPr>
              <w:t>5</w:t>
            </w:r>
          </w:p>
        </w:tc>
        <w:tc>
          <w:tcPr>
            <w:tcW w:w="992" w:type="dxa"/>
            <w:tcBorders>
              <w:left w:val="single" w:sz="4" w:space="0" w:color="FFFFFF"/>
              <w:bottom w:val="single" w:sz="4" w:space="0" w:color="FFFFFF" w:themeColor="background1"/>
              <w:right w:val="single" w:sz="4" w:space="0" w:color="FFFFFF"/>
            </w:tcBorders>
            <w:vAlign w:val="center"/>
          </w:tcPr>
          <w:p w14:paraId="05A0B3D1" w14:textId="414B4F4A" w:rsidR="005E7B7E" w:rsidRPr="00416C4A" w:rsidRDefault="005E7B7E" w:rsidP="00592D9C">
            <w:pPr>
              <w:spacing w:line="480" w:lineRule="auto"/>
              <w:jc w:val="center"/>
              <w:rPr>
                <w:b/>
                <w:bCs/>
              </w:rPr>
            </w:pPr>
            <w:r w:rsidRPr="00416C4A">
              <w:rPr>
                <w:b/>
                <w:bCs/>
              </w:rPr>
              <w:t>0.00</w:t>
            </w:r>
            <w:r w:rsidR="00C52212">
              <w:rPr>
                <w:b/>
                <w:bCs/>
              </w:rPr>
              <w:t>0</w:t>
            </w:r>
          </w:p>
        </w:tc>
        <w:tc>
          <w:tcPr>
            <w:tcW w:w="1009" w:type="dxa"/>
            <w:tcBorders>
              <w:left w:val="single" w:sz="4" w:space="0" w:color="FFFFFF"/>
              <w:bottom w:val="single" w:sz="4" w:space="0" w:color="FFFFFF" w:themeColor="background1"/>
              <w:right w:val="single" w:sz="4" w:space="0" w:color="FFFFFF"/>
            </w:tcBorders>
            <w:vAlign w:val="center"/>
          </w:tcPr>
          <w:p w14:paraId="21D9890E" w14:textId="5A1197EC" w:rsidR="005E7B7E" w:rsidRPr="00416C4A" w:rsidRDefault="005E7B7E" w:rsidP="00592D9C">
            <w:pPr>
              <w:spacing w:line="480" w:lineRule="auto"/>
              <w:jc w:val="center"/>
              <w:rPr>
                <w:b/>
              </w:rPr>
            </w:pPr>
            <w:r w:rsidRPr="00416C4A">
              <w:rPr>
                <w:b/>
              </w:rPr>
              <w:t>0.1</w:t>
            </w:r>
            <w:r w:rsidR="00936314">
              <w:rPr>
                <w:b/>
              </w:rPr>
              <w:t>3</w:t>
            </w:r>
            <w:r w:rsidRPr="00416C4A">
              <w:rPr>
                <w:b/>
              </w:rPr>
              <w:t>9</w:t>
            </w:r>
          </w:p>
        </w:tc>
        <w:tc>
          <w:tcPr>
            <w:tcW w:w="976" w:type="dxa"/>
            <w:tcBorders>
              <w:left w:val="single" w:sz="4" w:space="0" w:color="FFFFFF"/>
              <w:bottom w:val="single" w:sz="4" w:space="0" w:color="FFFFFF" w:themeColor="background1"/>
              <w:right w:val="single" w:sz="4" w:space="0" w:color="FFFFFF"/>
            </w:tcBorders>
            <w:vAlign w:val="center"/>
          </w:tcPr>
          <w:p w14:paraId="316B9CC4" w14:textId="23AF1DEE" w:rsidR="005E7B7E" w:rsidRPr="00416C4A" w:rsidRDefault="005E7B7E" w:rsidP="00592D9C">
            <w:pPr>
              <w:spacing w:line="480" w:lineRule="auto"/>
              <w:jc w:val="center"/>
              <w:rPr>
                <w:b/>
                <w:bCs/>
              </w:rPr>
            </w:pPr>
            <w:r w:rsidRPr="00416C4A">
              <w:rPr>
                <w:b/>
                <w:bCs/>
              </w:rPr>
              <w:t>0.0</w:t>
            </w:r>
            <w:r w:rsidR="00936314">
              <w:rPr>
                <w:b/>
                <w:bCs/>
              </w:rPr>
              <w:t>21</w:t>
            </w:r>
          </w:p>
        </w:tc>
        <w:tc>
          <w:tcPr>
            <w:tcW w:w="1029" w:type="dxa"/>
            <w:tcBorders>
              <w:left w:val="single" w:sz="4" w:space="0" w:color="FFFFFF"/>
              <w:bottom w:val="single" w:sz="4" w:space="0" w:color="FFFFFF" w:themeColor="background1"/>
              <w:right w:val="single" w:sz="4" w:space="0" w:color="FFFFFF"/>
            </w:tcBorders>
            <w:vAlign w:val="center"/>
          </w:tcPr>
          <w:p w14:paraId="0869CFA7" w14:textId="4CC673B3" w:rsidR="005E7B7E" w:rsidRPr="00416C4A" w:rsidRDefault="00B17D84" w:rsidP="00592D9C">
            <w:pPr>
              <w:spacing w:line="480" w:lineRule="auto"/>
              <w:jc w:val="center"/>
              <w:rPr>
                <w:b/>
              </w:rPr>
            </w:pPr>
            <w:r>
              <w:rPr>
                <w:b/>
              </w:rPr>
              <w:t>-0</w:t>
            </w:r>
            <w:r w:rsidR="005E7B7E" w:rsidRPr="00416C4A">
              <w:rPr>
                <w:b/>
              </w:rPr>
              <w:t>.0</w:t>
            </w:r>
            <w:r>
              <w:rPr>
                <w:b/>
              </w:rPr>
              <w:t>92</w:t>
            </w:r>
          </w:p>
        </w:tc>
        <w:tc>
          <w:tcPr>
            <w:tcW w:w="996" w:type="dxa"/>
            <w:tcBorders>
              <w:left w:val="single" w:sz="4" w:space="0" w:color="FFFFFF"/>
              <w:bottom w:val="single" w:sz="4" w:space="0" w:color="FFFFFF" w:themeColor="background1"/>
              <w:right w:val="single" w:sz="4" w:space="0" w:color="FFFFFF"/>
            </w:tcBorders>
            <w:vAlign w:val="center"/>
          </w:tcPr>
          <w:p w14:paraId="5E4FFD97" w14:textId="25473089" w:rsidR="005E7B7E" w:rsidRPr="00416C4A" w:rsidRDefault="005E7B7E" w:rsidP="00592D9C">
            <w:pPr>
              <w:spacing w:line="480" w:lineRule="auto"/>
              <w:jc w:val="center"/>
              <w:rPr>
                <w:b/>
              </w:rPr>
            </w:pPr>
            <w:r w:rsidRPr="00416C4A">
              <w:rPr>
                <w:b/>
              </w:rPr>
              <w:t>0.</w:t>
            </w:r>
            <w:r w:rsidR="00B17D84">
              <w:rPr>
                <w:b/>
              </w:rPr>
              <w:t>332</w:t>
            </w:r>
          </w:p>
        </w:tc>
        <w:tc>
          <w:tcPr>
            <w:tcW w:w="1009" w:type="dxa"/>
            <w:tcBorders>
              <w:left w:val="single" w:sz="4" w:space="0" w:color="FFFFFF"/>
              <w:bottom w:val="single" w:sz="4" w:space="0" w:color="FFFFFF" w:themeColor="background1"/>
              <w:right w:val="single" w:sz="4" w:space="0" w:color="FFFFFF"/>
            </w:tcBorders>
            <w:vAlign w:val="center"/>
          </w:tcPr>
          <w:p w14:paraId="646E19E5" w14:textId="459A2823" w:rsidR="005E7B7E" w:rsidRPr="00416C4A" w:rsidRDefault="008214EA" w:rsidP="00592D9C">
            <w:pPr>
              <w:spacing w:line="480" w:lineRule="auto"/>
              <w:jc w:val="center"/>
              <w:rPr>
                <w:b/>
              </w:rPr>
            </w:pPr>
            <w:r>
              <w:rPr>
                <w:b/>
              </w:rPr>
              <w:t>-</w:t>
            </w:r>
            <w:r w:rsidR="005E7B7E" w:rsidRPr="00416C4A">
              <w:rPr>
                <w:b/>
              </w:rPr>
              <w:t>0.0</w:t>
            </w:r>
            <w:r>
              <w:rPr>
                <w:b/>
              </w:rPr>
              <w:t>3</w:t>
            </w:r>
            <w:r w:rsidR="005E7B7E" w:rsidRPr="00416C4A">
              <w:rPr>
                <w:b/>
              </w:rPr>
              <w:t>2</w:t>
            </w:r>
          </w:p>
        </w:tc>
        <w:tc>
          <w:tcPr>
            <w:tcW w:w="996" w:type="dxa"/>
            <w:tcBorders>
              <w:left w:val="single" w:sz="4" w:space="0" w:color="FFFFFF"/>
              <w:bottom w:val="single" w:sz="4" w:space="0" w:color="FFFFFF" w:themeColor="background1"/>
              <w:right w:val="single" w:sz="4" w:space="0" w:color="FFFFFF"/>
            </w:tcBorders>
            <w:vAlign w:val="center"/>
          </w:tcPr>
          <w:p w14:paraId="6EE44174" w14:textId="76EF5636" w:rsidR="005E7B7E" w:rsidRPr="00416C4A" w:rsidRDefault="005E7B7E" w:rsidP="00592D9C">
            <w:pPr>
              <w:spacing w:line="480" w:lineRule="auto"/>
              <w:jc w:val="center"/>
              <w:rPr>
                <w:b/>
              </w:rPr>
            </w:pPr>
            <w:r w:rsidRPr="00416C4A">
              <w:rPr>
                <w:b/>
              </w:rPr>
              <w:t>0.</w:t>
            </w:r>
            <w:r w:rsidR="008214EA">
              <w:rPr>
                <w:b/>
              </w:rPr>
              <w:t>521</w:t>
            </w:r>
          </w:p>
        </w:tc>
      </w:tr>
      <w:tr w:rsidR="005E7B7E" w:rsidRPr="00416C4A" w14:paraId="69B6D639" w14:textId="77777777" w:rsidTr="00592D9C">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7829728" w14:textId="77777777" w:rsidR="005E7B7E" w:rsidRPr="00416C4A" w:rsidRDefault="005E7B7E" w:rsidP="00592D9C">
            <w:pPr>
              <w:spacing w:line="480" w:lineRule="auto"/>
            </w:pPr>
            <w:r w:rsidRPr="00416C4A">
              <w:t>%Executive Female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7ED8F7B" w14:textId="1D8FC2C6" w:rsidR="005E7B7E" w:rsidRPr="00416C4A" w:rsidRDefault="00C52212" w:rsidP="00592D9C">
            <w:pPr>
              <w:spacing w:line="480" w:lineRule="auto"/>
              <w:jc w:val="center"/>
            </w:pPr>
            <w:r>
              <w:t>0.008</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FA63322" w14:textId="00EFF6DB" w:rsidR="005E7B7E" w:rsidRPr="00416C4A" w:rsidRDefault="00C52212" w:rsidP="00592D9C">
            <w:pPr>
              <w:spacing w:line="480" w:lineRule="auto"/>
              <w:jc w:val="center"/>
            </w:pPr>
            <w:r>
              <w:t>0.941</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8FBFE83" w14:textId="7A169DB1" w:rsidR="005E7B7E" w:rsidRPr="00416C4A" w:rsidRDefault="005E7B7E" w:rsidP="00592D9C">
            <w:pPr>
              <w:spacing w:line="480" w:lineRule="auto"/>
              <w:jc w:val="center"/>
            </w:pPr>
            <w:r w:rsidRPr="00416C4A">
              <w:t>0.</w:t>
            </w:r>
            <w:r w:rsidR="00A02ACB">
              <w:t>0</w:t>
            </w:r>
            <w:r w:rsidRPr="00416C4A">
              <w:t>2</w:t>
            </w:r>
            <w:r w:rsidR="00A02ACB">
              <w:t>7</w:t>
            </w:r>
          </w:p>
        </w:tc>
        <w:tc>
          <w:tcPr>
            <w:tcW w:w="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65F97C5" w14:textId="0CB5425D" w:rsidR="005E7B7E" w:rsidRPr="00416C4A" w:rsidRDefault="005E7B7E" w:rsidP="00592D9C">
            <w:pPr>
              <w:spacing w:line="480" w:lineRule="auto"/>
              <w:jc w:val="center"/>
            </w:pPr>
            <w:r w:rsidRPr="00416C4A">
              <w:t>0.</w:t>
            </w:r>
            <w:r w:rsidR="00A02ACB">
              <w:t>803</w:t>
            </w:r>
          </w:p>
        </w:tc>
        <w:tc>
          <w:tcPr>
            <w:tcW w:w="102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C4E3289" w14:textId="096A4F0D" w:rsidR="005E7B7E" w:rsidRPr="00416C4A" w:rsidRDefault="009203D9" w:rsidP="00592D9C">
            <w:pPr>
              <w:spacing w:line="480" w:lineRule="auto"/>
              <w:jc w:val="center"/>
            </w:pPr>
            <w:r>
              <w:t>0.212</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EF5A708" w14:textId="5FC00431" w:rsidR="005E7B7E" w:rsidRPr="00416C4A" w:rsidRDefault="009203D9" w:rsidP="00592D9C">
            <w:pPr>
              <w:spacing w:line="480" w:lineRule="auto"/>
              <w:jc w:val="center"/>
            </w:pPr>
            <w:r>
              <w:t>0.256</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EB97FEE" w14:textId="5D3D07F7" w:rsidR="005E7B7E" w:rsidRPr="00416C4A" w:rsidRDefault="005E7B7E" w:rsidP="00592D9C">
            <w:pPr>
              <w:spacing w:line="480" w:lineRule="auto"/>
              <w:jc w:val="center"/>
            </w:pPr>
            <w:r w:rsidRPr="00416C4A">
              <w:t>0.0</w:t>
            </w:r>
            <w:r w:rsidR="008214EA">
              <w:t>34</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D6DD5FB" w14:textId="1EAA79F9" w:rsidR="005E7B7E" w:rsidRPr="00416C4A" w:rsidRDefault="005E7B7E" w:rsidP="00592D9C">
            <w:pPr>
              <w:spacing w:line="480" w:lineRule="auto"/>
              <w:jc w:val="center"/>
            </w:pPr>
            <w:r w:rsidRPr="00416C4A">
              <w:t>0.</w:t>
            </w:r>
            <w:r w:rsidR="00663806">
              <w:t>609</w:t>
            </w:r>
          </w:p>
        </w:tc>
      </w:tr>
      <w:tr w:rsidR="005E7B7E" w:rsidRPr="00416C4A" w14:paraId="4405D39C" w14:textId="77777777" w:rsidTr="00592D9C">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64532F5" w14:textId="77777777" w:rsidR="005E7B7E" w:rsidRPr="00416C4A" w:rsidRDefault="005E7B7E" w:rsidP="00592D9C">
            <w:pPr>
              <w:spacing w:line="480" w:lineRule="auto"/>
            </w:pPr>
            <w:r w:rsidRPr="00416C4A">
              <w:t>Board Size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7C0AA35" w14:textId="6544B250" w:rsidR="005E7B7E" w:rsidRPr="00416C4A" w:rsidRDefault="005E7B7E" w:rsidP="00592D9C">
            <w:pPr>
              <w:spacing w:line="480" w:lineRule="auto"/>
              <w:jc w:val="center"/>
            </w:pPr>
            <w:r w:rsidRPr="00416C4A">
              <w:t>0</w:t>
            </w:r>
            <w:r w:rsidR="002225F7">
              <w:t>.0</w:t>
            </w:r>
            <w:r w:rsidRPr="00416C4A">
              <w:t>5</w:t>
            </w:r>
            <w:r w:rsidR="002225F7">
              <w:t>8</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54E9EDA" w14:textId="52C90EEA" w:rsidR="005E7B7E" w:rsidRPr="00416C4A" w:rsidRDefault="005E7B7E" w:rsidP="00592D9C">
            <w:pPr>
              <w:spacing w:line="480" w:lineRule="auto"/>
              <w:jc w:val="center"/>
            </w:pPr>
            <w:r w:rsidRPr="00416C4A">
              <w:t>0.</w:t>
            </w:r>
            <w:r w:rsidR="002225F7">
              <w:t>8</w:t>
            </w:r>
            <w:r w:rsidRPr="00416C4A">
              <w:t>4</w:t>
            </w:r>
            <w:r w:rsidR="002225F7">
              <w:t>5</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75EFD47" w14:textId="0D43BED4" w:rsidR="005E7B7E" w:rsidRPr="00416C4A" w:rsidRDefault="005E7B7E" w:rsidP="00592D9C">
            <w:pPr>
              <w:spacing w:line="480" w:lineRule="auto"/>
              <w:jc w:val="center"/>
            </w:pPr>
            <w:r w:rsidRPr="00416C4A">
              <w:t>-</w:t>
            </w:r>
            <w:r w:rsidR="000671D1">
              <w:t>0</w:t>
            </w:r>
            <w:r w:rsidRPr="00416C4A">
              <w:t>.</w:t>
            </w:r>
            <w:r w:rsidR="000671D1">
              <w:t>249</w:t>
            </w:r>
          </w:p>
        </w:tc>
        <w:tc>
          <w:tcPr>
            <w:tcW w:w="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227497C" w14:textId="64886FAC" w:rsidR="005E7B7E" w:rsidRPr="00416C4A" w:rsidRDefault="005E7B7E" w:rsidP="00592D9C">
            <w:pPr>
              <w:spacing w:line="480" w:lineRule="auto"/>
              <w:jc w:val="center"/>
            </w:pPr>
            <w:r w:rsidRPr="00416C4A">
              <w:t>0.</w:t>
            </w:r>
            <w:r w:rsidR="000671D1">
              <w:t>42</w:t>
            </w:r>
            <w:r w:rsidR="00D2773C">
              <w:t>0</w:t>
            </w:r>
          </w:p>
        </w:tc>
        <w:tc>
          <w:tcPr>
            <w:tcW w:w="102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83AF8D5" w14:textId="1BEDABF2" w:rsidR="005E7B7E" w:rsidRPr="00416C4A" w:rsidRDefault="005E7B7E" w:rsidP="00592D9C">
            <w:pPr>
              <w:spacing w:line="480" w:lineRule="auto"/>
              <w:jc w:val="center"/>
            </w:pPr>
            <w:r w:rsidRPr="00416C4A">
              <w:t>0.</w:t>
            </w:r>
            <w:r w:rsidR="009203D9">
              <w:t>484</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968D49A" w14:textId="1330B356" w:rsidR="005E7B7E" w:rsidRPr="00416C4A" w:rsidRDefault="005E7B7E" w:rsidP="00592D9C">
            <w:pPr>
              <w:spacing w:line="480" w:lineRule="auto"/>
              <w:jc w:val="center"/>
              <w:rPr>
                <w:bCs/>
              </w:rPr>
            </w:pPr>
            <w:r w:rsidRPr="00416C4A">
              <w:t>0.</w:t>
            </w:r>
            <w:r w:rsidR="009203D9">
              <w:t>4</w:t>
            </w:r>
            <w:r w:rsidRPr="00416C4A">
              <w:t>0</w:t>
            </w:r>
            <w:r w:rsidR="009203D9">
              <w:t>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BED4661" w14:textId="4136A156" w:rsidR="005E7B7E" w:rsidRPr="00416C4A" w:rsidRDefault="005E7B7E" w:rsidP="00592D9C">
            <w:pPr>
              <w:spacing w:line="480" w:lineRule="auto"/>
              <w:jc w:val="center"/>
            </w:pPr>
            <w:r w:rsidRPr="00416C4A">
              <w:t>0.2</w:t>
            </w:r>
            <w:r w:rsidR="00663806">
              <w:t>21</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8B1B1FC" w14:textId="1F060421" w:rsidR="005E7B7E" w:rsidRPr="00416C4A" w:rsidRDefault="005E7B7E" w:rsidP="00592D9C">
            <w:pPr>
              <w:spacing w:line="480" w:lineRule="auto"/>
              <w:jc w:val="center"/>
            </w:pPr>
            <w:r w:rsidRPr="00416C4A">
              <w:t>0.</w:t>
            </w:r>
            <w:r w:rsidR="00663806">
              <w:t>191</w:t>
            </w:r>
          </w:p>
        </w:tc>
      </w:tr>
      <w:tr w:rsidR="005E7B7E" w:rsidRPr="00416C4A" w14:paraId="0AD9F445" w14:textId="77777777" w:rsidTr="00592D9C">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E93D0F4" w14:textId="77777777" w:rsidR="005E7B7E" w:rsidRPr="00416C4A" w:rsidRDefault="005E7B7E" w:rsidP="00592D9C">
            <w:pPr>
              <w:spacing w:line="480" w:lineRule="auto"/>
            </w:pPr>
            <w:r w:rsidRPr="00416C4A">
              <w:t>Firm Size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7C3ECD7" w14:textId="2C8357BF" w:rsidR="005E7B7E" w:rsidRPr="00416C4A" w:rsidRDefault="005E7B7E" w:rsidP="00592D9C">
            <w:pPr>
              <w:spacing w:line="480" w:lineRule="auto"/>
              <w:jc w:val="center"/>
            </w:pPr>
            <w:r w:rsidRPr="00416C4A">
              <w:t>-2.6</w:t>
            </w:r>
            <w:r w:rsidR="002B53B3">
              <w:t>16</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261E9E5" w14:textId="5B17FF5E" w:rsidR="005E7B7E" w:rsidRPr="00416C4A" w:rsidRDefault="005E7B7E" w:rsidP="00592D9C">
            <w:pPr>
              <w:spacing w:line="480" w:lineRule="auto"/>
              <w:jc w:val="center"/>
              <w:rPr>
                <w:bCs/>
              </w:rPr>
            </w:pPr>
            <w:r w:rsidRPr="00416C4A">
              <w:rPr>
                <w:bCs/>
              </w:rPr>
              <w:t>0.</w:t>
            </w:r>
            <w:r w:rsidR="002B53B3">
              <w:rPr>
                <w:bCs/>
              </w:rPr>
              <w:t>0</w:t>
            </w:r>
            <w:r w:rsidRPr="00416C4A">
              <w:rPr>
                <w:bCs/>
              </w:rPr>
              <w:t>1</w:t>
            </w:r>
            <w:r w:rsidR="002B53B3">
              <w:rPr>
                <w:bCs/>
              </w:rPr>
              <w:t>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FA22D1C" w14:textId="48867AB4" w:rsidR="005E7B7E" w:rsidRPr="00416C4A" w:rsidRDefault="005E7B7E" w:rsidP="00592D9C">
            <w:pPr>
              <w:spacing w:line="480" w:lineRule="auto"/>
              <w:jc w:val="center"/>
            </w:pPr>
            <w:r w:rsidRPr="00416C4A">
              <w:t>-2.</w:t>
            </w:r>
            <w:r w:rsidR="00D2773C">
              <w:t>122</w:t>
            </w:r>
          </w:p>
        </w:tc>
        <w:tc>
          <w:tcPr>
            <w:tcW w:w="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BA95BA5" w14:textId="3FB03245" w:rsidR="005E7B7E" w:rsidRPr="00416C4A" w:rsidRDefault="005E7B7E" w:rsidP="00592D9C">
            <w:pPr>
              <w:spacing w:line="480" w:lineRule="auto"/>
              <w:jc w:val="center"/>
              <w:rPr>
                <w:bCs/>
              </w:rPr>
            </w:pPr>
            <w:r w:rsidRPr="00416C4A">
              <w:rPr>
                <w:bCs/>
              </w:rPr>
              <w:t>0.0</w:t>
            </w:r>
            <w:r w:rsidR="00D2773C">
              <w:rPr>
                <w:bCs/>
              </w:rPr>
              <w:t>69</w:t>
            </w:r>
          </w:p>
        </w:tc>
        <w:tc>
          <w:tcPr>
            <w:tcW w:w="102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B2DA5EE" w14:textId="15DD04AF" w:rsidR="005E7B7E" w:rsidRPr="00416C4A" w:rsidRDefault="005E7B7E" w:rsidP="00592D9C">
            <w:pPr>
              <w:spacing w:line="480" w:lineRule="auto"/>
              <w:jc w:val="center"/>
            </w:pPr>
            <w:r w:rsidRPr="00416C4A">
              <w:t>-</w:t>
            </w:r>
            <w:r w:rsidR="00395935">
              <w:t>2</w:t>
            </w:r>
            <w:r w:rsidRPr="00416C4A">
              <w:t>.1</w:t>
            </w:r>
            <w:r w:rsidR="00395935">
              <w:t>3</w:t>
            </w:r>
            <w:r w:rsidRPr="00416C4A">
              <w:t>8</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1435EE6" w14:textId="2753AADD" w:rsidR="005E7B7E" w:rsidRPr="00416C4A" w:rsidRDefault="005E7B7E" w:rsidP="00592D9C">
            <w:pPr>
              <w:spacing w:line="480" w:lineRule="auto"/>
              <w:jc w:val="center"/>
            </w:pPr>
            <w:r w:rsidRPr="00416C4A">
              <w:rPr>
                <w:bCs/>
              </w:rPr>
              <w:t>0.2</w:t>
            </w:r>
            <w:r w:rsidR="00395935">
              <w:rPr>
                <w:bCs/>
              </w:rPr>
              <w:t>09</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078017A" w14:textId="1A19EC39" w:rsidR="005E7B7E" w:rsidRPr="00416C4A" w:rsidRDefault="005E7B7E" w:rsidP="00592D9C">
            <w:pPr>
              <w:spacing w:line="480" w:lineRule="auto"/>
              <w:jc w:val="center"/>
            </w:pPr>
            <w:r w:rsidRPr="00416C4A">
              <w:t>-0.</w:t>
            </w:r>
            <w:r w:rsidR="00B76B14">
              <w:t>877</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6DD823B" w14:textId="5CD19981" w:rsidR="005E7B7E" w:rsidRPr="00416C4A" w:rsidRDefault="005E7B7E" w:rsidP="00592D9C">
            <w:pPr>
              <w:spacing w:line="480" w:lineRule="auto"/>
              <w:jc w:val="center"/>
              <w:rPr>
                <w:bCs/>
              </w:rPr>
            </w:pPr>
            <w:r w:rsidRPr="00416C4A">
              <w:rPr>
                <w:bCs/>
              </w:rPr>
              <w:t>0.0</w:t>
            </w:r>
            <w:r w:rsidR="00B76B14">
              <w:rPr>
                <w:bCs/>
              </w:rPr>
              <w:t>42</w:t>
            </w:r>
          </w:p>
        </w:tc>
      </w:tr>
      <w:tr w:rsidR="005E7B7E" w:rsidRPr="00416C4A" w14:paraId="341391F2" w14:textId="77777777" w:rsidTr="00592D9C">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67C9E95" w14:textId="77777777" w:rsidR="005E7B7E" w:rsidRPr="00416C4A" w:rsidRDefault="005E7B7E" w:rsidP="00592D9C">
            <w:pPr>
              <w:spacing w:line="480" w:lineRule="auto"/>
            </w:pPr>
            <w:r w:rsidRPr="00416C4A">
              <w:t>Leverage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5DC97B7" w14:textId="1430CD19" w:rsidR="005E7B7E" w:rsidRPr="00416C4A" w:rsidRDefault="005E7B7E" w:rsidP="00592D9C">
            <w:pPr>
              <w:spacing w:line="480" w:lineRule="auto"/>
              <w:jc w:val="center"/>
            </w:pPr>
            <w:r w:rsidRPr="00416C4A">
              <w:t>-</w:t>
            </w:r>
            <w:r w:rsidR="002B53B3">
              <w:t>5</w:t>
            </w:r>
            <w:r w:rsidRPr="00416C4A">
              <w:t>.9</w:t>
            </w:r>
            <w:r w:rsidR="002B53B3">
              <w:t>34</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AB51C4E" w14:textId="0A4536DD" w:rsidR="005E7B7E" w:rsidRPr="00416C4A" w:rsidRDefault="005E7B7E" w:rsidP="00592D9C">
            <w:pPr>
              <w:spacing w:line="480" w:lineRule="auto"/>
              <w:jc w:val="center"/>
            </w:pPr>
            <w:r w:rsidRPr="00416C4A">
              <w:t>0.0</w:t>
            </w:r>
            <w:r w:rsidR="00026A88">
              <w:t>46</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F5BF49D" w14:textId="00B34B94" w:rsidR="005E7B7E" w:rsidRPr="00416C4A" w:rsidRDefault="005E7B7E" w:rsidP="00592D9C">
            <w:pPr>
              <w:spacing w:line="480" w:lineRule="auto"/>
              <w:jc w:val="center"/>
            </w:pPr>
            <w:r w:rsidRPr="00416C4A">
              <w:t>-</w:t>
            </w:r>
            <w:r w:rsidR="000671D1">
              <w:t>5</w:t>
            </w:r>
            <w:r w:rsidRPr="00416C4A">
              <w:t>.</w:t>
            </w:r>
            <w:r w:rsidR="000671D1">
              <w:t>0</w:t>
            </w:r>
            <w:r w:rsidRPr="00416C4A">
              <w:t>5</w:t>
            </w:r>
            <w:r w:rsidR="00176F45">
              <w:t>7</w:t>
            </w:r>
          </w:p>
        </w:tc>
        <w:tc>
          <w:tcPr>
            <w:tcW w:w="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5C422ED" w14:textId="1BA23677" w:rsidR="005E7B7E" w:rsidRPr="00416C4A" w:rsidRDefault="005E7B7E" w:rsidP="00592D9C">
            <w:pPr>
              <w:spacing w:line="480" w:lineRule="auto"/>
              <w:jc w:val="center"/>
            </w:pPr>
            <w:r w:rsidRPr="00416C4A">
              <w:t>0.</w:t>
            </w:r>
            <w:r w:rsidR="00176F45">
              <w:t>1</w:t>
            </w:r>
            <w:r w:rsidRPr="00416C4A">
              <w:t>0</w:t>
            </w:r>
            <w:r w:rsidR="00176F45">
              <w:t>7</w:t>
            </w:r>
          </w:p>
        </w:tc>
        <w:tc>
          <w:tcPr>
            <w:tcW w:w="102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07C8330" w14:textId="3A5C8217" w:rsidR="005E7B7E" w:rsidRPr="00416C4A" w:rsidRDefault="00395935" w:rsidP="00592D9C">
            <w:pPr>
              <w:spacing w:line="480" w:lineRule="auto"/>
              <w:jc w:val="center"/>
            </w:pPr>
            <w:r>
              <w:t>-11</w:t>
            </w:r>
            <w:r w:rsidR="005E7B7E" w:rsidRPr="00416C4A">
              <w:t>.</w:t>
            </w:r>
            <w:r>
              <w:t>479</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3C19EE7" w14:textId="5C867E66" w:rsidR="005E7B7E" w:rsidRPr="00416C4A" w:rsidRDefault="005E7B7E" w:rsidP="00592D9C">
            <w:pPr>
              <w:spacing w:line="480" w:lineRule="auto"/>
              <w:jc w:val="center"/>
              <w:rPr>
                <w:bCs/>
              </w:rPr>
            </w:pPr>
            <w:r w:rsidRPr="00416C4A">
              <w:t>0.</w:t>
            </w:r>
            <w:r w:rsidR="00874B8C">
              <w:t>054</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FD7C5DD" w14:textId="569388D8" w:rsidR="005E7B7E" w:rsidRPr="00416C4A" w:rsidRDefault="00B76B14" w:rsidP="00592D9C">
            <w:pPr>
              <w:spacing w:line="480" w:lineRule="auto"/>
              <w:jc w:val="center"/>
            </w:pPr>
            <w:r>
              <w:t>1</w:t>
            </w:r>
            <w:r w:rsidR="005E7B7E" w:rsidRPr="00416C4A">
              <w:t>.5</w:t>
            </w:r>
            <w:r>
              <w:t>4</w:t>
            </w:r>
            <w:r w:rsidR="005E7B7E" w:rsidRPr="00416C4A">
              <w:t>9</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3CE800F" w14:textId="11A2FF61" w:rsidR="005E7B7E" w:rsidRPr="00416C4A" w:rsidRDefault="005E7B7E" w:rsidP="00592D9C">
            <w:pPr>
              <w:spacing w:line="480" w:lineRule="auto"/>
              <w:jc w:val="center"/>
            </w:pPr>
            <w:r w:rsidRPr="00416C4A">
              <w:t>0.31</w:t>
            </w:r>
            <w:r w:rsidR="00B76B14">
              <w:t>4</w:t>
            </w:r>
          </w:p>
        </w:tc>
      </w:tr>
      <w:tr w:rsidR="005E7B7E" w:rsidRPr="00416C4A" w14:paraId="255793DC" w14:textId="77777777" w:rsidTr="00592D9C">
        <w:tc>
          <w:tcPr>
            <w:tcW w:w="2263" w:type="dxa"/>
            <w:tcBorders>
              <w:top w:val="single" w:sz="4" w:space="0" w:color="FFFFFF" w:themeColor="background1"/>
              <w:left w:val="single" w:sz="4" w:space="0" w:color="FFFFFF"/>
              <w:bottom w:val="single" w:sz="4" w:space="0" w:color="FFFFFF"/>
              <w:right w:val="single" w:sz="4" w:space="0" w:color="FFFFFF"/>
            </w:tcBorders>
            <w:vAlign w:val="center"/>
          </w:tcPr>
          <w:p w14:paraId="6DD2CA3A" w14:textId="77777777" w:rsidR="005E7B7E" w:rsidRPr="00416C4A" w:rsidRDefault="005E7B7E" w:rsidP="00592D9C">
            <w:pPr>
              <w:spacing w:line="480" w:lineRule="auto"/>
            </w:pPr>
            <w:r w:rsidRPr="00416C4A">
              <w:t>ROA</w:t>
            </w:r>
          </w:p>
        </w:tc>
        <w:tc>
          <w:tcPr>
            <w:tcW w:w="851" w:type="dxa"/>
            <w:tcBorders>
              <w:top w:val="single" w:sz="4" w:space="0" w:color="FFFFFF" w:themeColor="background1"/>
              <w:left w:val="single" w:sz="4" w:space="0" w:color="FFFFFF"/>
              <w:bottom w:val="single" w:sz="4" w:space="0" w:color="FFFFFF"/>
              <w:right w:val="single" w:sz="4" w:space="0" w:color="FFFFFF"/>
            </w:tcBorders>
            <w:vAlign w:val="center"/>
          </w:tcPr>
          <w:p w14:paraId="4AA500B1" w14:textId="77777777" w:rsidR="005E7B7E" w:rsidRPr="00416C4A" w:rsidRDefault="005E7B7E" w:rsidP="00592D9C">
            <w:pPr>
              <w:spacing w:line="480" w:lineRule="auto"/>
              <w:jc w:val="center"/>
            </w:pPr>
          </w:p>
        </w:tc>
        <w:tc>
          <w:tcPr>
            <w:tcW w:w="992" w:type="dxa"/>
            <w:tcBorders>
              <w:top w:val="single" w:sz="4" w:space="0" w:color="FFFFFF" w:themeColor="background1"/>
              <w:left w:val="single" w:sz="4" w:space="0" w:color="FFFFFF"/>
              <w:bottom w:val="single" w:sz="4" w:space="0" w:color="FFFFFF"/>
              <w:right w:val="single" w:sz="4" w:space="0" w:color="FFFFFF"/>
            </w:tcBorders>
            <w:vAlign w:val="center"/>
          </w:tcPr>
          <w:p w14:paraId="37185640" w14:textId="77777777" w:rsidR="005E7B7E" w:rsidRPr="00416C4A" w:rsidRDefault="005E7B7E" w:rsidP="00592D9C">
            <w:pPr>
              <w:spacing w:line="480" w:lineRule="auto"/>
              <w:jc w:val="center"/>
            </w:pP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2F15E18A" w14:textId="77777777" w:rsidR="005E7B7E" w:rsidRPr="00416C4A" w:rsidRDefault="005E7B7E" w:rsidP="00592D9C">
            <w:pPr>
              <w:spacing w:line="480" w:lineRule="auto"/>
              <w:jc w:val="center"/>
            </w:pPr>
          </w:p>
        </w:tc>
        <w:tc>
          <w:tcPr>
            <w:tcW w:w="976" w:type="dxa"/>
            <w:tcBorders>
              <w:top w:val="single" w:sz="4" w:space="0" w:color="FFFFFF" w:themeColor="background1"/>
              <w:left w:val="single" w:sz="4" w:space="0" w:color="FFFFFF"/>
              <w:bottom w:val="single" w:sz="4" w:space="0" w:color="FFFFFF"/>
              <w:right w:val="single" w:sz="4" w:space="0" w:color="FFFFFF"/>
            </w:tcBorders>
            <w:vAlign w:val="center"/>
          </w:tcPr>
          <w:p w14:paraId="757A3B61" w14:textId="77777777" w:rsidR="005E7B7E" w:rsidRPr="00416C4A" w:rsidRDefault="005E7B7E" w:rsidP="00592D9C">
            <w:pPr>
              <w:spacing w:line="480" w:lineRule="auto"/>
              <w:jc w:val="center"/>
            </w:pPr>
          </w:p>
        </w:tc>
        <w:tc>
          <w:tcPr>
            <w:tcW w:w="1029" w:type="dxa"/>
            <w:tcBorders>
              <w:top w:val="single" w:sz="4" w:space="0" w:color="FFFFFF" w:themeColor="background1"/>
              <w:left w:val="single" w:sz="4" w:space="0" w:color="FFFFFF"/>
              <w:bottom w:val="single" w:sz="4" w:space="0" w:color="FFFFFF"/>
              <w:right w:val="single" w:sz="4" w:space="0" w:color="FFFFFF"/>
            </w:tcBorders>
            <w:vAlign w:val="center"/>
          </w:tcPr>
          <w:p w14:paraId="6D44E6AE" w14:textId="3B382674" w:rsidR="005E7B7E" w:rsidRPr="00416C4A" w:rsidRDefault="005E7B7E" w:rsidP="00592D9C">
            <w:pPr>
              <w:spacing w:line="480" w:lineRule="auto"/>
              <w:jc w:val="center"/>
            </w:pPr>
            <w:r w:rsidRPr="00416C4A">
              <w:t>0.</w:t>
            </w:r>
            <w:r w:rsidR="00874B8C">
              <w:t>4</w:t>
            </w:r>
            <w:r w:rsidRPr="00416C4A">
              <w:t>1</w:t>
            </w:r>
            <w:r w:rsidR="00874B8C">
              <w:t>7</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07529787" w14:textId="60B04704" w:rsidR="005E7B7E" w:rsidRPr="00416C4A" w:rsidRDefault="005E7B7E" w:rsidP="00592D9C">
            <w:pPr>
              <w:spacing w:line="480" w:lineRule="auto"/>
              <w:jc w:val="center"/>
            </w:pPr>
            <w:r w:rsidRPr="00416C4A">
              <w:rPr>
                <w:bCs/>
              </w:rPr>
              <w:t>0.</w:t>
            </w:r>
            <w:r w:rsidR="00874B8C">
              <w:rPr>
                <w:bCs/>
              </w:rPr>
              <w:t>186</w:t>
            </w: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463041CC" w14:textId="411E6D6E" w:rsidR="005E7B7E" w:rsidRPr="00416C4A" w:rsidRDefault="005E7B7E" w:rsidP="00592D9C">
            <w:pPr>
              <w:spacing w:line="480" w:lineRule="auto"/>
              <w:jc w:val="center"/>
            </w:pPr>
            <w:r w:rsidRPr="00416C4A">
              <w:t>0.1</w:t>
            </w:r>
            <w:r w:rsidR="00DE1C35">
              <w:t>91</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4458FFBB" w14:textId="3AC814E5" w:rsidR="005E7B7E" w:rsidRPr="00416C4A" w:rsidRDefault="005E7B7E" w:rsidP="00592D9C">
            <w:pPr>
              <w:spacing w:line="480" w:lineRule="auto"/>
              <w:jc w:val="center"/>
              <w:rPr>
                <w:bCs/>
              </w:rPr>
            </w:pPr>
            <w:r w:rsidRPr="00416C4A">
              <w:rPr>
                <w:bCs/>
              </w:rPr>
              <w:t>0.00</w:t>
            </w:r>
            <w:r w:rsidR="00DE1C35">
              <w:rPr>
                <w:bCs/>
              </w:rPr>
              <w:t>9</w:t>
            </w:r>
          </w:p>
        </w:tc>
      </w:tr>
      <w:tr w:rsidR="005E7B7E" w:rsidRPr="00416C4A" w14:paraId="674A0D0E" w14:textId="77777777" w:rsidTr="00592D9C">
        <w:trPr>
          <w:trHeight w:val="335"/>
        </w:trPr>
        <w:tc>
          <w:tcPr>
            <w:tcW w:w="2263" w:type="dxa"/>
            <w:tcBorders>
              <w:top w:val="single" w:sz="4" w:space="0" w:color="FFFFFF"/>
              <w:left w:val="single" w:sz="4" w:space="0" w:color="FFFFFF"/>
              <w:bottom w:val="nil"/>
              <w:right w:val="single" w:sz="4" w:space="0" w:color="FFFFFF"/>
            </w:tcBorders>
            <w:vAlign w:val="center"/>
          </w:tcPr>
          <w:p w14:paraId="2BD01A1E" w14:textId="77777777" w:rsidR="005E7B7E" w:rsidRPr="00416C4A" w:rsidRDefault="005E7B7E" w:rsidP="00592D9C">
            <w:pPr>
              <w:spacing w:line="480" w:lineRule="auto"/>
            </w:pPr>
            <w:r w:rsidRPr="00416C4A">
              <w:t>Constant</w:t>
            </w:r>
          </w:p>
        </w:tc>
        <w:tc>
          <w:tcPr>
            <w:tcW w:w="1843" w:type="dxa"/>
            <w:gridSpan w:val="2"/>
            <w:tcBorders>
              <w:top w:val="single" w:sz="4" w:space="0" w:color="FFFFFF"/>
              <w:left w:val="single" w:sz="4" w:space="0" w:color="FFFFFF"/>
              <w:bottom w:val="nil"/>
              <w:right w:val="single" w:sz="4" w:space="0" w:color="FFFFFF"/>
            </w:tcBorders>
            <w:vAlign w:val="center"/>
          </w:tcPr>
          <w:p w14:paraId="6986B767" w14:textId="77777777" w:rsidR="005E7B7E" w:rsidRPr="00416C4A" w:rsidRDefault="005E7B7E" w:rsidP="00592D9C">
            <w:pPr>
              <w:spacing w:line="480" w:lineRule="auto"/>
              <w:jc w:val="center"/>
            </w:pPr>
            <w:r w:rsidRPr="00416C4A">
              <w:t>Included</w:t>
            </w:r>
          </w:p>
        </w:tc>
        <w:tc>
          <w:tcPr>
            <w:tcW w:w="1985" w:type="dxa"/>
            <w:gridSpan w:val="2"/>
            <w:tcBorders>
              <w:top w:val="single" w:sz="4" w:space="0" w:color="FFFFFF"/>
              <w:left w:val="single" w:sz="4" w:space="0" w:color="FFFFFF"/>
              <w:bottom w:val="nil"/>
              <w:right w:val="single" w:sz="4" w:space="0" w:color="FFFFFF"/>
            </w:tcBorders>
            <w:vAlign w:val="center"/>
          </w:tcPr>
          <w:p w14:paraId="05638C7B" w14:textId="77777777" w:rsidR="005E7B7E" w:rsidRPr="00416C4A" w:rsidRDefault="005E7B7E" w:rsidP="00592D9C">
            <w:pPr>
              <w:spacing w:line="480" w:lineRule="auto"/>
              <w:jc w:val="center"/>
            </w:pPr>
            <w:r w:rsidRPr="00416C4A">
              <w:t>Included</w:t>
            </w:r>
          </w:p>
        </w:tc>
        <w:tc>
          <w:tcPr>
            <w:tcW w:w="2025" w:type="dxa"/>
            <w:gridSpan w:val="2"/>
            <w:tcBorders>
              <w:top w:val="single" w:sz="4" w:space="0" w:color="FFFFFF"/>
              <w:left w:val="single" w:sz="4" w:space="0" w:color="FFFFFF"/>
              <w:bottom w:val="nil"/>
              <w:right w:val="single" w:sz="4" w:space="0" w:color="FFFFFF"/>
            </w:tcBorders>
            <w:vAlign w:val="center"/>
          </w:tcPr>
          <w:p w14:paraId="5711050D" w14:textId="77777777" w:rsidR="005E7B7E" w:rsidRPr="00416C4A" w:rsidRDefault="005E7B7E" w:rsidP="00592D9C">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4CB56E01" w14:textId="77777777" w:rsidR="005E7B7E" w:rsidRPr="00416C4A" w:rsidRDefault="005E7B7E" w:rsidP="00592D9C">
            <w:pPr>
              <w:spacing w:line="480" w:lineRule="auto"/>
              <w:jc w:val="center"/>
            </w:pPr>
            <w:r w:rsidRPr="00416C4A">
              <w:t>Included</w:t>
            </w:r>
          </w:p>
        </w:tc>
      </w:tr>
      <w:tr w:rsidR="005E7B7E" w:rsidRPr="00416C4A" w14:paraId="360C4377" w14:textId="77777777" w:rsidTr="00592D9C">
        <w:trPr>
          <w:trHeight w:val="335"/>
        </w:trPr>
        <w:tc>
          <w:tcPr>
            <w:tcW w:w="2263" w:type="dxa"/>
            <w:tcBorders>
              <w:top w:val="nil"/>
              <w:left w:val="single" w:sz="4" w:space="0" w:color="FFFFFF"/>
              <w:bottom w:val="single" w:sz="4" w:space="0" w:color="auto"/>
              <w:right w:val="single" w:sz="4" w:space="0" w:color="FFFFFF"/>
            </w:tcBorders>
            <w:vAlign w:val="center"/>
          </w:tcPr>
          <w:p w14:paraId="1EE3B31F" w14:textId="77777777" w:rsidR="005E7B7E" w:rsidRPr="00416C4A" w:rsidRDefault="005E7B7E" w:rsidP="00592D9C">
            <w:pPr>
              <w:spacing w:line="480" w:lineRule="auto"/>
            </w:pPr>
            <w:r w:rsidRPr="00416C4A">
              <w:t>Industry and year FE</w:t>
            </w:r>
          </w:p>
        </w:tc>
        <w:tc>
          <w:tcPr>
            <w:tcW w:w="1843" w:type="dxa"/>
            <w:gridSpan w:val="2"/>
            <w:tcBorders>
              <w:top w:val="nil"/>
              <w:left w:val="single" w:sz="4" w:space="0" w:color="FFFFFF"/>
              <w:bottom w:val="single" w:sz="4" w:space="0" w:color="auto"/>
              <w:right w:val="single" w:sz="4" w:space="0" w:color="FFFFFF"/>
            </w:tcBorders>
            <w:vAlign w:val="center"/>
          </w:tcPr>
          <w:p w14:paraId="205B685B" w14:textId="77777777" w:rsidR="005E7B7E" w:rsidRPr="00416C4A" w:rsidRDefault="005E7B7E" w:rsidP="00592D9C">
            <w:pPr>
              <w:spacing w:line="480" w:lineRule="auto"/>
              <w:jc w:val="center"/>
            </w:pPr>
            <w:r w:rsidRPr="00416C4A">
              <w:t>Included</w:t>
            </w:r>
          </w:p>
        </w:tc>
        <w:tc>
          <w:tcPr>
            <w:tcW w:w="1985" w:type="dxa"/>
            <w:gridSpan w:val="2"/>
            <w:tcBorders>
              <w:top w:val="nil"/>
              <w:left w:val="single" w:sz="4" w:space="0" w:color="FFFFFF"/>
              <w:bottom w:val="single" w:sz="4" w:space="0" w:color="auto"/>
              <w:right w:val="single" w:sz="4" w:space="0" w:color="FFFFFF"/>
            </w:tcBorders>
            <w:vAlign w:val="center"/>
          </w:tcPr>
          <w:p w14:paraId="5BE5D2B1" w14:textId="77777777" w:rsidR="005E7B7E" w:rsidRPr="00416C4A" w:rsidRDefault="005E7B7E" w:rsidP="00592D9C">
            <w:pPr>
              <w:spacing w:line="480" w:lineRule="auto"/>
              <w:jc w:val="center"/>
            </w:pPr>
            <w:r w:rsidRPr="00416C4A">
              <w:t>Included</w:t>
            </w:r>
          </w:p>
        </w:tc>
        <w:tc>
          <w:tcPr>
            <w:tcW w:w="2025" w:type="dxa"/>
            <w:gridSpan w:val="2"/>
            <w:tcBorders>
              <w:top w:val="nil"/>
              <w:left w:val="single" w:sz="4" w:space="0" w:color="FFFFFF"/>
              <w:bottom w:val="single" w:sz="4" w:space="0" w:color="auto"/>
              <w:right w:val="single" w:sz="4" w:space="0" w:color="FFFFFF"/>
            </w:tcBorders>
            <w:vAlign w:val="center"/>
          </w:tcPr>
          <w:p w14:paraId="1AD0C99D" w14:textId="77777777" w:rsidR="005E7B7E" w:rsidRPr="00416C4A" w:rsidRDefault="005E7B7E" w:rsidP="00592D9C">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01A87139" w14:textId="77777777" w:rsidR="005E7B7E" w:rsidRPr="00416C4A" w:rsidRDefault="005E7B7E" w:rsidP="00592D9C">
            <w:pPr>
              <w:spacing w:line="480" w:lineRule="auto"/>
              <w:jc w:val="center"/>
            </w:pPr>
            <w:r w:rsidRPr="00416C4A">
              <w:t>Included</w:t>
            </w:r>
          </w:p>
        </w:tc>
      </w:tr>
      <w:tr w:rsidR="005E7B7E" w:rsidRPr="00416C4A" w14:paraId="6ED4C62D" w14:textId="77777777" w:rsidTr="00592D9C">
        <w:tc>
          <w:tcPr>
            <w:tcW w:w="2263" w:type="dxa"/>
            <w:tcBorders>
              <w:top w:val="single" w:sz="4" w:space="0" w:color="auto"/>
              <w:left w:val="single" w:sz="4" w:space="0" w:color="FFFFFF"/>
              <w:bottom w:val="single" w:sz="4" w:space="0" w:color="FFFFFF"/>
              <w:right w:val="single" w:sz="4" w:space="0" w:color="FFFFFF"/>
            </w:tcBorders>
            <w:vAlign w:val="center"/>
          </w:tcPr>
          <w:p w14:paraId="0F850912" w14:textId="77777777" w:rsidR="005E7B7E" w:rsidRPr="00416C4A" w:rsidRDefault="005E7B7E" w:rsidP="00592D9C">
            <w:pPr>
              <w:spacing w:line="480" w:lineRule="auto"/>
            </w:pPr>
            <w:r w:rsidRPr="00416C4A">
              <w:t>Number of obs.</w:t>
            </w:r>
          </w:p>
        </w:tc>
        <w:tc>
          <w:tcPr>
            <w:tcW w:w="1843" w:type="dxa"/>
            <w:gridSpan w:val="2"/>
            <w:tcBorders>
              <w:top w:val="single" w:sz="4" w:space="0" w:color="auto"/>
              <w:left w:val="single" w:sz="4" w:space="0" w:color="FFFFFF"/>
              <w:bottom w:val="single" w:sz="4" w:space="0" w:color="FFFFFF"/>
              <w:right w:val="single" w:sz="4" w:space="0" w:color="FFFFFF"/>
            </w:tcBorders>
            <w:vAlign w:val="center"/>
          </w:tcPr>
          <w:p w14:paraId="7DB9B880" w14:textId="53B8F9D5" w:rsidR="005E7B7E" w:rsidRPr="00416C4A" w:rsidRDefault="005E7B7E" w:rsidP="00592D9C">
            <w:pPr>
              <w:spacing w:line="480" w:lineRule="auto"/>
              <w:jc w:val="center"/>
            </w:pPr>
            <w:r w:rsidRPr="00416C4A">
              <w:t>49</w:t>
            </w:r>
            <w:r w:rsidR="00CF7775">
              <w:t>0</w:t>
            </w:r>
          </w:p>
        </w:tc>
        <w:tc>
          <w:tcPr>
            <w:tcW w:w="1985" w:type="dxa"/>
            <w:gridSpan w:val="2"/>
            <w:tcBorders>
              <w:top w:val="single" w:sz="4" w:space="0" w:color="auto"/>
              <w:left w:val="single" w:sz="4" w:space="0" w:color="FFFFFF"/>
              <w:bottom w:val="single" w:sz="4" w:space="0" w:color="FFFFFF"/>
              <w:right w:val="single" w:sz="4" w:space="0" w:color="FFFFFF"/>
            </w:tcBorders>
            <w:vAlign w:val="center"/>
          </w:tcPr>
          <w:p w14:paraId="555C3B7C" w14:textId="38211902" w:rsidR="005E7B7E" w:rsidRPr="00416C4A" w:rsidRDefault="005E7B7E" w:rsidP="00592D9C">
            <w:pPr>
              <w:spacing w:line="480" w:lineRule="auto"/>
              <w:jc w:val="center"/>
            </w:pPr>
            <w:r w:rsidRPr="00416C4A">
              <w:t>4</w:t>
            </w:r>
            <w:r w:rsidR="00176F45">
              <w:t>83</w:t>
            </w:r>
          </w:p>
        </w:tc>
        <w:tc>
          <w:tcPr>
            <w:tcW w:w="2025" w:type="dxa"/>
            <w:gridSpan w:val="2"/>
            <w:tcBorders>
              <w:top w:val="single" w:sz="4" w:space="0" w:color="auto"/>
              <w:left w:val="single" w:sz="4" w:space="0" w:color="FFFFFF"/>
              <w:bottom w:val="single" w:sz="4" w:space="0" w:color="FFFFFF"/>
              <w:right w:val="single" w:sz="4" w:space="0" w:color="FFFFFF"/>
            </w:tcBorders>
            <w:vAlign w:val="center"/>
          </w:tcPr>
          <w:p w14:paraId="4E62D6EB" w14:textId="516F466D" w:rsidR="005E7B7E" w:rsidRPr="00416C4A" w:rsidRDefault="005E7B7E" w:rsidP="00592D9C">
            <w:pPr>
              <w:spacing w:line="480" w:lineRule="auto"/>
              <w:jc w:val="center"/>
            </w:pPr>
            <w:r w:rsidRPr="00416C4A">
              <w:t>4</w:t>
            </w:r>
            <w:r w:rsidR="00B50DB4">
              <w:t>49</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4B0DE346" w14:textId="0DFC13D8" w:rsidR="005E7B7E" w:rsidRPr="00416C4A" w:rsidRDefault="005E7B7E" w:rsidP="00592D9C">
            <w:pPr>
              <w:spacing w:line="480" w:lineRule="auto"/>
              <w:jc w:val="center"/>
            </w:pPr>
            <w:r w:rsidRPr="00416C4A">
              <w:t>4</w:t>
            </w:r>
            <w:r w:rsidR="00E73F17">
              <w:t>75</w:t>
            </w:r>
          </w:p>
        </w:tc>
      </w:tr>
      <w:tr w:rsidR="005E7B7E" w:rsidRPr="00416C4A" w14:paraId="384686DF" w14:textId="77777777" w:rsidTr="00592D9C">
        <w:trPr>
          <w:trHeight w:val="521"/>
        </w:trPr>
        <w:tc>
          <w:tcPr>
            <w:tcW w:w="2263" w:type="dxa"/>
            <w:tcBorders>
              <w:top w:val="single" w:sz="4" w:space="0" w:color="FFFFFF"/>
              <w:left w:val="single" w:sz="4" w:space="0" w:color="FFFFFF"/>
              <w:right w:val="single" w:sz="4" w:space="0" w:color="FFFFFF"/>
            </w:tcBorders>
            <w:vAlign w:val="center"/>
          </w:tcPr>
          <w:p w14:paraId="73C38CB4" w14:textId="77777777" w:rsidR="005E7B7E" w:rsidRPr="00416C4A" w:rsidRDefault="005E7B7E" w:rsidP="00592D9C">
            <w:pPr>
              <w:spacing w:line="480" w:lineRule="auto"/>
            </w:pPr>
            <w:r w:rsidRPr="00416C4A">
              <w:t>Adj.  R</w:t>
            </w:r>
            <w:r w:rsidRPr="00416C4A">
              <w:rPr>
                <w:vertAlign w:val="superscript"/>
              </w:rPr>
              <w:t>2</w:t>
            </w:r>
          </w:p>
        </w:tc>
        <w:tc>
          <w:tcPr>
            <w:tcW w:w="1843" w:type="dxa"/>
            <w:gridSpan w:val="2"/>
            <w:tcBorders>
              <w:top w:val="single" w:sz="4" w:space="0" w:color="FFFFFF"/>
              <w:left w:val="single" w:sz="4" w:space="0" w:color="FFFFFF"/>
              <w:right w:val="single" w:sz="4" w:space="0" w:color="FFFFFF"/>
            </w:tcBorders>
            <w:vAlign w:val="center"/>
          </w:tcPr>
          <w:p w14:paraId="2FF9C602" w14:textId="5015145B" w:rsidR="005E7B7E" w:rsidRPr="00416C4A" w:rsidRDefault="00BF790D" w:rsidP="00592D9C">
            <w:pPr>
              <w:spacing w:line="480" w:lineRule="auto"/>
              <w:jc w:val="center"/>
            </w:pPr>
            <w:r>
              <w:t>18</w:t>
            </w:r>
            <w:r w:rsidR="005E7B7E" w:rsidRPr="00416C4A">
              <w:t>.</w:t>
            </w:r>
            <w:r w:rsidR="00C52212">
              <w:t>84</w:t>
            </w:r>
            <w:r w:rsidR="005E7B7E" w:rsidRPr="00416C4A">
              <w:t>%</w:t>
            </w:r>
          </w:p>
        </w:tc>
        <w:tc>
          <w:tcPr>
            <w:tcW w:w="1985" w:type="dxa"/>
            <w:gridSpan w:val="2"/>
            <w:tcBorders>
              <w:top w:val="single" w:sz="4" w:space="0" w:color="FFFFFF"/>
              <w:left w:val="single" w:sz="4" w:space="0" w:color="FFFFFF"/>
              <w:right w:val="single" w:sz="4" w:space="0" w:color="FFFFFF"/>
            </w:tcBorders>
            <w:vAlign w:val="center"/>
          </w:tcPr>
          <w:p w14:paraId="2EE34FD5" w14:textId="03F02B9B" w:rsidR="005E7B7E" w:rsidRPr="00416C4A" w:rsidRDefault="00176F45" w:rsidP="00592D9C">
            <w:pPr>
              <w:spacing w:line="480" w:lineRule="auto"/>
              <w:jc w:val="center"/>
            </w:pPr>
            <w:r>
              <w:t>17</w:t>
            </w:r>
            <w:r w:rsidR="005E7B7E" w:rsidRPr="00416C4A">
              <w:t>.</w:t>
            </w:r>
            <w:r>
              <w:t>44</w:t>
            </w:r>
            <w:r w:rsidR="005E7B7E" w:rsidRPr="00416C4A">
              <w:t>%</w:t>
            </w:r>
          </w:p>
        </w:tc>
        <w:tc>
          <w:tcPr>
            <w:tcW w:w="2025" w:type="dxa"/>
            <w:gridSpan w:val="2"/>
            <w:tcBorders>
              <w:top w:val="single" w:sz="4" w:space="0" w:color="FFFFFF"/>
              <w:left w:val="single" w:sz="4" w:space="0" w:color="FFFFFF"/>
              <w:right w:val="single" w:sz="4" w:space="0" w:color="FFFFFF"/>
            </w:tcBorders>
            <w:vAlign w:val="center"/>
          </w:tcPr>
          <w:p w14:paraId="617A6748" w14:textId="7424D778" w:rsidR="005E7B7E" w:rsidRPr="00416C4A" w:rsidRDefault="005E7B7E" w:rsidP="00592D9C">
            <w:pPr>
              <w:spacing w:line="480" w:lineRule="auto"/>
              <w:jc w:val="center"/>
            </w:pPr>
            <w:r w:rsidRPr="00416C4A">
              <w:t>6.</w:t>
            </w:r>
            <w:r w:rsidR="00B50DB4">
              <w:t>8</w:t>
            </w:r>
            <w:r w:rsidRPr="00416C4A">
              <w:t>0%</w:t>
            </w:r>
          </w:p>
        </w:tc>
        <w:tc>
          <w:tcPr>
            <w:tcW w:w="2005" w:type="dxa"/>
            <w:gridSpan w:val="2"/>
            <w:tcBorders>
              <w:top w:val="single" w:sz="4" w:space="0" w:color="FFFFFF"/>
              <w:left w:val="single" w:sz="4" w:space="0" w:color="FFFFFF"/>
              <w:right w:val="single" w:sz="4" w:space="0" w:color="FFFFFF"/>
            </w:tcBorders>
            <w:vAlign w:val="center"/>
          </w:tcPr>
          <w:p w14:paraId="395CCD8E" w14:textId="7D07EAB5" w:rsidR="005E7B7E" w:rsidRPr="00416C4A" w:rsidRDefault="005B1C7C" w:rsidP="00592D9C">
            <w:pPr>
              <w:spacing w:line="480" w:lineRule="auto"/>
              <w:jc w:val="center"/>
            </w:pPr>
            <w:r>
              <w:t>0</w:t>
            </w:r>
            <w:r w:rsidR="005E7B7E" w:rsidRPr="00416C4A">
              <w:t>.</w:t>
            </w:r>
            <w:r>
              <w:t>43</w:t>
            </w:r>
            <w:r w:rsidR="005E7B7E" w:rsidRPr="00416C4A">
              <w:t>%</w:t>
            </w:r>
          </w:p>
        </w:tc>
      </w:tr>
    </w:tbl>
    <w:p w14:paraId="0FCF4FFF" w14:textId="1FD5F606" w:rsidR="00A86BAD" w:rsidRPr="002504F6" w:rsidRDefault="00A86BAD" w:rsidP="00A86BAD">
      <w:pPr>
        <w:spacing w:line="480" w:lineRule="auto"/>
        <w:jc w:val="center"/>
        <w:rPr>
          <w:b/>
          <w:bCs/>
        </w:rPr>
      </w:pPr>
      <w:r w:rsidRPr="005E1551">
        <w:rPr>
          <w:b/>
          <w:bCs/>
        </w:rPr>
        <w:t xml:space="preserve">Table </w:t>
      </w:r>
      <w:r w:rsidR="00B82CF8" w:rsidRPr="005E1551">
        <w:rPr>
          <w:b/>
          <w:bCs/>
        </w:rPr>
        <w:t>6</w:t>
      </w:r>
      <w:r w:rsidRPr="005E1551">
        <w:t>:</w:t>
      </w:r>
      <w:r w:rsidRPr="005E1551">
        <w:rPr>
          <w:b/>
          <w:bCs/>
        </w:rPr>
        <w:t xml:space="preserve"> </w:t>
      </w:r>
      <w:r w:rsidR="00852CC8" w:rsidRPr="005E1551">
        <w:rPr>
          <w:b/>
          <w:bCs/>
        </w:rPr>
        <w:t xml:space="preserve">Using </w:t>
      </w:r>
      <w:r w:rsidR="008A740A" w:rsidRPr="005E1551">
        <w:rPr>
          <w:b/>
          <w:bCs/>
        </w:rPr>
        <w:t xml:space="preserve">Future </w:t>
      </w:r>
      <w:r w:rsidR="008853B4" w:rsidRPr="005E1551">
        <w:rPr>
          <w:b/>
          <w:bCs/>
        </w:rPr>
        <w:t>ROA</w:t>
      </w:r>
      <w:r w:rsidR="0097264A" w:rsidRPr="005E1551">
        <w:rPr>
          <w:b/>
          <w:bCs/>
        </w:rPr>
        <w:t xml:space="preserve"> and Tobin’s Q</w:t>
      </w:r>
    </w:p>
    <w:p w14:paraId="6CB5699E" w14:textId="77777777" w:rsidR="00592D9C" w:rsidRPr="00416C4A" w:rsidRDefault="00592D9C" w:rsidP="00592D9C">
      <w:pPr>
        <w:spacing w:line="480" w:lineRule="auto"/>
        <w:jc w:val="center"/>
      </w:pPr>
      <w:r w:rsidRPr="005E1551">
        <w:t>Panel A - Pooled sample (2012, 2014, 2016 and 2018)</w:t>
      </w:r>
    </w:p>
    <w:p w14:paraId="6E4C0A89" w14:textId="763D0C4C" w:rsidR="00592D9C" w:rsidRDefault="00592D9C" w:rsidP="00A86BAD">
      <w:pPr>
        <w:spacing w:line="480" w:lineRule="auto"/>
        <w:jc w:val="center"/>
        <w:rPr>
          <w:b/>
          <w:bCs/>
        </w:rPr>
      </w:pPr>
    </w:p>
    <w:p w14:paraId="1F0DBA6B" w14:textId="77777777" w:rsidR="00592D9C" w:rsidRDefault="00592D9C" w:rsidP="00A86BAD">
      <w:pPr>
        <w:spacing w:line="480" w:lineRule="auto"/>
        <w:jc w:val="center"/>
        <w:rPr>
          <w:b/>
          <w:bCs/>
        </w:rPr>
      </w:pPr>
    </w:p>
    <w:p w14:paraId="6D5EA310" w14:textId="62A29D5A" w:rsidR="00592D9C" w:rsidRDefault="00592D9C" w:rsidP="00A86BAD">
      <w:pPr>
        <w:spacing w:line="480" w:lineRule="auto"/>
        <w:jc w:val="center"/>
        <w:rPr>
          <w:b/>
          <w:bCs/>
        </w:rPr>
      </w:pPr>
    </w:p>
    <w:p w14:paraId="137B6395" w14:textId="77777777" w:rsidR="00592D9C" w:rsidRDefault="00592D9C" w:rsidP="00A86BAD">
      <w:pPr>
        <w:spacing w:line="480" w:lineRule="auto"/>
        <w:jc w:val="center"/>
        <w:rPr>
          <w:b/>
          <w:bCs/>
        </w:rPr>
      </w:pPr>
    </w:p>
    <w:p w14:paraId="21145509" w14:textId="77777777" w:rsidR="00592D9C" w:rsidRPr="00416C4A" w:rsidRDefault="00592D9C" w:rsidP="00A86BAD">
      <w:pPr>
        <w:spacing w:line="480" w:lineRule="auto"/>
        <w:jc w:val="center"/>
        <w:rPr>
          <w:b/>
          <w:bCs/>
        </w:rPr>
      </w:pPr>
    </w:p>
    <w:p w14:paraId="4A1ED6CE" w14:textId="1C237794" w:rsidR="00A86BAD" w:rsidRDefault="00A86BAD" w:rsidP="009163D0">
      <w:pPr>
        <w:jc w:val="both"/>
        <w:rPr>
          <w:b/>
          <w:bCs/>
        </w:rPr>
      </w:pPr>
    </w:p>
    <w:p w14:paraId="17AF1AF8" w14:textId="28D66152" w:rsidR="00A86BAD" w:rsidRDefault="00A86BAD" w:rsidP="009163D0">
      <w:pPr>
        <w:jc w:val="both"/>
        <w:rPr>
          <w:b/>
          <w:bCs/>
        </w:rPr>
      </w:pPr>
    </w:p>
    <w:p w14:paraId="43604F3F" w14:textId="60CCF029" w:rsidR="00DE1C35" w:rsidRDefault="00DE1C35" w:rsidP="009163D0">
      <w:pPr>
        <w:jc w:val="both"/>
        <w:rPr>
          <w:b/>
          <w:bCs/>
        </w:rPr>
      </w:pPr>
    </w:p>
    <w:p w14:paraId="312651A7" w14:textId="261737B4" w:rsidR="00DE1C35" w:rsidRDefault="00DE1C35" w:rsidP="009163D0">
      <w:pPr>
        <w:jc w:val="both"/>
        <w:rPr>
          <w:b/>
          <w:bCs/>
        </w:rPr>
      </w:pPr>
    </w:p>
    <w:p w14:paraId="63C0CB88" w14:textId="764D03C2" w:rsidR="00DE1C35" w:rsidRDefault="00DE1C35" w:rsidP="009163D0">
      <w:pPr>
        <w:jc w:val="both"/>
        <w:rPr>
          <w:b/>
          <w:bCs/>
        </w:rPr>
      </w:pPr>
    </w:p>
    <w:p w14:paraId="03962423" w14:textId="31F51387" w:rsidR="00DE1C35" w:rsidRDefault="00DE1C35" w:rsidP="009163D0">
      <w:pPr>
        <w:jc w:val="both"/>
        <w:rPr>
          <w:b/>
          <w:bCs/>
        </w:rPr>
      </w:pPr>
    </w:p>
    <w:p w14:paraId="21FB0074" w14:textId="354D36E3" w:rsidR="00DE1C35" w:rsidRDefault="00DE1C35" w:rsidP="009163D0">
      <w:pPr>
        <w:jc w:val="both"/>
        <w:rPr>
          <w:b/>
          <w:bCs/>
        </w:rPr>
      </w:pPr>
    </w:p>
    <w:p w14:paraId="6E3F66A6" w14:textId="1151D363" w:rsidR="00DE1C35" w:rsidRDefault="00DE1C35" w:rsidP="009163D0">
      <w:pPr>
        <w:jc w:val="both"/>
        <w:rPr>
          <w:b/>
          <w:bCs/>
        </w:rPr>
      </w:pPr>
    </w:p>
    <w:p w14:paraId="0B2731CB" w14:textId="79ADEE64" w:rsidR="00DE1C35" w:rsidRDefault="00DE1C35" w:rsidP="009163D0">
      <w:pPr>
        <w:jc w:val="both"/>
        <w:rPr>
          <w:b/>
          <w:bCs/>
        </w:rPr>
      </w:pPr>
    </w:p>
    <w:p w14:paraId="209F74A1" w14:textId="204A1989" w:rsidR="00DE1C35" w:rsidRDefault="00DE1C35" w:rsidP="009163D0">
      <w:pPr>
        <w:jc w:val="both"/>
        <w:rPr>
          <w:b/>
          <w:bCs/>
        </w:rPr>
      </w:pPr>
    </w:p>
    <w:p w14:paraId="55C25677" w14:textId="1B7BE7D4" w:rsidR="00DE1C35" w:rsidRDefault="00DE1C35" w:rsidP="009163D0">
      <w:pPr>
        <w:jc w:val="both"/>
        <w:rPr>
          <w:b/>
          <w:bCs/>
        </w:rPr>
      </w:pPr>
    </w:p>
    <w:p w14:paraId="7B796643" w14:textId="7B5505A8" w:rsidR="00DE1C35" w:rsidRDefault="00DE1C35" w:rsidP="009163D0">
      <w:pPr>
        <w:jc w:val="both"/>
        <w:rPr>
          <w:b/>
          <w:bCs/>
        </w:rPr>
      </w:pPr>
    </w:p>
    <w:p w14:paraId="07C6FED6" w14:textId="782B1482" w:rsidR="00DE1C35" w:rsidRDefault="00DE1C35" w:rsidP="009163D0">
      <w:pPr>
        <w:jc w:val="both"/>
        <w:rPr>
          <w:b/>
          <w:bCs/>
        </w:rPr>
      </w:pPr>
    </w:p>
    <w:p w14:paraId="27BEA4FB" w14:textId="57CBFE6F" w:rsidR="00DE1C35" w:rsidRDefault="00DE1C35" w:rsidP="009163D0">
      <w:pPr>
        <w:jc w:val="both"/>
        <w:rPr>
          <w:b/>
          <w:bCs/>
        </w:rPr>
      </w:pPr>
    </w:p>
    <w:p w14:paraId="47ECCC94" w14:textId="627124F4" w:rsidR="00DE1C35" w:rsidRDefault="00DE1C35" w:rsidP="009163D0">
      <w:pPr>
        <w:jc w:val="both"/>
        <w:rPr>
          <w:b/>
          <w:bCs/>
        </w:rPr>
      </w:pPr>
    </w:p>
    <w:p w14:paraId="29A380A7" w14:textId="008B629C" w:rsidR="00DE1C35" w:rsidRDefault="00DE1C35" w:rsidP="009163D0">
      <w:pPr>
        <w:jc w:val="both"/>
        <w:rPr>
          <w:b/>
          <w:bCs/>
        </w:rPr>
      </w:pPr>
    </w:p>
    <w:p w14:paraId="78D84278" w14:textId="67A83949" w:rsidR="00B82CF8" w:rsidRPr="00416C4A" w:rsidRDefault="00B82CF8" w:rsidP="00B82CF8">
      <w:pPr>
        <w:spacing w:line="480" w:lineRule="auto"/>
        <w:rPr>
          <w:b/>
          <w:bCs/>
        </w:rPr>
      </w:pPr>
      <w:r w:rsidRPr="00416C4A">
        <w:t>Note: We use two-tailed tests</w:t>
      </w:r>
      <w:r w:rsidR="002504F6">
        <w:t>. A</w:t>
      </w:r>
      <w:r w:rsidRPr="00416C4A">
        <w:t>ll variables are defined in the appendix.</w:t>
      </w:r>
    </w:p>
    <w:p w14:paraId="7E52A946" w14:textId="4434E1E2" w:rsidR="00DE1C35" w:rsidRDefault="00DE1C35" w:rsidP="009163D0">
      <w:pPr>
        <w:jc w:val="both"/>
        <w:rPr>
          <w:b/>
          <w:bCs/>
        </w:rPr>
      </w:pPr>
    </w:p>
    <w:p w14:paraId="107E6DEA" w14:textId="3BAA9E14" w:rsidR="00B82CF8" w:rsidRPr="00416C4A" w:rsidRDefault="00B82CF8" w:rsidP="00B82CF8">
      <w:pPr>
        <w:spacing w:line="480" w:lineRule="auto"/>
        <w:jc w:val="center"/>
      </w:pPr>
      <w:r w:rsidRPr="005E1551">
        <w:t>Panel B – Recent years (2016 and 2018)</w:t>
      </w:r>
    </w:p>
    <w:tbl>
      <w:tblPr>
        <w:tblStyle w:val="TableGrid"/>
        <w:tblpPr w:leftFromText="180" w:rightFromText="180" w:vertAnchor="page" w:horzAnchor="margin" w:tblpY="2346"/>
        <w:tblW w:w="0" w:type="auto"/>
        <w:tblLayout w:type="fixed"/>
        <w:tblLook w:val="04A0" w:firstRow="1" w:lastRow="0" w:firstColumn="1" w:lastColumn="0" w:noHBand="0" w:noVBand="1"/>
      </w:tblPr>
      <w:tblGrid>
        <w:gridCol w:w="2263"/>
        <w:gridCol w:w="851"/>
        <w:gridCol w:w="992"/>
        <w:gridCol w:w="1009"/>
        <w:gridCol w:w="976"/>
        <w:gridCol w:w="1029"/>
        <w:gridCol w:w="996"/>
        <w:gridCol w:w="1009"/>
        <w:gridCol w:w="996"/>
      </w:tblGrid>
      <w:tr w:rsidR="00B82CF8" w:rsidRPr="00416C4A" w14:paraId="68BA09D5" w14:textId="77777777" w:rsidTr="00DB1BB9">
        <w:tc>
          <w:tcPr>
            <w:tcW w:w="2263" w:type="dxa"/>
            <w:vMerge w:val="restart"/>
            <w:tcBorders>
              <w:left w:val="single" w:sz="4" w:space="0" w:color="FFFFFF"/>
              <w:right w:val="single" w:sz="4" w:space="0" w:color="FFFFFF"/>
            </w:tcBorders>
            <w:vAlign w:val="center"/>
          </w:tcPr>
          <w:p w14:paraId="163F008B" w14:textId="77777777" w:rsidR="00B82CF8" w:rsidRPr="00416C4A" w:rsidRDefault="00B82CF8" w:rsidP="00B82CF8">
            <w:pPr>
              <w:spacing w:line="480" w:lineRule="auto"/>
              <w:jc w:val="center"/>
            </w:pPr>
          </w:p>
        </w:tc>
        <w:tc>
          <w:tcPr>
            <w:tcW w:w="1843" w:type="dxa"/>
            <w:gridSpan w:val="2"/>
            <w:tcBorders>
              <w:top w:val="single" w:sz="4" w:space="0" w:color="auto"/>
              <w:left w:val="single" w:sz="4" w:space="0" w:color="FFFFFF"/>
              <w:bottom w:val="nil"/>
              <w:right w:val="nil"/>
            </w:tcBorders>
            <w:vAlign w:val="center"/>
          </w:tcPr>
          <w:p w14:paraId="0A04820E" w14:textId="77777777" w:rsidR="00B82CF8" w:rsidRPr="00416C4A" w:rsidRDefault="00B82CF8" w:rsidP="00B82CF8">
            <w:pPr>
              <w:spacing w:line="480" w:lineRule="auto"/>
              <w:jc w:val="center"/>
            </w:pPr>
            <w:r w:rsidRPr="00416C4A">
              <w:t>ROA</w:t>
            </w:r>
            <w:r w:rsidRPr="0097264A">
              <w:rPr>
                <w:b/>
                <w:bCs/>
                <w:vertAlign w:val="subscript"/>
              </w:rPr>
              <w:t>(t+1)</w:t>
            </w:r>
          </w:p>
        </w:tc>
        <w:tc>
          <w:tcPr>
            <w:tcW w:w="1985" w:type="dxa"/>
            <w:gridSpan w:val="2"/>
            <w:tcBorders>
              <w:top w:val="single" w:sz="4" w:space="0" w:color="auto"/>
              <w:left w:val="nil"/>
              <w:bottom w:val="nil"/>
              <w:right w:val="nil"/>
            </w:tcBorders>
            <w:vAlign w:val="center"/>
          </w:tcPr>
          <w:p w14:paraId="69FE1758" w14:textId="77777777" w:rsidR="00B82CF8" w:rsidRPr="00416C4A" w:rsidRDefault="00B82CF8" w:rsidP="00B82CF8">
            <w:pPr>
              <w:spacing w:line="480" w:lineRule="auto"/>
              <w:jc w:val="center"/>
            </w:pPr>
            <w:r w:rsidRPr="00416C4A">
              <w:t>ROA</w:t>
            </w:r>
            <w:r w:rsidRPr="0097264A">
              <w:rPr>
                <w:b/>
                <w:bCs/>
                <w:vertAlign w:val="subscript"/>
              </w:rPr>
              <w:t>(t+</w:t>
            </w:r>
            <w:r>
              <w:rPr>
                <w:b/>
                <w:bCs/>
                <w:vertAlign w:val="subscript"/>
              </w:rPr>
              <w:t>2</w:t>
            </w:r>
            <w:r w:rsidRPr="0097264A">
              <w:rPr>
                <w:b/>
                <w:bCs/>
                <w:vertAlign w:val="subscript"/>
              </w:rPr>
              <w:t>)</w:t>
            </w:r>
          </w:p>
        </w:tc>
        <w:tc>
          <w:tcPr>
            <w:tcW w:w="2025" w:type="dxa"/>
            <w:gridSpan w:val="2"/>
            <w:tcBorders>
              <w:top w:val="single" w:sz="4" w:space="0" w:color="auto"/>
              <w:left w:val="nil"/>
              <w:bottom w:val="nil"/>
              <w:right w:val="nil"/>
            </w:tcBorders>
            <w:vAlign w:val="center"/>
          </w:tcPr>
          <w:p w14:paraId="53D27704" w14:textId="77777777" w:rsidR="00B82CF8" w:rsidRPr="00416C4A" w:rsidRDefault="00B82CF8" w:rsidP="00B82CF8">
            <w:pPr>
              <w:spacing w:line="480" w:lineRule="auto"/>
              <w:jc w:val="center"/>
            </w:pPr>
            <w:r w:rsidRPr="00416C4A">
              <w:t>Tobin’s Q</w:t>
            </w:r>
            <w:r w:rsidRPr="0097264A">
              <w:rPr>
                <w:b/>
                <w:bCs/>
                <w:vertAlign w:val="subscript"/>
              </w:rPr>
              <w:t>(t+1)</w:t>
            </w:r>
          </w:p>
        </w:tc>
        <w:tc>
          <w:tcPr>
            <w:tcW w:w="2005" w:type="dxa"/>
            <w:gridSpan w:val="2"/>
            <w:tcBorders>
              <w:top w:val="single" w:sz="4" w:space="0" w:color="auto"/>
              <w:left w:val="nil"/>
              <w:bottom w:val="nil"/>
              <w:right w:val="single" w:sz="4" w:space="0" w:color="FFFFFF"/>
            </w:tcBorders>
            <w:vAlign w:val="center"/>
          </w:tcPr>
          <w:p w14:paraId="4C2CAB72" w14:textId="77777777" w:rsidR="00B82CF8" w:rsidRPr="00416C4A" w:rsidRDefault="00B82CF8" w:rsidP="00B82CF8">
            <w:pPr>
              <w:spacing w:line="480" w:lineRule="auto"/>
              <w:jc w:val="center"/>
            </w:pPr>
            <w:r w:rsidRPr="00416C4A">
              <w:t>Tobin’s Q</w:t>
            </w:r>
            <w:r w:rsidRPr="0097264A">
              <w:rPr>
                <w:b/>
                <w:bCs/>
                <w:vertAlign w:val="subscript"/>
              </w:rPr>
              <w:t>(t+</w:t>
            </w:r>
            <w:r>
              <w:rPr>
                <w:b/>
                <w:bCs/>
                <w:vertAlign w:val="subscript"/>
              </w:rPr>
              <w:t>2</w:t>
            </w:r>
            <w:r w:rsidRPr="0097264A">
              <w:rPr>
                <w:b/>
                <w:bCs/>
                <w:vertAlign w:val="subscript"/>
              </w:rPr>
              <w:t>)</w:t>
            </w:r>
          </w:p>
        </w:tc>
      </w:tr>
      <w:tr w:rsidR="00B82CF8" w:rsidRPr="00416C4A" w14:paraId="5B2A7AC8" w14:textId="77777777" w:rsidTr="00DB1BB9">
        <w:tc>
          <w:tcPr>
            <w:tcW w:w="2263" w:type="dxa"/>
            <w:vMerge/>
            <w:tcBorders>
              <w:left w:val="single" w:sz="4" w:space="0" w:color="FFFFFF"/>
              <w:right w:val="single" w:sz="4" w:space="0" w:color="FFFFFF"/>
            </w:tcBorders>
            <w:vAlign w:val="center"/>
          </w:tcPr>
          <w:p w14:paraId="44180CEA" w14:textId="77777777" w:rsidR="00B82CF8" w:rsidRPr="00416C4A" w:rsidRDefault="00B82CF8" w:rsidP="00B82CF8">
            <w:pPr>
              <w:spacing w:line="480" w:lineRule="auto"/>
              <w:jc w:val="center"/>
            </w:pPr>
          </w:p>
        </w:tc>
        <w:tc>
          <w:tcPr>
            <w:tcW w:w="851" w:type="dxa"/>
            <w:tcBorders>
              <w:top w:val="nil"/>
              <w:left w:val="single" w:sz="4" w:space="0" w:color="FFFFFF"/>
              <w:right w:val="nil"/>
            </w:tcBorders>
            <w:vAlign w:val="center"/>
          </w:tcPr>
          <w:p w14:paraId="69B4535C" w14:textId="77777777" w:rsidR="00B82CF8" w:rsidRPr="00416C4A" w:rsidRDefault="00B82CF8" w:rsidP="00B82CF8">
            <w:pPr>
              <w:spacing w:line="480" w:lineRule="auto"/>
              <w:jc w:val="center"/>
            </w:pPr>
            <w:r w:rsidRPr="00416C4A">
              <w:t>Coeff.</w:t>
            </w:r>
          </w:p>
        </w:tc>
        <w:tc>
          <w:tcPr>
            <w:tcW w:w="992" w:type="dxa"/>
            <w:tcBorders>
              <w:top w:val="nil"/>
              <w:left w:val="nil"/>
              <w:right w:val="nil"/>
            </w:tcBorders>
            <w:vAlign w:val="center"/>
          </w:tcPr>
          <w:p w14:paraId="45EECEE8" w14:textId="77777777" w:rsidR="00B82CF8" w:rsidRPr="00416C4A" w:rsidRDefault="00B82CF8" w:rsidP="00B82CF8">
            <w:pPr>
              <w:spacing w:line="480" w:lineRule="auto"/>
              <w:jc w:val="center"/>
            </w:pPr>
            <w:r w:rsidRPr="00416C4A">
              <w:t>P-value</w:t>
            </w:r>
          </w:p>
        </w:tc>
        <w:tc>
          <w:tcPr>
            <w:tcW w:w="1009" w:type="dxa"/>
            <w:tcBorders>
              <w:top w:val="nil"/>
              <w:left w:val="nil"/>
              <w:right w:val="nil"/>
            </w:tcBorders>
            <w:vAlign w:val="center"/>
          </w:tcPr>
          <w:p w14:paraId="758475FE" w14:textId="77777777" w:rsidR="00B82CF8" w:rsidRPr="00416C4A" w:rsidRDefault="00B82CF8" w:rsidP="00B82CF8">
            <w:pPr>
              <w:spacing w:line="480" w:lineRule="auto"/>
              <w:jc w:val="center"/>
            </w:pPr>
            <w:r w:rsidRPr="00416C4A">
              <w:t>Coeff.</w:t>
            </w:r>
          </w:p>
        </w:tc>
        <w:tc>
          <w:tcPr>
            <w:tcW w:w="976" w:type="dxa"/>
            <w:tcBorders>
              <w:top w:val="nil"/>
              <w:left w:val="nil"/>
              <w:right w:val="nil"/>
            </w:tcBorders>
            <w:vAlign w:val="center"/>
          </w:tcPr>
          <w:p w14:paraId="75AF77B3" w14:textId="77777777" w:rsidR="00B82CF8" w:rsidRPr="00416C4A" w:rsidRDefault="00B82CF8" w:rsidP="00B82CF8">
            <w:pPr>
              <w:spacing w:line="480" w:lineRule="auto"/>
              <w:jc w:val="center"/>
            </w:pPr>
            <w:r w:rsidRPr="00416C4A">
              <w:t>P-value</w:t>
            </w:r>
          </w:p>
        </w:tc>
        <w:tc>
          <w:tcPr>
            <w:tcW w:w="1029" w:type="dxa"/>
            <w:tcBorders>
              <w:top w:val="nil"/>
              <w:left w:val="nil"/>
              <w:right w:val="nil"/>
            </w:tcBorders>
            <w:vAlign w:val="center"/>
          </w:tcPr>
          <w:p w14:paraId="678FF38E" w14:textId="77777777" w:rsidR="00B82CF8" w:rsidRPr="00416C4A" w:rsidRDefault="00B82CF8" w:rsidP="00B82CF8">
            <w:pPr>
              <w:spacing w:line="480" w:lineRule="auto"/>
              <w:jc w:val="center"/>
            </w:pPr>
            <w:r w:rsidRPr="00416C4A">
              <w:t>Coeff.</w:t>
            </w:r>
          </w:p>
        </w:tc>
        <w:tc>
          <w:tcPr>
            <w:tcW w:w="996" w:type="dxa"/>
            <w:tcBorders>
              <w:top w:val="nil"/>
              <w:left w:val="nil"/>
              <w:right w:val="nil"/>
            </w:tcBorders>
            <w:vAlign w:val="center"/>
          </w:tcPr>
          <w:p w14:paraId="187F6D39" w14:textId="77777777" w:rsidR="00B82CF8" w:rsidRPr="00416C4A" w:rsidRDefault="00B82CF8" w:rsidP="00B82CF8">
            <w:pPr>
              <w:spacing w:line="480" w:lineRule="auto"/>
              <w:jc w:val="center"/>
            </w:pPr>
            <w:r w:rsidRPr="00416C4A">
              <w:t>P-value</w:t>
            </w:r>
          </w:p>
        </w:tc>
        <w:tc>
          <w:tcPr>
            <w:tcW w:w="1009" w:type="dxa"/>
            <w:tcBorders>
              <w:top w:val="nil"/>
              <w:left w:val="nil"/>
              <w:right w:val="nil"/>
            </w:tcBorders>
            <w:vAlign w:val="center"/>
          </w:tcPr>
          <w:p w14:paraId="6B8DE6FE" w14:textId="77777777" w:rsidR="00B82CF8" w:rsidRPr="00416C4A" w:rsidRDefault="00B82CF8" w:rsidP="00B82CF8">
            <w:pPr>
              <w:spacing w:line="480" w:lineRule="auto"/>
              <w:jc w:val="center"/>
            </w:pPr>
            <w:r w:rsidRPr="00416C4A">
              <w:t>Coeff.</w:t>
            </w:r>
          </w:p>
        </w:tc>
        <w:tc>
          <w:tcPr>
            <w:tcW w:w="996" w:type="dxa"/>
            <w:tcBorders>
              <w:top w:val="nil"/>
              <w:left w:val="nil"/>
              <w:right w:val="single" w:sz="4" w:space="0" w:color="FFFFFF"/>
            </w:tcBorders>
            <w:vAlign w:val="center"/>
          </w:tcPr>
          <w:p w14:paraId="3DE37C75" w14:textId="77777777" w:rsidR="00B82CF8" w:rsidRPr="00416C4A" w:rsidRDefault="00B82CF8" w:rsidP="00B82CF8">
            <w:pPr>
              <w:spacing w:line="480" w:lineRule="auto"/>
              <w:jc w:val="center"/>
            </w:pPr>
            <w:r w:rsidRPr="00416C4A">
              <w:t>P-value</w:t>
            </w:r>
          </w:p>
        </w:tc>
      </w:tr>
      <w:tr w:rsidR="00B82CF8" w:rsidRPr="00416C4A" w14:paraId="27BA0EDC" w14:textId="77777777" w:rsidTr="00B82CF8">
        <w:tc>
          <w:tcPr>
            <w:tcW w:w="2263" w:type="dxa"/>
            <w:tcBorders>
              <w:left w:val="single" w:sz="4" w:space="0" w:color="FFFFFF"/>
              <w:bottom w:val="single" w:sz="4" w:space="0" w:color="FFFFFF" w:themeColor="background1"/>
              <w:right w:val="single" w:sz="4" w:space="0" w:color="FFFFFF"/>
            </w:tcBorders>
            <w:vAlign w:val="center"/>
          </w:tcPr>
          <w:p w14:paraId="07B5222D" w14:textId="77777777" w:rsidR="00B82CF8" w:rsidRPr="00416C4A" w:rsidRDefault="00B82CF8" w:rsidP="00B82CF8">
            <w:pPr>
              <w:spacing w:line="480" w:lineRule="auto"/>
              <w:rPr>
                <w:b/>
              </w:rPr>
            </w:pPr>
            <w:r w:rsidRPr="00416C4A">
              <w:rPr>
                <w:b/>
              </w:rPr>
              <w:t>%Female</w:t>
            </w:r>
          </w:p>
        </w:tc>
        <w:tc>
          <w:tcPr>
            <w:tcW w:w="851" w:type="dxa"/>
            <w:tcBorders>
              <w:left w:val="single" w:sz="4" w:space="0" w:color="FFFFFF"/>
              <w:bottom w:val="single" w:sz="4" w:space="0" w:color="FFFFFF" w:themeColor="background1"/>
              <w:right w:val="single" w:sz="4" w:space="0" w:color="FFFFFF"/>
            </w:tcBorders>
            <w:vAlign w:val="center"/>
          </w:tcPr>
          <w:p w14:paraId="4AECD1D1" w14:textId="77777777" w:rsidR="00B82CF8" w:rsidRPr="00416C4A" w:rsidRDefault="00B82CF8" w:rsidP="00B82CF8">
            <w:pPr>
              <w:spacing w:line="480" w:lineRule="auto"/>
              <w:jc w:val="center"/>
              <w:rPr>
                <w:b/>
              </w:rPr>
            </w:pPr>
            <w:r w:rsidRPr="00416C4A">
              <w:rPr>
                <w:b/>
              </w:rPr>
              <w:t>0.</w:t>
            </w:r>
            <w:r>
              <w:rPr>
                <w:b/>
              </w:rPr>
              <w:t>287</w:t>
            </w:r>
          </w:p>
        </w:tc>
        <w:tc>
          <w:tcPr>
            <w:tcW w:w="992" w:type="dxa"/>
            <w:tcBorders>
              <w:left w:val="single" w:sz="4" w:space="0" w:color="FFFFFF"/>
              <w:bottom w:val="single" w:sz="4" w:space="0" w:color="FFFFFF" w:themeColor="background1"/>
              <w:right w:val="single" w:sz="4" w:space="0" w:color="FFFFFF"/>
            </w:tcBorders>
            <w:vAlign w:val="center"/>
          </w:tcPr>
          <w:p w14:paraId="7A3A24FA" w14:textId="77777777" w:rsidR="00B82CF8" w:rsidRPr="00416C4A" w:rsidRDefault="00B82CF8" w:rsidP="00B82CF8">
            <w:pPr>
              <w:spacing w:line="480" w:lineRule="auto"/>
              <w:jc w:val="center"/>
              <w:rPr>
                <w:b/>
                <w:bCs/>
              </w:rPr>
            </w:pPr>
            <w:r w:rsidRPr="00416C4A">
              <w:rPr>
                <w:b/>
                <w:bCs/>
              </w:rPr>
              <w:t>0.00</w:t>
            </w:r>
            <w:r>
              <w:rPr>
                <w:b/>
                <w:bCs/>
              </w:rPr>
              <w:t>1</w:t>
            </w:r>
          </w:p>
        </w:tc>
        <w:tc>
          <w:tcPr>
            <w:tcW w:w="1009" w:type="dxa"/>
            <w:tcBorders>
              <w:left w:val="single" w:sz="4" w:space="0" w:color="FFFFFF"/>
              <w:bottom w:val="single" w:sz="4" w:space="0" w:color="FFFFFF" w:themeColor="background1"/>
              <w:right w:val="single" w:sz="4" w:space="0" w:color="FFFFFF"/>
            </w:tcBorders>
            <w:vAlign w:val="center"/>
          </w:tcPr>
          <w:p w14:paraId="23A973CC" w14:textId="77777777" w:rsidR="00B82CF8" w:rsidRPr="00416C4A" w:rsidRDefault="00B82CF8" w:rsidP="00B82CF8">
            <w:pPr>
              <w:spacing w:line="480" w:lineRule="auto"/>
              <w:jc w:val="center"/>
              <w:rPr>
                <w:b/>
              </w:rPr>
            </w:pPr>
            <w:r w:rsidRPr="00416C4A">
              <w:rPr>
                <w:b/>
              </w:rPr>
              <w:t>0.19</w:t>
            </w:r>
            <w:r>
              <w:rPr>
                <w:b/>
              </w:rPr>
              <w:t>5</w:t>
            </w:r>
          </w:p>
        </w:tc>
        <w:tc>
          <w:tcPr>
            <w:tcW w:w="976" w:type="dxa"/>
            <w:tcBorders>
              <w:left w:val="single" w:sz="4" w:space="0" w:color="FFFFFF"/>
              <w:bottom w:val="single" w:sz="4" w:space="0" w:color="FFFFFF" w:themeColor="background1"/>
              <w:right w:val="single" w:sz="4" w:space="0" w:color="FFFFFF"/>
            </w:tcBorders>
            <w:vAlign w:val="center"/>
          </w:tcPr>
          <w:p w14:paraId="36CC1F05" w14:textId="77777777" w:rsidR="00B82CF8" w:rsidRPr="00416C4A" w:rsidRDefault="00B82CF8" w:rsidP="00B82CF8">
            <w:pPr>
              <w:spacing w:line="480" w:lineRule="auto"/>
              <w:jc w:val="center"/>
              <w:rPr>
                <w:b/>
                <w:bCs/>
              </w:rPr>
            </w:pPr>
            <w:r w:rsidRPr="00416C4A">
              <w:rPr>
                <w:b/>
                <w:bCs/>
              </w:rPr>
              <w:t>0.0</w:t>
            </w:r>
            <w:r>
              <w:rPr>
                <w:b/>
                <w:bCs/>
              </w:rPr>
              <w:t>50</w:t>
            </w:r>
          </w:p>
        </w:tc>
        <w:tc>
          <w:tcPr>
            <w:tcW w:w="1029" w:type="dxa"/>
            <w:tcBorders>
              <w:left w:val="single" w:sz="4" w:space="0" w:color="FFFFFF"/>
              <w:bottom w:val="single" w:sz="4" w:space="0" w:color="FFFFFF" w:themeColor="background1"/>
              <w:right w:val="single" w:sz="4" w:space="0" w:color="FFFFFF"/>
            </w:tcBorders>
            <w:vAlign w:val="center"/>
          </w:tcPr>
          <w:p w14:paraId="4FCEC859" w14:textId="77777777" w:rsidR="00B82CF8" w:rsidRPr="00416C4A" w:rsidRDefault="00B82CF8" w:rsidP="00B82CF8">
            <w:pPr>
              <w:spacing w:line="480" w:lineRule="auto"/>
              <w:jc w:val="center"/>
              <w:rPr>
                <w:b/>
              </w:rPr>
            </w:pPr>
            <w:r>
              <w:rPr>
                <w:b/>
              </w:rPr>
              <w:t>-0</w:t>
            </w:r>
            <w:r w:rsidRPr="00416C4A">
              <w:rPr>
                <w:b/>
              </w:rPr>
              <w:t>.0</w:t>
            </w:r>
            <w:r>
              <w:rPr>
                <w:b/>
              </w:rPr>
              <w:t>84</w:t>
            </w:r>
          </w:p>
        </w:tc>
        <w:tc>
          <w:tcPr>
            <w:tcW w:w="996" w:type="dxa"/>
            <w:tcBorders>
              <w:left w:val="single" w:sz="4" w:space="0" w:color="FFFFFF"/>
              <w:bottom w:val="single" w:sz="4" w:space="0" w:color="FFFFFF" w:themeColor="background1"/>
              <w:right w:val="single" w:sz="4" w:space="0" w:color="FFFFFF"/>
            </w:tcBorders>
            <w:vAlign w:val="center"/>
          </w:tcPr>
          <w:p w14:paraId="4AE8EDC0" w14:textId="77777777" w:rsidR="00B82CF8" w:rsidRPr="00416C4A" w:rsidRDefault="00B82CF8" w:rsidP="00B82CF8">
            <w:pPr>
              <w:spacing w:line="480" w:lineRule="auto"/>
              <w:jc w:val="center"/>
              <w:rPr>
                <w:b/>
              </w:rPr>
            </w:pPr>
            <w:r w:rsidRPr="00416C4A">
              <w:rPr>
                <w:b/>
              </w:rPr>
              <w:t>0.</w:t>
            </w:r>
            <w:r>
              <w:rPr>
                <w:b/>
              </w:rPr>
              <w:t>483</w:t>
            </w:r>
          </w:p>
        </w:tc>
        <w:tc>
          <w:tcPr>
            <w:tcW w:w="1009" w:type="dxa"/>
            <w:tcBorders>
              <w:left w:val="single" w:sz="4" w:space="0" w:color="FFFFFF"/>
              <w:bottom w:val="single" w:sz="4" w:space="0" w:color="FFFFFF" w:themeColor="background1"/>
              <w:right w:val="single" w:sz="4" w:space="0" w:color="FFFFFF"/>
            </w:tcBorders>
            <w:vAlign w:val="center"/>
          </w:tcPr>
          <w:p w14:paraId="64F5BC69" w14:textId="77777777" w:rsidR="00B82CF8" w:rsidRPr="00416C4A" w:rsidRDefault="00B82CF8" w:rsidP="00B82CF8">
            <w:pPr>
              <w:spacing w:line="480" w:lineRule="auto"/>
              <w:jc w:val="center"/>
              <w:rPr>
                <w:b/>
              </w:rPr>
            </w:pPr>
            <w:r>
              <w:rPr>
                <w:b/>
              </w:rPr>
              <w:t>-</w:t>
            </w:r>
            <w:r w:rsidRPr="00416C4A">
              <w:rPr>
                <w:b/>
              </w:rPr>
              <w:t>0.0</w:t>
            </w:r>
            <w:r>
              <w:rPr>
                <w:b/>
              </w:rPr>
              <w:t>69</w:t>
            </w:r>
          </w:p>
        </w:tc>
        <w:tc>
          <w:tcPr>
            <w:tcW w:w="996" w:type="dxa"/>
            <w:tcBorders>
              <w:left w:val="single" w:sz="4" w:space="0" w:color="FFFFFF"/>
              <w:bottom w:val="single" w:sz="4" w:space="0" w:color="FFFFFF" w:themeColor="background1"/>
              <w:right w:val="single" w:sz="4" w:space="0" w:color="FFFFFF"/>
            </w:tcBorders>
            <w:vAlign w:val="center"/>
          </w:tcPr>
          <w:p w14:paraId="4249E3EF" w14:textId="77777777" w:rsidR="00B82CF8" w:rsidRPr="00416C4A" w:rsidRDefault="00B82CF8" w:rsidP="00B82CF8">
            <w:pPr>
              <w:spacing w:line="480" w:lineRule="auto"/>
              <w:jc w:val="center"/>
              <w:rPr>
                <w:b/>
              </w:rPr>
            </w:pPr>
            <w:r w:rsidRPr="00416C4A">
              <w:rPr>
                <w:b/>
              </w:rPr>
              <w:t>0.</w:t>
            </w:r>
            <w:r>
              <w:rPr>
                <w:b/>
              </w:rPr>
              <w:t>555</w:t>
            </w:r>
          </w:p>
        </w:tc>
      </w:tr>
      <w:tr w:rsidR="00B82CF8" w:rsidRPr="00416C4A" w14:paraId="5C69794D" w14:textId="77777777" w:rsidTr="00B82CF8">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7D8C8E4" w14:textId="77777777" w:rsidR="00B82CF8" w:rsidRPr="00416C4A" w:rsidRDefault="00B82CF8" w:rsidP="00B82CF8">
            <w:pPr>
              <w:spacing w:line="480" w:lineRule="auto"/>
            </w:pPr>
            <w:r w:rsidRPr="00416C4A">
              <w:t>%Executive Female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29FAACB" w14:textId="77777777" w:rsidR="00B82CF8" w:rsidRPr="00416C4A" w:rsidRDefault="00B82CF8" w:rsidP="00B82CF8">
            <w:pPr>
              <w:spacing w:line="480" w:lineRule="auto"/>
              <w:jc w:val="center"/>
            </w:pPr>
            <w:r>
              <w:t>0.102</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2681108" w14:textId="77777777" w:rsidR="00B82CF8" w:rsidRPr="00416C4A" w:rsidRDefault="00B82CF8" w:rsidP="00B82CF8">
            <w:pPr>
              <w:spacing w:line="480" w:lineRule="auto"/>
              <w:jc w:val="center"/>
            </w:pPr>
            <w:r>
              <w:t>0.473</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D6206DE" w14:textId="77777777" w:rsidR="00B82CF8" w:rsidRPr="00416C4A" w:rsidRDefault="00B82CF8" w:rsidP="00B82CF8">
            <w:pPr>
              <w:spacing w:line="480" w:lineRule="auto"/>
              <w:jc w:val="center"/>
            </w:pPr>
            <w:r w:rsidRPr="00416C4A">
              <w:t>0.</w:t>
            </w:r>
            <w:r>
              <w:t>103</w:t>
            </w:r>
          </w:p>
        </w:tc>
        <w:tc>
          <w:tcPr>
            <w:tcW w:w="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4AE5DDF" w14:textId="77777777" w:rsidR="00B82CF8" w:rsidRPr="00416C4A" w:rsidRDefault="00B82CF8" w:rsidP="00B82CF8">
            <w:pPr>
              <w:spacing w:line="480" w:lineRule="auto"/>
              <w:jc w:val="center"/>
            </w:pPr>
            <w:r w:rsidRPr="00416C4A">
              <w:t>0.</w:t>
            </w:r>
            <w:r>
              <w:t>483</w:t>
            </w:r>
          </w:p>
        </w:tc>
        <w:tc>
          <w:tcPr>
            <w:tcW w:w="102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0542216" w14:textId="77777777" w:rsidR="00B82CF8" w:rsidRPr="00416C4A" w:rsidRDefault="00B82CF8" w:rsidP="00B82CF8">
            <w:pPr>
              <w:spacing w:line="480" w:lineRule="auto"/>
              <w:jc w:val="center"/>
            </w:pPr>
            <w:r>
              <w:t>0.235</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6AC52F4" w14:textId="77777777" w:rsidR="00B82CF8" w:rsidRPr="00416C4A" w:rsidRDefault="00B82CF8" w:rsidP="00B82CF8">
            <w:pPr>
              <w:spacing w:line="480" w:lineRule="auto"/>
              <w:jc w:val="center"/>
            </w:pPr>
            <w:r>
              <w:t>0.344</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BF70D85" w14:textId="77777777" w:rsidR="00B82CF8" w:rsidRPr="00416C4A" w:rsidRDefault="00B82CF8" w:rsidP="00B82CF8">
            <w:pPr>
              <w:spacing w:line="480" w:lineRule="auto"/>
              <w:jc w:val="center"/>
            </w:pPr>
            <w:r w:rsidRPr="00416C4A">
              <w:t>0.0</w:t>
            </w:r>
            <w:r>
              <w:t>62</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FCE679A" w14:textId="77777777" w:rsidR="00B82CF8" w:rsidRPr="00416C4A" w:rsidRDefault="00B82CF8" w:rsidP="00B82CF8">
            <w:pPr>
              <w:spacing w:line="480" w:lineRule="auto"/>
              <w:jc w:val="center"/>
            </w:pPr>
            <w:r w:rsidRPr="00416C4A">
              <w:t>0.</w:t>
            </w:r>
            <w:r>
              <w:t>660</w:t>
            </w:r>
          </w:p>
        </w:tc>
      </w:tr>
      <w:tr w:rsidR="00B82CF8" w:rsidRPr="00416C4A" w14:paraId="4260316B" w14:textId="77777777" w:rsidTr="00B82CF8">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55F70A3" w14:textId="77777777" w:rsidR="00B82CF8" w:rsidRPr="00416C4A" w:rsidRDefault="00B82CF8" w:rsidP="00B82CF8">
            <w:pPr>
              <w:spacing w:line="480" w:lineRule="auto"/>
            </w:pPr>
            <w:r w:rsidRPr="00416C4A">
              <w:t>Board Size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9710C1C" w14:textId="77777777" w:rsidR="00B82CF8" w:rsidRPr="00416C4A" w:rsidRDefault="00B82CF8" w:rsidP="00B82CF8">
            <w:pPr>
              <w:spacing w:line="480" w:lineRule="auto"/>
              <w:jc w:val="center"/>
            </w:pPr>
            <w:r>
              <w:t>-</w:t>
            </w:r>
            <w:r w:rsidRPr="00416C4A">
              <w:t>0</w:t>
            </w:r>
            <w:r>
              <w:t>.302</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0EA616C" w14:textId="77777777" w:rsidR="00B82CF8" w:rsidRPr="00416C4A" w:rsidRDefault="00B82CF8" w:rsidP="00B82CF8">
            <w:pPr>
              <w:spacing w:line="480" w:lineRule="auto"/>
              <w:jc w:val="center"/>
            </w:pPr>
            <w:r w:rsidRPr="00416C4A">
              <w:t>0.4</w:t>
            </w:r>
            <w:r>
              <w:t>12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AA81825" w14:textId="77777777" w:rsidR="00B82CF8" w:rsidRPr="00416C4A" w:rsidRDefault="00B82CF8" w:rsidP="00B82CF8">
            <w:pPr>
              <w:spacing w:line="480" w:lineRule="auto"/>
              <w:jc w:val="center"/>
            </w:pPr>
            <w:r w:rsidRPr="00416C4A">
              <w:t>-</w:t>
            </w:r>
            <w:r>
              <w:t>0</w:t>
            </w:r>
            <w:r w:rsidRPr="00416C4A">
              <w:t>.</w:t>
            </w:r>
            <w:r>
              <w:t>555</w:t>
            </w:r>
          </w:p>
        </w:tc>
        <w:tc>
          <w:tcPr>
            <w:tcW w:w="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DB307D9" w14:textId="77777777" w:rsidR="00B82CF8" w:rsidRPr="00416C4A" w:rsidRDefault="00B82CF8" w:rsidP="00B82CF8">
            <w:pPr>
              <w:spacing w:line="480" w:lineRule="auto"/>
              <w:jc w:val="center"/>
            </w:pPr>
            <w:r w:rsidRPr="00416C4A">
              <w:t>0.</w:t>
            </w:r>
            <w:r>
              <w:t>163</w:t>
            </w:r>
          </w:p>
        </w:tc>
        <w:tc>
          <w:tcPr>
            <w:tcW w:w="102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84109D2" w14:textId="77777777" w:rsidR="00B82CF8" w:rsidRPr="00416C4A" w:rsidRDefault="00B82CF8" w:rsidP="00B82CF8">
            <w:pPr>
              <w:spacing w:line="480" w:lineRule="auto"/>
              <w:jc w:val="center"/>
            </w:pPr>
            <w:r w:rsidRPr="00416C4A">
              <w:t>0.</w:t>
            </w:r>
            <w:r>
              <w:t>413</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22265AD" w14:textId="77777777" w:rsidR="00B82CF8" w:rsidRPr="00416C4A" w:rsidRDefault="00B82CF8" w:rsidP="00B82CF8">
            <w:pPr>
              <w:spacing w:line="480" w:lineRule="auto"/>
              <w:jc w:val="center"/>
              <w:rPr>
                <w:bCs/>
              </w:rPr>
            </w:pPr>
            <w:r w:rsidRPr="00416C4A">
              <w:t>0.</w:t>
            </w:r>
            <w:r>
              <w:t>655</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CA37404" w14:textId="77777777" w:rsidR="00B82CF8" w:rsidRPr="00416C4A" w:rsidRDefault="00B82CF8" w:rsidP="00B82CF8">
            <w:pPr>
              <w:spacing w:line="480" w:lineRule="auto"/>
              <w:jc w:val="center"/>
            </w:pPr>
            <w:r w:rsidRPr="00416C4A">
              <w:t>0.</w:t>
            </w:r>
            <w:r>
              <w:t>569</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5A692F2" w14:textId="77777777" w:rsidR="00B82CF8" w:rsidRPr="00416C4A" w:rsidRDefault="00B82CF8" w:rsidP="00B82CF8">
            <w:pPr>
              <w:spacing w:line="480" w:lineRule="auto"/>
              <w:jc w:val="center"/>
            </w:pPr>
            <w:r w:rsidRPr="00416C4A">
              <w:t>0.</w:t>
            </w:r>
            <w:r>
              <w:t>142</w:t>
            </w:r>
          </w:p>
        </w:tc>
      </w:tr>
      <w:tr w:rsidR="00B82CF8" w:rsidRPr="00416C4A" w14:paraId="3F7BBFCA" w14:textId="77777777" w:rsidTr="00B82CF8">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F54B819" w14:textId="77777777" w:rsidR="00B82CF8" w:rsidRPr="00416C4A" w:rsidRDefault="00B82CF8" w:rsidP="00B82CF8">
            <w:pPr>
              <w:spacing w:line="480" w:lineRule="auto"/>
            </w:pPr>
            <w:r w:rsidRPr="00416C4A">
              <w:t>Firm Size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0279C4D" w14:textId="77777777" w:rsidR="00B82CF8" w:rsidRPr="00416C4A" w:rsidRDefault="00B82CF8" w:rsidP="00B82CF8">
            <w:pPr>
              <w:spacing w:line="480" w:lineRule="auto"/>
              <w:jc w:val="center"/>
            </w:pPr>
            <w:r w:rsidRPr="00416C4A">
              <w:t>-</w:t>
            </w:r>
            <w:r>
              <w:t>1</w:t>
            </w:r>
            <w:r w:rsidRPr="00416C4A">
              <w:t>.</w:t>
            </w:r>
            <w:r>
              <w:t>085</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AA434AD" w14:textId="77777777" w:rsidR="00B82CF8" w:rsidRPr="00416C4A" w:rsidRDefault="00B82CF8" w:rsidP="00B82CF8">
            <w:pPr>
              <w:spacing w:line="480" w:lineRule="auto"/>
              <w:jc w:val="center"/>
              <w:rPr>
                <w:bCs/>
              </w:rPr>
            </w:pPr>
            <w:r w:rsidRPr="00416C4A">
              <w:rPr>
                <w:bCs/>
              </w:rPr>
              <w:t>0.</w:t>
            </w:r>
            <w:r>
              <w:rPr>
                <w:bCs/>
              </w:rPr>
              <w:t>362</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885B0AE" w14:textId="77777777" w:rsidR="00B82CF8" w:rsidRPr="00416C4A" w:rsidRDefault="00B82CF8" w:rsidP="00B82CF8">
            <w:pPr>
              <w:spacing w:line="480" w:lineRule="auto"/>
              <w:jc w:val="center"/>
            </w:pPr>
            <w:r w:rsidRPr="00416C4A">
              <w:t>-</w:t>
            </w:r>
            <w:r>
              <w:t>0</w:t>
            </w:r>
            <w:r w:rsidRPr="00416C4A">
              <w:t>.</w:t>
            </w:r>
            <w:r>
              <w:t>503</w:t>
            </w:r>
          </w:p>
        </w:tc>
        <w:tc>
          <w:tcPr>
            <w:tcW w:w="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BD7E943" w14:textId="77777777" w:rsidR="00B82CF8" w:rsidRPr="00416C4A" w:rsidRDefault="00B82CF8" w:rsidP="00B82CF8">
            <w:pPr>
              <w:spacing w:line="480" w:lineRule="auto"/>
              <w:jc w:val="center"/>
              <w:rPr>
                <w:bCs/>
              </w:rPr>
            </w:pPr>
            <w:r w:rsidRPr="00416C4A">
              <w:rPr>
                <w:bCs/>
              </w:rPr>
              <w:t>0.</w:t>
            </w:r>
            <w:r>
              <w:rPr>
                <w:bCs/>
              </w:rPr>
              <w:t>723</w:t>
            </w:r>
          </w:p>
        </w:tc>
        <w:tc>
          <w:tcPr>
            <w:tcW w:w="102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51C9851" w14:textId="77777777" w:rsidR="00B82CF8" w:rsidRPr="00416C4A" w:rsidRDefault="00B82CF8" w:rsidP="00B82CF8">
            <w:pPr>
              <w:spacing w:line="480" w:lineRule="auto"/>
              <w:jc w:val="center"/>
            </w:pPr>
            <w:r w:rsidRPr="00416C4A">
              <w:t>-</w:t>
            </w:r>
            <w:r>
              <w:t>2</w:t>
            </w:r>
            <w:r w:rsidRPr="00416C4A">
              <w:t>.</w:t>
            </w:r>
            <w:r>
              <w:t>773</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50C2143" w14:textId="77777777" w:rsidR="00B82CF8" w:rsidRPr="00416C4A" w:rsidRDefault="00B82CF8" w:rsidP="00B82CF8">
            <w:pPr>
              <w:spacing w:line="480" w:lineRule="auto"/>
              <w:jc w:val="center"/>
            </w:pPr>
            <w:r>
              <w:rPr>
                <w:bCs/>
              </w:rPr>
              <w:t>2</w:t>
            </w:r>
            <w:r w:rsidRPr="00416C4A">
              <w:rPr>
                <w:bCs/>
              </w:rPr>
              <w:t>.</w:t>
            </w:r>
            <w:r>
              <w:rPr>
                <w:bCs/>
              </w:rPr>
              <w:t>190</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D64C5E7" w14:textId="77777777" w:rsidR="00B82CF8" w:rsidRPr="00416C4A" w:rsidRDefault="00B82CF8" w:rsidP="00B82CF8">
            <w:pPr>
              <w:spacing w:line="480" w:lineRule="auto"/>
              <w:jc w:val="center"/>
            </w:pPr>
            <w:r w:rsidRPr="00416C4A">
              <w:t>-</w:t>
            </w:r>
            <w:r>
              <w:t>2</w:t>
            </w:r>
            <w:r w:rsidRPr="00416C4A">
              <w:t>.</w:t>
            </w:r>
            <w:r>
              <w:t>064</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E092274" w14:textId="77777777" w:rsidR="00B82CF8" w:rsidRPr="00416C4A" w:rsidRDefault="00B82CF8" w:rsidP="00B82CF8">
            <w:pPr>
              <w:spacing w:line="480" w:lineRule="auto"/>
              <w:jc w:val="center"/>
              <w:rPr>
                <w:bCs/>
              </w:rPr>
            </w:pPr>
            <w:r w:rsidRPr="00416C4A">
              <w:rPr>
                <w:bCs/>
              </w:rPr>
              <w:t>0.0</w:t>
            </w:r>
            <w:r>
              <w:rPr>
                <w:bCs/>
              </w:rPr>
              <w:t>44</w:t>
            </w:r>
          </w:p>
        </w:tc>
      </w:tr>
      <w:tr w:rsidR="00B82CF8" w:rsidRPr="00416C4A" w14:paraId="45869D6E" w14:textId="77777777" w:rsidTr="00B82CF8">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97987C5" w14:textId="77777777" w:rsidR="00B82CF8" w:rsidRPr="00416C4A" w:rsidRDefault="00B82CF8" w:rsidP="00B82CF8">
            <w:pPr>
              <w:spacing w:line="480" w:lineRule="auto"/>
            </w:pPr>
            <w:r w:rsidRPr="00416C4A">
              <w:t>Leverage</w:t>
            </w:r>
          </w:p>
        </w:tc>
        <w:tc>
          <w:tcPr>
            <w:tcW w:w="851"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65A4CD0" w14:textId="77777777" w:rsidR="00B82CF8" w:rsidRPr="00416C4A" w:rsidRDefault="00B82CF8" w:rsidP="00B82CF8">
            <w:pPr>
              <w:spacing w:line="480" w:lineRule="auto"/>
              <w:jc w:val="center"/>
            </w:pPr>
            <w:r w:rsidRPr="00416C4A">
              <w:t>-</w:t>
            </w:r>
            <w:r>
              <w:t>2</w:t>
            </w:r>
            <w:r w:rsidRPr="00416C4A">
              <w:t>.</w:t>
            </w:r>
            <w:r>
              <w:t>712</w:t>
            </w:r>
          </w:p>
        </w:tc>
        <w:tc>
          <w:tcPr>
            <w:tcW w:w="992"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1417C8A" w14:textId="77777777" w:rsidR="00B82CF8" w:rsidRPr="00416C4A" w:rsidRDefault="00B82CF8" w:rsidP="00B82CF8">
            <w:pPr>
              <w:spacing w:line="480" w:lineRule="auto"/>
              <w:jc w:val="center"/>
            </w:pPr>
            <w:r w:rsidRPr="00416C4A">
              <w:t>0.</w:t>
            </w:r>
            <w:r>
              <w:t>357</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8537DB7" w14:textId="77777777" w:rsidR="00B82CF8" w:rsidRPr="00416C4A" w:rsidRDefault="00B82CF8" w:rsidP="00B82CF8">
            <w:pPr>
              <w:spacing w:line="480" w:lineRule="auto"/>
              <w:jc w:val="center"/>
            </w:pPr>
            <w:r w:rsidRPr="00416C4A">
              <w:t>-</w:t>
            </w:r>
            <w:r>
              <w:t>3</w:t>
            </w:r>
            <w:r w:rsidRPr="00416C4A">
              <w:t>.</w:t>
            </w:r>
            <w:r>
              <w:t>420</w:t>
            </w:r>
          </w:p>
        </w:tc>
        <w:tc>
          <w:tcPr>
            <w:tcW w:w="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660ACF89" w14:textId="77777777" w:rsidR="00B82CF8" w:rsidRPr="00416C4A" w:rsidRDefault="00B82CF8" w:rsidP="00B82CF8">
            <w:pPr>
              <w:spacing w:line="480" w:lineRule="auto"/>
              <w:jc w:val="center"/>
            </w:pPr>
            <w:r w:rsidRPr="00416C4A">
              <w:t>0.</w:t>
            </w:r>
            <w:r>
              <w:t>351</w:t>
            </w:r>
          </w:p>
        </w:tc>
        <w:tc>
          <w:tcPr>
            <w:tcW w:w="102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7C8B6DA" w14:textId="77777777" w:rsidR="00B82CF8" w:rsidRPr="00416C4A" w:rsidRDefault="00B82CF8" w:rsidP="00B82CF8">
            <w:pPr>
              <w:spacing w:line="480" w:lineRule="auto"/>
              <w:jc w:val="center"/>
            </w:pPr>
            <w:r>
              <w:t>-11</w:t>
            </w:r>
            <w:r w:rsidRPr="00416C4A">
              <w:t>.</w:t>
            </w:r>
            <w:r>
              <w:t>538</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A1B9B3D" w14:textId="77777777" w:rsidR="00B82CF8" w:rsidRPr="00416C4A" w:rsidRDefault="00B82CF8" w:rsidP="00B82CF8">
            <w:pPr>
              <w:spacing w:line="480" w:lineRule="auto"/>
              <w:jc w:val="center"/>
              <w:rPr>
                <w:bCs/>
              </w:rPr>
            </w:pPr>
            <w:r w:rsidRPr="00416C4A">
              <w:t>0.</w:t>
            </w:r>
            <w:r>
              <w:t>039</w:t>
            </w:r>
          </w:p>
        </w:tc>
        <w:tc>
          <w:tcPr>
            <w:tcW w:w="1009"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01F6F65" w14:textId="77777777" w:rsidR="00B82CF8" w:rsidRPr="00416C4A" w:rsidRDefault="00B82CF8" w:rsidP="00B82CF8">
            <w:pPr>
              <w:spacing w:line="480" w:lineRule="auto"/>
              <w:jc w:val="center"/>
            </w:pPr>
            <w:r>
              <w:t>1</w:t>
            </w:r>
            <w:r w:rsidRPr="00416C4A">
              <w:t>.</w:t>
            </w:r>
            <w:r>
              <w:t>621</w:t>
            </w:r>
          </w:p>
        </w:tc>
        <w:tc>
          <w:tcPr>
            <w:tcW w:w="99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1012F77" w14:textId="77777777" w:rsidR="00B82CF8" w:rsidRPr="00416C4A" w:rsidRDefault="00B82CF8" w:rsidP="00B82CF8">
            <w:pPr>
              <w:spacing w:line="480" w:lineRule="auto"/>
              <w:jc w:val="center"/>
            </w:pPr>
            <w:r w:rsidRPr="00416C4A">
              <w:t>0.</w:t>
            </w:r>
            <w:r>
              <w:t>576</w:t>
            </w:r>
          </w:p>
        </w:tc>
      </w:tr>
      <w:tr w:rsidR="00B82CF8" w:rsidRPr="00416C4A" w14:paraId="2963A494" w14:textId="77777777" w:rsidTr="00B82CF8">
        <w:tc>
          <w:tcPr>
            <w:tcW w:w="2263" w:type="dxa"/>
            <w:tcBorders>
              <w:top w:val="single" w:sz="4" w:space="0" w:color="FFFFFF" w:themeColor="background1"/>
              <w:left w:val="single" w:sz="4" w:space="0" w:color="FFFFFF"/>
              <w:bottom w:val="single" w:sz="4" w:space="0" w:color="FFFFFF"/>
              <w:right w:val="single" w:sz="4" w:space="0" w:color="FFFFFF"/>
            </w:tcBorders>
            <w:vAlign w:val="center"/>
          </w:tcPr>
          <w:p w14:paraId="58525D73" w14:textId="77777777" w:rsidR="00B82CF8" w:rsidRPr="00416C4A" w:rsidRDefault="00B82CF8" w:rsidP="00B82CF8">
            <w:pPr>
              <w:spacing w:line="480" w:lineRule="auto"/>
            </w:pPr>
            <w:r w:rsidRPr="00416C4A">
              <w:t>ROA</w:t>
            </w:r>
          </w:p>
        </w:tc>
        <w:tc>
          <w:tcPr>
            <w:tcW w:w="851" w:type="dxa"/>
            <w:tcBorders>
              <w:top w:val="single" w:sz="4" w:space="0" w:color="FFFFFF" w:themeColor="background1"/>
              <w:left w:val="single" w:sz="4" w:space="0" w:color="FFFFFF"/>
              <w:bottom w:val="single" w:sz="4" w:space="0" w:color="FFFFFF"/>
              <w:right w:val="single" w:sz="4" w:space="0" w:color="FFFFFF"/>
            </w:tcBorders>
            <w:vAlign w:val="center"/>
          </w:tcPr>
          <w:p w14:paraId="6AD7F278" w14:textId="77777777" w:rsidR="00B82CF8" w:rsidRPr="00416C4A" w:rsidRDefault="00B82CF8" w:rsidP="00B82CF8">
            <w:pPr>
              <w:spacing w:line="480" w:lineRule="auto"/>
              <w:jc w:val="center"/>
            </w:pPr>
          </w:p>
        </w:tc>
        <w:tc>
          <w:tcPr>
            <w:tcW w:w="992" w:type="dxa"/>
            <w:tcBorders>
              <w:top w:val="single" w:sz="4" w:space="0" w:color="FFFFFF" w:themeColor="background1"/>
              <w:left w:val="single" w:sz="4" w:space="0" w:color="FFFFFF"/>
              <w:bottom w:val="single" w:sz="4" w:space="0" w:color="FFFFFF"/>
              <w:right w:val="single" w:sz="4" w:space="0" w:color="FFFFFF"/>
            </w:tcBorders>
            <w:vAlign w:val="center"/>
          </w:tcPr>
          <w:p w14:paraId="797DE2CC" w14:textId="77777777" w:rsidR="00B82CF8" w:rsidRPr="00416C4A" w:rsidRDefault="00B82CF8" w:rsidP="00B82CF8">
            <w:pPr>
              <w:spacing w:line="480" w:lineRule="auto"/>
              <w:jc w:val="center"/>
            </w:pP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6D729A07" w14:textId="77777777" w:rsidR="00B82CF8" w:rsidRPr="00416C4A" w:rsidRDefault="00B82CF8" w:rsidP="00B82CF8">
            <w:pPr>
              <w:spacing w:line="480" w:lineRule="auto"/>
              <w:jc w:val="center"/>
            </w:pPr>
          </w:p>
        </w:tc>
        <w:tc>
          <w:tcPr>
            <w:tcW w:w="976" w:type="dxa"/>
            <w:tcBorders>
              <w:top w:val="single" w:sz="4" w:space="0" w:color="FFFFFF" w:themeColor="background1"/>
              <w:left w:val="single" w:sz="4" w:space="0" w:color="FFFFFF"/>
              <w:bottom w:val="single" w:sz="4" w:space="0" w:color="FFFFFF"/>
              <w:right w:val="single" w:sz="4" w:space="0" w:color="FFFFFF"/>
            </w:tcBorders>
            <w:vAlign w:val="center"/>
          </w:tcPr>
          <w:p w14:paraId="608BEA5D" w14:textId="77777777" w:rsidR="00B82CF8" w:rsidRPr="00416C4A" w:rsidRDefault="00B82CF8" w:rsidP="00B82CF8">
            <w:pPr>
              <w:spacing w:line="480" w:lineRule="auto"/>
              <w:jc w:val="center"/>
            </w:pPr>
          </w:p>
        </w:tc>
        <w:tc>
          <w:tcPr>
            <w:tcW w:w="1029" w:type="dxa"/>
            <w:tcBorders>
              <w:top w:val="single" w:sz="4" w:space="0" w:color="FFFFFF" w:themeColor="background1"/>
              <w:left w:val="single" w:sz="4" w:space="0" w:color="FFFFFF"/>
              <w:bottom w:val="single" w:sz="4" w:space="0" w:color="FFFFFF"/>
              <w:right w:val="single" w:sz="4" w:space="0" w:color="FFFFFF"/>
            </w:tcBorders>
            <w:vAlign w:val="center"/>
          </w:tcPr>
          <w:p w14:paraId="72AADA4F" w14:textId="77777777" w:rsidR="00B82CF8" w:rsidRPr="00416C4A" w:rsidRDefault="00B82CF8" w:rsidP="00B82CF8">
            <w:pPr>
              <w:spacing w:line="480" w:lineRule="auto"/>
              <w:jc w:val="center"/>
            </w:pPr>
            <w:r w:rsidRPr="00416C4A">
              <w:t>0.</w:t>
            </w:r>
            <w:r>
              <w:t>373</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1F85F174" w14:textId="77777777" w:rsidR="00B82CF8" w:rsidRPr="00416C4A" w:rsidRDefault="00B82CF8" w:rsidP="00B82CF8">
            <w:pPr>
              <w:spacing w:line="480" w:lineRule="auto"/>
              <w:jc w:val="center"/>
            </w:pPr>
            <w:r w:rsidRPr="00416C4A">
              <w:rPr>
                <w:bCs/>
              </w:rPr>
              <w:t>0.</w:t>
            </w:r>
            <w:r>
              <w:rPr>
                <w:bCs/>
              </w:rPr>
              <w:t>323</w:t>
            </w:r>
          </w:p>
        </w:tc>
        <w:tc>
          <w:tcPr>
            <w:tcW w:w="1009" w:type="dxa"/>
            <w:tcBorders>
              <w:top w:val="single" w:sz="4" w:space="0" w:color="FFFFFF" w:themeColor="background1"/>
              <w:left w:val="single" w:sz="4" w:space="0" w:color="FFFFFF"/>
              <w:bottom w:val="single" w:sz="4" w:space="0" w:color="FFFFFF"/>
              <w:right w:val="single" w:sz="4" w:space="0" w:color="FFFFFF"/>
            </w:tcBorders>
            <w:vAlign w:val="center"/>
          </w:tcPr>
          <w:p w14:paraId="708CA037" w14:textId="77777777" w:rsidR="00B82CF8" w:rsidRPr="00416C4A" w:rsidRDefault="00B82CF8" w:rsidP="00B82CF8">
            <w:pPr>
              <w:spacing w:line="480" w:lineRule="auto"/>
              <w:jc w:val="center"/>
            </w:pPr>
            <w:r w:rsidRPr="00416C4A">
              <w:t>0.</w:t>
            </w:r>
            <w:r>
              <w:t>292</w:t>
            </w:r>
          </w:p>
        </w:tc>
        <w:tc>
          <w:tcPr>
            <w:tcW w:w="996" w:type="dxa"/>
            <w:tcBorders>
              <w:top w:val="single" w:sz="4" w:space="0" w:color="FFFFFF" w:themeColor="background1"/>
              <w:left w:val="single" w:sz="4" w:space="0" w:color="FFFFFF"/>
              <w:bottom w:val="single" w:sz="4" w:space="0" w:color="FFFFFF"/>
              <w:right w:val="single" w:sz="4" w:space="0" w:color="FFFFFF"/>
            </w:tcBorders>
            <w:vAlign w:val="center"/>
          </w:tcPr>
          <w:p w14:paraId="5DEB5D35" w14:textId="77777777" w:rsidR="00B82CF8" w:rsidRPr="00416C4A" w:rsidRDefault="00B82CF8" w:rsidP="00B82CF8">
            <w:pPr>
              <w:spacing w:line="480" w:lineRule="auto"/>
              <w:jc w:val="center"/>
              <w:rPr>
                <w:bCs/>
              </w:rPr>
            </w:pPr>
            <w:r w:rsidRPr="00416C4A">
              <w:rPr>
                <w:bCs/>
              </w:rPr>
              <w:t>0.0</w:t>
            </w:r>
            <w:r>
              <w:rPr>
                <w:bCs/>
              </w:rPr>
              <w:t>46</w:t>
            </w:r>
          </w:p>
        </w:tc>
      </w:tr>
      <w:tr w:rsidR="00B82CF8" w:rsidRPr="00416C4A" w14:paraId="787970D8" w14:textId="77777777" w:rsidTr="00B82CF8">
        <w:trPr>
          <w:trHeight w:val="335"/>
        </w:trPr>
        <w:tc>
          <w:tcPr>
            <w:tcW w:w="2263" w:type="dxa"/>
            <w:tcBorders>
              <w:top w:val="single" w:sz="4" w:space="0" w:color="FFFFFF"/>
              <w:left w:val="single" w:sz="4" w:space="0" w:color="FFFFFF"/>
              <w:bottom w:val="nil"/>
              <w:right w:val="single" w:sz="4" w:space="0" w:color="FFFFFF"/>
            </w:tcBorders>
            <w:vAlign w:val="center"/>
          </w:tcPr>
          <w:p w14:paraId="6EAD91F0" w14:textId="77777777" w:rsidR="00B82CF8" w:rsidRPr="00416C4A" w:rsidRDefault="00B82CF8" w:rsidP="00B82CF8">
            <w:pPr>
              <w:spacing w:line="480" w:lineRule="auto"/>
            </w:pPr>
            <w:r w:rsidRPr="00416C4A">
              <w:t>Constant</w:t>
            </w:r>
          </w:p>
        </w:tc>
        <w:tc>
          <w:tcPr>
            <w:tcW w:w="1843" w:type="dxa"/>
            <w:gridSpan w:val="2"/>
            <w:tcBorders>
              <w:top w:val="single" w:sz="4" w:space="0" w:color="FFFFFF"/>
              <w:left w:val="single" w:sz="4" w:space="0" w:color="FFFFFF"/>
              <w:bottom w:val="nil"/>
              <w:right w:val="single" w:sz="4" w:space="0" w:color="FFFFFF"/>
            </w:tcBorders>
            <w:vAlign w:val="center"/>
          </w:tcPr>
          <w:p w14:paraId="13C48BAB" w14:textId="77777777" w:rsidR="00B82CF8" w:rsidRPr="00416C4A" w:rsidRDefault="00B82CF8" w:rsidP="00B82CF8">
            <w:pPr>
              <w:spacing w:line="480" w:lineRule="auto"/>
              <w:jc w:val="center"/>
            </w:pPr>
            <w:r w:rsidRPr="00416C4A">
              <w:t>Included</w:t>
            </w:r>
          </w:p>
        </w:tc>
        <w:tc>
          <w:tcPr>
            <w:tcW w:w="1985" w:type="dxa"/>
            <w:gridSpan w:val="2"/>
            <w:tcBorders>
              <w:top w:val="single" w:sz="4" w:space="0" w:color="FFFFFF"/>
              <w:left w:val="single" w:sz="4" w:space="0" w:color="FFFFFF"/>
              <w:bottom w:val="nil"/>
              <w:right w:val="single" w:sz="4" w:space="0" w:color="FFFFFF"/>
            </w:tcBorders>
            <w:vAlign w:val="center"/>
          </w:tcPr>
          <w:p w14:paraId="762ECCC0" w14:textId="77777777" w:rsidR="00B82CF8" w:rsidRPr="00416C4A" w:rsidRDefault="00B82CF8" w:rsidP="00B82CF8">
            <w:pPr>
              <w:spacing w:line="480" w:lineRule="auto"/>
              <w:jc w:val="center"/>
            </w:pPr>
            <w:r w:rsidRPr="00416C4A">
              <w:t>Included</w:t>
            </w:r>
          </w:p>
        </w:tc>
        <w:tc>
          <w:tcPr>
            <w:tcW w:w="2025" w:type="dxa"/>
            <w:gridSpan w:val="2"/>
            <w:tcBorders>
              <w:top w:val="single" w:sz="4" w:space="0" w:color="FFFFFF"/>
              <w:left w:val="single" w:sz="4" w:space="0" w:color="FFFFFF"/>
              <w:bottom w:val="nil"/>
              <w:right w:val="single" w:sz="4" w:space="0" w:color="FFFFFF"/>
            </w:tcBorders>
            <w:vAlign w:val="center"/>
          </w:tcPr>
          <w:p w14:paraId="7C71D357" w14:textId="77777777" w:rsidR="00B82CF8" w:rsidRPr="00416C4A" w:rsidRDefault="00B82CF8" w:rsidP="00B82CF8">
            <w:pPr>
              <w:spacing w:line="480" w:lineRule="auto"/>
              <w:jc w:val="center"/>
            </w:pPr>
            <w:r w:rsidRPr="00416C4A">
              <w:t>Included</w:t>
            </w:r>
          </w:p>
        </w:tc>
        <w:tc>
          <w:tcPr>
            <w:tcW w:w="2005" w:type="dxa"/>
            <w:gridSpan w:val="2"/>
            <w:tcBorders>
              <w:top w:val="single" w:sz="4" w:space="0" w:color="FFFFFF"/>
              <w:left w:val="single" w:sz="4" w:space="0" w:color="FFFFFF"/>
              <w:bottom w:val="nil"/>
              <w:right w:val="single" w:sz="4" w:space="0" w:color="FFFFFF"/>
            </w:tcBorders>
            <w:vAlign w:val="center"/>
          </w:tcPr>
          <w:p w14:paraId="35C59888" w14:textId="77777777" w:rsidR="00B82CF8" w:rsidRPr="00416C4A" w:rsidRDefault="00B82CF8" w:rsidP="00B82CF8">
            <w:pPr>
              <w:spacing w:line="480" w:lineRule="auto"/>
              <w:jc w:val="center"/>
            </w:pPr>
            <w:r w:rsidRPr="00416C4A">
              <w:t>Included</w:t>
            </w:r>
          </w:p>
        </w:tc>
      </w:tr>
      <w:tr w:rsidR="00B82CF8" w:rsidRPr="00416C4A" w14:paraId="5BB72331" w14:textId="77777777" w:rsidTr="00B82CF8">
        <w:trPr>
          <w:trHeight w:val="335"/>
        </w:trPr>
        <w:tc>
          <w:tcPr>
            <w:tcW w:w="2263" w:type="dxa"/>
            <w:tcBorders>
              <w:top w:val="nil"/>
              <w:left w:val="single" w:sz="4" w:space="0" w:color="FFFFFF"/>
              <w:bottom w:val="single" w:sz="4" w:space="0" w:color="auto"/>
              <w:right w:val="single" w:sz="4" w:space="0" w:color="FFFFFF"/>
            </w:tcBorders>
            <w:vAlign w:val="center"/>
          </w:tcPr>
          <w:p w14:paraId="65EB0DB2" w14:textId="77777777" w:rsidR="00B82CF8" w:rsidRPr="00416C4A" w:rsidRDefault="00B82CF8" w:rsidP="00B82CF8">
            <w:pPr>
              <w:spacing w:line="480" w:lineRule="auto"/>
            </w:pPr>
            <w:r w:rsidRPr="00416C4A">
              <w:t>Industry and year FE</w:t>
            </w:r>
          </w:p>
        </w:tc>
        <w:tc>
          <w:tcPr>
            <w:tcW w:w="1843" w:type="dxa"/>
            <w:gridSpan w:val="2"/>
            <w:tcBorders>
              <w:top w:val="nil"/>
              <w:left w:val="single" w:sz="4" w:space="0" w:color="FFFFFF"/>
              <w:bottom w:val="single" w:sz="4" w:space="0" w:color="auto"/>
              <w:right w:val="single" w:sz="4" w:space="0" w:color="FFFFFF"/>
            </w:tcBorders>
            <w:vAlign w:val="center"/>
          </w:tcPr>
          <w:p w14:paraId="05794FFE" w14:textId="77777777" w:rsidR="00B82CF8" w:rsidRPr="00416C4A" w:rsidRDefault="00B82CF8" w:rsidP="00B82CF8">
            <w:pPr>
              <w:spacing w:line="480" w:lineRule="auto"/>
              <w:jc w:val="center"/>
            </w:pPr>
            <w:r w:rsidRPr="00416C4A">
              <w:t>Included</w:t>
            </w:r>
          </w:p>
        </w:tc>
        <w:tc>
          <w:tcPr>
            <w:tcW w:w="1985" w:type="dxa"/>
            <w:gridSpan w:val="2"/>
            <w:tcBorders>
              <w:top w:val="nil"/>
              <w:left w:val="single" w:sz="4" w:space="0" w:color="FFFFFF"/>
              <w:bottom w:val="single" w:sz="4" w:space="0" w:color="auto"/>
              <w:right w:val="single" w:sz="4" w:space="0" w:color="FFFFFF"/>
            </w:tcBorders>
            <w:vAlign w:val="center"/>
          </w:tcPr>
          <w:p w14:paraId="19FE6D16" w14:textId="77777777" w:rsidR="00B82CF8" w:rsidRPr="00416C4A" w:rsidRDefault="00B82CF8" w:rsidP="00B82CF8">
            <w:pPr>
              <w:spacing w:line="480" w:lineRule="auto"/>
              <w:jc w:val="center"/>
            </w:pPr>
            <w:r w:rsidRPr="00416C4A">
              <w:t>Included</w:t>
            </w:r>
          </w:p>
        </w:tc>
        <w:tc>
          <w:tcPr>
            <w:tcW w:w="2025" w:type="dxa"/>
            <w:gridSpan w:val="2"/>
            <w:tcBorders>
              <w:top w:val="nil"/>
              <w:left w:val="single" w:sz="4" w:space="0" w:color="FFFFFF"/>
              <w:bottom w:val="single" w:sz="4" w:space="0" w:color="auto"/>
              <w:right w:val="single" w:sz="4" w:space="0" w:color="FFFFFF"/>
            </w:tcBorders>
            <w:vAlign w:val="center"/>
          </w:tcPr>
          <w:p w14:paraId="50ABA61B" w14:textId="77777777" w:rsidR="00B82CF8" w:rsidRPr="00416C4A" w:rsidRDefault="00B82CF8" w:rsidP="00B82CF8">
            <w:pPr>
              <w:spacing w:line="480" w:lineRule="auto"/>
              <w:jc w:val="center"/>
            </w:pPr>
            <w:r w:rsidRPr="00416C4A">
              <w:t>Included</w:t>
            </w:r>
          </w:p>
        </w:tc>
        <w:tc>
          <w:tcPr>
            <w:tcW w:w="2005" w:type="dxa"/>
            <w:gridSpan w:val="2"/>
            <w:tcBorders>
              <w:top w:val="nil"/>
              <w:left w:val="single" w:sz="4" w:space="0" w:color="FFFFFF"/>
              <w:bottom w:val="single" w:sz="4" w:space="0" w:color="auto"/>
              <w:right w:val="single" w:sz="4" w:space="0" w:color="FFFFFF"/>
            </w:tcBorders>
            <w:vAlign w:val="center"/>
          </w:tcPr>
          <w:p w14:paraId="64102DBA" w14:textId="77777777" w:rsidR="00B82CF8" w:rsidRPr="00416C4A" w:rsidRDefault="00B82CF8" w:rsidP="00B82CF8">
            <w:pPr>
              <w:spacing w:line="480" w:lineRule="auto"/>
              <w:jc w:val="center"/>
            </w:pPr>
            <w:r w:rsidRPr="00416C4A">
              <w:t>Included</w:t>
            </w:r>
          </w:p>
        </w:tc>
      </w:tr>
      <w:tr w:rsidR="00B82CF8" w:rsidRPr="00416C4A" w14:paraId="4E5E4719" w14:textId="77777777" w:rsidTr="00B82CF8">
        <w:tc>
          <w:tcPr>
            <w:tcW w:w="2263" w:type="dxa"/>
            <w:tcBorders>
              <w:top w:val="single" w:sz="4" w:space="0" w:color="auto"/>
              <w:left w:val="single" w:sz="4" w:space="0" w:color="FFFFFF"/>
              <w:bottom w:val="single" w:sz="4" w:space="0" w:color="FFFFFF"/>
              <w:right w:val="single" w:sz="4" w:space="0" w:color="FFFFFF"/>
            </w:tcBorders>
            <w:vAlign w:val="center"/>
          </w:tcPr>
          <w:p w14:paraId="1BCDFADA" w14:textId="77777777" w:rsidR="00B82CF8" w:rsidRPr="00416C4A" w:rsidRDefault="00B82CF8" w:rsidP="00B82CF8">
            <w:pPr>
              <w:spacing w:line="480" w:lineRule="auto"/>
            </w:pPr>
            <w:r w:rsidRPr="00416C4A">
              <w:t>Number of obs.</w:t>
            </w:r>
          </w:p>
        </w:tc>
        <w:tc>
          <w:tcPr>
            <w:tcW w:w="1843" w:type="dxa"/>
            <w:gridSpan w:val="2"/>
            <w:tcBorders>
              <w:top w:val="single" w:sz="4" w:space="0" w:color="auto"/>
              <w:left w:val="single" w:sz="4" w:space="0" w:color="FFFFFF"/>
              <w:bottom w:val="single" w:sz="4" w:space="0" w:color="FFFFFF"/>
              <w:right w:val="single" w:sz="4" w:space="0" w:color="FFFFFF"/>
            </w:tcBorders>
            <w:vAlign w:val="center"/>
          </w:tcPr>
          <w:p w14:paraId="481D2DD3" w14:textId="77777777" w:rsidR="00B82CF8" w:rsidRPr="00416C4A" w:rsidRDefault="00B82CF8" w:rsidP="00B82CF8">
            <w:pPr>
              <w:spacing w:line="480" w:lineRule="auto"/>
              <w:jc w:val="center"/>
            </w:pPr>
            <w:r>
              <w:t>248</w:t>
            </w:r>
          </w:p>
        </w:tc>
        <w:tc>
          <w:tcPr>
            <w:tcW w:w="1985" w:type="dxa"/>
            <w:gridSpan w:val="2"/>
            <w:tcBorders>
              <w:top w:val="single" w:sz="4" w:space="0" w:color="auto"/>
              <w:left w:val="single" w:sz="4" w:space="0" w:color="FFFFFF"/>
              <w:bottom w:val="single" w:sz="4" w:space="0" w:color="FFFFFF"/>
              <w:right w:val="single" w:sz="4" w:space="0" w:color="FFFFFF"/>
            </w:tcBorders>
            <w:vAlign w:val="center"/>
          </w:tcPr>
          <w:p w14:paraId="2273CD13" w14:textId="77777777" w:rsidR="00B82CF8" w:rsidRPr="00416C4A" w:rsidRDefault="00B82CF8" w:rsidP="00B82CF8">
            <w:pPr>
              <w:spacing w:line="480" w:lineRule="auto"/>
              <w:jc w:val="center"/>
            </w:pPr>
            <w:r>
              <w:t>2</w:t>
            </w:r>
            <w:r w:rsidRPr="00416C4A">
              <w:t>4</w:t>
            </w:r>
            <w:r>
              <w:t>3</w:t>
            </w:r>
          </w:p>
        </w:tc>
        <w:tc>
          <w:tcPr>
            <w:tcW w:w="2025" w:type="dxa"/>
            <w:gridSpan w:val="2"/>
            <w:tcBorders>
              <w:top w:val="single" w:sz="4" w:space="0" w:color="auto"/>
              <w:left w:val="single" w:sz="4" w:space="0" w:color="FFFFFF"/>
              <w:bottom w:val="single" w:sz="4" w:space="0" w:color="FFFFFF"/>
              <w:right w:val="single" w:sz="4" w:space="0" w:color="FFFFFF"/>
            </w:tcBorders>
            <w:vAlign w:val="center"/>
          </w:tcPr>
          <w:p w14:paraId="4F8F0813" w14:textId="77777777" w:rsidR="00B82CF8" w:rsidRPr="00416C4A" w:rsidRDefault="00B82CF8" w:rsidP="00B82CF8">
            <w:pPr>
              <w:spacing w:line="480" w:lineRule="auto"/>
              <w:jc w:val="center"/>
            </w:pPr>
            <w:r>
              <w:t>229</w:t>
            </w:r>
          </w:p>
        </w:tc>
        <w:tc>
          <w:tcPr>
            <w:tcW w:w="2005" w:type="dxa"/>
            <w:gridSpan w:val="2"/>
            <w:tcBorders>
              <w:top w:val="single" w:sz="4" w:space="0" w:color="auto"/>
              <w:left w:val="single" w:sz="4" w:space="0" w:color="FFFFFF"/>
              <w:bottom w:val="single" w:sz="4" w:space="0" w:color="FFFFFF"/>
              <w:right w:val="single" w:sz="4" w:space="0" w:color="FFFFFF"/>
            </w:tcBorders>
            <w:vAlign w:val="center"/>
          </w:tcPr>
          <w:p w14:paraId="3D35A741" w14:textId="77777777" w:rsidR="00B82CF8" w:rsidRPr="00416C4A" w:rsidRDefault="00B82CF8" w:rsidP="00B82CF8">
            <w:pPr>
              <w:spacing w:line="480" w:lineRule="auto"/>
              <w:jc w:val="center"/>
            </w:pPr>
            <w:r>
              <w:t>235</w:t>
            </w:r>
          </w:p>
        </w:tc>
      </w:tr>
      <w:tr w:rsidR="00B82CF8" w:rsidRPr="00416C4A" w14:paraId="31C26B77" w14:textId="77777777" w:rsidTr="00B82CF8">
        <w:trPr>
          <w:trHeight w:val="521"/>
        </w:trPr>
        <w:tc>
          <w:tcPr>
            <w:tcW w:w="2263" w:type="dxa"/>
            <w:tcBorders>
              <w:top w:val="single" w:sz="4" w:space="0" w:color="FFFFFF"/>
              <w:left w:val="single" w:sz="4" w:space="0" w:color="FFFFFF"/>
              <w:right w:val="single" w:sz="4" w:space="0" w:color="FFFFFF"/>
            </w:tcBorders>
            <w:vAlign w:val="center"/>
          </w:tcPr>
          <w:p w14:paraId="11DA65CC" w14:textId="77777777" w:rsidR="00B82CF8" w:rsidRPr="00416C4A" w:rsidRDefault="00B82CF8" w:rsidP="00B82CF8">
            <w:pPr>
              <w:spacing w:line="480" w:lineRule="auto"/>
            </w:pPr>
            <w:r w:rsidRPr="00416C4A">
              <w:t>Adj.  R</w:t>
            </w:r>
            <w:r w:rsidRPr="00416C4A">
              <w:rPr>
                <w:vertAlign w:val="superscript"/>
              </w:rPr>
              <w:t>2</w:t>
            </w:r>
          </w:p>
        </w:tc>
        <w:tc>
          <w:tcPr>
            <w:tcW w:w="1843" w:type="dxa"/>
            <w:gridSpan w:val="2"/>
            <w:tcBorders>
              <w:top w:val="single" w:sz="4" w:space="0" w:color="FFFFFF"/>
              <w:left w:val="single" w:sz="4" w:space="0" w:color="FFFFFF"/>
              <w:right w:val="single" w:sz="4" w:space="0" w:color="FFFFFF"/>
            </w:tcBorders>
            <w:vAlign w:val="center"/>
          </w:tcPr>
          <w:p w14:paraId="0280032D" w14:textId="77777777" w:rsidR="00B82CF8" w:rsidRPr="00416C4A" w:rsidRDefault="00B82CF8" w:rsidP="00B82CF8">
            <w:pPr>
              <w:spacing w:line="480" w:lineRule="auto"/>
              <w:jc w:val="center"/>
            </w:pPr>
            <w:r>
              <w:t>17</w:t>
            </w:r>
            <w:r w:rsidRPr="00416C4A">
              <w:t>.</w:t>
            </w:r>
            <w:r>
              <w:t>29</w:t>
            </w:r>
            <w:r w:rsidRPr="00416C4A">
              <w:t>%</w:t>
            </w:r>
          </w:p>
        </w:tc>
        <w:tc>
          <w:tcPr>
            <w:tcW w:w="1985" w:type="dxa"/>
            <w:gridSpan w:val="2"/>
            <w:tcBorders>
              <w:top w:val="single" w:sz="4" w:space="0" w:color="FFFFFF"/>
              <w:left w:val="single" w:sz="4" w:space="0" w:color="FFFFFF"/>
              <w:right w:val="single" w:sz="4" w:space="0" w:color="FFFFFF"/>
            </w:tcBorders>
            <w:vAlign w:val="center"/>
          </w:tcPr>
          <w:p w14:paraId="04069471" w14:textId="77777777" w:rsidR="00B82CF8" w:rsidRPr="00416C4A" w:rsidRDefault="00B82CF8" w:rsidP="00B82CF8">
            <w:pPr>
              <w:spacing w:line="480" w:lineRule="auto"/>
              <w:jc w:val="center"/>
            </w:pPr>
            <w:r>
              <w:t>16</w:t>
            </w:r>
            <w:r w:rsidRPr="00416C4A">
              <w:t>.</w:t>
            </w:r>
            <w:r>
              <w:t>23</w:t>
            </w:r>
            <w:r w:rsidRPr="00416C4A">
              <w:t>%</w:t>
            </w:r>
          </w:p>
        </w:tc>
        <w:tc>
          <w:tcPr>
            <w:tcW w:w="2025" w:type="dxa"/>
            <w:gridSpan w:val="2"/>
            <w:tcBorders>
              <w:top w:val="single" w:sz="4" w:space="0" w:color="FFFFFF"/>
              <w:left w:val="single" w:sz="4" w:space="0" w:color="FFFFFF"/>
              <w:right w:val="single" w:sz="4" w:space="0" w:color="FFFFFF"/>
            </w:tcBorders>
            <w:vAlign w:val="center"/>
          </w:tcPr>
          <w:p w14:paraId="0B796449" w14:textId="77777777" w:rsidR="00B82CF8" w:rsidRPr="00416C4A" w:rsidRDefault="00B82CF8" w:rsidP="00B82CF8">
            <w:pPr>
              <w:spacing w:line="480" w:lineRule="auto"/>
              <w:jc w:val="center"/>
            </w:pPr>
            <w:r>
              <w:t>1</w:t>
            </w:r>
            <w:r w:rsidRPr="00416C4A">
              <w:t>.</w:t>
            </w:r>
            <w:r>
              <w:t>74</w:t>
            </w:r>
            <w:r w:rsidRPr="00416C4A">
              <w:t>%</w:t>
            </w:r>
          </w:p>
        </w:tc>
        <w:tc>
          <w:tcPr>
            <w:tcW w:w="2005" w:type="dxa"/>
            <w:gridSpan w:val="2"/>
            <w:tcBorders>
              <w:top w:val="single" w:sz="4" w:space="0" w:color="FFFFFF"/>
              <w:left w:val="single" w:sz="4" w:space="0" w:color="FFFFFF"/>
              <w:right w:val="single" w:sz="4" w:space="0" w:color="FFFFFF"/>
            </w:tcBorders>
            <w:vAlign w:val="center"/>
          </w:tcPr>
          <w:p w14:paraId="4B08F596" w14:textId="77777777" w:rsidR="00B82CF8" w:rsidRPr="00416C4A" w:rsidRDefault="00B82CF8" w:rsidP="00B82CF8">
            <w:pPr>
              <w:spacing w:line="480" w:lineRule="auto"/>
              <w:jc w:val="center"/>
            </w:pPr>
            <w:r>
              <w:t>0</w:t>
            </w:r>
            <w:r w:rsidRPr="00416C4A">
              <w:t>.</w:t>
            </w:r>
            <w:r>
              <w:t>43</w:t>
            </w:r>
            <w:r w:rsidRPr="00416C4A">
              <w:t>%</w:t>
            </w:r>
          </w:p>
        </w:tc>
      </w:tr>
    </w:tbl>
    <w:p w14:paraId="037133CB" w14:textId="28DCA8B2" w:rsidR="00DE1C35" w:rsidRDefault="00DE1C35" w:rsidP="009163D0">
      <w:pPr>
        <w:jc w:val="both"/>
        <w:rPr>
          <w:b/>
          <w:bCs/>
        </w:rPr>
      </w:pPr>
    </w:p>
    <w:p w14:paraId="3440861D" w14:textId="2A65CB05" w:rsidR="00DE1C35" w:rsidRDefault="00DE1C35" w:rsidP="009163D0">
      <w:pPr>
        <w:jc w:val="both"/>
        <w:rPr>
          <w:b/>
          <w:bCs/>
        </w:rPr>
      </w:pPr>
    </w:p>
    <w:p w14:paraId="1E2A5968" w14:textId="59B4B569" w:rsidR="00DE1C35" w:rsidRDefault="00DE1C35" w:rsidP="009163D0">
      <w:pPr>
        <w:jc w:val="both"/>
        <w:rPr>
          <w:b/>
          <w:bCs/>
        </w:rPr>
      </w:pPr>
    </w:p>
    <w:p w14:paraId="04A053B1" w14:textId="15B758E9" w:rsidR="00DE1C35" w:rsidRDefault="00DE1C35" w:rsidP="009163D0">
      <w:pPr>
        <w:jc w:val="both"/>
        <w:rPr>
          <w:b/>
          <w:bCs/>
        </w:rPr>
      </w:pPr>
    </w:p>
    <w:p w14:paraId="35DAB18C" w14:textId="21DA059A" w:rsidR="00DE1C35" w:rsidRDefault="00DE1C35" w:rsidP="009163D0">
      <w:pPr>
        <w:jc w:val="both"/>
        <w:rPr>
          <w:b/>
          <w:bCs/>
        </w:rPr>
      </w:pPr>
    </w:p>
    <w:p w14:paraId="4415B232" w14:textId="0F620C6C" w:rsidR="00DE1C35" w:rsidRDefault="00DE1C35" w:rsidP="009163D0">
      <w:pPr>
        <w:jc w:val="both"/>
        <w:rPr>
          <w:b/>
          <w:bCs/>
        </w:rPr>
      </w:pPr>
    </w:p>
    <w:p w14:paraId="3F83400F" w14:textId="293D5B76" w:rsidR="00DE1C35" w:rsidRDefault="00DE1C35" w:rsidP="009163D0">
      <w:pPr>
        <w:jc w:val="both"/>
        <w:rPr>
          <w:b/>
          <w:bCs/>
        </w:rPr>
      </w:pPr>
    </w:p>
    <w:p w14:paraId="31EA99CE" w14:textId="2920BEE1" w:rsidR="00DE1C35" w:rsidRDefault="00DE1C35" w:rsidP="009163D0">
      <w:pPr>
        <w:jc w:val="both"/>
        <w:rPr>
          <w:b/>
          <w:bCs/>
        </w:rPr>
      </w:pPr>
    </w:p>
    <w:p w14:paraId="68478A8A" w14:textId="1B9AB0F1" w:rsidR="00B82CF8" w:rsidRDefault="00B82CF8" w:rsidP="009163D0">
      <w:pPr>
        <w:jc w:val="both"/>
        <w:rPr>
          <w:b/>
          <w:bCs/>
        </w:rPr>
      </w:pPr>
    </w:p>
    <w:p w14:paraId="1882DB1B" w14:textId="6F1C4E35" w:rsidR="00B82CF8" w:rsidRDefault="00B82CF8" w:rsidP="009163D0">
      <w:pPr>
        <w:jc w:val="both"/>
        <w:rPr>
          <w:b/>
          <w:bCs/>
        </w:rPr>
      </w:pPr>
    </w:p>
    <w:p w14:paraId="2BF13852" w14:textId="600A7F5F" w:rsidR="00B82CF8" w:rsidRDefault="00B82CF8" w:rsidP="009163D0">
      <w:pPr>
        <w:jc w:val="both"/>
        <w:rPr>
          <w:b/>
          <w:bCs/>
        </w:rPr>
      </w:pPr>
    </w:p>
    <w:p w14:paraId="0DC55AB2" w14:textId="673529D1" w:rsidR="00B82CF8" w:rsidRDefault="00B82CF8" w:rsidP="009163D0">
      <w:pPr>
        <w:jc w:val="both"/>
        <w:rPr>
          <w:b/>
          <w:bCs/>
        </w:rPr>
      </w:pPr>
    </w:p>
    <w:p w14:paraId="7D9217E1" w14:textId="68AB1496" w:rsidR="00B82CF8" w:rsidRDefault="00B82CF8" w:rsidP="009163D0">
      <w:pPr>
        <w:jc w:val="both"/>
        <w:rPr>
          <w:b/>
          <w:bCs/>
        </w:rPr>
      </w:pPr>
    </w:p>
    <w:p w14:paraId="0641B675" w14:textId="22015290" w:rsidR="00B82CF8" w:rsidRDefault="00B82CF8" w:rsidP="009163D0">
      <w:pPr>
        <w:jc w:val="both"/>
        <w:rPr>
          <w:b/>
          <w:bCs/>
        </w:rPr>
      </w:pPr>
    </w:p>
    <w:p w14:paraId="27C930A9" w14:textId="6C5C8EC5" w:rsidR="00B82CF8" w:rsidRDefault="00B82CF8" w:rsidP="009163D0">
      <w:pPr>
        <w:jc w:val="both"/>
        <w:rPr>
          <w:b/>
          <w:bCs/>
        </w:rPr>
      </w:pPr>
    </w:p>
    <w:p w14:paraId="35DE116E" w14:textId="234F782A" w:rsidR="00B82CF8" w:rsidRDefault="00B82CF8" w:rsidP="009163D0">
      <w:pPr>
        <w:jc w:val="both"/>
        <w:rPr>
          <w:b/>
          <w:bCs/>
        </w:rPr>
      </w:pPr>
    </w:p>
    <w:p w14:paraId="3AC19682" w14:textId="2FB7DC5C" w:rsidR="00B82CF8" w:rsidRDefault="00B82CF8" w:rsidP="009163D0">
      <w:pPr>
        <w:jc w:val="both"/>
        <w:rPr>
          <w:b/>
          <w:bCs/>
        </w:rPr>
      </w:pPr>
    </w:p>
    <w:p w14:paraId="3B8D74D0" w14:textId="3CC71CAA" w:rsidR="00B82CF8" w:rsidRDefault="00B82CF8" w:rsidP="009163D0">
      <w:pPr>
        <w:jc w:val="both"/>
        <w:rPr>
          <w:b/>
          <w:bCs/>
        </w:rPr>
      </w:pPr>
    </w:p>
    <w:p w14:paraId="3DA37C13" w14:textId="43DBC855" w:rsidR="00B82CF8" w:rsidRDefault="00B82CF8" w:rsidP="009163D0">
      <w:pPr>
        <w:jc w:val="both"/>
        <w:rPr>
          <w:b/>
          <w:bCs/>
        </w:rPr>
      </w:pPr>
    </w:p>
    <w:p w14:paraId="61A14024" w14:textId="02268810" w:rsidR="00B82CF8" w:rsidRDefault="00B82CF8" w:rsidP="009163D0">
      <w:pPr>
        <w:jc w:val="both"/>
        <w:rPr>
          <w:b/>
          <w:bCs/>
        </w:rPr>
      </w:pPr>
    </w:p>
    <w:p w14:paraId="1B3E7F45" w14:textId="47A5290C" w:rsidR="00B82CF8" w:rsidRDefault="00B82CF8" w:rsidP="009163D0">
      <w:pPr>
        <w:jc w:val="both"/>
        <w:rPr>
          <w:b/>
          <w:bCs/>
        </w:rPr>
      </w:pPr>
    </w:p>
    <w:p w14:paraId="26249DEF" w14:textId="65CB94DE" w:rsidR="00B82CF8" w:rsidRDefault="00B82CF8" w:rsidP="009163D0">
      <w:pPr>
        <w:jc w:val="both"/>
        <w:rPr>
          <w:b/>
          <w:bCs/>
        </w:rPr>
      </w:pPr>
    </w:p>
    <w:p w14:paraId="4E1AE795" w14:textId="79331E49" w:rsidR="00B82CF8" w:rsidRDefault="00B82CF8" w:rsidP="009163D0">
      <w:pPr>
        <w:jc w:val="both"/>
        <w:rPr>
          <w:b/>
          <w:bCs/>
        </w:rPr>
      </w:pPr>
    </w:p>
    <w:p w14:paraId="391DCA96" w14:textId="46F19DE8" w:rsidR="00B82CF8" w:rsidRDefault="00B82CF8" w:rsidP="009163D0">
      <w:pPr>
        <w:jc w:val="both"/>
        <w:rPr>
          <w:b/>
          <w:bCs/>
        </w:rPr>
      </w:pPr>
    </w:p>
    <w:p w14:paraId="7053170C" w14:textId="77777777" w:rsidR="00B82CF8" w:rsidRDefault="00B82CF8" w:rsidP="00B82CF8">
      <w:pPr>
        <w:spacing w:line="480" w:lineRule="auto"/>
      </w:pPr>
    </w:p>
    <w:p w14:paraId="1B7AE6AA" w14:textId="1B7F4913" w:rsidR="00B82CF8" w:rsidRPr="00416C4A" w:rsidRDefault="00B82CF8" w:rsidP="00B82CF8">
      <w:pPr>
        <w:spacing w:line="480" w:lineRule="auto"/>
        <w:rPr>
          <w:b/>
          <w:bCs/>
        </w:rPr>
      </w:pPr>
      <w:r w:rsidRPr="00416C4A">
        <w:t>Note: We use two-tailed tests</w:t>
      </w:r>
      <w:r w:rsidR="002504F6">
        <w:t>. A</w:t>
      </w:r>
      <w:r w:rsidRPr="00416C4A">
        <w:t>ll variables are defined in the appendix.</w:t>
      </w:r>
    </w:p>
    <w:p w14:paraId="3E4396B6" w14:textId="41F99E42" w:rsidR="00B82CF8" w:rsidRDefault="00B82CF8" w:rsidP="009163D0">
      <w:pPr>
        <w:jc w:val="both"/>
        <w:rPr>
          <w:b/>
          <w:bCs/>
        </w:rPr>
      </w:pPr>
    </w:p>
    <w:p w14:paraId="20391129" w14:textId="7D230F47" w:rsidR="00B82CF8" w:rsidRDefault="00B82CF8" w:rsidP="00B82CF8">
      <w:pPr>
        <w:jc w:val="center"/>
        <w:rPr>
          <w:b/>
          <w:bCs/>
        </w:rPr>
      </w:pPr>
      <w:r w:rsidRPr="00416C4A">
        <w:rPr>
          <w:b/>
          <w:bCs/>
        </w:rPr>
        <w:lastRenderedPageBreak/>
        <w:t xml:space="preserve">Table </w:t>
      </w:r>
      <w:r>
        <w:rPr>
          <w:b/>
          <w:bCs/>
        </w:rPr>
        <w:t>7</w:t>
      </w:r>
      <w:r w:rsidRPr="00416C4A">
        <w:t>:</w:t>
      </w:r>
      <w:r w:rsidRPr="00416C4A">
        <w:rPr>
          <w:b/>
          <w:bCs/>
        </w:rPr>
        <w:t xml:space="preserve"> Simultaneous equation</w:t>
      </w:r>
      <w:r w:rsidR="002504F6">
        <w:rPr>
          <w:b/>
          <w:bCs/>
        </w:rPr>
        <w:t>s</w:t>
      </w:r>
      <w:r w:rsidRPr="00416C4A">
        <w:rPr>
          <w:b/>
          <w:bCs/>
        </w:rPr>
        <w:t xml:space="preserve"> model with </w:t>
      </w:r>
      <w:r w:rsidRPr="00416C4A">
        <w:rPr>
          <w:b/>
          <w:bCs/>
          <w:i/>
          <w:iCs/>
        </w:rPr>
        <w:t>Female_3</w:t>
      </w:r>
    </w:p>
    <w:p w14:paraId="1CD872F0" w14:textId="43915550" w:rsidR="00B82CF8" w:rsidRPr="00416C4A" w:rsidRDefault="00B82CF8" w:rsidP="00B82CF8">
      <w:pPr>
        <w:spacing w:line="480" w:lineRule="auto"/>
        <w:jc w:val="center"/>
        <w:rPr>
          <w:b/>
          <w:bCs/>
        </w:rPr>
      </w:pPr>
    </w:p>
    <w:tbl>
      <w:tblPr>
        <w:tblStyle w:val="TableGrid"/>
        <w:tblpPr w:leftFromText="180" w:rightFromText="180" w:vertAnchor="page" w:tblpY="1877"/>
        <w:tblW w:w="14029" w:type="dxa"/>
        <w:tblLayout w:type="fixed"/>
        <w:tblLook w:val="04A0" w:firstRow="1" w:lastRow="0" w:firstColumn="1" w:lastColumn="0" w:noHBand="0" w:noVBand="1"/>
      </w:tblPr>
      <w:tblGrid>
        <w:gridCol w:w="2263"/>
        <w:gridCol w:w="2694"/>
        <w:gridCol w:w="2976"/>
        <w:gridCol w:w="3544"/>
        <w:gridCol w:w="2471"/>
        <w:gridCol w:w="81"/>
      </w:tblGrid>
      <w:tr w:rsidR="00B82CF8" w:rsidRPr="00416C4A" w14:paraId="5F5DAD07" w14:textId="77777777" w:rsidTr="00BB45E8">
        <w:trPr>
          <w:gridAfter w:val="1"/>
          <w:wAfter w:w="81" w:type="dxa"/>
          <w:trHeight w:hRule="exact" w:val="510"/>
        </w:trPr>
        <w:tc>
          <w:tcPr>
            <w:tcW w:w="2263" w:type="dxa"/>
            <w:vMerge w:val="restart"/>
            <w:tcBorders>
              <w:left w:val="single" w:sz="4" w:space="0" w:color="FFFFFF"/>
              <w:right w:val="single" w:sz="4" w:space="0" w:color="FFFFFF"/>
            </w:tcBorders>
            <w:vAlign w:val="center"/>
          </w:tcPr>
          <w:p w14:paraId="4EC2C5F0" w14:textId="77777777" w:rsidR="00B82CF8" w:rsidRPr="00416C4A" w:rsidRDefault="00B82CF8" w:rsidP="00BB45E8">
            <w:pPr>
              <w:spacing w:line="480" w:lineRule="auto"/>
              <w:jc w:val="center"/>
            </w:pPr>
          </w:p>
        </w:tc>
        <w:tc>
          <w:tcPr>
            <w:tcW w:w="5670" w:type="dxa"/>
            <w:gridSpan w:val="2"/>
            <w:tcBorders>
              <w:top w:val="single" w:sz="4" w:space="0" w:color="auto"/>
              <w:left w:val="single" w:sz="4" w:space="0" w:color="FFFFFF"/>
            </w:tcBorders>
            <w:vAlign w:val="center"/>
          </w:tcPr>
          <w:p w14:paraId="21306660" w14:textId="77777777" w:rsidR="00B82CF8" w:rsidRPr="00416C4A" w:rsidRDefault="00B82CF8" w:rsidP="00BB45E8">
            <w:pPr>
              <w:spacing w:line="480" w:lineRule="auto"/>
              <w:jc w:val="center"/>
            </w:pPr>
            <w:r w:rsidRPr="00416C4A">
              <w:t>ROA</w:t>
            </w:r>
          </w:p>
        </w:tc>
        <w:tc>
          <w:tcPr>
            <w:tcW w:w="6015" w:type="dxa"/>
            <w:gridSpan w:val="2"/>
            <w:tcBorders>
              <w:top w:val="single" w:sz="4" w:space="0" w:color="auto"/>
              <w:right w:val="single" w:sz="4" w:space="0" w:color="FFFFFF"/>
            </w:tcBorders>
            <w:vAlign w:val="center"/>
          </w:tcPr>
          <w:p w14:paraId="58D430B6" w14:textId="77777777" w:rsidR="00B82CF8" w:rsidRPr="00416C4A" w:rsidRDefault="00B82CF8" w:rsidP="00BB45E8">
            <w:pPr>
              <w:spacing w:line="480" w:lineRule="auto"/>
              <w:jc w:val="center"/>
            </w:pPr>
            <w:r w:rsidRPr="00416C4A">
              <w:t>Tobin’s Q</w:t>
            </w:r>
          </w:p>
        </w:tc>
      </w:tr>
      <w:tr w:rsidR="00B82CF8" w:rsidRPr="00416C4A" w14:paraId="12AC42F9" w14:textId="77777777" w:rsidTr="00BB45E8">
        <w:trPr>
          <w:trHeight w:hRule="exact" w:val="510"/>
        </w:trPr>
        <w:tc>
          <w:tcPr>
            <w:tcW w:w="2263" w:type="dxa"/>
            <w:vMerge/>
            <w:tcBorders>
              <w:left w:val="single" w:sz="4" w:space="0" w:color="FFFFFF"/>
              <w:right w:val="single" w:sz="4" w:space="0" w:color="FFFFFF"/>
            </w:tcBorders>
            <w:vAlign w:val="center"/>
          </w:tcPr>
          <w:p w14:paraId="27C3C980" w14:textId="77777777" w:rsidR="00B82CF8" w:rsidRPr="00416C4A" w:rsidRDefault="00B82CF8" w:rsidP="00BB45E8">
            <w:pPr>
              <w:spacing w:line="480" w:lineRule="auto"/>
              <w:jc w:val="center"/>
            </w:pPr>
          </w:p>
        </w:tc>
        <w:tc>
          <w:tcPr>
            <w:tcW w:w="2694" w:type="dxa"/>
            <w:tcBorders>
              <w:left w:val="single" w:sz="4" w:space="0" w:color="FFFFFF"/>
              <w:right w:val="nil"/>
            </w:tcBorders>
            <w:vAlign w:val="center"/>
          </w:tcPr>
          <w:p w14:paraId="1D15F2D1" w14:textId="77777777" w:rsidR="00B82CF8" w:rsidRPr="00416C4A" w:rsidRDefault="00B82CF8" w:rsidP="00BB45E8">
            <w:pPr>
              <w:spacing w:line="480" w:lineRule="auto"/>
              <w:jc w:val="center"/>
            </w:pPr>
            <w:r w:rsidRPr="00416C4A">
              <w:t>Coeff.</w:t>
            </w:r>
          </w:p>
        </w:tc>
        <w:tc>
          <w:tcPr>
            <w:tcW w:w="2976" w:type="dxa"/>
            <w:tcBorders>
              <w:left w:val="nil"/>
            </w:tcBorders>
            <w:vAlign w:val="center"/>
          </w:tcPr>
          <w:p w14:paraId="6E11020E" w14:textId="77777777" w:rsidR="00B82CF8" w:rsidRPr="00416C4A" w:rsidRDefault="00B82CF8" w:rsidP="00BB45E8">
            <w:pPr>
              <w:spacing w:line="480" w:lineRule="auto"/>
              <w:jc w:val="center"/>
            </w:pPr>
            <w:r w:rsidRPr="00416C4A">
              <w:t>P-value</w:t>
            </w:r>
          </w:p>
        </w:tc>
        <w:tc>
          <w:tcPr>
            <w:tcW w:w="3544" w:type="dxa"/>
            <w:tcBorders>
              <w:right w:val="nil"/>
            </w:tcBorders>
            <w:vAlign w:val="center"/>
          </w:tcPr>
          <w:p w14:paraId="1D88D3E4" w14:textId="77777777" w:rsidR="00B82CF8" w:rsidRPr="00416C4A" w:rsidRDefault="00B82CF8" w:rsidP="00BB45E8">
            <w:pPr>
              <w:spacing w:line="480" w:lineRule="auto"/>
              <w:jc w:val="center"/>
            </w:pPr>
            <w:r w:rsidRPr="00416C4A">
              <w:t>Coeff.</w:t>
            </w:r>
          </w:p>
        </w:tc>
        <w:tc>
          <w:tcPr>
            <w:tcW w:w="2552" w:type="dxa"/>
            <w:gridSpan w:val="2"/>
            <w:tcBorders>
              <w:left w:val="nil"/>
              <w:right w:val="single" w:sz="4" w:space="0" w:color="FFFFFF" w:themeColor="background1"/>
            </w:tcBorders>
            <w:vAlign w:val="center"/>
          </w:tcPr>
          <w:p w14:paraId="25358E99" w14:textId="77777777" w:rsidR="00B82CF8" w:rsidRPr="00416C4A" w:rsidRDefault="00B82CF8" w:rsidP="00BB45E8">
            <w:pPr>
              <w:spacing w:line="480" w:lineRule="auto"/>
              <w:jc w:val="center"/>
            </w:pPr>
            <w:r w:rsidRPr="00416C4A">
              <w:t>P-value</w:t>
            </w:r>
          </w:p>
        </w:tc>
      </w:tr>
      <w:tr w:rsidR="00B82CF8" w:rsidRPr="00416C4A" w14:paraId="6DC6BD7B" w14:textId="77777777" w:rsidTr="00BB45E8">
        <w:trPr>
          <w:trHeight w:hRule="exact" w:val="510"/>
        </w:trPr>
        <w:tc>
          <w:tcPr>
            <w:tcW w:w="2263" w:type="dxa"/>
            <w:tcBorders>
              <w:left w:val="single" w:sz="4" w:space="0" w:color="FFFFFF"/>
              <w:bottom w:val="single" w:sz="4" w:space="0" w:color="FFFFFF" w:themeColor="background1"/>
              <w:right w:val="single" w:sz="4" w:space="0" w:color="FFFFFF"/>
            </w:tcBorders>
            <w:vAlign w:val="center"/>
          </w:tcPr>
          <w:p w14:paraId="7592178E" w14:textId="77777777" w:rsidR="00B82CF8" w:rsidRPr="00416C4A" w:rsidRDefault="00B82CF8" w:rsidP="00BB45E8">
            <w:pPr>
              <w:spacing w:line="480" w:lineRule="auto"/>
              <w:rPr>
                <w:b/>
              </w:rPr>
            </w:pPr>
            <w:r w:rsidRPr="00416C4A">
              <w:rPr>
                <w:b/>
              </w:rPr>
              <w:t>Female_3</w:t>
            </w:r>
          </w:p>
        </w:tc>
        <w:tc>
          <w:tcPr>
            <w:tcW w:w="2694" w:type="dxa"/>
            <w:tcBorders>
              <w:left w:val="single" w:sz="4" w:space="0" w:color="FFFFFF"/>
              <w:bottom w:val="single" w:sz="4" w:space="0" w:color="FFFFFF" w:themeColor="background1"/>
              <w:right w:val="single" w:sz="4" w:space="0" w:color="FFFFFF"/>
            </w:tcBorders>
            <w:vAlign w:val="center"/>
          </w:tcPr>
          <w:p w14:paraId="009E9F45" w14:textId="77777777" w:rsidR="00B82CF8" w:rsidRPr="00416C4A" w:rsidRDefault="00B82CF8" w:rsidP="00BB45E8">
            <w:pPr>
              <w:spacing w:line="480" w:lineRule="auto"/>
              <w:jc w:val="center"/>
              <w:rPr>
                <w:b/>
              </w:rPr>
            </w:pPr>
            <w:r w:rsidRPr="00416C4A">
              <w:rPr>
                <w:b/>
              </w:rPr>
              <w:t>2.653</w:t>
            </w:r>
          </w:p>
        </w:tc>
        <w:tc>
          <w:tcPr>
            <w:tcW w:w="2976" w:type="dxa"/>
            <w:tcBorders>
              <w:left w:val="single" w:sz="4" w:space="0" w:color="FFFFFF"/>
              <w:bottom w:val="single" w:sz="4" w:space="0" w:color="FFFFFF" w:themeColor="background1"/>
              <w:right w:val="single" w:sz="4" w:space="0" w:color="FFFFFF"/>
            </w:tcBorders>
            <w:vAlign w:val="center"/>
          </w:tcPr>
          <w:p w14:paraId="6050D722" w14:textId="77777777" w:rsidR="00B82CF8" w:rsidRPr="00416C4A" w:rsidRDefault="00B82CF8" w:rsidP="00BB45E8">
            <w:pPr>
              <w:spacing w:line="480" w:lineRule="auto"/>
              <w:jc w:val="center"/>
              <w:rPr>
                <w:b/>
                <w:bCs/>
              </w:rPr>
            </w:pPr>
            <w:r w:rsidRPr="00416C4A">
              <w:rPr>
                <w:b/>
                <w:bCs/>
              </w:rPr>
              <w:t>0.249</w:t>
            </w:r>
          </w:p>
        </w:tc>
        <w:tc>
          <w:tcPr>
            <w:tcW w:w="3544" w:type="dxa"/>
            <w:tcBorders>
              <w:left w:val="single" w:sz="4" w:space="0" w:color="FFFFFF"/>
              <w:bottom w:val="single" w:sz="4" w:space="0" w:color="FFFFFF" w:themeColor="background1"/>
              <w:right w:val="single" w:sz="4" w:space="0" w:color="FFFFFF"/>
            </w:tcBorders>
            <w:vAlign w:val="center"/>
          </w:tcPr>
          <w:p w14:paraId="185A0E9E" w14:textId="77777777" w:rsidR="00B82CF8" w:rsidRPr="00416C4A" w:rsidRDefault="00B82CF8" w:rsidP="00BB45E8">
            <w:pPr>
              <w:spacing w:line="480" w:lineRule="auto"/>
              <w:jc w:val="center"/>
              <w:rPr>
                <w:b/>
              </w:rPr>
            </w:pPr>
            <w:r w:rsidRPr="00416C4A">
              <w:rPr>
                <w:b/>
              </w:rPr>
              <w:t>1.326</w:t>
            </w:r>
          </w:p>
        </w:tc>
        <w:tc>
          <w:tcPr>
            <w:tcW w:w="2552" w:type="dxa"/>
            <w:gridSpan w:val="2"/>
            <w:tcBorders>
              <w:left w:val="single" w:sz="4" w:space="0" w:color="FFFFFF"/>
              <w:bottom w:val="single" w:sz="4" w:space="0" w:color="FFFFFF" w:themeColor="background1"/>
              <w:right w:val="single" w:sz="4" w:space="0" w:color="FFFFFF"/>
            </w:tcBorders>
            <w:vAlign w:val="center"/>
          </w:tcPr>
          <w:p w14:paraId="51EF8B7B" w14:textId="77777777" w:rsidR="00B82CF8" w:rsidRPr="00416C4A" w:rsidRDefault="00B82CF8" w:rsidP="00BB45E8">
            <w:pPr>
              <w:spacing w:line="480" w:lineRule="auto"/>
              <w:jc w:val="center"/>
              <w:rPr>
                <w:b/>
                <w:bCs/>
              </w:rPr>
            </w:pPr>
            <w:r w:rsidRPr="00416C4A">
              <w:rPr>
                <w:b/>
                <w:bCs/>
              </w:rPr>
              <w:t>0.000</w:t>
            </w:r>
          </w:p>
        </w:tc>
      </w:tr>
      <w:tr w:rsidR="00B82CF8" w:rsidRPr="00416C4A" w14:paraId="6D671FD6" w14:textId="77777777" w:rsidTr="00BB45E8">
        <w:trPr>
          <w:trHeight w:hRule="exact" w:val="510"/>
        </w:trPr>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C6002AE" w14:textId="77777777" w:rsidR="00B82CF8" w:rsidRPr="00416C4A" w:rsidRDefault="00B82CF8" w:rsidP="00BB45E8">
            <w:pPr>
              <w:spacing w:line="480" w:lineRule="auto"/>
            </w:pPr>
            <w:r w:rsidRPr="00416C4A">
              <w:t>%Executive Female</w:t>
            </w:r>
          </w:p>
        </w:tc>
        <w:tc>
          <w:tcPr>
            <w:tcW w:w="269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A53B5BD" w14:textId="77777777" w:rsidR="00B82CF8" w:rsidRPr="00416C4A" w:rsidRDefault="00B82CF8" w:rsidP="00BB45E8">
            <w:pPr>
              <w:spacing w:line="480" w:lineRule="auto"/>
              <w:jc w:val="center"/>
            </w:pPr>
          </w:p>
        </w:tc>
        <w:tc>
          <w:tcPr>
            <w:tcW w:w="2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86FD61F" w14:textId="77777777" w:rsidR="00B82CF8" w:rsidRPr="00416C4A" w:rsidRDefault="00B82CF8" w:rsidP="00BB45E8">
            <w:pPr>
              <w:spacing w:line="480" w:lineRule="auto"/>
              <w:jc w:val="center"/>
            </w:pPr>
          </w:p>
        </w:tc>
        <w:tc>
          <w:tcPr>
            <w:tcW w:w="354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5764187" w14:textId="77777777" w:rsidR="00B82CF8" w:rsidRPr="00416C4A" w:rsidRDefault="00B82CF8" w:rsidP="00BB45E8">
            <w:pPr>
              <w:spacing w:line="480" w:lineRule="auto"/>
              <w:jc w:val="center"/>
            </w:pPr>
            <w:r w:rsidRPr="00416C4A">
              <w:t>-0.034</w:t>
            </w:r>
          </w:p>
        </w:tc>
        <w:tc>
          <w:tcPr>
            <w:tcW w:w="255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4BC787D" w14:textId="77777777" w:rsidR="00B82CF8" w:rsidRPr="00416C4A" w:rsidRDefault="00B82CF8" w:rsidP="00BB45E8">
            <w:pPr>
              <w:spacing w:line="480" w:lineRule="auto"/>
              <w:jc w:val="center"/>
            </w:pPr>
            <w:r w:rsidRPr="00416C4A">
              <w:t>0.002</w:t>
            </w:r>
          </w:p>
        </w:tc>
      </w:tr>
      <w:tr w:rsidR="00B82CF8" w:rsidRPr="00416C4A" w14:paraId="2908EF38" w14:textId="77777777" w:rsidTr="00BB45E8">
        <w:trPr>
          <w:trHeight w:hRule="exact" w:val="510"/>
        </w:trPr>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283D3913" w14:textId="77777777" w:rsidR="00B82CF8" w:rsidRPr="00416C4A" w:rsidRDefault="00B82CF8" w:rsidP="00BB45E8">
            <w:pPr>
              <w:spacing w:line="480" w:lineRule="auto"/>
            </w:pPr>
            <w:r w:rsidRPr="00416C4A">
              <w:t>Board size</w:t>
            </w:r>
          </w:p>
        </w:tc>
        <w:tc>
          <w:tcPr>
            <w:tcW w:w="269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4FC349C5" w14:textId="77777777" w:rsidR="00B82CF8" w:rsidRPr="00416C4A" w:rsidRDefault="00B82CF8" w:rsidP="00BB45E8">
            <w:pPr>
              <w:spacing w:line="480" w:lineRule="auto"/>
              <w:jc w:val="center"/>
            </w:pPr>
          </w:p>
        </w:tc>
        <w:tc>
          <w:tcPr>
            <w:tcW w:w="2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11F1E96E" w14:textId="77777777" w:rsidR="00B82CF8" w:rsidRPr="00416C4A" w:rsidRDefault="00B82CF8" w:rsidP="00BB45E8">
            <w:pPr>
              <w:spacing w:line="480" w:lineRule="auto"/>
              <w:jc w:val="center"/>
            </w:pPr>
          </w:p>
        </w:tc>
        <w:tc>
          <w:tcPr>
            <w:tcW w:w="354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894D2CB" w14:textId="77777777" w:rsidR="00B82CF8" w:rsidRPr="00416C4A" w:rsidRDefault="00B82CF8" w:rsidP="00BB45E8">
            <w:pPr>
              <w:spacing w:line="480" w:lineRule="auto"/>
              <w:jc w:val="center"/>
            </w:pPr>
            <w:r w:rsidRPr="00416C4A">
              <w:t>-0.068</w:t>
            </w:r>
          </w:p>
        </w:tc>
        <w:tc>
          <w:tcPr>
            <w:tcW w:w="255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0676134" w14:textId="77777777" w:rsidR="00B82CF8" w:rsidRPr="00416C4A" w:rsidRDefault="00B82CF8" w:rsidP="00BB45E8">
            <w:pPr>
              <w:spacing w:line="480" w:lineRule="auto"/>
              <w:jc w:val="center"/>
              <w:rPr>
                <w:bCs/>
              </w:rPr>
            </w:pPr>
            <w:r w:rsidRPr="00416C4A">
              <w:rPr>
                <w:bCs/>
              </w:rPr>
              <w:t>0.060</w:t>
            </w:r>
          </w:p>
        </w:tc>
      </w:tr>
      <w:tr w:rsidR="00B82CF8" w:rsidRPr="00416C4A" w14:paraId="39D71F76" w14:textId="77777777" w:rsidTr="00BB45E8">
        <w:trPr>
          <w:trHeight w:hRule="exact" w:val="510"/>
        </w:trPr>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6CDFD53" w14:textId="77777777" w:rsidR="00B82CF8" w:rsidRPr="00416C4A" w:rsidRDefault="00B82CF8" w:rsidP="00BB45E8">
            <w:pPr>
              <w:spacing w:line="480" w:lineRule="auto"/>
            </w:pPr>
            <w:r w:rsidRPr="00416C4A">
              <w:t>Firm size</w:t>
            </w:r>
          </w:p>
        </w:tc>
        <w:tc>
          <w:tcPr>
            <w:tcW w:w="269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77C4C05" w14:textId="77777777" w:rsidR="00B82CF8" w:rsidRPr="00416C4A" w:rsidRDefault="00B82CF8" w:rsidP="00BB45E8">
            <w:pPr>
              <w:spacing w:line="480" w:lineRule="auto"/>
              <w:jc w:val="center"/>
            </w:pPr>
            <w:r w:rsidRPr="00416C4A">
              <w:t>-2.991</w:t>
            </w:r>
          </w:p>
        </w:tc>
        <w:tc>
          <w:tcPr>
            <w:tcW w:w="2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67D20C0" w14:textId="77777777" w:rsidR="00B82CF8" w:rsidRPr="00416C4A" w:rsidRDefault="00B82CF8" w:rsidP="00BB45E8">
            <w:pPr>
              <w:spacing w:line="480" w:lineRule="auto"/>
              <w:jc w:val="center"/>
              <w:rPr>
                <w:bCs/>
              </w:rPr>
            </w:pPr>
            <w:r w:rsidRPr="00416C4A">
              <w:rPr>
                <w:bCs/>
              </w:rPr>
              <w:t>0.000</w:t>
            </w:r>
          </w:p>
        </w:tc>
        <w:tc>
          <w:tcPr>
            <w:tcW w:w="354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95E43C8" w14:textId="77777777" w:rsidR="00B82CF8" w:rsidRPr="00416C4A" w:rsidRDefault="00B82CF8" w:rsidP="00BB45E8">
            <w:pPr>
              <w:spacing w:line="480" w:lineRule="auto"/>
              <w:jc w:val="center"/>
            </w:pPr>
            <w:r w:rsidRPr="00416C4A">
              <w:t>-0.273</w:t>
            </w:r>
          </w:p>
        </w:tc>
        <w:tc>
          <w:tcPr>
            <w:tcW w:w="255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305B4E49" w14:textId="77777777" w:rsidR="00B82CF8" w:rsidRPr="00416C4A" w:rsidRDefault="00B82CF8" w:rsidP="00BB45E8">
            <w:pPr>
              <w:spacing w:line="480" w:lineRule="auto"/>
              <w:jc w:val="center"/>
              <w:rPr>
                <w:bCs/>
              </w:rPr>
            </w:pPr>
            <w:r w:rsidRPr="00416C4A">
              <w:rPr>
                <w:bCs/>
              </w:rPr>
              <w:t>0.001</w:t>
            </w:r>
          </w:p>
        </w:tc>
      </w:tr>
      <w:tr w:rsidR="00B82CF8" w:rsidRPr="00416C4A" w14:paraId="76F2EF86" w14:textId="77777777" w:rsidTr="00BB45E8">
        <w:trPr>
          <w:trHeight w:hRule="exact" w:val="510"/>
        </w:trPr>
        <w:tc>
          <w:tcPr>
            <w:tcW w:w="2263"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0CDEBCA6" w14:textId="77777777" w:rsidR="00B82CF8" w:rsidRPr="00416C4A" w:rsidRDefault="00B82CF8" w:rsidP="00BB45E8">
            <w:pPr>
              <w:spacing w:line="480" w:lineRule="auto"/>
            </w:pPr>
            <w:r w:rsidRPr="00416C4A">
              <w:t>Leverage</w:t>
            </w:r>
          </w:p>
        </w:tc>
        <w:tc>
          <w:tcPr>
            <w:tcW w:w="269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7F7EA6B" w14:textId="77777777" w:rsidR="00B82CF8" w:rsidRPr="00416C4A" w:rsidRDefault="00B82CF8" w:rsidP="00BB45E8">
            <w:pPr>
              <w:spacing w:line="480" w:lineRule="auto"/>
              <w:jc w:val="center"/>
            </w:pPr>
            <w:r w:rsidRPr="00416C4A">
              <w:t>-9.730</w:t>
            </w:r>
          </w:p>
        </w:tc>
        <w:tc>
          <w:tcPr>
            <w:tcW w:w="2976"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CE8FAF6" w14:textId="77777777" w:rsidR="00B82CF8" w:rsidRPr="00416C4A" w:rsidRDefault="00B82CF8" w:rsidP="00BB45E8">
            <w:pPr>
              <w:spacing w:line="480" w:lineRule="auto"/>
              <w:jc w:val="center"/>
            </w:pPr>
            <w:r w:rsidRPr="00416C4A">
              <w:t>0.000</w:t>
            </w:r>
          </w:p>
        </w:tc>
        <w:tc>
          <w:tcPr>
            <w:tcW w:w="3544" w:type="dxa"/>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70F0A560" w14:textId="77777777" w:rsidR="00B82CF8" w:rsidRPr="00416C4A" w:rsidRDefault="00B82CF8" w:rsidP="00BB45E8">
            <w:pPr>
              <w:spacing w:line="480" w:lineRule="auto"/>
              <w:jc w:val="center"/>
            </w:pPr>
            <w:r w:rsidRPr="00416C4A">
              <w:t>0.444</w:t>
            </w:r>
          </w:p>
        </w:tc>
        <w:tc>
          <w:tcPr>
            <w:tcW w:w="255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center"/>
          </w:tcPr>
          <w:p w14:paraId="5B05574C" w14:textId="77777777" w:rsidR="00B82CF8" w:rsidRPr="00416C4A" w:rsidRDefault="00B82CF8" w:rsidP="00BB45E8">
            <w:pPr>
              <w:spacing w:line="480" w:lineRule="auto"/>
              <w:jc w:val="center"/>
              <w:rPr>
                <w:bCs/>
              </w:rPr>
            </w:pPr>
            <w:r w:rsidRPr="00416C4A">
              <w:rPr>
                <w:bCs/>
              </w:rPr>
              <w:t>0.070</w:t>
            </w:r>
          </w:p>
        </w:tc>
      </w:tr>
      <w:tr w:rsidR="00B82CF8" w:rsidRPr="00416C4A" w14:paraId="2FEC4D92" w14:textId="77777777" w:rsidTr="00BB45E8">
        <w:trPr>
          <w:trHeight w:hRule="exact" w:val="510"/>
        </w:trPr>
        <w:tc>
          <w:tcPr>
            <w:tcW w:w="2263" w:type="dxa"/>
            <w:tcBorders>
              <w:top w:val="single" w:sz="4" w:space="0" w:color="FFFFFF" w:themeColor="background1"/>
              <w:left w:val="single" w:sz="4" w:space="0" w:color="FFFFFF"/>
              <w:bottom w:val="single" w:sz="4" w:space="0" w:color="FFFFFF"/>
              <w:right w:val="single" w:sz="4" w:space="0" w:color="FFFFFF"/>
            </w:tcBorders>
            <w:vAlign w:val="center"/>
          </w:tcPr>
          <w:p w14:paraId="60DBDD9D" w14:textId="77777777" w:rsidR="00B82CF8" w:rsidRPr="00416C4A" w:rsidRDefault="00B82CF8" w:rsidP="00BB45E8">
            <w:pPr>
              <w:spacing w:line="480" w:lineRule="auto"/>
            </w:pPr>
            <w:r w:rsidRPr="00416C4A">
              <w:t>ROA</w:t>
            </w:r>
          </w:p>
        </w:tc>
        <w:tc>
          <w:tcPr>
            <w:tcW w:w="2694" w:type="dxa"/>
            <w:tcBorders>
              <w:top w:val="single" w:sz="4" w:space="0" w:color="FFFFFF" w:themeColor="background1"/>
              <w:left w:val="single" w:sz="4" w:space="0" w:color="FFFFFF"/>
              <w:bottom w:val="single" w:sz="4" w:space="0" w:color="FFFFFF"/>
              <w:right w:val="single" w:sz="4" w:space="0" w:color="FFFFFF"/>
            </w:tcBorders>
            <w:vAlign w:val="center"/>
          </w:tcPr>
          <w:p w14:paraId="6DD1CCA3" w14:textId="77777777" w:rsidR="00B82CF8" w:rsidRPr="00416C4A" w:rsidRDefault="00B82CF8" w:rsidP="00BB45E8">
            <w:pPr>
              <w:spacing w:line="480" w:lineRule="auto"/>
              <w:jc w:val="center"/>
            </w:pPr>
          </w:p>
        </w:tc>
        <w:tc>
          <w:tcPr>
            <w:tcW w:w="2976" w:type="dxa"/>
            <w:tcBorders>
              <w:top w:val="single" w:sz="4" w:space="0" w:color="FFFFFF" w:themeColor="background1"/>
              <w:left w:val="single" w:sz="4" w:space="0" w:color="FFFFFF"/>
              <w:bottom w:val="single" w:sz="4" w:space="0" w:color="FFFFFF"/>
              <w:right w:val="single" w:sz="4" w:space="0" w:color="FFFFFF"/>
            </w:tcBorders>
            <w:vAlign w:val="center"/>
          </w:tcPr>
          <w:p w14:paraId="24A48C0B" w14:textId="77777777" w:rsidR="00B82CF8" w:rsidRPr="00416C4A" w:rsidRDefault="00B82CF8" w:rsidP="00BB45E8">
            <w:pPr>
              <w:spacing w:line="480" w:lineRule="auto"/>
              <w:jc w:val="center"/>
            </w:pPr>
          </w:p>
        </w:tc>
        <w:tc>
          <w:tcPr>
            <w:tcW w:w="3544" w:type="dxa"/>
            <w:tcBorders>
              <w:top w:val="single" w:sz="4" w:space="0" w:color="FFFFFF" w:themeColor="background1"/>
              <w:left w:val="single" w:sz="4" w:space="0" w:color="FFFFFF"/>
              <w:bottom w:val="single" w:sz="4" w:space="0" w:color="FFFFFF"/>
              <w:right w:val="single" w:sz="4" w:space="0" w:color="FFFFFF"/>
            </w:tcBorders>
            <w:vAlign w:val="center"/>
          </w:tcPr>
          <w:p w14:paraId="579D3B2A" w14:textId="77777777" w:rsidR="00B82CF8" w:rsidRPr="00416C4A" w:rsidRDefault="00B82CF8" w:rsidP="00BB45E8">
            <w:pPr>
              <w:spacing w:line="480" w:lineRule="auto"/>
              <w:jc w:val="center"/>
            </w:pPr>
            <w:r w:rsidRPr="00416C4A">
              <w:t>0.138</w:t>
            </w:r>
          </w:p>
        </w:tc>
        <w:tc>
          <w:tcPr>
            <w:tcW w:w="2552" w:type="dxa"/>
            <w:gridSpan w:val="2"/>
            <w:tcBorders>
              <w:top w:val="single" w:sz="4" w:space="0" w:color="FFFFFF" w:themeColor="background1"/>
              <w:left w:val="single" w:sz="4" w:space="0" w:color="FFFFFF"/>
              <w:bottom w:val="single" w:sz="4" w:space="0" w:color="FFFFFF"/>
              <w:right w:val="single" w:sz="4" w:space="0" w:color="FFFFFF"/>
            </w:tcBorders>
            <w:vAlign w:val="center"/>
          </w:tcPr>
          <w:p w14:paraId="45F3AACD" w14:textId="77777777" w:rsidR="00B82CF8" w:rsidRPr="00416C4A" w:rsidRDefault="00B82CF8" w:rsidP="00BB45E8">
            <w:pPr>
              <w:spacing w:line="480" w:lineRule="auto"/>
              <w:jc w:val="center"/>
              <w:rPr>
                <w:bCs/>
              </w:rPr>
            </w:pPr>
            <w:r w:rsidRPr="00416C4A">
              <w:rPr>
                <w:bCs/>
              </w:rPr>
              <w:t>0.000</w:t>
            </w:r>
          </w:p>
        </w:tc>
      </w:tr>
      <w:tr w:rsidR="00B82CF8" w:rsidRPr="00416C4A" w14:paraId="33A59CCD" w14:textId="77777777" w:rsidTr="00BB45E8">
        <w:trPr>
          <w:trHeight w:hRule="exact" w:val="510"/>
        </w:trPr>
        <w:tc>
          <w:tcPr>
            <w:tcW w:w="2263" w:type="dxa"/>
            <w:tcBorders>
              <w:top w:val="single" w:sz="4" w:space="0" w:color="FFFFFF"/>
              <w:left w:val="single" w:sz="4" w:space="0" w:color="FFFFFF"/>
              <w:bottom w:val="nil"/>
              <w:right w:val="single" w:sz="4" w:space="0" w:color="FFFFFF"/>
            </w:tcBorders>
            <w:vAlign w:val="center"/>
          </w:tcPr>
          <w:p w14:paraId="17689E60" w14:textId="77777777" w:rsidR="00B82CF8" w:rsidRPr="00416C4A" w:rsidRDefault="00B82CF8" w:rsidP="00BB45E8">
            <w:pPr>
              <w:spacing w:line="480" w:lineRule="auto"/>
            </w:pPr>
            <w:r w:rsidRPr="00416C4A">
              <w:t>Constant</w:t>
            </w:r>
          </w:p>
        </w:tc>
        <w:tc>
          <w:tcPr>
            <w:tcW w:w="5670" w:type="dxa"/>
            <w:gridSpan w:val="2"/>
            <w:tcBorders>
              <w:top w:val="single" w:sz="4" w:space="0" w:color="FFFFFF"/>
              <w:left w:val="single" w:sz="4" w:space="0" w:color="FFFFFF"/>
              <w:bottom w:val="nil"/>
              <w:right w:val="single" w:sz="4" w:space="0" w:color="FFFFFF"/>
            </w:tcBorders>
            <w:vAlign w:val="center"/>
          </w:tcPr>
          <w:p w14:paraId="23909587" w14:textId="77777777" w:rsidR="00B82CF8" w:rsidRPr="00416C4A" w:rsidRDefault="00B82CF8" w:rsidP="00BB45E8">
            <w:pPr>
              <w:spacing w:line="480" w:lineRule="auto"/>
              <w:jc w:val="center"/>
            </w:pPr>
            <w:r w:rsidRPr="00416C4A">
              <w:t>Included</w:t>
            </w:r>
          </w:p>
        </w:tc>
        <w:tc>
          <w:tcPr>
            <w:tcW w:w="6096" w:type="dxa"/>
            <w:gridSpan w:val="3"/>
            <w:tcBorders>
              <w:top w:val="single" w:sz="4" w:space="0" w:color="FFFFFF"/>
              <w:left w:val="single" w:sz="4" w:space="0" w:color="FFFFFF"/>
              <w:bottom w:val="nil"/>
              <w:right w:val="single" w:sz="4" w:space="0" w:color="FFFFFF"/>
            </w:tcBorders>
            <w:vAlign w:val="center"/>
          </w:tcPr>
          <w:p w14:paraId="7CC52EE9" w14:textId="77777777" w:rsidR="00B82CF8" w:rsidRPr="00416C4A" w:rsidRDefault="00B82CF8" w:rsidP="00BB45E8">
            <w:pPr>
              <w:spacing w:line="480" w:lineRule="auto"/>
              <w:jc w:val="center"/>
            </w:pPr>
            <w:r w:rsidRPr="00416C4A">
              <w:t>Included</w:t>
            </w:r>
          </w:p>
        </w:tc>
      </w:tr>
      <w:tr w:rsidR="00B82CF8" w:rsidRPr="00416C4A" w14:paraId="6B42D122" w14:textId="77777777" w:rsidTr="00BB45E8">
        <w:trPr>
          <w:trHeight w:hRule="exact" w:val="510"/>
        </w:trPr>
        <w:tc>
          <w:tcPr>
            <w:tcW w:w="2263" w:type="dxa"/>
            <w:tcBorders>
              <w:top w:val="nil"/>
              <w:left w:val="single" w:sz="4" w:space="0" w:color="FFFFFF"/>
              <w:bottom w:val="nil"/>
              <w:right w:val="single" w:sz="4" w:space="0" w:color="FFFFFF"/>
            </w:tcBorders>
            <w:vAlign w:val="center"/>
          </w:tcPr>
          <w:p w14:paraId="737D3D8F" w14:textId="77777777" w:rsidR="00B82CF8" w:rsidRPr="00416C4A" w:rsidRDefault="00B82CF8" w:rsidP="00BB45E8">
            <w:pPr>
              <w:spacing w:line="480" w:lineRule="auto"/>
            </w:pPr>
            <w:r w:rsidRPr="00416C4A">
              <w:t>Industry FE</w:t>
            </w:r>
          </w:p>
        </w:tc>
        <w:tc>
          <w:tcPr>
            <w:tcW w:w="5670" w:type="dxa"/>
            <w:gridSpan w:val="2"/>
            <w:tcBorders>
              <w:top w:val="nil"/>
              <w:left w:val="single" w:sz="4" w:space="0" w:color="FFFFFF"/>
              <w:bottom w:val="nil"/>
              <w:right w:val="single" w:sz="4" w:space="0" w:color="FFFFFF"/>
            </w:tcBorders>
            <w:vAlign w:val="center"/>
          </w:tcPr>
          <w:p w14:paraId="26AF9608" w14:textId="77777777" w:rsidR="00B82CF8" w:rsidRPr="00416C4A" w:rsidRDefault="00B82CF8" w:rsidP="00BB45E8">
            <w:pPr>
              <w:spacing w:line="480" w:lineRule="auto"/>
              <w:jc w:val="center"/>
            </w:pPr>
            <w:r w:rsidRPr="00416C4A">
              <w:t>Included</w:t>
            </w:r>
          </w:p>
        </w:tc>
        <w:tc>
          <w:tcPr>
            <w:tcW w:w="6096" w:type="dxa"/>
            <w:gridSpan w:val="3"/>
            <w:tcBorders>
              <w:top w:val="nil"/>
              <w:left w:val="single" w:sz="4" w:space="0" w:color="FFFFFF"/>
              <w:bottom w:val="nil"/>
              <w:right w:val="single" w:sz="4" w:space="0" w:color="FFFFFF"/>
            </w:tcBorders>
            <w:vAlign w:val="center"/>
          </w:tcPr>
          <w:p w14:paraId="391B66C8" w14:textId="77777777" w:rsidR="00B82CF8" w:rsidRPr="00416C4A" w:rsidRDefault="00B82CF8" w:rsidP="00BB45E8">
            <w:pPr>
              <w:spacing w:line="480" w:lineRule="auto"/>
              <w:jc w:val="center"/>
            </w:pPr>
          </w:p>
        </w:tc>
      </w:tr>
      <w:tr w:rsidR="00B82CF8" w:rsidRPr="00416C4A" w14:paraId="711D827F" w14:textId="77777777" w:rsidTr="00BB45E8">
        <w:trPr>
          <w:trHeight w:hRule="exact" w:val="510"/>
        </w:trPr>
        <w:tc>
          <w:tcPr>
            <w:tcW w:w="2263" w:type="dxa"/>
            <w:tcBorders>
              <w:top w:val="nil"/>
              <w:left w:val="single" w:sz="4" w:space="0" w:color="FFFFFF"/>
              <w:bottom w:val="single" w:sz="4" w:space="0" w:color="auto"/>
              <w:right w:val="single" w:sz="4" w:space="0" w:color="FFFFFF"/>
            </w:tcBorders>
            <w:vAlign w:val="center"/>
          </w:tcPr>
          <w:p w14:paraId="7D5DF451" w14:textId="77777777" w:rsidR="00B82CF8" w:rsidRPr="00416C4A" w:rsidRDefault="00B82CF8" w:rsidP="00BB45E8">
            <w:pPr>
              <w:spacing w:line="480" w:lineRule="auto"/>
            </w:pPr>
            <w:r w:rsidRPr="00416C4A">
              <w:t>Year FE</w:t>
            </w:r>
          </w:p>
        </w:tc>
        <w:tc>
          <w:tcPr>
            <w:tcW w:w="5670" w:type="dxa"/>
            <w:gridSpan w:val="2"/>
            <w:tcBorders>
              <w:top w:val="nil"/>
              <w:left w:val="single" w:sz="4" w:space="0" w:color="FFFFFF"/>
              <w:bottom w:val="single" w:sz="4" w:space="0" w:color="auto"/>
              <w:right w:val="single" w:sz="4" w:space="0" w:color="FFFFFF"/>
            </w:tcBorders>
            <w:vAlign w:val="center"/>
          </w:tcPr>
          <w:p w14:paraId="1872C815" w14:textId="77777777" w:rsidR="00B82CF8" w:rsidRPr="00416C4A" w:rsidRDefault="00B82CF8" w:rsidP="00BB45E8">
            <w:pPr>
              <w:spacing w:line="480" w:lineRule="auto"/>
              <w:jc w:val="center"/>
            </w:pPr>
            <w:r w:rsidRPr="00416C4A">
              <w:t>Included</w:t>
            </w:r>
          </w:p>
        </w:tc>
        <w:tc>
          <w:tcPr>
            <w:tcW w:w="6096" w:type="dxa"/>
            <w:gridSpan w:val="3"/>
            <w:tcBorders>
              <w:top w:val="nil"/>
              <w:left w:val="single" w:sz="4" w:space="0" w:color="FFFFFF"/>
              <w:bottom w:val="single" w:sz="4" w:space="0" w:color="auto"/>
              <w:right w:val="single" w:sz="4" w:space="0" w:color="FFFFFF"/>
            </w:tcBorders>
            <w:vAlign w:val="center"/>
          </w:tcPr>
          <w:p w14:paraId="06727C77" w14:textId="77777777" w:rsidR="00B82CF8" w:rsidRPr="00416C4A" w:rsidRDefault="00B82CF8" w:rsidP="00BB45E8">
            <w:pPr>
              <w:spacing w:line="480" w:lineRule="auto"/>
              <w:jc w:val="center"/>
            </w:pPr>
            <w:r w:rsidRPr="00416C4A">
              <w:t>Included</w:t>
            </w:r>
          </w:p>
        </w:tc>
      </w:tr>
      <w:tr w:rsidR="00B82CF8" w:rsidRPr="00416C4A" w14:paraId="6D0984B1" w14:textId="77777777" w:rsidTr="00BB45E8">
        <w:trPr>
          <w:trHeight w:hRule="exact" w:val="510"/>
        </w:trPr>
        <w:tc>
          <w:tcPr>
            <w:tcW w:w="2263" w:type="dxa"/>
            <w:tcBorders>
              <w:top w:val="single" w:sz="4" w:space="0" w:color="auto"/>
              <w:left w:val="single" w:sz="4" w:space="0" w:color="FFFFFF"/>
              <w:bottom w:val="single" w:sz="4" w:space="0" w:color="FFFFFF"/>
              <w:right w:val="single" w:sz="4" w:space="0" w:color="FFFFFF"/>
            </w:tcBorders>
            <w:vAlign w:val="center"/>
          </w:tcPr>
          <w:p w14:paraId="142434DB" w14:textId="77777777" w:rsidR="00B82CF8" w:rsidRPr="00416C4A" w:rsidRDefault="00B82CF8" w:rsidP="00BB45E8">
            <w:pPr>
              <w:spacing w:line="480" w:lineRule="auto"/>
            </w:pPr>
            <w:r w:rsidRPr="00416C4A">
              <w:t>Number of obs.</w:t>
            </w:r>
          </w:p>
        </w:tc>
        <w:tc>
          <w:tcPr>
            <w:tcW w:w="5670" w:type="dxa"/>
            <w:gridSpan w:val="2"/>
            <w:tcBorders>
              <w:top w:val="single" w:sz="4" w:space="0" w:color="auto"/>
              <w:left w:val="single" w:sz="4" w:space="0" w:color="FFFFFF"/>
              <w:bottom w:val="single" w:sz="4" w:space="0" w:color="FFFFFF"/>
              <w:right w:val="single" w:sz="4" w:space="0" w:color="FFFFFF"/>
            </w:tcBorders>
            <w:vAlign w:val="center"/>
          </w:tcPr>
          <w:p w14:paraId="4C0C6CA1" w14:textId="77777777" w:rsidR="00B82CF8" w:rsidRPr="00416C4A" w:rsidRDefault="00B82CF8" w:rsidP="00BB45E8">
            <w:pPr>
              <w:spacing w:line="480" w:lineRule="auto"/>
              <w:jc w:val="center"/>
            </w:pPr>
            <w:r w:rsidRPr="00416C4A">
              <w:t>499</w:t>
            </w:r>
          </w:p>
        </w:tc>
        <w:tc>
          <w:tcPr>
            <w:tcW w:w="6096" w:type="dxa"/>
            <w:gridSpan w:val="3"/>
            <w:tcBorders>
              <w:top w:val="single" w:sz="4" w:space="0" w:color="auto"/>
              <w:left w:val="single" w:sz="4" w:space="0" w:color="FFFFFF"/>
              <w:bottom w:val="single" w:sz="4" w:space="0" w:color="FFFFFF"/>
              <w:right w:val="single" w:sz="4" w:space="0" w:color="FFFFFF"/>
            </w:tcBorders>
            <w:vAlign w:val="center"/>
          </w:tcPr>
          <w:p w14:paraId="13B049BD" w14:textId="77777777" w:rsidR="00B82CF8" w:rsidRPr="00416C4A" w:rsidRDefault="00B82CF8" w:rsidP="00BB45E8">
            <w:pPr>
              <w:spacing w:line="480" w:lineRule="auto"/>
              <w:jc w:val="center"/>
            </w:pPr>
            <w:r w:rsidRPr="00416C4A">
              <w:t>499</w:t>
            </w:r>
          </w:p>
        </w:tc>
      </w:tr>
      <w:tr w:rsidR="00B82CF8" w:rsidRPr="00416C4A" w14:paraId="7FF1A1AF" w14:textId="77777777" w:rsidTr="00BB45E8">
        <w:trPr>
          <w:trHeight w:hRule="exact" w:val="510"/>
        </w:trPr>
        <w:tc>
          <w:tcPr>
            <w:tcW w:w="2263" w:type="dxa"/>
            <w:tcBorders>
              <w:top w:val="nil"/>
              <w:left w:val="single" w:sz="4" w:space="0" w:color="FFFFFF"/>
              <w:right w:val="single" w:sz="4" w:space="0" w:color="FFFFFF"/>
            </w:tcBorders>
            <w:vAlign w:val="center"/>
          </w:tcPr>
          <w:p w14:paraId="21345A83" w14:textId="77777777" w:rsidR="00B82CF8" w:rsidRPr="00416C4A" w:rsidRDefault="00B82CF8" w:rsidP="00BB45E8">
            <w:pPr>
              <w:spacing w:line="480" w:lineRule="auto"/>
            </w:pPr>
            <w:r w:rsidRPr="00416C4A">
              <w:t>R</w:t>
            </w:r>
            <w:r w:rsidRPr="00416C4A">
              <w:rPr>
                <w:vertAlign w:val="superscript"/>
              </w:rPr>
              <w:t>2</w:t>
            </w:r>
          </w:p>
        </w:tc>
        <w:tc>
          <w:tcPr>
            <w:tcW w:w="5670" w:type="dxa"/>
            <w:gridSpan w:val="2"/>
            <w:tcBorders>
              <w:top w:val="nil"/>
              <w:left w:val="single" w:sz="4" w:space="0" w:color="FFFFFF"/>
              <w:right w:val="single" w:sz="4" w:space="0" w:color="FFFFFF"/>
            </w:tcBorders>
            <w:vAlign w:val="center"/>
          </w:tcPr>
          <w:p w14:paraId="70810FC1" w14:textId="77777777" w:rsidR="00B82CF8" w:rsidRPr="00416C4A" w:rsidRDefault="00B82CF8" w:rsidP="00BB45E8">
            <w:pPr>
              <w:spacing w:line="480" w:lineRule="auto"/>
              <w:jc w:val="center"/>
            </w:pPr>
            <w:r w:rsidRPr="00416C4A">
              <w:t>25.02%</w:t>
            </w:r>
          </w:p>
        </w:tc>
        <w:tc>
          <w:tcPr>
            <w:tcW w:w="6096" w:type="dxa"/>
            <w:gridSpan w:val="3"/>
            <w:tcBorders>
              <w:top w:val="nil"/>
              <w:left w:val="single" w:sz="4" w:space="0" w:color="FFFFFF"/>
              <w:right w:val="single" w:sz="4" w:space="0" w:color="FFFFFF"/>
            </w:tcBorders>
            <w:vAlign w:val="center"/>
          </w:tcPr>
          <w:p w14:paraId="224659D9" w14:textId="77777777" w:rsidR="00B82CF8" w:rsidRPr="00416C4A" w:rsidRDefault="00B82CF8" w:rsidP="00BB45E8">
            <w:pPr>
              <w:spacing w:line="480" w:lineRule="auto"/>
              <w:jc w:val="center"/>
            </w:pPr>
            <w:r w:rsidRPr="00416C4A">
              <w:t>53.33%</w:t>
            </w:r>
          </w:p>
        </w:tc>
      </w:tr>
    </w:tbl>
    <w:p w14:paraId="10181758" w14:textId="450E0B88" w:rsidR="00B82CF8" w:rsidRPr="00416C4A" w:rsidRDefault="00B82CF8" w:rsidP="00B82CF8">
      <w:pPr>
        <w:spacing w:line="480" w:lineRule="auto"/>
        <w:rPr>
          <w:b/>
          <w:bCs/>
        </w:rPr>
      </w:pPr>
      <w:r w:rsidRPr="00416C4A">
        <w:t>Note: We use two-tailed tests</w:t>
      </w:r>
      <w:r w:rsidR="002504F6">
        <w:t>. A</w:t>
      </w:r>
      <w:r w:rsidRPr="00416C4A">
        <w:t>ll variables are defined in the appendix.</w:t>
      </w:r>
    </w:p>
    <w:p w14:paraId="66C68918" w14:textId="77777777" w:rsidR="00B82CF8" w:rsidRPr="00416C4A" w:rsidRDefault="00B82CF8" w:rsidP="009163D0">
      <w:pPr>
        <w:jc w:val="both"/>
        <w:rPr>
          <w:b/>
          <w:bCs/>
        </w:rPr>
      </w:pPr>
    </w:p>
    <w:sectPr w:rsidR="00B82CF8" w:rsidRPr="00416C4A" w:rsidSect="0099394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8535" w14:textId="77777777" w:rsidR="00BF42A3" w:rsidRDefault="00BF42A3">
      <w:r>
        <w:separator/>
      </w:r>
    </w:p>
  </w:endnote>
  <w:endnote w:type="continuationSeparator" w:id="0">
    <w:p w14:paraId="0B86E67E" w14:textId="77777777" w:rsidR="00BF42A3" w:rsidRDefault="00BF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0580744"/>
      <w:docPartObj>
        <w:docPartGallery w:val="Page Numbers (Bottom of Page)"/>
        <w:docPartUnique/>
      </w:docPartObj>
    </w:sdtPr>
    <w:sdtContent>
      <w:p w14:paraId="37A97CA8" w14:textId="73AC3BC3" w:rsidR="00E071C2" w:rsidRDefault="00D96DFB" w:rsidP="005D03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4E6C9D" w14:textId="77777777" w:rsidR="00E071C2" w:rsidRDefault="00E071C2" w:rsidP="007A2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9293266"/>
      <w:docPartObj>
        <w:docPartGallery w:val="Page Numbers (Bottom of Page)"/>
        <w:docPartUnique/>
      </w:docPartObj>
    </w:sdtPr>
    <w:sdtContent>
      <w:p w14:paraId="07DBDE6C" w14:textId="03BA7341" w:rsidR="00E071C2" w:rsidRDefault="00D96DFB" w:rsidP="005D03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22974">
          <w:rPr>
            <w:rStyle w:val="PageNumber"/>
            <w:noProof/>
          </w:rPr>
          <w:t>1</w:t>
        </w:r>
        <w:r>
          <w:rPr>
            <w:rStyle w:val="PageNumber"/>
          </w:rPr>
          <w:fldChar w:fldCharType="end"/>
        </w:r>
      </w:p>
    </w:sdtContent>
  </w:sdt>
  <w:p w14:paraId="1FF151CD" w14:textId="77777777" w:rsidR="00E071C2" w:rsidRDefault="00E071C2" w:rsidP="007A2F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C661" w14:textId="77777777" w:rsidR="00BF42A3" w:rsidRDefault="00BF42A3" w:rsidP="00A711B9">
      <w:r>
        <w:separator/>
      </w:r>
    </w:p>
  </w:footnote>
  <w:footnote w:type="continuationSeparator" w:id="0">
    <w:p w14:paraId="14706FA8" w14:textId="77777777" w:rsidR="00BF42A3" w:rsidRDefault="00BF42A3" w:rsidP="00A711B9">
      <w:r>
        <w:continuationSeparator/>
      </w:r>
    </w:p>
  </w:footnote>
  <w:footnote w:id="1">
    <w:p w14:paraId="21E645A8" w14:textId="442C0E7B" w:rsidR="00B256C0" w:rsidRDefault="00D96DFB" w:rsidP="006D0E76">
      <w:pPr>
        <w:autoSpaceDE w:val="0"/>
        <w:autoSpaceDN w:val="0"/>
        <w:adjustRightInd w:val="0"/>
        <w:jc w:val="both"/>
      </w:pPr>
      <w:r>
        <w:rPr>
          <w:rStyle w:val="FootnoteReference"/>
        </w:rPr>
        <w:footnoteRef/>
      </w:r>
      <w:r>
        <w:t xml:space="preserve"> </w:t>
      </w:r>
      <w:r w:rsidR="00B91CD8">
        <w:rPr>
          <w:sz w:val="20"/>
          <w:szCs w:val="20"/>
        </w:rPr>
        <w:t>I</w:t>
      </w:r>
      <w:r w:rsidR="00842FDD" w:rsidRPr="00842FDD">
        <w:rPr>
          <w:sz w:val="20"/>
          <w:szCs w:val="20"/>
        </w:rPr>
        <w:t>n 2018</w:t>
      </w:r>
      <w:r w:rsidR="00842FDD">
        <w:t xml:space="preserve"> </w:t>
      </w:r>
      <w:r w:rsidR="00CE0DB9">
        <w:t>t</w:t>
      </w:r>
      <w:r w:rsidR="00842FDD" w:rsidRPr="00842FDD">
        <w:rPr>
          <w:sz w:val="20"/>
          <w:szCs w:val="20"/>
        </w:rPr>
        <w:t>he Financial Reporting Council’s UK Corporate Governance</w:t>
      </w:r>
      <w:r w:rsidR="00CE0DB9">
        <w:rPr>
          <w:sz w:val="20"/>
          <w:szCs w:val="20"/>
        </w:rPr>
        <w:t xml:space="preserve"> </w:t>
      </w:r>
      <w:r w:rsidR="00842FDD" w:rsidRPr="00842FDD">
        <w:rPr>
          <w:sz w:val="20"/>
          <w:szCs w:val="20"/>
        </w:rPr>
        <w:t>Code was updated and it now promotes diversity in</w:t>
      </w:r>
      <w:r w:rsidR="00CE0DB9">
        <w:rPr>
          <w:sz w:val="20"/>
          <w:szCs w:val="20"/>
        </w:rPr>
        <w:t xml:space="preserve"> </w:t>
      </w:r>
      <w:r w:rsidR="00842FDD" w:rsidRPr="00842FDD">
        <w:rPr>
          <w:sz w:val="20"/>
          <w:szCs w:val="20"/>
        </w:rPr>
        <w:t xml:space="preserve">appointments and succession plans. </w:t>
      </w:r>
      <w:r w:rsidR="00B91CD8">
        <w:rPr>
          <w:sz w:val="20"/>
          <w:szCs w:val="20"/>
        </w:rPr>
        <w:t xml:space="preserve">Because </w:t>
      </w:r>
      <w:r w:rsidR="00585E65">
        <w:rPr>
          <w:sz w:val="20"/>
          <w:szCs w:val="20"/>
        </w:rPr>
        <w:t xml:space="preserve">this change took effect </w:t>
      </w:r>
      <w:r w:rsidR="00B91CD8">
        <w:rPr>
          <w:sz w:val="20"/>
          <w:szCs w:val="20"/>
        </w:rPr>
        <w:t>in</w:t>
      </w:r>
      <w:r w:rsidR="00585E65">
        <w:rPr>
          <w:sz w:val="20"/>
          <w:szCs w:val="20"/>
        </w:rPr>
        <w:t xml:space="preserve"> January of 2019</w:t>
      </w:r>
      <w:r w:rsidR="00CE0DB9">
        <w:rPr>
          <w:sz w:val="20"/>
          <w:szCs w:val="20"/>
        </w:rPr>
        <w:t xml:space="preserve">, </w:t>
      </w:r>
      <w:r w:rsidR="00B91CD8">
        <w:rPr>
          <w:sz w:val="20"/>
          <w:szCs w:val="20"/>
        </w:rPr>
        <w:t xml:space="preserve">incorporating </w:t>
      </w:r>
      <w:r w:rsidR="00CE0DB9">
        <w:rPr>
          <w:sz w:val="20"/>
          <w:szCs w:val="20"/>
        </w:rPr>
        <w:t xml:space="preserve">data </w:t>
      </w:r>
      <w:r w:rsidR="00E707DD">
        <w:rPr>
          <w:sz w:val="20"/>
          <w:szCs w:val="20"/>
        </w:rPr>
        <w:t xml:space="preserve">from 2020 </w:t>
      </w:r>
      <w:r w:rsidR="00B91CD8">
        <w:rPr>
          <w:sz w:val="20"/>
          <w:szCs w:val="20"/>
        </w:rPr>
        <w:t xml:space="preserve">into our tests </w:t>
      </w:r>
      <w:r w:rsidR="00E707DD">
        <w:rPr>
          <w:sz w:val="20"/>
          <w:szCs w:val="20"/>
        </w:rPr>
        <w:t>could bias our inferences.</w:t>
      </w:r>
    </w:p>
  </w:footnote>
  <w:footnote w:id="2">
    <w:p w14:paraId="2D08C9CF" w14:textId="118021E9" w:rsidR="004314B8" w:rsidRDefault="00D96DFB" w:rsidP="002E0663">
      <w:pPr>
        <w:pStyle w:val="NormalWeb"/>
        <w:spacing w:before="0" w:beforeAutospacing="0" w:after="0" w:afterAutospacing="0"/>
        <w:jc w:val="both"/>
      </w:pPr>
      <w:r>
        <w:rPr>
          <w:rStyle w:val="FootnoteReference"/>
        </w:rPr>
        <w:footnoteRef/>
      </w:r>
      <w:r>
        <w:t xml:space="preserve"> </w:t>
      </w:r>
      <w:r w:rsidRPr="00241D2F">
        <w:rPr>
          <w:sz w:val="20"/>
          <w:szCs w:val="20"/>
        </w:rPr>
        <w:t xml:space="preserve">The importance of the national context in which a firm operates is also </w:t>
      </w:r>
      <w:r w:rsidR="000E5029">
        <w:rPr>
          <w:sz w:val="20"/>
          <w:szCs w:val="20"/>
        </w:rPr>
        <w:t>noted</w:t>
      </w:r>
      <w:r w:rsidR="000E5029" w:rsidRPr="00241D2F">
        <w:rPr>
          <w:sz w:val="20"/>
          <w:szCs w:val="20"/>
        </w:rPr>
        <w:t xml:space="preserve"> </w:t>
      </w:r>
      <w:r w:rsidRPr="00241D2F">
        <w:rPr>
          <w:sz w:val="20"/>
          <w:szCs w:val="20"/>
        </w:rPr>
        <w:t xml:space="preserve">in Kirsch (2018). </w:t>
      </w:r>
    </w:p>
  </w:footnote>
  <w:footnote w:id="3">
    <w:p w14:paraId="5AAC9B54" w14:textId="7D05CB6D" w:rsidR="000127AA" w:rsidRPr="00B4665C" w:rsidRDefault="00D96DFB" w:rsidP="00B4665C">
      <w:pPr>
        <w:pStyle w:val="FootnoteText"/>
        <w:jc w:val="both"/>
        <w:rPr>
          <w:color w:val="FF0000"/>
        </w:rPr>
      </w:pPr>
      <w:r>
        <w:rPr>
          <w:rStyle w:val="FootnoteReference"/>
        </w:rPr>
        <w:footnoteRef/>
      </w:r>
      <w:r>
        <w:t xml:space="preserve"> </w:t>
      </w:r>
      <w:r w:rsidR="0055432F">
        <w:t xml:space="preserve">2012 and 2014 </w:t>
      </w:r>
      <w:r w:rsidR="0055432F" w:rsidRPr="00416C4A">
        <w:t xml:space="preserve">are after the initial Lord Davis </w:t>
      </w:r>
      <w:r w:rsidR="0055432F">
        <w:t>R</w:t>
      </w:r>
      <w:r w:rsidR="0055432F" w:rsidRPr="00416C4A">
        <w:t>eport</w:t>
      </w:r>
      <w:r w:rsidR="0055432F">
        <w:t xml:space="preserve"> and 2016 and 2018 are after the second report.</w:t>
      </w:r>
      <w:r w:rsidR="0055432F" w:rsidRPr="00B4665C">
        <w:rPr>
          <w:color w:val="000000" w:themeColor="text1"/>
        </w:rPr>
        <w:t xml:space="preserve"> </w:t>
      </w:r>
      <w:r w:rsidR="0055432F">
        <w:rPr>
          <w:color w:val="000000" w:themeColor="text1"/>
        </w:rPr>
        <w:t>We exclude t</w:t>
      </w:r>
      <w:r w:rsidRPr="00B4665C">
        <w:rPr>
          <w:color w:val="000000" w:themeColor="text1"/>
        </w:rPr>
        <w:t>he years 2013 and 2017 for two reasons</w:t>
      </w:r>
      <w:r w:rsidR="0055432F">
        <w:rPr>
          <w:color w:val="000000" w:themeColor="text1"/>
        </w:rPr>
        <w:t>. First,</w:t>
      </w:r>
      <w:r w:rsidRPr="00B4665C">
        <w:rPr>
          <w:color w:val="000000" w:themeColor="text1"/>
        </w:rPr>
        <w:t xml:space="preserve"> changes in board composition tend to occur slowly and </w:t>
      </w:r>
      <w:r w:rsidR="0055432F">
        <w:rPr>
          <w:color w:val="000000" w:themeColor="text1"/>
        </w:rPr>
        <w:t xml:space="preserve">second, </w:t>
      </w:r>
      <w:r w:rsidRPr="00B4665C">
        <w:rPr>
          <w:color w:val="000000" w:themeColor="text1"/>
        </w:rPr>
        <w:t>excluding these two years</w:t>
      </w:r>
      <w:r w:rsidR="002B0522" w:rsidRPr="00B4665C">
        <w:rPr>
          <w:color w:val="000000" w:themeColor="text1"/>
        </w:rPr>
        <w:t xml:space="preserve"> </w:t>
      </w:r>
      <w:r w:rsidRPr="00B4665C">
        <w:rPr>
          <w:color w:val="000000" w:themeColor="text1"/>
        </w:rPr>
        <w:t xml:space="preserve">reduces the </w:t>
      </w:r>
      <w:r w:rsidR="0055432F">
        <w:rPr>
          <w:color w:val="000000" w:themeColor="text1"/>
        </w:rPr>
        <w:t xml:space="preserve">amount of </w:t>
      </w:r>
      <w:r w:rsidR="006541C2" w:rsidRPr="00B4665C">
        <w:rPr>
          <w:color w:val="000000" w:themeColor="text1"/>
        </w:rPr>
        <w:t xml:space="preserve">hand collection </w:t>
      </w:r>
      <w:r w:rsidR="0055432F">
        <w:rPr>
          <w:color w:val="000000" w:themeColor="text1"/>
        </w:rPr>
        <w:t>required</w:t>
      </w:r>
      <w:r w:rsidRPr="00B4665C">
        <w:rPr>
          <w:color w:val="000000" w:themeColor="text1"/>
        </w:rPr>
        <w:t>.</w:t>
      </w:r>
    </w:p>
  </w:footnote>
  <w:footnote w:id="4">
    <w:p w14:paraId="7AFAB701" w14:textId="3601CC0F" w:rsidR="00867B9F" w:rsidRPr="007411EF" w:rsidRDefault="00D96DFB" w:rsidP="00596DD7">
      <w:pPr>
        <w:autoSpaceDE w:val="0"/>
        <w:autoSpaceDN w:val="0"/>
        <w:adjustRightInd w:val="0"/>
        <w:jc w:val="both"/>
        <w:rPr>
          <w:sz w:val="20"/>
          <w:szCs w:val="20"/>
        </w:rPr>
      </w:pPr>
      <w:r>
        <w:rPr>
          <w:rStyle w:val="FootnoteReference"/>
        </w:rPr>
        <w:footnoteRef/>
      </w:r>
      <w:r>
        <w:t xml:space="preserve"> </w:t>
      </w:r>
      <w:r w:rsidR="00895271" w:rsidRPr="007411EF">
        <w:rPr>
          <w:sz w:val="20"/>
          <w:szCs w:val="20"/>
        </w:rPr>
        <w:t>Adams (2016</w:t>
      </w:r>
      <w:r w:rsidR="00F30243">
        <w:rPr>
          <w:sz w:val="20"/>
          <w:szCs w:val="20"/>
        </w:rPr>
        <w:t>, 373</w:t>
      </w:r>
      <w:r w:rsidR="00895271" w:rsidRPr="007411EF">
        <w:rPr>
          <w:sz w:val="20"/>
          <w:szCs w:val="20"/>
        </w:rPr>
        <w:t>) discuss</w:t>
      </w:r>
      <w:r w:rsidR="00110B74" w:rsidRPr="007411EF">
        <w:rPr>
          <w:sz w:val="20"/>
          <w:szCs w:val="20"/>
        </w:rPr>
        <w:t>es</w:t>
      </w:r>
      <w:r w:rsidR="00895271" w:rsidRPr="007411EF">
        <w:rPr>
          <w:sz w:val="20"/>
          <w:szCs w:val="20"/>
        </w:rPr>
        <w:t xml:space="preserve"> </w:t>
      </w:r>
      <w:r w:rsidR="002A5190" w:rsidRPr="007411EF">
        <w:rPr>
          <w:sz w:val="20"/>
          <w:szCs w:val="20"/>
        </w:rPr>
        <w:t>that not</w:t>
      </w:r>
      <w:r w:rsidR="00895271" w:rsidRPr="007411EF">
        <w:rPr>
          <w:sz w:val="20"/>
          <w:szCs w:val="20"/>
        </w:rPr>
        <w:t xml:space="preserve"> control</w:t>
      </w:r>
      <w:r w:rsidR="002A5190" w:rsidRPr="007411EF">
        <w:rPr>
          <w:sz w:val="20"/>
          <w:szCs w:val="20"/>
        </w:rPr>
        <w:t>ling</w:t>
      </w:r>
      <w:r w:rsidR="00895271" w:rsidRPr="007411EF">
        <w:rPr>
          <w:sz w:val="20"/>
          <w:szCs w:val="20"/>
        </w:rPr>
        <w:t xml:space="preserve"> for </w:t>
      </w:r>
      <w:r w:rsidR="002A5190" w:rsidRPr="007411EF">
        <w:rPr>
          <w:sz w:val="20"/>
          <w:szCs w:val="20"/>
        </w:rPr>
        <w:t>firm</w:t>
      </w:r>
      <w:r w:rsidR="00895271" w:rsidRPr="007411EF">
        <w:rPr>
          <w:sz w:val="20"/>
          <w:szCs w:val="20"/>
        </w:rPr>
        <w:t xml:space="preserve"> size</w:t>
      </w:r>
      <w:r w:rsidR="009C6812" w:rsidRPr="007411EF">
        <w:rPr>
          <w:sz w:val="20"/>
          <w:szCs w:val="20"/>
        </w:rPr>
        <w:t xml:space="preserve"> can affect </w:t>
      </w:r>
      <w:r w:rsidR="002A5190" w:rsidRPr="007411EF">
        <w:rPr>
          <w:sz w:val="20"/>
          <w:szCs w:val="20"/>
        </w:rPr>
        <w:t xml:space="preserve">the </w:t>
      </w:r>
      <w:r w:rsidR="009C6812" w:rsidRPr="007411EF">
        <w:rPr>
          <w:sz w:val="20"/>
          <w:szCs w:val="20"/>
        </w:rPr>
        <w:t>results</w:t>
      </w:r>
      <w:r w:rsidR="00866BA4" w:rsidRPr="007411EF">
        <w:rPr>
          <w:sz w:val="20"/>
          <w:szCs w:val="20"/>
        </w:rPr>
        <w:t>, stating that “i</w:t>
      </w:r>
      <w:r w:rsidR="00866BA4" w:rsidRPr="007411EF">
        <w:rPr>
          <w:rFonts w:eastAsiaTheme="minorHAnsi"/>
          <w:sz w:val="20"/>
          <w:szCs w:val="20"/>
          <w:lang w:eastAsia="en-US"/>
        </w:rPr>
        <w:t>f we do not properly account for firm size, correlations between diversity and corporate</w:t>
      </w:r>
      <w:r w:rsidR="004E2D00">
        <w:rPr>
          <w:rFonts w:eastAsiaTheme="minorHAnsi"/>
          <w:sz w:val="20"/>
          <w:szCs w:val="20"/>
          <w:lang w:eastAsia="en-US"/>
        </w:rPr>
        <w:t xml:space="preserve"> outcomes will also </w:t>
      </w:r>
      <w:r w:rsidR="00866BA4" w:rsidRPr="007411EF">
        <w:rPr>
          <w:rFonts w:eastAsiaTheme="minorHAnsi"/>
          <w:sz w:val="20"/>
          <w:szCs w:val="20"/>
          <w:lang w:eastAsia="en-US"/>
        </w:rPr>
        <w:t>reflect correlations with firm size. In this case, the magnitudes of the correlations suffer from “omitted variable bias” and it may be difficult to determine the magnitude of the causal effect of diversity”</w:t>
      </w:r>
      <w:r w:rsidR="008E5A1C" w:rsidRPr="007411EF">
        <w:rPr>
          <w:rFonts w:eastAsiaTheme="minorHAnsi"/>
          <w:sz w:val="20"/>
          <w:szCs w:val="20"/>
          <w:lang w:eastAsia="en-US"/>
        </w:rPr>
        <w:t xml:space="preserve">. </w:t>
      </w:r>
    </w:p>
  </w:footnote>
  <w:footnote w:id="5">
    <w:p w14:paraId="08AD1C00" w14:textId="260747CB" w:rsidR="00E52D6A" w:rsidRPr="00B217A7" w:rsidRDefault="00D96DFB" w:rsidP="00B217A7">
      <w:pPr>
        <w:pStyle w:val="FootnoteText"/>
        <w:jc w:val="both"/>
      </w:pPr>
      <w:r>
        <w:rPr>
          <w:rStyle w:val="FootnoteReference"/>
        </w:rPr>
        <w:footnoteRef/>
      </w:r>
      <w:r>
        <w:t xml:space="preserve"> </w:t>
      </w:r>
      <w:r w:rsidRPr="00B217A7">
        <w:t xml:space="preserve">Although we have a low number of observations per firm, we also </w:t>
      </w:r>
      <w:r w:rsidR="000D08DA">
        <w:t>estimate the</w:t>
      </w:r>
      <w:r w:rsidRPr="00B217A7">
        <w:t xml:space="preserve"> model </w:t>
      </w:r>
      <w:r w:rsidR="000D08DA">
        <w:t xml:space="preserve">using </w:t>
      </w:r>
      <w:r w:rsidRPr="00B217A7">
        <w:t>firm</w:t>
      </w:r>
      <w:r w:rsidR="000D08DA">
        <w:t>-</w:t>
      </w:r>
      <w:r w:rsidRPr="00B217A7">
        <w:t xml:space="preserve">fixed effects. </w:t>
      </w:r>
      <w:r w:rsidR="000D08DA">
        <w:t>The inferences</w:t>
      </w:r>
      <w:r w:rsidRPr="00B217A7">
        <w:t xml:space="preserve"> are robust to this specification. In these untabulated results, the estimated coefficient </w:t>
      </w:r>
      <w:r w:rsidR="00355EAE">
        <w:t>on</w:t>
      </w:r>
      <w:r w:rsidRPr="00B217A7">
        <w:t xml:space="preserve"> </w:t>
      </w:r>
      <w:r w:rsidRPr="00B217A7">
        <w:rPr>
          <w:i/>
          <w:iCs/>
        </w:rPr>
        <w:t>Y2014</w:t>
      </w:r>
      <w:r w:rsidRPr="00B217A7">
        <w:t xml:space="preserve"> is 3.88 (p-value = 0.000), the estimated coefficient </w:t>
      </w:r>
      <w:r w:rsidR="00355EAE">
        <w:t>on</w:t>
      </w:r>
      <w:r w:rsidRPr="00B217A7">
        <w:t xml:space="preserve"> </w:t>
      </w:r>
      <w:r w:rsidRPr="00B217A7">
        <w:rPr>
          <w:i/>
          <w:iCs/>
        </w:rPr>
        <w:t>Y2016</w:t>
      </w:r>
      <w:r w:rsidRPr="00B217A7">
        <w:t xml:space="preserve"> is 7.57 (p-value = 0.000), and the estimated coefficient </w:t>
      </w:r>
      <w:r w:rsidR="00355EAE">
        <w:t>on</w:t>
      </w:r>
      <w:r w:rsidRPr="00B217A7">
        <w:t xml:space="preserve"> </w:t>
      </w:r>
      <w:r w:rsidRPr="00B217A7">
        <w:rPr>
          <w:i/>
          <w:iCs/>
        </w:rPr>
        <w:t>Y2018</w:t>
      </w:r>
      <w:r w:rsidRPr="00B217A7">
        <w:t xml:space="preserve"> is 12.12 (p-value = 0.000). Moreover, the independent variables </w:t>
      </w:r>
      <w:r w:rsidRPr="00B217A7">
        <w:rPr>
          <w:i/>
          <w:iCs/>
        </w:rPr>
        <w:t>%Executive Female</w:t>
      </w:r>
      <w:r w:rsidRPr="00B217A7">
        <w:t xml:space="preserve"> and </w:t>
      </w:r>
      <w:proofErr w:type="spellStart"/>
      <w:r w:rsidRPr="00B217A7">
        <w:rPr>
          <w:i/>
          <w:iCs/>
        </w:rPr>
        <w:t>Female_Chair</w:t>
      </w:r>
      <w:proofErr w:type="spellEnd"/>
      <w:r w:rsidRPr="00B217A7">
        <w:t xml:space="preserve"> have positive and statistically significant coefficients, as in the tabulated results.</w:t>
      </w:r>
    </w:p>
  </w:footnote>
  <w:footnote w:id="6">
    <w:p w14:paraId="7D271BC9" w14:textId="5477FEF4" w:rsidR="008E4E23" w:rsidRPr="00C01200" w:rsidRDefault="00D96DFB" w:rsidP="0099678C">
      <w:pPr>
        <w:pStyle w:val="FootnoteText"/>
        <w:jc w:val="both"/>
      </w:pPr>
      <w:r>
        <w:rPr>
          <w:rStyle w:val="FootnoteReference"/>
        </w:rPr>
        <w:footnoteRef/>
      </w:r>
      <w:r>
        <w:t xml:space="preserve"> </w:t>
      </w:r>
      <w:r w:rsidRPr="00C01200">
        <w:t xml:space="preserve">Although we have a low number of observations per firm, we also </w:t>
      </w:r>
      <w:r w:rsidR="00495A72">
        <w:t>estimate</w:t>
      </w:r>
      <w:r w:rsidR="00495A72" w:rsidRPr="00C01200">
        <w:t xml:space="preserve"> </w:t>
      </w:r>
      <w:r w:rsidRPr="00C01200">
        <w:t>thes</w:t>
      </w:r>
      <w:r w:rsidR="001A148A" w:rsidRPr="00C01200">
        <w:t>e</w:t>
      </w:r>
      <w:r w:rsidRPr="00C01200">
        <w:t xml:space="preserve"> model</w:t>
      </w:r>
      <w:r w:rsidR="001A148A" w:rsidRPr="00C01200">
        <w:t>s</w:t>
      </w:r>
      <w:r w:rsidRPr="00C01200">
        <w:t xml:space="preserve"> with firm</w:t>
      </w:r>
      <w:r w:rsidR="00495A72">
        <w:t>-</w:t>
      </w:r>
      <w:r w:rsidRPr="00C01200">
        <w:t xml:space="preserve">fixed effects. </w:t>
      </w:r>
      <w:r w:rsidR="00495A72">
        <w:t>We find that o</w:t>
      </w:r>
      <w:r w:rsidRPr="00C01200">
        <w:t xml:space="preserve">ur </w:t>
      </w:r>
      <w:r w:rsidR="00495A72">
        <w:t>inferences</w:t>
      </w:r>
      <w:r w:rsidRPr="00C01200">
        <w:t xml:space="preserve"> are </w:t>
      </w:r>
      <w:r w:rsidR="001A148A" w:rsidRPr="00C01200">
        <w:t xml:space="preserve">not </w:t>
      </w:r>
      <w:r w:rsidRPr="00C01200">
        <w:t>robust to this specification. In these untabulated results, the estimated coefficient</w:t>
      </w:r>
      <w:r w:rsidR="00355EAE">
        <w:t>s</w:t>
      </w:r>
      <w:r w:rsidRPr="00C01200">
        <w:t xml:space="preserve"> </w:t>
      </w:r>
      <w:r w:rsidR="00355EAE">
        <w:t>on</w:t>
      </w:r>
      <w:r w:rsidRPr="00C01200">
        <w:t xml:space="preserve"> </w:t>
      </w:r>
      <w:r w:rsidR="001A148A" w:rsidRPr="00C01200">
        <w:rPr>
          <w:i/>
          <w:iCs/>
        </w:rPr>
        <w:t>%Female</w:t>
      </w:r>
      <w:r w:rsidR="001A148A" w:rsidRPr="00C01200">
        <w:t xml:space="preserve"> are not statistically different from zero</w:t>
      </w:r>
      <w:r w:rsidR="00C17EB7" w:rsidRPr="00C01200">
        <w:t xml:space="preserve">, </w:t>
      </w:r>
      <w:r w:rsidR="00495A72">
        <w:t xml:space="preserve">with </w:t>
      </w:r>
      <w:r w:rsidR="00C17EB7" w:rsidRPr="00C01200">
        <w:t xml:space="preserve">p-values </w:t>
      </w:r>
      <w:r w:rsidR="00495A72">
        <w:t xml:space="preserve">from </w:t>
      </w:r>
      <w:r w:rsidR="00C17EB7" w:rsidRPr="00C01200">
        <w:t xml:space="preserve">two-tailed tests </w:t>
      </w:r>
      <w:r w:rsidR="00495A72">
        <w:t xml:space="preserve">of </w:t>
      </w:r>
      <w:r w:rsidR="0037435D" w:rsidRPr="00C01200">
        <w:t xml:space="preserve">0.609 (in the </w:t>
      </w:r>
      <w:r w:rsidR="0037435D" w:rsidRPr="00C62DE3">
        <w:rPr>
          <w:i/>
          <w:iCs/>
        </w:rPr>
        <w:t>ROA</w:t>
      </w:r>
      <w:r w:rsidR="0037435D" w:rsidRPr="00C01200">
        <w:t xml:space="preserve"> model) and </w:t>
      </w:r>
      <w:r w:rsidR="00495A72">
        <w:t xml:space="preserve">of </w:t>
      </w:r>
      <w:r w:rsidR="00983FA2" w:rsidRPr="00C01200">
        <w:t xml:space="preserve">0.205 (in the </w:t>
      </w:r>
      <w:r w:rsidR="00983FA2" w:rsidRPr="00C62DE3">
        <w:rPr>
          <w:i/>
          <w:iCs/>
        </w:rPr>
        <w:t>Tobin’s Q</w:t>
      </w:r>
      <w:r w:rsidR="00983FA2" w:rsidRPr="00C01200">
        <w:t xml:space="preserve"> model).</w:t>
      </w:r>
    </w:p>
  </w:footnote>
  <w:footnote w:id="7">
    <w:p w14:paraId="0B4F19E4" w14:textId="4EFFBD34" w:rsidR="00A66EFA" w:rsidRPr="00025597" w:rsidRDefault="00D96DFB" w:rsidP="00A414A6">
      <w:pPr>
        <w:pStyle w:val="FootnoteText"/>
        <w:jc w:val="both"/>
      </w:pPr>
      <w:r>
        <w:rPr>
          <w:rStyle w:val="FootnoteReference"/>
        </w:rPr>
        <w:footnoteRef/>
      </w:r>
      <w:r>
        <w:t xml:space="preserve"> </w:t>
      </w:r>
      <w:r w:rsidR="00F41952">
        <w:t>In the</w:t>
      </w:r>
      <w:r w:rsidR="006D7067">
        <w:t xml:space="preserve"> simultaneous equations model</w:t>
      </w:r>
      <w:r w:rsidR="00822ADB">
        <w:t xml:space="preserve">, </w:t>
      </w:r>
      <w:r w:rsidR="001D0EC7">
        <w:t xml:space="preserve">we </w:t>
      </w:r>
      <w:r w:rsidR="00822ADB">
        <w:t>remove two independent variables</w:t>
      </w:r>
      <w:r w:rsidR="00720A49">
        <w:t xml:space="preserve"> (</w:t>
      </w:r>
      <w:r w:rsidR="00FB233D" w:rsidRPr="00965DD6">
        <w:rPr>
          <w:i/>
          <w:iCs/>
        </w:rPr>
        <w:t xml:space="preserve">%Executive </w:t>
      </w:r>
      <w:r w:rsidR="00965DD6">
        <w:rPr>
          <w:i/>
          <w:iCs/>
        </w:rPr>
        <w:t>F</w:t>
      </w:r>
      <w:r w:rsidR="00FB233D" w:rsidRPr="00965DD6">
        <w:rPr>
          <w:i/>
          <w:iCs/>
        </w:rPr>
        <w:t>emale</w:t>
      </w:r>
      <w:r w:rsidR="00FB233D">
        <w:t xml:space="preserve"> and </w:t>
      </w:r>
      <w:r w:rsidR="00FB233D" w:rsidRPr="00965DD6">
        <w:rPr>
          <w:i/>
          <w:iCs/>
        </w:rPr>
        <w:t>Board Size</w:t>
      </w:r>
      <w:r w:rsidR="00720A49" w:rsidRPr="004700BE">
        <w:t>)</w:t>
      </w:r>
      <w:r w:rsidR="00720A49">
        <w:rPr>
          <w:i/>
          <w:iCs/>
        </w:rPr>
        <w:t xml:space="preserve"> </w:t>
      </w:r>
      <w:r w:rsidR="00720A49" w:rsidRPr="00720A49">
        <w:t>from the</w:t>
      </w:r>
      <w:r w:rsidR="00720A49">
        <w:t xml:space="preserve"> first model</w:t>
      </w:r>
      <w:r w:rsidR="00FB233D">
        <w:t xml:space="preserve"> </w:t>
      </w:r>
      <w:r w:rsidR="001D0EC7">
        <w:t xml:space="preserve">and </w:t>
      </w:r>
      <w:r w:rsidR="00897C9D">
        <w:t>industry fixed effects from the second model</w:t>
      </w:r>
      <w:r w:rsidR="006B7D38">
        <w:t xml:space="preserve">. </w:t>
      </w:r>
      <w:r w:rsidR="00BC17CE" w:rsidRPr="00025597">
        <w:t>N</w:t>
      </w:r>
      <w:r w:rsidR="00E51FE6" w:rsidRPr="00025597">
        <w:t xml:space="preserve">either </w:t>
      </w:r>
      <w:r w:rsidR="00E51FE6" w:rsidRPr="00025597">
        <w:rPr>
          <w:i/>
          <w:iCs/>
        </w:rPr>
        <w:t>%Executive Female</w:t>
      </w:r>
      <w:r w:rsidR="00E51FE6" w:rsidRPr="00025597">
        <w:t xml:space="preserve"> nor </w:t>
      </w:r>
      <w:r w:rsidR="00E51FE6" w:rsidRPr="00025597">
        <w:rPr>
          <w:i/>
          <w:iCs/>
        </w:rPr>
        <w:t>Board Size</w:t>
      </w:r>
      <w:r w:rsidR="00E51FE6" w:rsidRPr="00025597">
        <w:t xml:space="preserve"> </w:t>
      </w:r>
      <w:r w:rsidR="00BE4488" w:rsidRPr="00025597">
        <w:t xml:space="preserve">have theoretical links to the </w:t>
      </w:r>
      <w:r w:rsidR="007956A6" w:rsidRPr="00025597">
        <w:t xml:space="preserve">dependent variable – the first variable </w:t>
      </w:r>
      <w:r w:rsidR="0088770F" w:rsidRPr="00025597">
        <w:t>is considered in our study because</w:t>
      </w:r>
      <w:r w:rsidR="003B1F2E" w:rsidRPr="00025597">
        <w:t xml:space="preserve"> the presence of women in leadership roles may lead to an increase of </w:t>
      </w:r>
      <w:r w:rsidR="00200761">
        <w:t>females on</w:t>
      </w:r>
      <w:r w:rsidR="003B1F2E" w:rsidRPr="00025597">
        <w:t xml:space="preserve"> the board and the second </w:t>
      </w:r>
      <w:r w:rsidR="00957C19" w:rsidRPr="00025597">
        <w:t xml:space="preserve">may lead to more resources but lower efficiency. </w:t>
      </w:r>
      <w:r w:rsidR="00BC17CE" w:rsidRPr="00025597">
        <w:t xml:space="preserve">Moreover, </w:t>
      </w:r>
      <w:r w:rsidR="00200761">
        <w:t>because</w:t>
      </w:r>
      <w:r w:rsidR="00200761" w:rsidRPr="00025597">
        <w:t xml:space="preserve"> </w:t>
      </w:r>
      <w:r w:rsidR="00BC17CE" w:rsidRPr="00025597">
        <w:t xml:space="preserve">the industry effects on </w:t>
      </w:r>
      <w:r w:rsidR="00200761">
        <w:t>firm</w:t>
      </w:r>
      <w:r w:rsidR="00C02820" w:rsidRPr="00025597">
        <w:t xml:space="preserve"> profitability are </w:t>
      </w:r>
      <w:r w:rsidR="000D0FBF" w:rsidRPr="00025597">
        <w:t xml:space="preserve">included in the </w:t>
      </w:r>
      <w:r w:rsidR="001E363F" w:rsidRPr="00025597">
        <w:rPr>
          <w:i/>
          <w:iCs/>
        </w:rPr>
        <w:t>ROA</w:t>
      </w:r>
      <w:r w:rsidR="00200761">
        <w:t xml:space="preserve"> model,</w:t>
      </w:r>
      <w:r w:rsidR="001E363F" w:rsidRPr="00025597">
        <w:t xml:space="preserve"> </w:t>
      </w:r>
      <w:r w:rsidR="000D0FBF" w:rsidRPr="00025597">
        <w:t>th</w:t>
      </w:r>
      <w:r w:rsidR="00134D75" w:rsidRPr="00025597">
        <w:t>ese</w:t>
      </w:r>
      <w:r w:rsidR="000D0FBF" w:rsidRPr="00025597">
        <w:t xml:space="preserve"> </w:t>
      </w:r>
      <w:r w:rsidR="00A84643" w:rsidRPr="00025597">
        <w:t xml:space="preserve">effects on value </w:t>
      </w:r>
      <w:r w:rsidR="00200761">
        <w:t>are controlled for</w:t>
      </w:r>
      <w:r w:rsidR="00A84643" w:rsidRPr="00025597">
        <w:t>.</w:t>
      </w:r>
    </w:p>
  </w:footnote>
  <w:footnote w:id="8">
    <w:p w14:paraId="14ECBFED" w14:textId="0B7918BD" w:rsidR="009826B6" w:rsidRDefault="00D96DFB" w:rsidP="00A414A6">
      <w:pPr>
        <w:pStyle w:val="FootnoteText"/>
        <w:jc w:val="both"/>
      </w:pPr>
      <w:r>
        <w:rPr>
          <w:rStyle w:val="FootnoteReference"/>
        </w:rPr>
        <w:footnoteRef/>
      </w:r>
      <w:r>
        <w:t xml:space="preserve"> </w:t>
      </w:r>
      <w:r w:rsidR="00F26317">
        <w:t>The mean value of this indicator variable is 0.541. Thus, in o</w:t>
      </w:r>
      <w:r w:rsidR="009E03BE">
        <w:t>u</w:t>
      </w:r>
      <w:r w:rsidR="00F26317">
        <w:t>r sample,</w:t>
      </w:r>
      <w:r w:rsidR="009E03BE">
        <w:t xml:space="preserve"> more than half of the observations have at least three </w:t>
      </w:r>
      <w:r w:rsidR="001D4241">
        <w:t xml:space="preserve">female </w:t>
      </w:r>
      <w:r w:rsidR="009E03BE">
        <w:t>directors.</w:t>
      </w:r>
      <w:r w:rsidR="00F51792">
        <w:t xml:space="preserve"> </w:t>
      </w:r>
      <w:r w:rsidR="001D4241">
        <w:t>However, t</w:t>
      </w:r>
      <w:r w:rsidR="00F51792">
        <w:t>hese observations are not uniformly distributed across the years. In fact, in 2012</w:t>
      </w:r>
      <w:r w:rsidR="001D4241">
        <w:t>,</w:t>
      </w:r>
      <w:r w:rsidR="00F51792">
        <w:t xml:space="preserve"> </w:t>
      </w:r>
      <w:r w:rsidR="00780D80">
        <w:t xml:space="preserve">only </w:t>
      </w:r>
      <w:r w:rsidR="00644A40">
        <w:t>36</w:t>
      </w:r>
      <w:r w:rsidR="001D4241">
        <w:t xml:space="preserve"> percent</w:t>
      </w:r>
      <w:r w:rsidR="00644A40">
        <w:t xml:space="preserve"> of the observations had more than three </w:t>
      </w:r>
      <w:r w:rsidR="001D4241">
        <w:t xml:space="preserve">female </w:t>
      </w:r>
      <w:r w:rsidR="005630DC">
        <w:t>directors, whereas</w:t>
      </w:r>
      <w:r w:rsidR="00644A40">
        <w:t xml:space="preserve"> </w:t>
      </w:r>
      <w:r w:rsidR="001D4241">
        <w:t xml:space="preserve">in 2018 </w:t>
      </w:r>
      <w:r w:rsidR="00644A40">
        <w:t xml:space="preserve">this percentage </w:t>
      </w:r>
      <w:r w:rsidR="001D4241">
        <w:t xml:space="preserve">had </w:t>
      </w:r>
      <w:r w:rsidR="00644A40">
        <w:t>increase</w:t>
      </w:r>
      <w:r w:rsidR="005551A3">
        <w:t>d</w:t>
      </w:r>
      <w:r w:rsidR="00644A40">
        <w:t xml:space="preserve"> to </w:t>
      </w:r>
      <w:r w:rsidR="00355B6A">
        <w:t>76.</w:t>
      </w:r>
      <w:r w:rsidR="00F2631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069AB"/>
    <w:multiLevelType w:val="hybridMultilevel"/>
    <w:tmpl w:val="479ECAF6"/>
    <w:lvl w:ilvl="0" w:tplc="4EDCCFAC">
      <w:start w:val="1"/>
      <w:numFmt w:val="upperRoman"/>
      <w:lvlText w:val="%1."/>
      <w:lvlJc w:val="right"/>
      <w:pPr>
        <w:ind w:left="1440" w:hanging="360"/>
      </w:pPr>
    </w:lvl>
    <w:lvl w:ilvl="1" w:tplc="A8D68EF2" w:tentative="1">
      <w:start w:val="1"/>
      <w:numFmt w:val="lowerLetter"/>
      <w:lvlText w:val="%2."/>
      <w:lvlJc w:val="left"/>
      <w:pPr>
        <w:ind w:left="2160" w:hanging="360"/>
      </w:pPr>
    </w:lvl>
    <w:lvl w:ilvl="2" w:tplc="6602F5A4" w:tentative="1">
      <w:start w:val="1"/>
      <w:numFmt w:val="lowerRoman"/>
      <w:lvlText w:val="%3."/>
      <w:lvlJc w:val="right"/>
      <w:pPr>
        <w:ind w:left="2880" w:hanging="180"/>
      </w:pPr>
    </w:lvl>
    <w:lvl w:ilvl="3" w:tplc="391C745A" w:tentative="1">
      <w:start w:val="1"/>
      <w:numFmt w:val="decimal"/>
      <w:lvlText w:val="%4."/>
      <w:lvlJc w:val="left"/>
      <w:pPr>
        <w:ind w:left="3600" w:hanging="360"/>
      </w:pPr>
    </w:lvl>
    <w:lvl w:ilvl="4" w:tplc="03B0DF9A" w:tentative="1">
      <w:start w:val="1"/>
      <w:numFmt w:val="lowerLetter"/>
      <w:lvlText w:val="%5."/>
      <w:lvlJc w:val="left"/>
      <w:pPr>
        <w:ind w:left="4320" w:hanging="360"/>
      </w:pPr>
    </w:lvl>
    <w:lvl w:ilvl="5" w:tplc="C284CACC" w:tentative="1">
      <w:start w:val="1"/>
      <w:numFmt w:val="lowerRoman"/>
      <w:lvlText w:val="%6."/>
      <w:lvlJc w:val="right"/>
      <w:pPr>
        <w:ind w:left="5040" w:hanging="180"/>
      </w:pPr>
    </w:lvl>
    <w:lvl w:ilvl="6" w:tplc="828466D8" w:tentative="1">
      <w:start w:val="1"/>
      <w:numFmt w:val="decimal"/>
      <w:lvlText w:val="%7."/>
      <w:lvlJc w:val="left"/>
      <w:pPr>
        <w:ind w:left="5760" w:hanging="360"/>
      </w:pPr>
    </w:lvl>
    <w:lvl w:ilvl="7" w:tplc="0340F3D8" w:tentative="1">
      <w:start w:val="1"/>
      <w:numFmt w:val="lowerLetter"/>
      <w:lvlText w:val="%8."/>
      <w:lvlJc w:val="left"/>
      <w:pPr>
        <w:ind w:left="6480" w:hanging="360"/>
      </w:pPr>
    </w:lvl>
    <w:lvl w:ilvl="8" w:tplc="4A982978" w:tentative="1">
      <w:start w:val="1"/>
      <w:numFmt w:val="lowerRoman"/>
      <w:lvlText w:val="%9."/>
      <w:lvlJc w:val="right"/>
      <w:pPr>
        <w:ind w:left="7200" w:hanging="180"/>
      </w:pPr>
    </w:lvl>
  </w:abstractNum>
  <w:abstractNum w:abstractNumId="1" w15:restartNumberingAfterBreak="0">
    <w:nsid w:val="580C1B6D"/>
    <w:multiLevelType w:val="hybridMultilevel"/>
    <w:tmpl w:val="94E8EC98"/>
    <w:lvl w:ilvl="0" w:tplc="E3D86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F978E3"/>
    <w:multiLevelType w:val="hybridMultilevel"/>
    <w:tmpl w:val="DE0C08EE"/>
    <w:lvl w:ilvl="0" w:tplc="A0D2438E">
      <w:start w:val="1"/>
      <w:numFmt w:val="bullet"/>
      <w:lvlText w:val=""/>
      <w:lvlJc w:val="left"/>
      <w:pPr>
        <w:ind w:left="720" w:hanging="360"/>
      </w:pPr>
      <w:rPr>
        <w:rFonts w:ascii="Symbol" w:hAnsi="Symbol" w:hint="default"/>
      </w:rPr>
    </w:lvl>
    <w:lvl w:ilvl="1" w:tplc="026405FA" w:tentative="1">
      <w:start w:val="1"/>
      <w:numFmt w:val="bullet"/>
      <w:lvlText w:val="o"/>
      <w:lvlJc w:val="left"/>
      <w:pPr>
        <w:ind w:left="1440" w:hanging="360"/>
      </w:pPr>
      <w:rPr>
        <w:rFonts w:ascii="Courier New" w:hAnsi="Courier New" w:cs="Courier New" w:hint="default"/>
      </w:rPr>
    </w:lvl>
    <w:lvl w:ilvl="2" w:tplc="84DEA498" w:tentative="1">
      <w:start w:val="1"/>
      <w:numFmt w:val="bullet"/>
      <w:lvlText w:val=""/>
      <w:lvlJc w:val="left"/>
      <w:pPr>
        <w:ind w:left="2160" w:hanging="360"/>
      </w:pPr>
      <w:rPr>
        <w:rFonts w:ascii="Wingdings" w:hAnsi="Wingdings" w:hint="default"/>
      </w:rPr>
    </w:lvl>
    <w:lvl w:ilvl="3" w:tplc="D7406AFA" w:tentative="1">
      <w:start w:val="1"/>
      <w:numFmt w:val="bullet"/>
      <w:lvlText w:val=""/>
      <w:lvlJc w:val="left"/>
      <w:pPr>
        <w:ind w:left="2880" w:hanging="360"/>
      </w:pPr>
      <w:rPr>
        <w:rFonts w:ascii="Symbol" w:hAnsi="Symbol" w:hint="default"/>
      </w:rPr>
    </w:lvl>
    <w:lvl w:ilvl="4" w:tplc="6B8C4830" w:tentative="1">
      <w:start w:val="1"/>
      <w:numFmt w:val="bullet"/>
      <w:lvlText w:val="o"/>
      <w:lvlJc w:val="left"/>
      <w:pPr>
        <w:ind w:left="3600" w:hanging="360"/>
      </w:pPr>
      <w:rPr>
        <w:rFonts w:ascii="Courier New" w:hAnsi="Courier New" w:cs="Courier New" w:hint="default"/>
      </w:rPr>
    </w:lvl>
    <w:lvl w:ilvl="5" w:tplc="BF6E6EFC" w:tentative="1">
      <w:start w:val="1"/>
      <w:numFmt w:val="bullet"/>
      <w:lvlText w:val=""/>
      <w:lvlJc w:val="left"/>
      <w:pPr>
        <w:ind w:left="4320" w:hanging="360"/>
      </w:pPr>
      <w:rPr>
        <w:rFonts w:ascii="Wingdings" w:hAnsi="Wingdings" w:hint="default"/>
      </w:rPr>
    </w:lvl>
    <w:lvl w:ilvl="6" w:tplc="3B7ED962" w:tentative="1">
      <w:start w:val="1"/>
      <w:numFmt w:val="bullet"/>
      <w:lvlText w:val=""/>
      <w:lvlJc w:val="left"/>
      <w:pPr>
        <w:ind w:left="5040" w:hanging="360"/>
      </w:pPr>
      <w:rPr>
        <w:rFonts w:ascii="Symbol" w:hAnsi="Symbol" w:hint="default"/>
      </w:rPr>
    </w:lvl>
    <w:lvl w:ilvl="7" w:tplc="1DFEE3E8" w:tentative="1">
      <w:start w:val="1"/>
      <w:numFmt w:val="bullet"/>
      <w:lvlText w:val="o"/>
      <w:lvlJc w:val="left"/>
      <w:pPr>
        <w:ind w:left="5760" w:hanging="360"/>
      </w:pPr>
      <w:rPr>
        <w:rFonts w:ascii="Courier New" w:hAnsi="Courier New" w:cs="Courier New" w:hint="default"/>
      </w:rPr>
    </w:lvl>
    <w:lvl w:ilvl="8" w:tplc="F5D80624" w:tentative="1">
      <w:start w:val="1"/>
      <w:numFmt w:val="bullet"/>
      <w:lvlText w:val=""/>
      <w:lvlJc w:val="left"/>
      <w:pPr>
        <w:ind w:left="6480" w:hanging="360"/>
      </w:pPr>
      <w:rPr>
        <w:rFonts w:ascii="Wingdings" w:hAnsi="Wingdings" w:hint="default"/>
      </w:rPr>
    </w:lvl>
  </w:abstractNum>
  <w:num w:numId="1" w16cid:durableId="125203795">
    <w:abstractNumId w:val="0"/>
  </w:num>
  <w:num w:numId="2" w16cid:durableId="2088264536">
    <w:abstractNumId w:val="2"/>
  </w:num>
  <w:num w:numId="3" w16cid:durableId="110287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F7"/>
    <w:rsid w:val="00000879"/>
    <w:rsid w:val="00000C5C"/>
    <w:rsid w:val="00004B49"/>
    <w:rsid w:val="000056A8"/>
    <w:rsid w:val="00005884"/>
    <w:rsid w:val="00005E37"/>
    <w:rsid w:val="000127AA"/>
    <w:rsid w:val="00012E61"/>
    <w:rsid w:val="000132B2"/>
    <w:rsid w:val="00014A68"/>
    <w:rsid w:val="000150FC"/>
    <w:rsid w:val="00015978"/>
    <w:rsid w:val="00016938"/>
    <w:rsid w:val="0001716C"/>
    <w:rsid w:val="00020005"/>
    <w:rsid w:val="000204B4"/>
    <w:rsid w:val="00020F4D"/>
    <w:rsid w:val="0002469E"/>
    <w:rsid w:val="00025597"/>
    <w:rsid w:val="00026770"/>
    <w:rsid w:val="00026A88"/>
    <w:rsid w:val="00027422"/>
    <w:rsid w:val="0003083F"/>
    <w:rsid w:val="00030964"/>
    <w:rsid w:val="00030F38"/>
    <w:rsid w:val="000312EB"/>
    <w:rsid w:val="0003239B"/>
    <w:rsid w:val="0003305C"/>
    <w:rsid w:val="000334FA"/>
    <w:rsid w:val="000343F3"/>
    <w:rsid w:val="000348B5"/>
    <w:rsid w:val="00035218"/>
    <w:rsid w:val="00036631"/>
    <w:rsid w:val="00036D99"/>
    <w:rsid w:val="00037DFB"/>
    <w:rsid w:val="00040571"/>
    <w:rsid w:val="00040610"/>
    <w:rsid w:val="00040F4F"/>
    <w:rsid w:val="000425D5"/>
    <w:rsid w:val="00042693"/>
    <w:rsid w:val="0004297A"/>
    <w:rsid w:val="000432E0"/>
    <w:rsid w:val="000441CF"/>
    <w:rsid w:val="00044C59"/>
    <w:rsid w:val="00045FEE"/>
    <w:rsid w:val="000464D3"/>
    <w:rsid w:val="00046AAF"/>
    <w:rsid w:val="00046DF7"/>
    <w:rsid w:val="00047AF9"/>
    <w:rsid w:val="0005056A"/>
    <w:rsid w:val="0005087A"/>
    <w:rsid w:val="00051EFA"/>
    <w:rsid w:val="00054A4C"/>
    <w:rsid w:val="000558F7"/>
    <w:rsid w:val="000604AD"/>
    <w:rsid w:val="0006153A"/>
    <w:rsid w:val="00062E89"/>
    <w:rsid w:val="000641C4"/>
    <w:rsid w:val="0006557E"/>
    <w:rsid w:val="00065A8E"/>
    <w:rsid w:val="000666CD"/>
    <w:rsid w:val="000671D1"/>
    <w:rsid w:val="00067868"/>
    <w:rsid w:val="00070C9B"/>
    <w:rsid w:val="0007154A"/>
    <w:rsid w:val="0007284C"/>
    <w:rsid w:val="00072B41"/>
    <w:rsid w:val="000732F8"/>
    <w:rsid w:val="00073C29"/>
    <w:rsid w:val="00074E02"/>
    <w:rsid w:val="00075D29"/>
    <w:rsid w:val="00076946"/>
    <w:rsid w:val="00076E37"/>
    <w:rsid w:val="000776B9"/>
    <w:rsid w:val="00080E98"/>
    <w:rsid w:val="000822BF"/>
    <w:rsid w:val="000828FB"/>
    <w:rsid w:val="0008306B"/>
    <w:rsid w:val="00085CDC"/>
    <w:rsid w:val="00086546"/>
    <w:rsid w:val="00087371"/>
    <w:rsid w:val="0009063E"/>
    <w:rsid w:val="000907C9"/>
    <w:rsid w:val="000908B7"/>
    <w:rsid w:val="00092DBA"/>
    <w:rsid w:val="0009338E"/>
    <w:rsid w:val="00095701"/>
    <w:rsid w:val="00097F96"/>
    <w:rsid w:val="000A41B7"/>
    <w:rsid w:val="000A4637"/>
    <w:rsid w:val="000A4A30"/>
    <w:rsid w:val="000A5045"/>
    <w:rsid w:val="000A664F"/>
    <w:rsid w:val="000A7D8E"/>
    <w:rsid w:val="000B011C"/>
    <w:rsid w:val="000B127C"/>
    <w:rsid w:val="000B2014"/>
    <w:rsid w:val="000B20A5"/>
    <w:rsid w:val="000B6004"/>
    <w:rsid w:val="000B641E"/>
    <w:rsid w:val="000B694F"/>
    <w:rsid w:val="000B707F"/>
    <w:rsid w:val="000B7AE1"/>
    <w:rsid w:val="000B7C20"/>
    <w:rsid w:val="000C10C2"/>
    <w:rsid w:val="000C122D"/>
    <w:rsid w:val="000C22F8"/>
    <w:rsid w:val="000C25FB"/>
    <w:rsid w:val="000C449D"/>
    <w:rsid w:val="000C4AFB"/>
    <w:rsid w:val="000C546D"/>
    <w:rsid w:val="000C5AC5"/>
    <w:rsid w:val="000C64FF"/>
    <w:rsid w:val="000D08DA"/>
    <w:rsid w:val="000D0FBF"/>
    <w:rsid w:val="000D128C"/>
    <w:rsid w:val="000D2777"/>
    <w:rsid w:val="000D5373"/>
    <w:rsid w:val="000D5A67"/>
    <w:rsid w:val="000D6643"/>
    <w:rsid w:val="000D6B81"/>
    <w:rsid w:val="000E0999"/>
    <w:rsid w:val="000E1A95"/>
    <w:rsid w:val="000E1A99"/>
    <w:rsid w:val="000E257B"/>
    <w:rsid w:val="000E290C"/>
    <w:rsid w:val="000E2C6F"/>
    <w:rsid w:val="000E376C"/>
    <w:rsid w:val="000E4316"/>
    <w:rsid w:val="000E5029"/>
    <w:rsid w:val="000E51D4"/>
    <w:rsid w:val="000E558F"/>
    <w:rsid w:val="000E6663"/>
    <w:rsid w:val="000E6D84"/>
    <w:rsid w:val="000E7EE9"/>
    <w:rsid w:val="000F0523"/>
    <w:rsid w:val="000F0DB2"/>
    <w:rsid w:val="000F13B6"/>
    <w:rsid w:val="000F1A91"/>
    <w:rsid w:val="000F262C"/>
    <w:rsid w:val="000F4C3A"/>
    <w:rsid w:val="000F5178"/>
    <w:rsid w:val="00100F56"/>
    <w:rsid w:val="0010186C"/>
    <w:rsid w:val="00101B2A"/>
    <w:rsid w:val="00101BF8"/>
    <w:rsid w:val="00101CD8"/>
    <w:rsid w:val="00103158"/>
    <w:rsid w:val="00107B62"/>
    <w:rsid w:val="00110B74"/>
    <w:rsid w:val="00110DDF"/>
    <w:rsid w:val="00110F5C"/>
    <w:rsid w:val="00111A7C"/>
    <w:rsid w:val="00111BC3"/>
    <w:rsid w:val="00111D36"/>
    <w:rsid w:val="00112E07"/>
    <w:rsid w:val="00113B6E"/>
    <w:rsid w:val="001147D0"/>
    <w:rsid w:val="001149EA"/>
    <w:rsid w:val="0011744C"/>
    <w:rsid w:val="001224C1"/>
    <w:rsid w:val="0012341E"/>
    <w:rsid w:val="00125979"/>
    <w:rsid w:val="0012597F"/>
    <w:rsid w:val="00127EB7"/>
    <w:rsid w:val="00130B2F"/>
    <w:rsid w:val="00130D84"/>
    <w:rsid w:val="0013125F"/>
    <w:rsid w:val="001315FD"/>
    <w:rsid w:val="001324E7"/>
    <w:rsid w:val="001326B9"/>
    <w:rsid w:val="001333AE"/>
    <w:rsid w:val="00134816"/>
    <w:rsid w:val="00134D75"/>
    <w:rsid w:val="001360C7"/>
    <w:rsid w:val="001363F7"/>
    <w:rsid w:val="001368E5"/>
    <w:rsid w:val="001373F4"/>
    <w:rsid w:val="00140D23"/>
    <w:rsid w:val="001412B1"/>
    <w:rsid w:val="00141445"/>
    <w:rsid w:val="00141B0D"/>
    <w:rsid w:val="001420CE"/>
    <w:rsid w:val="0014573A"/>
    <w:rsid w:val="001500B9"/>
    <w:rsid w:val="0015101A"/>
    <w:rsid w:val="001515C9"/>
    <w:rsid w:val="00151751"/>
    <w:rsid w:val="00151DA8"/>
    <w:rsid w:val="00152037"/>
    <w:rsid w:val="001520BB"/>
    <w:rsid w:val="00152573"/>
    <w:rsid w:val="00152D42"/>
    <w:rsid w:val="001532EA"/>
    <w:rsid w:val="00154BD4"/>
    <w:rsid w:val="0015509B"/>
    <w:rsid w:val="0015531B"/>
    <w:rsid w:val="00156180"/>
    <w:rsid w:val="00156D81"/>
    <w:rsid w:val="00157D56"/>
    <w:rsid w:val="00160037"/>
    <w:rsid w:val="00161BD5"/>
    <w:rsid w:val="0016266E"/>
    <w:rsid w:val="001638D0"/>
    <w:rsid w:val="001647AF"/>
    <w:rsid w:val="00165639"/>
    <w:rsid w:val="00165D77"/>
    <w:rsid w:val="00166BA0"/>
    <w:rsid w:val="00167262"/>
    <w:rsid w:val="00167C55"/>
    <w:rsid w:val="00171131"/>
    <w:rsid w:val="00171D0E"/>
    <w:rsid w:val="00172164"/>
    <w:rsid w:val="001726BF"/>
    <w:rsid w:val="00172DE7"/>
    <w:rsid w:val="00176D8E"/>
    <w:rsid w:val="00176F45"/>
    <w:rsid w:val="00177B43"/>
    <w:rsid w:val="0018020C"/>
    <w:rsid w:val="00180C26"/>
    <w:rsid w:val="00181ECB"/>
    <w:rsid w:val="00182313"/>
    <w:rsid w:val="0018284A"/>
    <w:rsid w:val="0018327E"/>
    <w:rsid w:val="0018397C"/>
    <w:rsid w:val="00185237"/>
    <w:rsid w:val="00185F5D"/>
    <w:rsid w:val="001864A9"/>
    <w:rsid w:val="001867B8"/>
    <w:rsid w:val="00186AB4"/>
    <w:rsid w:val="00186D30"/>
    <w:rsid w:val="00192B15"/>
    <w:rsid w:val="00195F97"/>
    <w:rsid w:val="0019630F"/>
    <w:rsid w:val="00197EFB"/>
    <w:rsid w:val="001A148A"/>
    <w:rsid w:val="001A1E19"/>
    <w:rsid w:val="001A212C"/>
    <w:rsid w:val="001A447F"/>
    <w:rsid w:val="001A561B"/>
    <w:rsid w:val="001B30F6"/>
    <w:rsid w:val="001B3986"/>
    <w:rsid w:val="001B53B1"/>
    <w:rsid w:val="001B6FB5"/>
    <w:rsid w:val="001B742D"/>
    <w:rsid w:val="001B7BD2"/>
    <w:rsid w:val="001C0110"/>
    <w:rsid w:val="001C0ED7"/>
    <w:rsid w:val="001C12F6"/>
    <w:rsid w:val="001C3380"/>
    <w:rsid w:val="001C55CA"/>
    <w:rsid w:val="001C6413"/>
    <w:rsid w:val="001C654C"/>
    <w:rsid w:val="001D0280"/>
    <w:rsid w:val="001D030E"/>
    <w:rsid w:val="001D0B8F"/>
    <w:rsid w:val="001D0EC7"/>
    <w:rsid w:val="001D1D21"/>
    <w:rsid w:val="001D4241"/>
    <w:rsid w:val="001D6688"/>
    <w:rsid w:val="001D728F"/>
    <w:rsid w:val="001D734C"/>
    <w:rsid w:val="001D7738"/>
    <w:rsid w:val="001E0426"/>
    <w:rsid w:val="001E05F5"/>
    <w:rsid w:val="001E0C89"/>
    <w:rsid w:val="001E10D3"/>
    <w:rsid w:val="001E1251"/>
    <w:rsid w:val="001E12DA"/>
    <w:rsid w:val="001E1314"/>
    <w:rsid w:val="001E1BA3"/>
    <w:rsid w:val="001E363F"/>
    <w:rsid w:val="001E4082"/>
    <w:rsid w:val="001E4595"/>
    <w:rsid w:val="001E4E68"/>
    <w:rsid w:val="001F085D"/>
    <w:rsid w:val="001F100B"/>
    <w:rsid w:val="001F17FD"/>
    <w:rsid w:val="001F43C7"/>
    <w:rsid w:val="001F579C"/>
    <w:rsid w:val="001F6754"/>
    <w:rsid w:val="001F6C0D"/>
    <w:rsid w:val="002003D6"/>
    <w:rsid w:val="00200761"/>
    <w:rsid w:val="00200A6C"/>
    <w:rsid w:val="00200D43"/>
    <w:rsid w:val="0020136C"/>
    <w:rsid w:val="002023FD"/>
    <w:rsid w:val="00202EBA"/>
    <w:rsid w:val="002031E2"/>
    <w:rsid w:val="0020389B"/>
    <w:rsid w:val="00204395"/>
    <w:rsid w:val="002045A7"/>
    <w:rsid w:val="0020476F"/>
    <w:rsid w:val="0020494F"/>
    <w:rsid w:val="002060C7"/>
    <w:rsid w:val="002067E0"/>
    <w:rsid w:val="00207B54"/>
    <w:rsid w:val="002114B3"/>
    <w:rsid w:val="0021153F"/>
    <w:rsid w:val="0021233A"/>
    <w:rsid w:val="00213743"/>
    <w:rsid w:val="002162E8"/>
    <w:rsid w:val="00221D8E"/>
    <w:rsid w:val="002225F7"/>
    <w:rsid w:val="002230CD"/>
    <w:rsid w:val="00223BEA"/>
    <w:rsid w:val="00225283"/>
    <w:rsid w:val="0022570E"/>
    <w:rsid w:val="0022583C"/>
    <w:rsid w:val="00226B62"/>
    <w:rsid w:val="00226BD7"/>
    <w:rsid w:val="00226E66"/>
    <w:rsid w:val="00232EB2"/>
    <w:rsid w:val="00232F7A"/>
    <w:rsid w:val="00233BDD"/>
    <w:rsid w:val="00234296"/>
    <w:rsid w:val="0023587C"/>
    <w:rsid w:val="00236B95"/>
    <w:rsid w:val="00237045"/>
    <w:rsid w:val="0023743E"/>
    <w:rsid w:val="00237FEC"/>
    <w:rsid w:val="002400F1"/>
    <w:rsid w:val="0024109F"/>
    <w:rsid w:val="00241D1B"/>
    <w:rsid w:val="00241D2F"/>
    <w:rsid w:val="002429BA"/>
    <w:rsid w:val="00242C9F"/>
    <w:rsid w:val="00243BFF"/>
    <w:rsid w:val="0024492D"/>
    <w:rsid w:val="00245846"/>
    <w:rsid w:val="002461E8"/>
    <w:rsid w:val="002469E7"/>
    <w:rsid w:val="002504F6"/>
    <w:rsid w:val="00250B0A"/>
    <w:rsid w:val="00251A90"/>
    <w:rsid w:val="00252E0C"/>
    <w:rsid w:val="00253FF9"/>
    <w:rsid w:val="0025469A"/>
    <w:rsid w:val="00254986"/>
    <w:rsid w:val="00255272"/>
    <w:rsid w:val="00257B8E"/>
    <w:rsid w:val="00261984"/>
    <w:rsid w:val="00263711"/>
    <w:rsid w:val="002637CF"/>
    <w:rsid w:val="0026396A"/>
    <w:rsid w:val="00263A4C"/>
    <w:rsid w:val="00265863"/>
    <w:rsid w:val="00265FC1"/>
    <w:rsid w:val="00266A80"/>
    <w:rsid w:val="00267A5B"/>
    <w:rsid w:val="002716D5"/>
    <w:rsid w:val="002719D7"/>
    <w:rsid w:val="00272694"/>
    <w:rsid w:val="00273034"/>
    <w:rsid w:val="00275182"/>
    <w:rsid w:val="002753D2"/>
    <w:rsid w:val="002773F7"/>
    <w:rsid w:val="00277505"/>
    <w:rsid w:val="0028089F"/>
    <w:rsid w:val="00280AB0"/>
    <w:rsid w:val="00280B69"/>
    <w:rsid w:val="00280EF5"/>
    <w:rsid w:val="0028265A"/>
    <w:rsid w:val="002826EE"/>
    <w:rsid w:val="00282E5F"/>
    <w:rsid w:val="00283265"/>
    <w:rsid w:val="002834A2"/>
    <w:rsid w:val="00283DEE"/>
    <w:rsid w:val="00283EC7"/>
    <w:rsid w:val="00284644"/>
    <w:rsid w:val="002858E3"/>
    <w:rsid w:val="002858EB"/>
    <w:rsid w:val="0028617C"/>
    <w:rsid w:val="0028660C"/>
    <w:rsid w:val="00290384"/>
    <w:rsid w:val="002910D9"/>
    <w:rsid w:val="00291165"/>
    <w:rsid w:val="00292ABB"/>
    <w:rsid w:val="00297748"/>
    <w:rsid w:val="002A05F7"/>
    <w:rsid w:val="002A0A38"/>
    <w:rsid w:val="002A207F"/>
    <w:rsid w:val="002A2519"/>
    <w:rsid w:val="002A34FD"/>
    <w:rsid w:val="002A3C98"/>
    <w:rsid w:val="002A3CDF"/>
    <w:rsid w:val="002A4028"/>
    <w:rsid w:val="002A408A"/>
    <w:rsid w:val="002A42C7"/>
    <w:rsid w:val="002A4920"/>
    <w:rsid w:val="002A4D23"/>
    <w:rsid w:val="002A5190"/>
    <w:rsid w:val="002A5932"/>
    <w:rsid w:val="002A5D72"/>
    <w:rsid w:val="002A639D"/>
    <w:rsid w:val="002A66CA"/>
    <w:rsid w:val="002A6804"/>
    <w:rsid w:val="002A6B5B"/>
    <w:rsid w:val="002A76A9"/>
    <w:rsid w:val="002A7D85"/>
    <w:rsid w:val="002B0522"/>
    <w:rsid w:val="002B0B19"/>
    <w:rsid w:val="002B3C19"/>
    <w:rsid w:val="002B3D20"/>
    <w:rsid w:val="002B411E"/>
    <w:rsid w:val="002B53B3"/>
    <w:rsid w:val="002B63FE"/>
    <w:rsid w:val="002C0DC5"/>
    <w:rsid w:val="002C108E"/>
    <w:rsid w:val="002C1FE6"/>
    <w:rsid w:val="002C2A02"/>
    <w:rsid w:val="002C3489"/>
    <w:rsid w:val="002C3F3F"/>
    <w:rsid w:val="002C43A4"/>
    <w:rsid w:val="002C4590"/>
    <w:rsid w:val="002C571A"/>
    <w:rsid w:val="002D0856"/>
    <w:rsid w:val="002D1CAE"/>
    <w:rsid w:val="002D1E2A"/>
    <w:rsid w:val="002D2CB2"/>
    <w:rsid w:val="002D431E"/>
    <w:rsid w:val="002D5039"/>
    <w:rsid w:val="002D53AC"/>
    <w:rsid w:val="002D57DF"/>
    <w:rsid w:val="002D5938"/>
    <w:rsid w:val="002D635E"/>
    <w:rsid w:val="002D7CE4"/>
    <w:rsid w:val="002E0478"/>
    <w:rsid w:val="002E0663"/>
    <w:rsid w:val="002E107A"/>
    <w:rsid w:val="002E19F3"/>
    <w:rsid w:val="002E2128"/>
    <w:rsid w:val="002E29A6"/>
    <w:rsid w:val="002E4158"/>
    <w:rsid w:val="002E5112"/>
    <w:rsid w:val="002E6166"/>
    <w:rsid w:val="002E6174"/>
    <w:rsid w:val="002E6462"/>
    <w:rsid w:val="002F06B7"/>
    <w:rsid w:val="002F3416"/>
    <w:rsid w:val="002F489A"/>
    <w:rsid w:val="002F4D0F"/>
    <w:rsid w:val="002F4E84"/>
    <w:rsid w:val="002F5FE5"/>
    <w:rsid w:val="002F7731"/>
    <w:rsid w:val="002F7E6C"/>
    <w:rsid w:val="003007CA"/>
    <w:rsid w:val="00300A45"/>
    <w:rsid w:val="003010DA"/>
    <w:rsid w:val="00301193"/>
    <w:rsid w:val="003013A3"/>
    <w:rsid w:val="003016D1"/>
    <w:rsid w:val="00301ACA"/>
    <w:rsid w:val="00304173"/>
    <w:rsid w:val="0030424F"/>
    <w:rsid w:val="00304676"/>
    <w:rsid w:val="003052E5"/>
    <w:rsid w:val="00305BCA"/>
    <w:rsid w:val="0030604F"/>
    <w:rsid w:val="00306AE8"/>
    <w:rsid w:val="00306E71"/>
    <w:rsid w:val="00307066"/>
    <w:rsid w:val="0030762B"/>
    <w:rsid w:val="00310E61"/>
    <w:rsid w:val="003123A1"/>
    <w:rsid w:val="00312579"/>
    <w:rsid w:val="00312C53"/>
    <w:rsid w:val="0031309E"/>
    <w:rsid w:val="00315260"/>
    <w:rsid w:val="0031597A"/>
    <w:rsid w:val="0031655D"/>
    <w:rsid w:val="00316838"/>
    <w:rsid w:val="0031706C"/>
    <w:rsid w:val="00317140"/>
    <w:rsid w:val="003179E2"/>
    <w:rsid w:val="00320200"/>
    <w:rsid w:val="00321F3F"/>
    <w:rsid w:val="00322C9E"/>
    <w:rsid w:val="0032386C"/>
    <w:rsid w:val="00323D55"/>
    <w:rsid w:val="00323E8D"/>
    <w:rsid w:val="003256F4"/>
    <w:rsid w:val="0032642C"/>
    <w:rsid w:val="00327ACC"/>
    <w:rsid w:val="00330F4B"/>
    <w:rsid w:val="0033116F"/>
    <w:rsid w:val="00331514"/>
    <w:rsid w:val="00331E89"/>
    <w:rsid w:val="00331F96"/>
    <w:rsid w:val="00332068"/>
    <w:rsid w:val="0033217D"/>
    <w:rsid w:val="00333109"/>
    <w:rsid w:val="0033339F"/>
    <w:rsid w:val="00334B98"/>
    <w:rsid w:val="003409D8"/>
    <w:rsid w:val="00343C92"/>
    <w:rsid w:val="003447C3"/>
    <w:rsid w:val="00346D29"/>
    <w:rsid w:val="0035078F"/>
    <w:rsid w:val="003532E8"/>
    <w:rsid w:val="00354DCB"/>
    <w:rsid w:val="0035554A"/>
    <w:rsid w:val="00355B6A"/>
    <w:rsid w:val="00355D2E"/>
    <w:rsid w:val="00355EAE"/>
    <w:rsid w:val="003561BA"/>
    <w:rsid w:val="00360079"/>
    <w:rsid w:val="00361173"/>
    <w:rsid w:val="00361D69"/>
    <w:rsid w:val="00363992"/>
    <w:rsid w:val="0036497C"/>
    <w:rsid w:val="00366E97"/>
    <w:rsid w:val="00370EF7"/>
    <w:rsid w:val="00371549"/>
    <w:rsid w:val="0037169A"/>
    <w:rsid w:val="0037248B"/>
    <w:rsid w:val="00372C87"/>
    <w:rsid w:val="00372F1B"/>
    <w:rsid w:val="00373521"/>
    <w:rsid w:val="00373686"/>
    <w:rsid w:val="0037435D"/>
    <w:rsid w:val="00374379"/>
    <w:rsid w:val="00375B66"/>
    <w:rsid w:val="003761AD"/>
    <w:rsid w:val="003766D9"/>
    <w:rsid w:val="00380831"/>
    <w:rsid w:val="00381ABC"/>
    <w:rsid w:val="0038318C"/>
    <w:rsid w:val="003835FB"/>
    <w:rsid w:val="00383C4F"/>
    <w:rsid w:val="00383CA1"/>
    <w:rsid w:val="003842FC"/>
    <w:rsid w:val="00385CB9"/>
    <w:rsid w:val="00386E7F"/>
    <w:rsid w:val="003874D5"/>
    <w:rsid w:val="00391AB7"/>
    <w:rsid w:val="00392202"/>
    <w:rsid w:val="00392642"/>
    <w:rsid w:val="00394B00"/>
    <w:rsid w:val="00395731"/>
    <w:rsid w:val="00395935"/>
    <w:rsid w:val="003959E9"/>
    <w:rsid w:val="00395BAB"/>
    <w:rsid w:val="003972A0"/>
    <w:rsid w:val="003A1004"/>
    <w:rsid w:val="003A1261"/>
    <w:rsid w:val="003A21D3"/>
    <w:rsid w:val="003A2453"/>
    <w:rsid w:val="003A2774"/>
    <w:rsid w:val="003A27DF"/>
    <w:rsid w:val="003A38E7"/>
    <w:rsid w:val="003A3FBC"/>
    <w:rsid w:val="003A56FE"/>
    <w:rsid w:val="003A6A71"/>
    <w:rsid w:val="003A6FE5"/>
    <w:rsid w:val="003A7EB4"/>
    <w:rsid w:val="003A7FBA"/>
    <w:rsid w:val="003B076A"/>
    <w:rsid w:val="003B1F2E"/>
    <w:rsid w:val="003B2052"/>
    <w:rsid w:val="003B2627"/>
    <w:rsid w:val="003B2F52"/>
    <w:rsid w:val="003B5804"/>
    <w:rsid w:val="003B6A53"/>
    <w:rsid w:val="003B71A1"/>
    <w:rsid w:val="003B79E2"/>
    <w:rsid w:val="003C238B"/>
    <w:rsid w:val="003C2C17"/>
    <w:rsid w:val="003C2D7F"/>
    <w:rsid w:val="003C5502"/>
    <w:rsid w:val="003C55B9"/>
    <w:rsid w:val="003C6D1C"/>
    <w:rsid w:val="003C7267"/>
    <w:rsid w:val="003C7AD1"/>
    <w:rsid w:val="003C7D93"/>
    <w:rsid w:val="003D064D"/>
    <w:rsid w:val="003D06E8"/>
    <w:rsid w:val="003D108A"/>
    <w:rsid w:val="003D13A9"/>
    <w:rsid w:val="003D248D"/>
    <w:rsid w:val="003D4512"/>
    <w:rsid w:val="003D5036"/>
    <w:rsid w:val="003D66F8"/>
    <w:rsid w:val="003D6DDC"/>
    <w:rsid w:val="003D6F3A"/>
    <w:rsid w:val="003E1432"/>
    <w:rsid w:val="003E4135"/>
    <w:rsid w:val="003E4DE4"/>
    <w:rsid w:val="003E6485"/>
    <w:rsid w:val="003F0AED"/>
    <w:rsid w:val="003F2826"/>
    <w:rsid w:val="003F5424"/>
    <w:rsid w:val="003F6FF0"/>
    <w:rsid w:val="004014C0"/>
    <w:rsid w:val="00401956"/>
    <w:rsid w:val="00401F18"/>
    <w:rsid w:val="004023AA"/>
    <w:rsid w:val="00403AE1"/>
    <w:rsid w:val="004042B3"/>
    <w:rsid w:val="004047AE"/>
    <w:rsid w:val="0040486A"/>
    <w:rsid w:val="004058E1"/>
    <w:rsid w:val="0040691B"/>
    <w:rsid w:val="00406F3E"/>
    <w:rsid w:val="004107BA"/>
    <w:rsid w:val="00410FC4"/>
    <w:rsid w:val="004115EA"/>
    <w:rsid w:val="00411E68"/>
    <w:rsid w:val="004122D8"/>
    <w:rsid w:val="00412459"/>
    <w:rsid w:val="00413404"/>
    <w:rsid w:val="0041447B"/>
    <w:rsid w:val="00416174"/>
    <w:rsid w:val="00416C4A"/>
    <w:rsid w:val="004202E0"/>
    <w:rsid w:val="00421919"/>
    <w:rsid w:val="00421AF9"/>
    <w:rsid w:val="004222E6"/>
    <w:rsid w:val="00422A1D"/>
    <w:rsid w:val="0042426F"/>
    <w:rsid w:val="00425415"/>
    <w:rsid w:val="004276C3"/>
    <w:rsid w:val="00427A10"/>
    <w:rsid w:val="004314B8"/>
    <w:rsid w:val="0043216B"/>
    <w:rsid w:val="004323FE"/>
    <w:rsid w:val="00433F26"/>
    <w:rsid w:val="00434914"/>
    <w:rsid w:val="00434F91"/>
    <w:rsid w:val="00434FA7"/>
    <w:rsid w:val="0043629C"/>
    <w:rsid w:val="00436944"/>
    <w:rsid w:val="00436A5E"/>
    <w:rsid w:val="00436BA7"/>
    <w:rsid w:val="004377C1"/>
    <w:rsid w:val="0044429A"/>
    <w:rsid w:val="004453B9"/>
    <w:rsid w:val="00445731"/>
    <w:rsid w:val="004464C7"/>
    <w:rsid w:val="0044753B"/>
    <w:rsid w:val="004501F1"/>
    <w:rsid w:val="0045053D"/>
    <w:rsid w:val="0045097F"/>
    <w:rsid w:val="004511DF"/>
    <w:rsid w:val="00451C54"/>
    <w:rsid w:val="00454577"/>
    <w:rsid w:val="0045730B"/>
    <w:rsid w:val="00462473"/>
    <w:rsid w:val="004624AB"/>
    <w:rsid w:val="004627AB"/>
    <w:rsid w:val="0046462A"/>
    <w:rsid w:val="004648BB"/>
    <w:rsid w:val="004664F5"/>
    <w:rsid w:val="0046679D"/>
    <w:rsid w:val="00467221"/>
    <w:rsid w:val="004700BE"/>
    <w:rsid w:val="00470259"/>
    <w:rsid w:val="004709B6"/>
    <w:rsid w:val="00470C9E"/>
    <w:rsid w:val="004715B4"/>
    <w:rsid w:val="0047167C"/>
    <w:rsid w:val="00471C99"/>
    <w:rsid w:val="004732A1"/>
    <w:rsid w:val="00473F5D"/>
    <w:rsid w:val="00474C89"/>
    <w:rsid w:val="00475EA4"/>
    <w:rsid w:val="00476D15"/>
    <w:rsid w:val="00480075"/>
    <w:rsid w:val="0048090E"/>
    <w:rsid w:val="00480CAA"/>
    <w:rsid w:val="00481346"/>
    <w:rsid w:val="00482266"/>
    <w:rsid w:val="00482A2C"/>
    <w:rsid w:val="00486F86"/>
    <w:rsid w:val="00487E4C"/>
    <w:rsid w:val="00490836"/>
    <w:rsid w:val="004911CD"/>
    <w:rsid w:val="00491CBE"/>
    <w:rsid w:val="00492D7E"/>
    <w:rsid w:val="00494B5C"/>
    <w:rsid w:val="00495A72"/>
    <w:rsid w:val="004966A9"/>
    <w:rsid w:val="00496813"/>
    <w:rsid w:val="004A0465"/>
    <w:rsid w:val="004A08BE"/>
    <w:rsid w:val="004A119D"/>
    <w:rsid w:val="004A1FE1"/>
    <w:rsid w:val="004A239F"/>
    <w:rsid w:val="004A3668"/>
    <w:rsid w:val="004A3CBE"/>
    <w:rsid w:val="004A4E8D"/>
    <w:rsid w:val="004A50EA"/>
    <w:rsid w:val="004A59F2"/>
    <w:rsid w:val="004A6175"/>
    <w:rsid w:val="004A6B20"/>
    <w:rsid w:val="004B0EFA"/>
    <w:rsid w:val="004B3079"/>
    <w:rsid w:val="004B3A09"/>
    <w:rsid w:val="004B3E20"/>
    <w:rsid w:val="004B4735"/>
    <w:rsid w:val="004B4DED"/>
    <w:rsid w:val="004B4EA2"/>
    <w:rsid w:val="004B5AC8"/>
    <w:rsid w:val="004C07D7"/>
    <w:rsid w:val="004C15DA"/>
    <w:rsid w:val="004C2063"/>
    <w:rsid w:val="004C3FCE"/>
    <w:rsid w:val="004C5B4D"/>
    <w:rsid w:val="004C5C8E"/>
    <w:rsid w:val="004C713D"/>
    <w:rsid w:val="004D0680"/>
    <w:rsid w:val="004D19B2"/>
    <w:rsid w:val="004D2A2F"/>
    <w:rsid w:val="004D2A9D"/>
    <w:rsid w:val="004D4DA8"/>
    <w:rsid w:val="004D5198"/>
    <w:rsid w:val="004D6546"/>
    <w:rsid w:val="004D7405"/>
    <w:rsid w:val="004E17D0"/>
    <w:rsid w:val="004E1C81"/>
    <w:rsid w:val="004E1E16"/>
    <w:rsid w:val="004E2478"/>
    <w:rsid w:val="004E2D00"/>
    <w:rsid w:val="004E2ED4"/>
    <w:rsid w:val="004E2F64"/>
    <w:rsid w:val="004E62EC"/>
    <w:rsid w:val="004E644D"/>
    <w:rsid w:val="004E72D7"/>
    <w:rsid w:val="004F14DC"/>
    <w:rsid w:val="004F5DBB"/>
    <w:rsid w:val="004F6F54"/>
    <w:rsid w:val="00501210"/>
    <w:rsid w:val="0050171B"/>
    <w:rsid w:val="005036B3"/>
    <w:rsid w:val="00504289"/>
    <w:rsid w:val="00504915"/>
    <w:rsid w:val="00504DF5"/>
    <w:rsid w:val="0050559F"/>
    <w:rsid w:val="005056D2"/>
    <w:rsid w:val="0051087B"/>
    <w:rsid w:val="00510B53"/>
    <w:rsid w:val="00511066"/>
    <w:rsid w:val="00511572"/>
    <w:rsid w:val="0051189A"/>
    <w:rsid w:val="0051335A"/>
    <w:rsid w:val="005156C4"/>
    <w:rsid w:val="0051647B"/>
    <w:rsid w:val="00516FD3"/>
    <w:rsid w:val="00520A48"/>
    <w:rsid w:val="0052144F"/>
    <w:rsid w:val="005215E9"/>
    <w:rsid w:val="005216D7"/>
    <w:rsid w:val="00522CC8"/>
    <w:rsid w:val="005237E5"/>
    <w:rsid w:val="0053129C"/>
    <w:rsid w:val="005318BA"/>
    <w:rsid w:val="00531A5D"/>
    <w:rsid w:val="00531DB7"/>
    <w:rsid w:val="0053301E"/>
    <w:rsid w:val="00533288"/>
    <w:rsid w:val="00533AEE"/>
    <w:rsid w:val="00533E9E"/>
    <w:rsid w:val="00534071"/>
    <w:rsid w:val="0053699D"/>
    <w:rsid w:val="00536ECC"/>
    <w:rsid w:val="00540188"/>
    <w:rsid w:val="00541089"/>
    <w:rsid w:val="005410D5"/>
    <w:rsid w:val="00541BFF"/>
    <w:rsid w:val="00542329"/>
    <w:rsid w:val="005428CB"/>
    <w:rsid w:val="00542CC7"/>
    <w:rsid w:val="005430A8"/>
    <w:rsid w:val="00544FAC"/>
    <w:rsid w:val="00545A3C"/>
    <w:rsid w:val="00546557"/>
    <w:rsid w:val="00547036"/>
    <w:rsid w:val="00547E02"/>
    <w:rsid w:val="00550A2D"/>
    <w:rsid w:val="00550A55"/>
    <w:rsid w:val="00550BE7"/>
    <w:rsid w:val="005514AE"/>
    <w:rsid w:val="005515C9"/>
    <w:rsid w:val="00552DE9"/>
    <w:rsid w:val="0055432F"/>
    <w:rsid w:val="00554707"/>
    <w:rsid w:val="00555180"/>
    <w:rsid w:val="005551A3"/>
    <w:rsid w:val="005553D2"/>
    <w:rsid w:val="00556528"/>
    <w:rsid w:val="00556913"/>
    <w:rsid w:val="00556977"/>
    <w:rsid w:val="00557939"/>
    <w:rsid w:val="00557C37"/>
    <w:rsid w:val="00560DCE"/>
    <w:rsid w:val="00561D01"/>
    <w:rsid w:val="005630DC"/>
    <w:rsid w:val="00564809"/>
    <w:rsid w:val="005658B1"/>
    <w:rsid w:val="00566318"/>
    <w:rsid w:val="005664A9"/>
    <w:rsid w:val="00566B6A"/>
    <w:rsid w:val="00567071"/>
    <w:rsid w:val="0057227B"/>
    <w:rsid w:val="00573BF3"/>
    <w:rsid w:val="00574E97"/>
    <w:rsid w:val="0057758F"/>
    <w:rsid w:val="005778DD"/>
    <w:rsid w:val="00582E9A"/>
    <w:rsid w:val="005838AE"/>
    <w:rsid w:val="005843F1"/>
    <w:rsid w:val="00585E65"/>
    <w:rsid w:val="00586826"/>
    <w:rsid w:val="00586ED3"/>
    <w:rsid w:val="005870B4"/>
    <w:rsid w:val="00587916"/>
    <w:rsid w:val="00587F55"/>
    <w:rsid w:val="00590288"/>
    <w:rsid w:val="005903D5"/>
    <w:rsid w:val="005913A6"/>
    <w:rsid w:val="005928AB"/>
    <w:rsid w:val="00592D9C"/>
    <w:rsid w:val="005930D1"/>
    <w:rsid w:val="005932DB"/>
    <w:rsid w:val="00594E01"/>
    <w:rsid w:val="005955A1"/>
    <w:rsid w:val="00595672"/>
    <w:rsid w:val="005966D9"/>
    <w:rsid w:val="00596DD7"/>
    <w:rsid w:val="00597E64"/>
    <w:rsid w:val="005A1338"/>
    <w:rsid w:val="005A1513"/>
    <w:rsid w:val="005A1D4D"/>
    <w:rsid w:val="005A219C"/>
    <w:rsid w:val="005A6515"/>
    <w:rsid w:val="005A66F7"/>
    <w:rsid w:val="005A671F"/>
    <w:rsid w:val="005A6D39"/>
    <w:rsid w:val="005A6FC1"/>
    <w:rsid w:val="005B1C6B"/>
    <w:rsid w:val="005B1C7C"/>
    <w:rsid w:val="005B1DEF"/>
    <w:rsid w:val="005B2C40"/>
    <w:rsid w:val="005B37A4"/>
    <w:rsid w:val="005B3993"/>
    <w:rsid w:val="005B3EA1"/>
    <w:rsid w:val="005B402D"/>
    <w:rsid w:val="005B580F"/>
    <w:rsid w:val="005B5CBC"/>
    <w:rsid w:val="005B633C"/>
    <w:rsid w:val="005B64E8"/>
    <w:rsid w:val="005B6E54"/>
    <w:rsid w:val="005C2B20"/>
    <w:rsid w:val="005C2E1C"/>
    <w:rsid w:val="005C31C6"/>
    <w:rsid w:val="005C368C"/>
    <w:rsid w:val="005C37F4"/>
    <w:rsid w:val="005C4F0E"/>
    <w:rsid w:val="005C5159"/>
    <w:rsid w:val="005C56B9"/>
    <w:rsid w:val="005C69B8"/>
    <w:rsid w:val="005C69E4"/>
    <w:rsid w:val="005C745E"/>
    <w:rsid w:val="005C7BF7"/>
    <w:rsid w:val="005D0322"/>
    <w:rsid w:val="005D22FF"/>
    <w:rsid w:val="005D2385"/>
    <w:rsid w:val="005D3859"/>
    <w:rsid w:val="005D5E19"/>
    <w:rsid w:val="005D7AF0"/>
    <w:rsid w:val="005D7ED1"/>
    <w:rsid w:val="005E05CB"/>
    <w:rsid w:val="005E1417"/>
    <w:rsid w:val="005E1551"/>
    <w:rsid w:val="005E36AD"/>
    <w:rsid w:val="005E4C62"/>
    <w:rsid w:val="005E4CC1"/>
    <w:rsid w:val="005E5366"/>
    <w:rsid w:val="005E598D"/>
    <w:rsid w:val="005E5B4B"/>
    <w:rsid w:val="005E66B0"/>
    <w:rsid w:val="005E68A7"/>
    <w:rsid w:val="005E7B7E"/>
    <w:rsid w:val="005E7C7D"/>
    <w:rsid w:val="005F0800"/>
    <w:rsid w:val="005F0F7C"/>
    <w:rsid w:val="005F27DC"/>
    <w:rsid w:val="005F2C79"/>
    <w:rsid w:val="005F40FA"/>
    <w:rsid w:val="005F507F"/>
    <w:rsid w:val="005F577D"/>
    <w:rsid w:val="005F5B21"/>
    <w:rsid w:val="005F74E8"/>
    <w:rsid w:val="00600224"/>
    <w:rsid w:val="006008AF"/>
    <w:rsid w:val="00601463"/>
    <w:rsid w:val="006036B0"/>
    <w:rsid w:val="006037A4"/>
    <w:rsid w:val="00604377"/>
    <w:rsid w:val="00604525"/>
    <w:rsid w:val="0060487C"/>
    <w:rsid w:val="0060597A"/>
    <w:rsid w:val="00605EFD"/>
    <w:rsid w:val="00607FD6"/>
    <w:rsid w:val="00611297"/>
    <w:rsid w:val="0061190E"/>
    <w:rsid w:val="00611CC2"/>
    <w:rsid w:val="00614084"/>
    <w:rsid w:val="006152D0"/>
    <w:rsid w:val="00615DBF"/>
    <w:rsid w:val="00615E1C"/>
    <w:rsid w:val="00616E13"/>
    <w:rsid w:val="00617555"/>
    <w:rsid w:val="0061756B"/>
    <w:rsid w:val="00621E37"/>
    <w:rsid w:val="0062236B"/>
    <w:rsid w:val="00624376"/>
    <w:rsid w:val="006247AD"/>
    <w:rsid w:val="00624C02"/>
    <w:rsid w:val="00625F37"/>
    <w:rsid w:val="00626550"/>
    <w:rsid w:val="006300DC"/>
    <w:rsid w:val="0063114F"/>
    <w:rsid w:val="00632F01"/>
    <w:rsid w:val="006330EC"/>
    <w:rsid w:val="00633B85"/>
    <w:rsid w:val="00634F32"/>
    <w:rsid w:val="0063571B"/>
    <w:rsid w:val="0064128C"/>
    <w:rsid w:val="006414C0"/>
    <w:rsid w:val="006425FC"/>
    <w:rsid w:val="006438AB"/>
    <w:rsid w:val="00643AFF"/>
    <w:rsid w:val="0064496B"/>
    <w:rsid w:val="00644A40"/>
    <w:rsid w:val="00645D36"/>
    <w:rsid w:val="0064675A"/>
    <w:rsid w:val="006467A4"/>
    <w:rsid w:val="006468F3"/>
    <w:rsid w:val="00646DF7"/>
    <w:rsid w:val="00647DA2"/>
    <w:rsid w:val="006503DE"/>
    <w:rsid w:val="006516A0"/>
    <w:rsid w:val="00651B53"/>
    <w:rsid w:val="00651FBD"/>
    <w:rsid w:val="00652B02"/>
    <w:rsid w:val="00653F70"/>
    <w:rsid w:val="006541C2"/>
    <w:rsid w:val="00654389"/>
    <w:rsid w:val="0065546C"/>
    <w:rsid w:val="00655D2F"/>
    <w:rsid w:val="006561D3"/>
    <w:rsid w:val="006571EF"/>
    <w:rsid w:val="00657304"/>
    <w:rsid w:val="0065741B"/>
    <w:rsid w:val="00660470"/>
    <w:rsid w:val="006606AE"/>
    <w:rsid w:val="00660EA8"/>
    <w:rsid w:val="00663806"/>
    <w:rsid w:val="00665135"/>
    <w:rsid w:val="00665EF3"/>
    <w:rsid w:val="00666261"/>
    <w:rsid w:val="00666577"/>
    <w:rsid w:val="0066718A"/>
    <w:rsid w:val="006676D1"/>
    <w:rsid w:val="00667B2A"/>
    <w:rsid w:val="00670065"/>
    <w:rsid w:val="006703CA"/>
    <w:rsid w:val="00670D6D"/>
    <w:rsid w:val="006719F1"/>
    <w:rsid w:val="006726B4"/>
    <w:rsid w:val="00672F90"/>
    <w:rsid w:val="006730E6"/>
    <w:rsid w:val="0067388E"/>
    <w:rsid w:val="00673DCF"/>
    <w:rsid w:val="00674400"/>
    <w:rsid w:val="0067490E"/>
    <w:rsid w:val="00674A53"/>
    <w:rsid w:val="006765C4"/>
    <w:rsid w:val="00677D0B"/>
    <w:rsid w:val="0068032A"/>
    <w:rsid w:val="00680637"/>
    <w:rsid w:val="006820E8"/>
    <w:rsid w:val="00682147"/>
    <w:rsid w:val="00683998"/>
    <w:rsid w:val="00684838"/>
    <w:rsid w:val="006853E0"/>
    <w:rsid w:val="00685452"/>
    <w:rsid w:val="00685DA4"/>
    <w:rsid w:val="00686C55"/>
    <w:rsid w:val="00687856"/>
    <w:rsid w:val="00687ED1"/>
    <w:rsid w:val="006901A1"/>
    <w:rsid w:val="00690362"/>
    <w:rsid w:val="00690A89"/>
    <w:rsid w:val="00690DBB"/>
    <w:rsid w:val="006910DD"/>
    <w:rsid w:val="0069116A"/>
    <w:rsid w:val="00691967"/>
    <w:rsid w:val="0069264B"/>
    <w:rsid w:val="0069288C"/>
    <w:rsid w:val="006929EC"/>
    <w:rsid w:val="00692CD4"/>
    <w:rsid w:val="0069535D"/>
    <w:rsid w:val="0069708A"/>
    <w:rsid w:val="006975FC"/>
    <w:rsid w:val="00697788"/>
    <w:rsid w:val="006A1166"/>
    <w:rsid w:val="006A1447"/>
    <w:rsid w:val="006A2348"/>
    <w:rsid w:val="006A284B"/>
    <w:rsid w:val="006A3753"/>
    <w:rsid w:val="006A5BCC"/>
    <w:rsid w:val="006A63F6"/>
    <w:rsid w:val="006A6664"/>
    <w:rsid w:val="006A7CC5"/>
    <w:rsid w:val="006B046E"/>
    <w:rsid w:val="006B089B"/>
    <w:rsid w:val="006B0A31"/>
    <w:rsid w:val="006B0B4F"/>
    <w:rsid w:val="006B31EF"/>
    <w:rsid w:val="006B321A"/>
    <w:rsid w:val="006B37A2"/>
    <w:rsid w:val="006B5510"/>
    <w:rsid w:val="006B5D34"/>
    <w:rsid w:val="006B7D38"/>
    <w:rsid w:val="006C1CE7"/>
    <w:rsid w:val="006C22BB"/>
    <w:rsid w:val="006C3E9F"/>
    <w:rsid w:val="006C43F2"/>
    <w:rsid w:val="006C496D"/>
    <w:rsid w:val="006C6006"/>
    <w:rsid w:val="006C6E86"/>
    <w:rsid w:val="006C7C18"/>
    <w:rsid w:val="006D0CA5"/>
    <w:rsid w:val="006D0E76"/>
    <w:rsid w:val="006D1A71"/>
    <w:rsid w:val="006D232A"/>
    <w:rsid w:val="006D2ADE"/>
    <w:rsid w:val="006D30CB"/>
    <w:rsid w:val="006D3BFF"/>
    <w:rsid w:val="006D53E3"/>
    <w:rsid w:val="006D6472"/>
    <w:rsid w:val="006D6858"/>
    <w:rsid w:val="006D7067"/>
    <w:rsid w:val="006D7EFB"/>
    <w:rsid w:val="006E0F6E"/>
    <w:rsid w:val="006E273C"/>
    <w:rsid w:val="006E36D5"/>
    <w:rsid w:val="006E4290"/>
    <w:rsid w:val="006E4F94"/>
    <w:rsid w:val="006F0F5A"/>
    <w:rsid w:val="006F102F"/>
    <w:rsid w:val="006F2AE1"/>
    <w:rsid w:val="006F3154"/>
    <w:rsid w:val="006F3EF8"/>
    <w:rsid w:val="006F4863"/>
    <w:rsid w:val="006F7367"/>
    <w:rsid w:val="00700478"/>
    <w:rsid w:val="0070116E"/>
    <w:rsid w:val="0070136B"/>
    <w:rsid w:val="00702A5E"/>
    <w:rsid w:val="00702B01"/>
    <w:rsid w:val="00702C9B"/>
    <w:rsid w:val="00703882"/>
    <w:rsid w:val="007041CA"/>
    <w:rsid w:val="007048AA"/>
    <w:rsid w:val="00705BA7"/>
    <w:rsid w:val="00710064"/>
    <w:rsid w:val="00711AC7"/>
    <w:rsid w:val="00711DE3"/>
    <w:rsid w:val="00712910"/>
    <w:rsid w:val="00713B69"/>
    <w:rsid w:val="007146A7"/>
    <w:rsid w:val="00715F1B"/>
    <w:rsid w:val="00716A1F"/>
    <w:rsid w:val="00716BF7"/>
    <w:rsid w:val="007202CB"/>
    <w:rsid w:val="007203B1"/>
    <w:rsid w:val="00720741"/>
    <w:rsid w:val="00720A49"/>
    <w:rsid w:val="00722545"/>
    <w:rsid w:val="00722710"/>
    <w:rsid w:val="007227E1"/>
    <w:rsid w:val="00723358"/>
    <w:rsid w:val="007263AB"/>
    <w:rsid w:val="007270C0"/>
    <w:rsid w:val="007274FE"/>
    <w:rsid w:val="00727D0F"/>
    <w:rsid w:val="00727D3F"/>
    <w:rsid w:val="00730022"/>
    <w:rsid w:val="00730A73"/>
    <w:rsid w:val="00730EF6"/>
    <w:rsid w:val="0073109C"/>
    <w:rsid w:val="0073143F"/>
    <w:rsid w:val="00731E4D"/>
    <w:rsid w:val="0073291C"/>
    <w:rsid w:val="0073298C"/>
    <w:rsid w:val="00732B83"/>
    <w:rsid w:val="00733126"/>
    <w:rsid w:val="00733514"/>
    <w:rsid w:val="00733F6F"/>
    <w:rsid w:val="00735000"/>
    <w:rsid w:val="00735C41"/>
    <w:rsid w:val="007370F8"/>
    <w:rsid w:val="0073743F"/>
    <w:rsid w:val="0073777E"/>
    <w:rsid w:val="0073778F"/>
    <w:rsid w:val="00737B80"/>
    <w:rsid w:val="007411EF"/>
    <w:rsid w:val="0074214D"/>
    <w:rsid w:val="007423DE"/>
    <w:rsid w:val="00742637"/>
    <w:rsid w:val="00743C63"/>
    <w:rsid w:val="00747111"/>
    <w:rsid w:val="0075009E"/>
    <w:rsid w:val="007509E7"/>
    <w:rsid w:val="00750B49"/>
    <w:rsid w:val="007512C3"/>
    <w:rsid w:val="00754141"/>
    <w:rsid w:val="00754826"/>
    <w:rsid w:val="0075510A"/>
    <w:rsid w:val="00756AF2"/>
    <w:rsid w:val="00756BAD"/>
    <w:rsid w:val="00760A97"/>
    <w:rsid w:val="00760E0A"/>
    <w:rsid w:val="00762475"/>
    <w:rsid w:val="00762771"/>
    <w:rsid w:val="00763712"/>
    <w:rsid w:val="00764362"/>
    <w:rsid w:val="007645E7"/>
    <w:rsid w:val="00765844"/>
    <w:rsid w:val="00765968"/>
    <w:rsid w:val="00765CB0"/>
    <w:rsid w:val="00770620"/>
    <w:rsid w:val="00770C8F"/>
    <w:rsid w:val="007712A1"/>
    <w:rsid w:val="00772C87"/>
    <w:rsid w:val="00773568"/>
    <w:rsid w:val="0077421B"/>
    <w:rsid w:val="007754BE"/>
    <w:rsid w:val="00775B42"/>
    <w:rsid w:val="007764BC"/>
    <w:rsid w:val="007801E4"/>
    <w:rsid w:val="00780D80"/>
    <w:rsid w:val="00782BD8"/>
    <w:rsid w:val="00784C23"/>
    <w:rsid w:val="0078618A"/>
    <w:rsid w:val="00786702"/>
    <w:rsid w:val="00791042"/>
    <w:rsid w:val="0079429B"/>
    <w:rsid w:val="00794F77"/>
    <w:rsid w:val="007956A6"/>
    <w:rsid w:val="00795D07"/>
    <w:rsid w:val="00795F8E"/>
    <w:rsid w:val="007961CE"/>
    <w:rsid w:val="00796869"/>
    <w:rsid w:val="00797ACE"/>
    <w:rsid w:val="007A1510"/>
    <w:rsid w:val="007A2796"/>
    <w:rsid w:val="007A2FC0"/>
    <w:rsid w:val="007A33DF"/>
    <w:rsid w:val="007A3B0F"/>
    <w:rsid w:val="007A3DF6"/>
    <w:rsid w:val="007A3E6A"/>
    <w:rsid w:val="007A3FD1"/>
    <w:rsid w:val="007A4A0A"/>
    <w:rsid w:val="007A60AC"/>
    <w:rsid w:val="007A6F06"/>
    <w:rsid w:val="007A7727"/>
    <w:rsid w:val="007A7824"/>
    <w:rsid w:val="007A7C91"/>
    <w:rsid w:val="007B012C"/>
    <w:rsid w:val="007B04E1"/>
    <w:rsid w:val="007B0E6F"/>
    <w:rsid w:val="007B1262"/>
    <w:rsid w:val="007B148D"/>
    <w:rsid w:val="007B2BD6"/>
    <w:rsid w:val="007B63D9"/>
    <w:rsid w:val="007B6AA7"/>
    <w:rsid w:val="007B6E70"/>
    <w:rsid w:val="007B7062"/>
    <w:rsid w:val="007C2D54"/>
    <w:rsid w:val="007C456B"/>
    <w:rsid w:val="007C4856"/>
    <w:rsid w:val="007C738C"/>
    <w:rsid w:val="007C7E47"/>
    <w:rsid w:val="007D01FA"/>
    <w:rsid w:val="007D03DB"/>
    <w:rsid w:val="007D0507"/>
    <w:rsid w:val="007D0ACA"/>
    <w:rsid w:val="007D1AA2"/>
    <w:rsid w:val="007D2D6E"/>
    <w:rsid w:val="007D49EA"/>
    <w:rsid w:val="007D4D86"/>
    <w:rsid w:val="007D59C4"/>
    <w:rsid w:val="007D65A3"/>
    <w:rsid w:val="007D728B"/>
    <w:rsid w:val="007D74C6"/>
    <w:rsid w:val="007D75DC"/>
    <w:rsid w:val="007E1C76"/>
    <w:rsid w:val="007E1EAD"/>
    <w:rsid w:val="007E4E9E"/>
    <w:rsid w:val="007E5FF2"/>
    <w:rsid w:val="007E621E"/>
    <w:rsid w:val="007E641B"/>
    <w:rsid w:val="007F0F72"/>
    <w:rsid w:val="007F1EB6"/>
    <w:rsid w:val="007F26FD"/>
    <w:rsid w:val="007F3E14"/>
    <w:rsid w:val="007F4FDB"/>
    <w:rsid w:val="007F572A"/>
    <w:rsid w:val="007F5DF2"/>
    <w:rsid w:val="007F5E56"/>
    <w:rsid w:val="007F681D"/>
    <w:rsid w:val="007F701C"/>
    <w:rsid w:val="007F7DA9"/>
    <w:rsid w:val="0080053A"/>
    <w:rsid w:val="00800AAE"/>
    <w:rsid w:val="00800B83"/>
    <w:rsid w:val="00800BC9"/>
    <w:rsid w:val="0080215A"/>
    <w:rsid w:val="008035B2"/>
    <w:rsid w:val="0080407A"/>
    <w:rsid w:val="00804473"/>
    <w:rsid w:val="00804781"/>
    <w:rsid w:val="0080594D"/>
    <w:rsid w:val="008101C4"/>
    <w:rsid w:val="008115E5"/>
    <w:rsid w:val="00811CD8"/>
    <w:rsid w:val="00811E25"/>
    <w:rsid w:val="00812A57"/>
    <w:rsid w:val="00812DF4"/>
    <w:rsid w:val="00815669"/>
    <w:rsid w:val="00820240"/>
    <w:rsid w:val="008202A8"/>
    <w:rsid w:val="00820349"/>
    <w:rsid w:val="0082070A"/>
    <w:rsid w:val="00820A79"/>
    <w:rsid w:val="008214EA"/>
    <w:rsid w:val="00821536"/>
    <w:rsid w:val="008217FD"/>
    <w:rsid w:val="00821F2D"/>
    <w:rsid w:val="00822798"/>
    <w:rsid w:val="00822937"/>
    <w:rsid w:val="00822ADB"/>
    <w:rsid w:val="00822C58"/>
    <w:rsid w:val="00823899"/>
    <w:rsid w:val="00825AAA"/>
    <w:rsid w:val="00826425"/>
    <w:rsid w:val="0082665C"/>
    <w:rsid w:val="008271E7"/>
    <w:rsid w:val="0082780A"/>
    <w:rsid w:val="00827A0E"/>
    <w:rsid w:val="008305AF"/>
    <w:rsid w:val="00830849"/>
    <w:rsid w:val="00830ABA"/>
    <w:rsid w:val="0083144C"/>
    <w:rsid w:val="00831753"/>
    <w:rsid w:val="00831A69"/>
    <w:rsid w:val="00832589"/>
    <w:rsid w:val="00833CBC"/>
    <w:rsid w:val="00834B1A"/>
    <w:rsid w:val="00834C36"/>
    <w:rsid w:val="0083616D"/>
    <w:rsid w:val="0084097E"/>
    <w:rsid w:val="00840D24"/>
    <w:rsid w:val="00841674"/>
    <w:rsid w:val="00841F77"/>
    <w:rsid w:val="00842159"/>
    <w:rsid w:val="00842D5F"/>
    <w:rsid w:val="00842FDD"/>
    <w:rsid w:val="00843934"/>
    <w:rsid w:val="00843D19"/>
    <w:rsid w:val="00844B9C"/>
    <w:rsid w:val="00846C3A"/>
    <w:rsid w:val="008473B6"/>
    <w:rsid w:val="008476AC"/>
    <w:rsid w:val="008476B8"/>
    <w:rsid w:val="00847BDF"/>
    <w:rsid w:val="0085050E"/>
    <w:rsid w:val="00850B53"/>
    <w:rsid w:val="008510FF"/>
    <w:rsid w:val="00851492"/>
    <w:rsid w:val="00851C70"/>
    <w:rsid w:val="0085211F"/>
    <w:rsid w:val="00852CC8"/>
    <w:rsid w:val="00853890"/>
    <w:rsid w:val="00853915"/>
    <w:rsid w:val="00854896"/>
    <w:rsid w:val="0085697D"/>
    <w:rsid w:val="00856D35"/>
    <w:rsid w:val="00861708"/>
    <w:rsid w:val="00861C14"/>
    <w:rsid w:val="00861D06"/>
    <w:rsid w:val="00862C8A"/>
    <w:rsid w:val="008633A4"/>
    <w:rsid w:val="0086439B"/>
    <w:rsid w:val="00866BA4"/>
    <w:rsid w:val="0086754D"/>
    <w:rsid w:val="00867AF4"/>
    <w:rsid w:val="00867B9F"/>
    <w:rsid w:val="0087280B"/>
    <w:rsid w:val="00874B8C"/>
    <w:rsid w:val="008751B3"/>
    <w:rsid w:val="008751BF"/>
    <w:rsid w:val="00875F7A"/>
    <w:rsid w:val="008770F6"/>
    <w:rsid w:val="00880DEC"/>
    <w:rsid w:val="00882986"/>
    <w:rsid w:val="008846BE"/>
    <w:rsid w:val="00885384"/>
    <w:rsid w:val="008853B4"/>
    <w:rsid w:val="00886353"/>
    <w:rsid w:val="00886D1E"/>
    <w:rsid w:val="0088770F"/>
    <w:rsid w:val="008921F1"/>
    <w:rsid w:val="00894842"/>
    <w:rsid w:val="008948F8"/>
    <w:rsid w:val="00894B52"/>
    <w:rsid w:val="008950DC"/>
    <w:rsid w:val="008951ED"/>
    <w:rsid w:val="00895271"/>
    <w:rsid w:val="00897429"/>
    <w:rsid w:val="00897C9D"/>
    <w:rsid w:val="008A0BA9"/>
    <w:rsid w:val="008A2C08"/>
    <w:rsid w:val="008A318E"/>
    <w:rsid w:val="008A58E2"/>
    <w:rsid w:val="008A5B72"/>
    <w:rsid w:val="008A740A"/>
    <w:rsid w:val="008B129F"/>
    <w:rsid w:val="008B36CB"/>
    <w:rsid w:val="008B3822"/>
    <w:rsid w:val="008B3A38"/>
    <w:rsid w:val="008B5760"/>
    <w:rsid w:val="008B5920"/>
    <w:rsid w:val="008B5979"/>
    <w:rsid w:val="008B66DC"/>
    <w:rsid w:val="008C04F1"/>
    <w:rsid w:val="008C0B70"/>
    <w:rsid w:val="008C0CD0"/>
    <w:rsid w:val="008C1792"/>
    <w:rsid w:val="008C2867"/>
    <w:rsid w:val="008C4F52"/>
    <w:rsid w:val="008C51B7"/>
    <w:rsid w:val="008C5FEB"/>
    <w:rsid w:val="008C6ADD"/>
    <w:rsid w:val="008C6EC6"/>
    <w:rsid w:val="008D086B"/>
    <w:rsid w:val="008D16CB"/>
    <w:rsid w:val="008D24C3"/>
    <w:rsid w:val="008D381E"/>
    <w:rsid w:val="008D6489"/>
    <w:rsid w:val="008D7139"/>
    <w:rsid w:val="008E4E23"/>
    <w:rsid w:val="008E5A1C"/>
    <w:rsid w:val="008E6600"/>
    <w:rsid w:val="008E6865"/>
    <w:rsid w:val="008E7144"/>
    <w:rsid w:val="008E732B"/>
    <w:rsid w:val="008F0901"/>
    <w:rsid w:val="008F1A8E"/>
    <w:rsid w:val="008F5F97"/>
    <w:rsid w:val="008F785A"/>
    <w:rsid w:val="008F7FED"/>
    <w:rsid w:val="009002F5"/>
    <w:rsid w:val="009005AF"/>
    <w:rsid w:val="00900E7D"/>
    <w:rsid w:val="0090119F"/>
    <w:rsid w:val="00901BB5"/>
    <w:rsid w:val="0090251D"/>
    <w:rsid w:val="00902649"/>
    <w:rsid w:val="00906E42"/>
    <w:rsid w:val="00906F34"/>
    <w:rsid w:val="00906FA4"/>
    <w:rsid w:val="00910127"/>
    <w:rsid w:val="00910363"/>
    <w:rsid w:val="009106DE"/>
    <w:rsid w:val="009109E3"/>
    <w:rsid w:val="00912D00"/>
    <w:rsid w:val="00912E02"/>
    <w:rsid w:val="009138E5"/>
    <w:rsid w:val="0091419A"/>
    <w:rsid w:val="009163D0"/>
    <w:rsid w:val="00916F8C"/>
    <w:rsid w:val="00917ADF"/>
    <w:rsid w:val="009203D9"/>
    <w:rsid w:val="00920E16"/>
    <w:rsid w:val="0092229E"/>
    <w:rsid w:val="009224D0"/>
    <w:rsid w:val="00922D37"/>
    <w:rsid w:val="00923EB9"/>
    <w:rsid w:val="00926677"/>
    <w:rsid w:val="00926726"/>
    <w:rsid w:val="0092762E"/>
    <w:rsid w:val="0092774D"/>
    <w:rsid w:val="00930F00"/>
    <w:rsid w:val="00931705"/>
    <w:rsid w:val="00931DC4"/>
    <w:rsid w:val="0093429A"/>
    <w:rsid w:val="00935218"/>
    <w:rsid w:val="00935A06"/>
    <w:rsid w:val="00936314"/>
    <w:rsid w:val="009375A7"/>
    <w:rsid w:val="00937E2C"/>
    <w:rsid w:val="00941AB8"/>
    <w:rsid w:val="00941F96"/>
    <w:rsid w:val="00942680"/>
    <w:rsid w:val="0094291A"/>
    <w:rsid w:val="00943236"/>
    <w:rsid w:val="009434FA"/>
    <w:rsid w:val="00943570"/>
    <w:rsid w:val="00943F86"/>
    <w:rsid w:val="00944943"/>
    <w:rsid w:val="009471E2"/>
    <w:rsid w:val="00947692"/>
    <w:rsid w:val="0095087B"/>
    <w:rsid w:val="00951C84"/>
    <w:rsid w:val="00952115"/>
    <w:rsid w:val="00952564"/>
    <w:rsid w:val="00953E75"/>
    <w:rsid w:val="00954F7C"/>
    <w:rsid w:val="00955411"/>
    <w:rsid w:val="00955CA3"/>
    <w:rsid w:val="00956C36"/>
    <w:rsid w:val="00957C19"/>
    <w:rsid w:val="00957FF5"/>
    <w:rsid w:val="00960482"/>
    <w:rsid w:val="00960C82"/>
    <w:rsid w:val="00961208"/>
    <w:rsid w:val="009613AB"/>
    <w:rsid w:val="0096205C"/>
    <w:rsid w:val="00964507"/>
    <w:rsid w:val="0096464C"/>
    <w:rsid w:val="00964BBB"/>
    <w:rsid w:val="00965DD6"/>
    <w:rsid w:val="00967980"/>
    <w:rsid w:val="0097008C"/>
    <w:rsid w:val="009701FD"/>
    <w:rsid w:val="009705BD"/>
    <w:rsid w:val="00971049"/>
    <w:rsid w:val="009710A0"/>
    <w:rsid w:val="009710FA"/>
    <w:rsid w:val="0097137E"/>
    <w:rsid w:val="00971678"/>
    <w:rsid w:val="00971AF5"/>
    <w:rsid w:val="0097264A"/>
    <w:rsid w:val="009745F4"/>
    <w:rsid w:val="0097534B"/>
    <w:rsid w:val="00975624"/>
    <w:rsid w:val="00975B8D"/>
    <w:rsid w:val="00975C3D"/>
    <w:rsid w:val="00975E8F"/>
    <w:rsid w:val="0097675D"/>
    <w:rsid w:val="00976A6F"/>
    <w:rsid w:val="009772E8"/>
    <w:rsid w:val="009778C2"/>
    <w:rsid w:val="0098098E"/>
    <w:rsid w:val="00981792"/>
    <w:rsid w:val="009826B6"/>
    <w:rsid w:val="00982D40"/>
    <w:rsid w:val="00983896"/>
    <w:rsid w:val="0098398A"/>
    <w:rsid w:val="00983FA2"/>
    <w:rsid w:val="00984369"/>
    <w:rsid w:val="00985390"/>
    <w:rsid w:val="00985C87"/>
    <w:rsid w:val="00986D47"/>
    <w:rsid w:val="00987AFF"/>
    <w:rsid w:val="00987FCF"/>
    <w:rsid w:val="00992715"/>
    <w:rsid w:val="0099394F"/>
    <w:rsid w:val="0099501D"/>
    <w:rsid w:val="00995389"/>
    <w:rsid w:val="00995738"/>
    <w:rsid w:val="00995F27"/>
    <w:rsid w:val="0099678C"/>
    <w:rsid w:val="009A13D3"/>
    <w:rsid w:val="009A38F1"/>
    <w:rsid w:val="009A58B7"/>
    <w:rsid w:val="009A6B8E"/>
    <w:rsid w:val="009A6DCA"/>
    <w:rsid w:val="009A70C3"/>
    <w:rsid w:val="009B1142"/>
    <w:rsid w:val="009B1C92"/>
    <w:rsid w:val="009B32E3"/>
    <w:rsid w:val="009B368B"/>
    <w:rsid w:val="009B49DE"/>
    <w:rsid w:val="009B4AD5"/>
    <w:rsid w:val="009B4D84"/>
    <w:rsid w:val="009B5391"/>
    <w:rsid w:val="009B5606"/>
    <w:rsid w:val="009B758E"/>
    <w:rsid w:val="009C1528"/>
    <w:rsid w:val="009C2F6F"/>
    <w:rsid w:val="009C3135"/>
    <w:rsid w:val="009C4A1D"/>
    <w:rsid w:val="009C52F4"/>
    <w:rsid w:val="009C5DDF"/>
    <w:rsid w:val="009C5F0C"/>
    <w:rsid w:val="009C626B"/>
    <w:rsid w:val="009C65A9"/>
    <w:rsid w:val="009C6812"/>
    <w:rsid w:val="009D1090"/>
    <w:rsid w:val="009D1866"/>
    <w:rsid w:val="009D1C46"/>
    <w:rsid w:val="009D1E4F"/>
    <w:rsid w:val="009D296D"/>
    <w:rsid w:val="009D3831"/>
    <w:rsid w:val="009D4BDD"/>
    <w:rsid w:val="009D5ACA"/>
    <w:rsid w:val="009D6761"/>
    <w:rsid w:val="009E03BE"/>
    <w:rsid w:val="009E2124"/>
    <w:rsid w:val="009E2346"/>
    <w:rsid w:val="009E37CD"/>
    <w:rsid w:val="009E3B28"/>
    <w:rsid w:val="009E4805"/>
    <w:rsid w:val="009E5351"/>
    <w:rsid w:val="009E5733"/>
    <w:rsid w:val="009E5928"/>
    <w:rsid w:val="009E5AAD"/>
    <w:rsid w:val="009E65B2"/>
    <w:rsid w:val="009E65BD"/>
    <w:rsid w:val="009E683C"/>
    <w:rsid w:val="009E6928"/>
    <w:rsid w:val="009E79E6"/>
    <w:rsid w:val="009E7A1E"/>
    <w:rsid w:val="009F03F1"/>
    <w:rsid w:val="009F1CC0"/>
    <w:rsid w:val="009F3403"/>
    <w:rsid w:val="009F4223"/>
    <w:rsid w:val="009F66A3"/>
    <w:rsid w:val="009F69B7"/>
    <w:rsid w:val="00A00048"/>
    <w:rsid w:val="00A00096"/>
    <w:rsid w:val="00A01362"/>
    <w:rsid w:val="00A020F8"/>
    <w:rsid w:val="00A0244C"/>
    <w:rsid w:val="00A028F5"/>
    <w:rsid w:val="00A02ACB"/>
    <w:rsid w:val="00A04A94"/>
    <w:rsid w:val="00A06B49"/>
    <w:rsid w:val="00A07B40"/>
    <w:rsid w:val="00A1041E"/>
    <w:rsid w:val="00A121DD"/>
    <w:rsid w:val="00A12856"/>
    <w:rsid w:val="00A13261"/>
    <w:rsid w:val="00A14535"/>
    <w:rsid w:val="00A148AB"/>
    <w:rsid w:val="00A152F7"/>
    <w:rsid w:val="00A15A6E"/>
    <w:rsid w:val="00A16A28"/>
    <w:rsid w:val="00A17EA0"/>
    <w:rsid w:val="00A20200"/>
    <w:rsid w:val="00A224DD"/>
    <w:rsid w:val="00A22974"/>
    <w:rsid w:val="00A2369A"/>
    <w:rsid w:val="00A237CE"/>
    <w:rsid w:val="00A23E24"/>
    <w:rsid w:val="00A243A8"/>
    <w:rsid w:val="00A25688"/>
    <w:rsid w:val="00A276DF"/>
    <w:rsid w:val="00A318EF"/>
    <w:rsid w:val="00A34046"/>
    <w:rsid w:val="00A36C26"/>
    <w:rsid w:val="00A36E16"/>
    <w:rsid w:val="00A36EEF"/>
    <w:rsid w:val="00A36F55"/>
    <w:rsid w:val="00A37048"/>
    <w:rsid w:val="00A4029B"/>
    <w:rsid w:val="00A4124E"/>
    <w:rsid w:val="00A414A6"/>
    <w:rsid w:val="00A423DF"/>
    <w:rsid w:val="00A43279"/>
    <w:rsid w:val="00A45112"/>
    <w:rsid w:val="00A457DF"/>
    <w:rsid w:val="00A458F2"/>
    <w:rsid w:val="00A46424"/>
    <w:rsid w:val="00A46D53"/>
    <w:rsid w:val="00A502EB"/>
    <w:rsid w:val="00A505FA"/>
    <w:rsid w:val="00A5084A"/>
    <w:rsid w:val="00A5138C"/>
    <w:rsid w:val="00A516D7"/>
    <w:rsid w:val="00A52C24"/>
    <w:rsid w:val="00A532B5"/>
    <w:rsid w:val="00A53A60"/>
    <w:rsid w:val="00A53E0E"/>
    <w:rsid w:val="00A5528E"/>
    <w:rsid w:val="00A554E9"/>
    <w:rsid w:val="00A56A6E"/>
    <w:rsid w:val="00A56BDD"/>
    <w:rsid w:val="00A606C2"/>
    <w:rsid w:val="00A607CF"/>
    <w:rsid w:val="00A60FFD"/>
    <w:rsid w:val="00A62374"/>
    <w:rsid w:val="00A6239F"/>
    <w:rsid w:val="00A62A93"/>
    <w:rsid w:val="00A62AB9"/>
    <w:rsid w:val="00A63C50"/>
    <w:rsid w:val="00A6406A"/>
    <w:rsid w:val="00A65706"/>
    <w:rsid w:val="00A6598E"/>
    <w:rsid w:val="00A662BD"/>
    <w:rsid w:val="00A662DF"/>
    <w:rsid w:val="00A66EFA"/>
    <w:rsid w:val="00A66F3C"/>
    <w:rsid w:val="00A67B25"/>
    <w:rsid w:val="00A703DB"/>
    <w:rsid w:val="00A711B9"/>
    <w:rsid w:val="00A7130B"/>
    <w:rsid w:val="00A72453"/>
    <w:rsid w:val="00A732EC"/>
    <w:rsid w:val="00A73BEF"/>
    <w:rsid w:val="00A74135"/>
    <w:rsid w:val="00A74207"/>
    <w:rsid w:val="00A74A34"/>
    <w:rsid w:val="00A75002"/>
    <w:rsid w:val="00A768A2"/>
    <w:rsid w:val="00A809F2"/>
    <w:rsid w:val="00A81487"/>
    <w:rsid w:val="00A82072"/>
    <w:rsid w:val="00A83D36"/>
    <w:rsid w:val="00A84119"/>
    <w:rsid w:val="00A84212"/>
    <w:rsid w:val="00A84489"/>
    <w:rsid w:val="00A84643"/>
    <w:rsid w:val="00A862F6"/>
    <w:rsid w:val="00A867D3"/>
    <w:rsid w:val="00A86BAD"/>
    <w:rsid w:val="00A871EC"/>
    <w:rsid w:val="00A873E6"/>
    <w:rsid w:val="00A91496"/>
    <w:rsid w:val="00A9262F"/>
    <w:rsid w:val="00A92B57"/>
    <w:rsid w:val="00A92C43"/>
    <w:rsid w:val="00A955B6"/>
    <w:rsid w:val="00A95A80"/>
    <w:rsid w:val="00A965FB"/>
    <w:rsid w:val="00A96709"/>
    <w:rsid w:val="00A96CB2"/>
    <w:rsid w:val="00AA0C36"/>
    <w:rsid w:val="00AA1F1F"/>
    <w:rsid w:val="00AA1FE1"/>
    <w:rsid w:val="00AA2F35"/>
    <w:rsid w:val="00AA3089"/>
    <w:rsid w:val="00AA3DB9"/>
    <w:rsid w:val="00AA57DC"/>
    <w:rsid w:val="00AA6E02"/>
    <w:rsid w:val="00AA7006"/>
    <w:rsid w:val="00AB02ED"/>
    <w:rsid w:val="00AB2AFC"/>
    <w:rsid w:val="00AB3C3F"/>
    <w:rsid w:val="00AB4223"/>
    <w:rsid w:val="00AB48A3"/>
    <w:rsid w:val="00AB6E6C"/>
    <w:rsid w:val="00AB74FE"/>
    <w:rsid w:val="00AB78E0"/>
    <w:rsid w:val="00AB7E47"/>
    <w:rsid w:val="00AC0D75"/>
    <w:rsid w:val="00AC11B9"/>
    <w:rsid w:val="00AC12D0"/>
    <w:rsid w:val="00AC3146"/>
    <w:rsid w:val="00AC4474"/>
    <w:rsid w:val="00AC5F34"/>
    <w:rsid w:val="00AC7469"/>
    <w:rsid w:val="00AC7E03"/>
    <w:rsid w:val="00AC7E56"/>
    <w:rsid w:val="00AD1A12"/>
    <w:rsid w:val="00AD1B0F"/>
    <w:rsid w:val="00AD3094"/>
    <w:rsid w:val="00AD4483"/>
    <w:rsid w:val="00AD6926"/>
    <w:rsid w:val="00AD7444"/>
    <w:rsid w:val="00AD78EF"/>
    <w:rsid w:val="00AE0319"/>
    <w:rsid w:val="00AE2AD6"/>
    <w:rsid w:val="00AE3A35"/>
    <w:rsid w:val="00AE3C12"/>
    <w:rsid w:val="00AE3C78"/>
    <w:rsid w:val="00AE4F04"/>
    <w:rsid w:val="00AE6EE6"/>
    <w:rsid w:val="00AE73E5"/>
    <w:rsid w:val="00AF187D"/>
    <w:rsid w:val="00AF1917"/>
    <w:rsid w:val="00AF1E96"/>
    <w:rsid w:val="00AF2329"/>
    <w:rsid w:val="00AF3671"/>
    <w:rsid w:val="00AF4439"/>
    <w:rsid w:val="00AF4E63"/>
    <w:rsid w:val="00AF5339"/>
    <w:rsid w:val="00AF588C"/>
    <w:rsid w:val="00AF5D08"/>
    <w:rsid w:val="00AF69A7"/>
    <w:rsid w:val="00AF74EB"/>
    <w:rsid w:val="00B0126D"/>
    <w:rsid w:val="00B02A9B"/>
    <w:rsid w:val="00B02FCB"/>
    <w:rsid w:val="00B03CFA"/>
    <w:rsid w:val="00B057F1"/>
    <w:rsid w:val="00B059D3"/>
    <w:rsid w:val="00B05A87"/>
    <w:rsid w:val="00B062D5"/>
    <w:rsid w:val="00B06DF8"/>
    <w:rsid w:val="00B109FA"/>
    <w:rsid w:val="00B10F4B"/>
    <w:rsid w:val="00B11D7F"/>
    <w:rsid w:val="00B1273F"/>
    <w:rsid w:val="00B127F0"/>
    <w:rsid w:val="00B1438D"/>
    <w:rsid w:val="00B14DC2"/>
    <w:rsid w:val="00B14DD3"/>
    <w:rsid w:val="00B15350"/>
    <w:rsid w:val="00B15BA7"/>
    <w:rsid w:val="00B15C3B"/>
    <w:rsid w:val="00B162B5"/>
    <w:rsid w:val="00B16D85"/>
    <w:rsid w:val="00B17D84"/>
    <w:rsid w:val="00B217A7"/>
    <w:rsid w:val="00B21EDA"/>
    <w:rsid w:val="00B22C9C"/>
    <w:rsid w:val="00B231F6"/>
    <w:rsid w:val="00B24774"/>
    <w:rsid w:val="00B2515B"/>
    <w:rsid w:val="00B252F9"/>
    <w:rsid w:val="00B25584"/>
    <w:rsid w:val="00B256C0"/>
    <w:rsid w:val="00B26BBE"/>
    <w:rsid w:val="00B27B4C"/>
    <w:rsid w:val="00B27BF5"/>
    <w:rsid w:val="00B303C8"/>
    <w:rsid w:val="00B309D0"/>
    <w:rsid w:val="00B323A8"/>
    <w:rsid w:val="00B323CD"/>
    <w:rsid w:val="00B328C0"/>
    <w:rsid w:val="00B33128"/>
    <w:rsid w:val="00B34471"/>
    <w:rsid w:val="00B355C5"/>
    <w:rsid w:val="00B3580B"/>
    <w:rsid w:val="00B36393"/>
    <w:rsid w:val="00B37757"/>
    <w:rsid w:val="00B3789A"/>
    <w:rsid w:val="00B403FC"/>
    <w:rsid w:val="00B41F58"/>
    <w:rsid w:val="00B41FEC"/>
    <w:rsid w:val="00B42824"/>
    <w:rsid w:val="00B42BF2"/>
    <w:rsid w:val="00B42E15"/>
    <w:rsid w:val="00B46227"/>
    <w:rsid w:val="00B4623A"/>
    <w:rsid w:val="00B4665C"/>
    <w:rsid w:val="00B47017"/>
    <w:rsid w:val="00B4775D"/>
    <w:rsid w:val="00B50DB4"/>
    <w:rsid w:val="00B51CEF"/>
    <w:rsid w:val="00B5268F"/>
    <w:rsid w:val="00B533D7"/>
    <w:rsid w:val="00B53A52"/>
    <w:rsid w:val="00B54EAF"/>
    <w:rsid w:val="00B55EB0"/>
    <w:rsid w:val="00B579E2"/>
    <w:rsid w:val="00B57CFE"/>
    <w:rsid w:val="00B600F4"/>
    <w:rsid w:val="00B63B31"/>
    <w:rsid w:val="00B63E95"/>
    <w:rsid w:val="00B66F14"/>
    <w:rsid w:val="00B674A6"/>
    <w:rsid w:val="00B67E01"/>
    <w:rsid w:val="00B70BBE"/>
    <w:rsid w:val="00B7102C"/>
    <w:rsid w:val="00B710FD"/>
    <w:rsid w:val="00B71AF2"/>
    <w:rsid w:val="00B7296A"/>
    <w:rsid w:val="00B73400"/>
    <w:rsid w:val="00B75DA1"/>
    <w:rsid w:val="00B76B14"/>
    <w:rsid w:val="00B813B2"/>
    <w:rsid w:val="00B82B72"/>
    <w:rsid w:val="00B82CF8"/>
    <w:rsid w:val="00B84413"/>
    <w:rsid w:val="00B84A5F"/>
    <w:rsid w:val="00B85B73"/>
    <w:rsid w:val="00B85C79"/>
    <w:rsid w:val="00B87784"/>
    <w:rsid w:val="00B918FB"/>
    <w:rsid w:val="00B91983"/>
    <w:rsid w:val="00B91CD8"/>
    <w:rsid w:val="00B91F93"/>
    <w:rsid w:val="00B91FD7"/>
    <w:rsid w:val="00B92082"/>
    <w:rsid w:val="00B92B88"/>
    <w:rsid w:val="00B92B8D"/>
    <w:rsid w:val="00B93783"/>
    <w:rsid w:val="00B950FA"/>
    <w:rsid w:val="00B95E73"/>
    <w:rsid w:val="00B96A43"/>
    <w:rsid w:val="00BA2A83"/>
    <w:rsid w:val="00BA4439"/>
    <w:rsid w:val="00BA45C3"/>
    <w:rsid w:val="00BA47F6"/>
    <w:rsid w:val="00BA4B74"/>
    <w:rsid w:val="00BB074C"/>
    <w:rsid w:val="00BB147F"/>
    <w:rsid w:val="00BB233B"/>
    <w:rsid w:val="00BB3341"/>
    <w:rsid w:val="00BB354D"/>
    <w:rsid w:val="00BB401C"/>
    <w:rsid w:val="00BB5EEC"/>
    <w:rsid w:val="00BB616F"/>
    <w:rsid w:val="00BC0F49"/>
    <w:rsid w:val="00BC17CE"/>
    <w:rsid w:val="00BC3EEC"/>
    <w:rsid w:val="00BC4C07"/>
    <w:rsid w:val="00BC569C"/>
    <w:rsid w:val="00BC581B"/>
    <w:rsid w:val="00BC5847"/>
    <w:rsid w:val="00BC5CC8"/>
    <w:rsid w:val="00BC6937"/>
    <w:rsid w:val="00BD1886"/>
    <w:rsid w:val="00BD1DEF"/>
    <w:rsid w:val="00BD2A46"/>
    <w:rsid w:val="00BD3096"/>
    <w:rsid w:val="00BD3A48"/>
    <w:rsid w:val="00BD46E1"/>
    <w:rsid w:val="00BD5243"/>
    <w:rsid w:val="00BD56B3"/>
    <w:rsid w:val="00BD5981"/>
    <w:rsid w:val="00BD6281"/>
    <w:rsid w:val="00BD630A"/>
    <w:rsid w:val="00BD6473"/>
    <w:rsid w:val="00BD6E0F"/>
    <w:rsid w:val="00BE02CD"/>
    <w:rsid w:val="00BE0CC3"/>
    <w:rsid w:val="00BE2C92"/>
    <w:rsid w:val="00BE39C1"/>
    <w:rsid w:val="00BE4488"/>
    <w:rsid w:val="00BE510E"/>
    <w:rsid w:val="00BE54E7"/>
    <w:rsid w:val="00BE72A6"/>
    <w:rsid w:val="00BE75FB"/>
    <w:rsid w:val="00BE7BF2"/>
    <w:rsid w:val="00BF12E3"/>
    <w:rsid w:val="00BF1FF2"/>
    <w:rsid w:val="00BF42A3"/>
    <w:rsid w:val="00BF475D"/>
    <w:rsid w:val="00BF4811"/>
    <w:rsid w:val="00BF4BCD"/>
    <w:rsid w:val="00BF6450"/>
    <w:rsid w:val="00BF6D0C"/>
    <w:rsid w:val="00BF790D"/>
    <w:rsid w:val="00C005B9"/>
    <w:rsid w:val="00C01200"/>
    <w:rsid w:val="00C013FB"/>
    <w:rsid w:val="00C02820"/>
    <w:rsid w:val="00C06116"/>
    <w:rsid w:val="00C1086E"/>
    <w:rsid w:val="00C10C0D"/>
    <w:rsid w:val="00C10C43"/>
    <w:rsid w:val="00C1288C"/>
    <w:rsid w:val="00C12D41"/>
    <w:rsid w:val="00C1407E"/>
    <w:rsid w:val="00C15186"/>
    <w:rsid w:val="00C15346"/>
    <w:rsid w:val="00C1617F"/>
    <w:rsid w:val="00C163C0"/>
    <w:rsid w:val="00C175AC"/>
    <w:rsid w:val="00C17EB7"/>
    <w:rsid w:val="00C2076F"/>
    <w:rsid w:val="00C20786"/>
    <w:rsid w:val="00C20F36"/>
    <w:rsid w:val="00C21D28"/>
    <w:rsid w:val="00C231EE"/>
    <w:rsid w:val="00C23BEE"/>
    <w:rsid w:val="00C31A19"/>
    <w:rsid w:val="00C31FBE"/>
    <w:rsid w:val="00C337CB"/>
    <w:rsid w:val="00C33AA6"/>
    <w:rsid w:val="00C3407F"/>
    <w:rsid w:val="00C345B2"/>
    <w:rsid w:val="00C3521D"/>
    <w:rsid w:val="00C36248"/>
    <w:rsid w:val="00C3700D"/>
    <w:rsid w:val="00C372C3"/>
    <w:rsid w:val="00C40A9D"/>
    <w:rsid w:val="00C4220E"/>
    <w:rsid w:val="00C42522"/>
    <w:rsid w:val="00C42C58"/>
    <w:rsid w:val="00C42DEC"/>
    <w:rsid w:val="00C446D1"/>
    <w:rsid w:val="00C449F7"/>
    <w:rsid w:val="00C454EB"/>
    <w:rsid w:val="00C46B85"/>
    <w:rsid w:val="00C471C6"/>
    <w:rsid w:val="00C47A37"/>
    <w:rsid w:val="00C50A40"/>
    <w:rsid w:val="00C50DB3"/>
    <w:rsid w:val="00C513A9"/>
    <w:rsid w:val="00C52212"/>
    <w:rsid w:val="00C547FA"/>
    <w:rsid w:val="00C5597D"/>
    <w:rsid w:val="00C56676"/>
    <w:rsid w:val="00C56CB3"/>
    <w:rsid w:val="00C56E97"/>
    <w:rsid w:val="00C60932"/>
    <w:rsid w:val="00C60AA1"/>
    <w:rsid w:val="00C60E7F"/>
    <w:rsid w:val="00C60FDC"/>
    <w:rsid w:val="00C62DE3"/>
    <w:rsid w:val="00C64CE5"/>
    <w:rsid w:val="00C64D8D"/>
    <w:rsid w:val="00C66475"/>
    <w:rsid w:val="00C66E96"/>
    <w:rsid w:val="00C679F9"/>
    <w:rsid w:val="00C67B3E"/>
    <w:rsid w:val="00C67B85"/>
    <w:rsid w:val="00C703B3"/>
    <w:rsid w:val="00C709A9"/>
    <w:rsid w:val="00C714D1"/>
    <w:rsid w:val="00C722A0"/>
    <w:rsid w:val="00C75CD7"/>
    <w:rsid w:val="00C76204"/>
    <w:rsid w:val="00C765B9"/>
    <w:rsid w:val="00C76668"/>
    <w:rsid w:val="00C767DA"/>
    <w:rsid w:val="00C77F95"/>
    <w:rsid w:val="00C80BFA"/>
    <w:rsid w:val="00C817DB"/>
    <w:rsid w:val="00C8410F"/>
    <w:rsid w:val="00C84635"/>
    <w:rsid w:val="00C8573F"/>
    <w:rsid w:val="00C8644F"/>
    <w:rsid w:val="00C865B8"/>
    <w:rsid w:val="00C86710"/>
    <w:rsid w:val="00C87382"/>
    <w:rsid w:val="00C879C2"/>
    <w:rsid w:val="00C87C76"/>
    <w:rsid w:val="00C9167F"/>
    <w:rsid w:val="00C919D3"/>
    <w:rsid w:val="00C929A6"/>
    <w:rsid w:val="00C93A47"/>
    <w:rsid w:val="00C9410D"/>
    <w:rsid w:val="00C96121"/>
    <w:rsid w:val="00C964AF"/>
    <w:rsid w:val="00CA10C2"/>
    <w:rsid w:val="00CA2013"/>
    <w:rsid w:val="00CA3A68"/>
    <w:rsid w:val="00CA4389"/>
    <w:rsid w:val="00CA5E4D"/>
    <w:rsid w:val="00CA6134"/>
    <w:rsid w:val="00CB1A0D"/>
    <w:rsid w:val="00CB1C3D"/>
    <w:rsid w:val="00CB2DB8"/>
    <w:rsid w:val="00CB2EA8"/>
    <w:rsid w:val="00CB3104"/>
    <w:rsid w:val="00CB545D"/>
    <w:rsid w:val="00CB6335"/>
    <w:rsid w:val="00CB7974"/>
    <w:rsid w:val="00CB7C94"/>
    <w:rsid w:val="00CB7D8A"/>
    <w:rsid w:val="00CC01D0"/>
    <w:rsid w:val="00CC40A4"/>
    <w:rsid w:val="00CC42E0"/>
    <w:rsid w:val="00CC66C9"/>
    <w:rsid w:val="00CC6788"/>
    <w:rsid w:val="00CC779F"/>
    <w:rsid w:val="00CC7DFE"/>
    <w:rsid w:val="00CD13D0"/>
    <w:rsid w:val="00CD243D"/>
    <w:rsid w:val="00CD2F6F"/>
    <w:rsid w:val="00CD32CC"/>
    <w:rsid w:val="00CD3564"/>
    <w:rsid w:val="00CD3921"/>
    <w:rsid w:val="00CD3BD6"/>
    <w:rsid w:val="00CD4F1B"/>
    <w:rsid w:val="00CD5508"/>
    <w:rsid w:val="00CD72E9"/>
    <w:rsid w:val="00CD7667"/>
    <w:rsid w:val="00CE0DB9"/>
    <w:rsid w:val="00CE111D"/>
    <w:rsid w:val="00CE262A"/>
    <w:rsid w:val="00CE39F8"/>
    <w:rsid w:val="00CE39FE"/>
    <w:rsid w:val="00CE5277"/>
    <w:rsid w:val="00CE6CC6"/>
    <w:rsid w:val="00CE7117"/>
    <w:rsid w:val="00CE796C"/>
    <w:rsid w:val="00CE7BB1"/>
    <w:rsid w:val="00CF0745"/>
    <w:rsid w:val="00CF0F3F"/>
    <w:rsid w:val="00CF1D5C"/>
    <w:rsid w:val="00CF3975"/>
    <w:rsid w:val="00CF39E1"/>
    <w:rsid w:val="00CF50F1"/>
    <w:rsid w:val="00CF5226"/>
    <w:rsid w:val="00CF54EB"/>
    <w:rsid w:val="00CF5B81"/>
    <w:rsid w:val="00CF6B45"/>
    <w:rsid w:val="00CF722D"/>
    <w:rsid w:val="00CF7775"/>
    <w:rsid w:val="00CF7866"/>
    <w:rsid w:val="00CF787F"/>
    <w:rsid w:val="00CF78EA"/>
    <w:rsid w:val="00D00B67"/>
    <w:rsid w:val="00D0211B"/>
    <w:rsid w:val="00D02ECE"/>
    <w:rsid w:val="00D0333B"/>
    <w:rsid w:val="00D03DD8"/>
    <w:rsid w:val="00D0757F"/>
    <w:rsid w:val="00D078CA"/>
    <w:rsid w:val="00D10537"/>
    <w:rsid w:val="00D10715"/>
    <w:rsid w:val="00D111B0"/>
    <w:rsid w:val="00D121F4"/>
    <w:rsid w:val="00D1661A"/>
    <w:rsid w:val="00D16CB3"/>
    <w:rsid w:val="00D17463"/>
    <w:rsid w:val="00D17707"/>
    <w:rsid w:val="00D17AFD"/>
    <w:rsid w:val="00D17B10"/>
    <w:rsid w:val="00D17B55"/>
    <w:rsid w:val="00D17E6F"/>
    <w:rsid w:val="00D204D3"/>
    <w:rsid w:val="00D2070F"/>
    <w:rsid w:val="00D2171C"/>
    <w:rsid w:val="00D22A87"/>
    <w:rsid w:val="00D23550"/>
    <w:rsid w:val="00D24884"/>
    <w:rsid w:val="00D2497A"/>
    <w:rsid w:val="00D2532B"/>
    <w:rsid w:val="00D255E9"/>
    <w:rsid w:val="00D2577A"/>
    <w:rsid w:val="00D25D9A"/>
    <w:rsid w:val="00D2773C"/>
    <w:rsid w:val="00D30D51"/>
    <w:rsid w:val="00D31352"/>
    <w:rsid w:val="00D316E1"/>
    <w:rsid w:val="00D32E5A"/>
    <w:rsid w:val="00D33963"/>
    <w:rsid w:val="00D33E26"/>
    <w:rsid w:val="00D34D10"/>
    <w:rsid w:val="00D358BB"/>
    <w:rsid w:val="00D360FA"/>
    <w:rsid w:val="00D37D21"/>
    <w:rsid w:val="00D41AA4"/>
    <w:rsid w:val="00D42664"/>
    <w:rsid w:val="00D4372F"/>
    <w:rsid w:val="00D43B59"/>
    <w:rsid w:val="00D440E3"/>
    <w:rsid w:val="00D44422"/>
    <w:rsid w:val="00D44822"/>
    <w:rsid w:val="00D44A15"/>
    <w:rsid w:val="00D45A56"/>
    <w:rsid w:val="00D45B44"/>
    <w:rsid w:val="00D46257"/>
    <w:rsid w:val="00D46CFD"/>
    <w:rsid w:val="00D47EBE"/>
    <w:rsid w:val="00D5160E"/>
    <w:rsid w:val="00D51FD8"/>
    <w:rsid w:val="00D528CA"/>
    <w:rsid w:val="00D5370E"/>
    <w:rsid w:val="00D5493E"/>
    <w:rsid w:val="00D559F1"/>
    <w:rsid w:val="00D5681A"/>
    <w:rsid w:val="00D5703D"/>
    <w:rsid w:val="00D57143"/>
    <w:rsid w:val="00D62DD9"/>
    <w:rsid w:val="00D63980"/>
    <w:rsid w:val="00D64454"/>
    <w:rsid w:val="00D655B8"/>
    <w:rsid w:val="00D665EA"/>
    <w:rsid w:val="00D66F01"/>
    <w:rsid w:val="00D67567"/>
    <w:rsid w:val="00D6775E"/>
    <w:rsid w:val="00D67CB3"/>
    <w:rsid w:val="00D70851"/>
    <w:rsid w:val="00D714C0"/>
    <w:rsid w:val="00D71553"/>
    <w:rsid w:val="00D717C0"/>
    <w:rsid w:val="00D72FBB"/>
    <w:rsid w:val="00D7315F"/>
    <w:rsid w:val="00D77030"/>
    <w:rsid w:val="00D81A4F"/>
    <w:rsid w:val="00D81DEA"/>
    <w:rsid w:val="00D8299C"/>
    <w:rsid w:val="00D8406B"/>
    <w:rsid w:val="00D857EC"/>
    <w:rsid w:val="00D86D22"/>
    <w:rsid w:val="00D87F3B"/>
    <w:rsid w:val="00D91756"/>
    <w:rsid w:val="00D927D5"/>
    <w:rsid w:val="00D94448"/>
    <w:rsid w:val="00D94793"/>
    <w:rsid w:val="00D95271"/>
    <w:rsid w:val="00D95324"/>
    <w:rsid w:val="00D96DFB"/>
    <w:rsid w:val="00D971D8"/>
    <w:rsid w:val="00D977AC"/>
    <w:rsid w:val="00DA023C"/>
    <w:rsid w:val="00DA1E28"/>
    <w:rsid w:val="00DA4092"/>
    <w:rsid w:val="00DA4D33"/>
    <w:rsid w:val="00DA533A"/>
    <w:rsid w:val="00DA5636"/>
    <w:rsid w:val="00DA5798"/>
    <w:rsid w:val="00DA6D79"/>
    <w:rsid w:val="00DA7225"/>
    <w:rsid w:val="00DA7253"/>
    <w:rsid w:val="00DA7366"/>
    <w:rsid w:val="00DB0A06"/>
    <w:rsid w:val="00DB1BB9"/>
    <w:rsid w:val="00DB2731"/>
    <w:rsid w:val="00DB5A35"/>
    <w:rsid w:val="00DC0206"/>
    <w:rsid w:val="00DC1707"/>
    <w:rsid w:val="00DC210D"/>
    <w:rsid w:val="00DC2A61"/>
    <w:rsid w:val="00DC4C6A"/>
    <w:rsid w:val="00DC4DAC"/>
    <w:rsid w:val="00DC5C7C"/>
    <w:rsid w:val="00DC6CA3"/>
    <w:rsid w:val="00DC7D58"/>
    <w:rsid w:val="00DC7FEC"/>
    <w:rsid w:val="00DD0143"/>
    <w:rsid w:val="00DD1038"/>
    <w:rsid w:val="00DD1198"/>
    <w:rsid w:val="00DD1B0A"/>
    <w:rsid w:val="00DD21BF"/>
    <w:rsid w:val="00DD296F"/>
    <w:rsid w:val="00DD2E97"/>
    <w:rsid w:val="00DD3777"/>
    <w:rsid w:val="00DD48BE"/>
    <w:rsid w:val="00DD6018"/>
    <w:rsid w:val="00DD66B8"/>
    <w:rsid w:val="00DD6785"/>
    <w:rsid w:val="00DD6CED"/>
    <w:rsid w:val="00DD710E"/>
    <w:rsid w:val="00DD774D"/>
    <w:rsid w:val="00DD779F"/>
    <w:rsid w:val="00DD7D07"/>
    <w:rsid w:val="00DE17F5"/>
    <w:rsid w:val="00DE1C35"/>
    <w:rsid w:val="00DE207E"/>
    <w:rsid w:val="00DE4E41"/>
    <w:rsid w:val="00DE6C1F"/>
    <w:rsid w:val="00DF05C6"/>
    <w:rsid w:val="00DF065A"/>
    <w:rsid w:val="00DF1FE8"/>
    <w:rsid w:val="00DF2AA6"/>
    <w:rsid w:val="00DF4AE7"/>
    <w:rsid w:val="00DF5990"/>
    <w:rsid w:val="00DF7875"/>
    <w:rsid w:val="00E0054C"/>
    <w:rsid w:val="00E036AC"/>
    <w:rsid w:val="00E04D5F"/>
    <w:rsid w:val="00E050C7"/>
    <w:rsid w:val="00E0697C"/>
    <w:rsid w:val="00E069EE"/>
    <w:rsid w:val="00E06BF2"/>
    <w:rsid w:val="00E071C2"/>
    <w:rsid w:val="00E07F15"/>
    <w:rsid w:val="00E10D87"/>
    <w:rsid w:val="00E11699"/>
    <w:rsid w:val="00E12B43"/>
    <w:rsid w:val="00E13E79"/>
    <w:rsid w:val="00E14300"/>
    <w:rsid w:val="00E151C4"/>
    <w:rsid w:val="00E163EA"/>
    <w:rsid w:val="00E20186"/>
    <w:rsid w:val="00E201F6"/>
    <w:rsid w:val="00E2097D"/>
    <w:rsid w:val="00E20B0D"/>
    <w:rsid w:val="00E2290F"/>
    <w:rsid w:val="00E236B2"/>
    <w:rsid w:val="00E23BB4"/>
    <w:rsid w:val="00E24AE0"/>
    <w:rsid w:val="00E251D7"/>
    <w:rsid w:val="00E2599B"/>
    <w:rsid w:val="00E26655"/>
    <w:rsid w:val="00E26892"/>
    <w:rsid w:val="00E26ED3"/>
    <w:rsid w:val="00E27115"/>
    <w:rsid w:val="00E30283"/>
    <w:rsid w:val="00E307FD"/>
    <w:rsid w:val="00E32E39"/>
    <w:rsid w:val="00E331CC"/>
    <w:rsid w:val="00E3365A"/>
    <w:rsid w:val="00E337F3"/>
    <w:rsid w:val="00E34107"/>
    <w:rsid w:val="00E35E73"/>
    <w:rsid w:val="00E36395"/>
    <w:rsid w:val="00E37133"/>
    <w:rsid w:val="00E37D7D"/>
    <w:rsid w:val="00E4392E"/>
    <w:rsid w:val="00E44C1F"/>
    <w:rsid w:val="00E45249"/>
    <w:rsid w:val="00E455DC"/>
    <w:rsid w:val="00E45A22"/>
    <w:rsid w:val="00E46B59"/>
    <w:rsid w:val="00E47009"/>
    <w:rsid w:val="00E47D88"/>
    <w:rsid w:val="00E47F9C"/>
    <w:rsid w:val="00E50946"/>
    <w:rsid w:val="00E513E1"/>
    <w:rsid w:val="00E51631"/>
    <w:rsid w:val="00E51DF9"/>
    <w:rsid w:val="00E51F46"/>
    <w:rsid w:val="00E51FE6"/>
    <w:rsid w:val="00E524B7"/>
    <w:rsid w:val="00E529C7"/>
    <w:rsid w:val="00E52D6A"/>
    <w:rsid w:val="00E5321F"/>
    <w:rsid w:val="00E53C4F"/>
    <w:rsid w:val="00E546B7"/>
    <w:rsid w:val="00E5515C"/>
    <w:rsid w:val="00E5549B"/>
    <w:rsid w:val="00E556EA"/>
    <w:rsid w:val="00E56383"/>
    <w:rsid w:val="00E56EC3"/>
    <w:rsid w:val="00E60683"/>
    <w:rsid w:val="00E6165F"/>
    <w:rsid w:val="00E62289"/>
    <w:rsid w:val="00E65915"/>
    <w:rsid w:val="00E6595A"/>
    <w:rsid w:val="00E6657D"/>
    <w:rsid w:val="00E66807"/>
    <w:rsid w:val="00E66A67"/>
    <w:rsid w:val="00E66EB5"/>
    <w:rsid w:val="00E66F96"/>
    <w:rsid w:val="00E67312"/>
    <w:rsid w:val="00E678CF"/>
    <w:rsid w:val="00E701F7"/>
    <w:rsid w:val="00E707DD"/>
    <w:rsid w:val="00E71628"/>
    <w:rsid w:val="00E71D1E"/>
    <w:rsid w:val="00E72091"/>
    <w:rsid w:val="00E72ED0"/>
    <w:rsid w:val="00E73659"/>
    <w:rsid w:val="00E73F17"/>
    <w:rsid w:val="00E7494E"/>
    <w:rsid w:val="00E7652F"/>
    <w:rsid w:val="00E76B9C"/>
    <w:rsid w:val="00E80A8E"/>
    <w:rsid w:val="00E82255"/>
    <w:rsid w:val="00E8255A"/>
    <w:rsid w:val="00E8678D"/>
    <w:rsid w:val="00E87AB4"/>
    <w:rsid w:val="00E912F8"/>
    <w:rsid w:val="00E92AA3"/>
    <w:rsid w:val="00E92E25"/>
    <w:rsid w:val="00E93B5D"/>
    <w:rsid w:val="00E94A8A"/>
    <w:rsid w:val="00E94AE7"/>
    <w:rsid w:val="00E975C6"/>
    <w:rsid w:val="00E975FE"/>
    <w:rsid w:val="00EA0916"/>
    <w:rsid w:val="00EA1AE6"/>
    <w:rsid w:val="00EA3831"/>
    <w:rsid w:val="00EA484B"/>
    <w:rsid w:val="00EA5CBD"/>
    <w:rsid w:val="00EA6604"/>
    <w:rsid w:val="00EA75E6"/>
    <w:rsid w:val="00EB04A2"/>
    <w:rsid w:val="00EB0828"/>
    <w:rsid w:val="00EB098C"/>
    <w:rsid w:val="00EB1E00"/>
    <w:rsid w:val="00EB3337"/>
    <w:rsid w:val="00EB36A9"/>
    <w:rsid w:val="00EB44DA"/>
    <w:rsid w:val="00EB4C25"/>
    <w:rsid w:val="00EB56A0"/>
    <w:rsid w:val="00EB63F6"/>
    <w:rsid w:val="00EB652E"/>
    <w:rsid w:val="00EB711B"/>
    <w:rsid w:val="00EC24B2"/>
    <w:rsid w:val="00EC25E5"/>
    <w:rsid w:val="00EC28CE"/>
    <w:rsid w:val="00EC3764"/>
    <w:rsid w:val="00EC5261"/>
    <w:rsid w:val="00EC580A"/>
    <w:rsid w:val="00EC61DF"/>
    <w:rsid w:val="00EC68DA"/>
    <w:rsid w:val="00EC77C8"/>
    <w:rsid w:val="00ED12CD"/>
    <w:rsid w:val="00ED17A1"/>
    <w:rsid w:val="00ED20BF"/>
    <w:rsid w:val="00ED2533"/>
    <w:rsid w:val="00ED287D"/>
    <w:rsid w:val="00ED2B92"/>
    <w:rsid w:val="00ED3333"/>
    <w:rsid w:val="00ED3A21"/>
    <w:rsid w:val="00ED5F4A"/>
    <w:rsid w:val="00ED6E7B"/>
    <w:rsid w:val="00ED789E"/>
    <w:rsid w:val="00ED79B3"/>
    <w:rsid w:val="00ED7F5E"/>
    <w:rsid w:val="00EE0009"/>
    <w:rsid w:val="00EE15BB"/>
    <w:rsid w:val="00EE23B3"/>
    <w:rsid w:val="00EE2C09"/>
    <w:rsid w:val="00EE3B89"/>
    <w:rsid w:val="00EE43D6"/>
    <w:rsid w:val="00EE4563"/>
    <w:rsid w:val="00EE46A9"/>
    <w:rsid w:val="00EE4BD2"/>
    <w:rsid w:val="00EE4EAD"/>
    <w:rsid w:val="00EE5703"/>
    <w:rsid w:val="00EE59F3"/>
    <w:rsid w:val="00EE5C51"/>
    <w:rsid w:val="00EE60A9"/>
    <w:rsid w:val="00EE6DED"/>
    <w:rsid w:val="00EF1035"/>
    <w:rsid w:val="00EF1542"/>
    <w:rsid w:val="00EF1F3D"/>
    <w:rsid w:val="00EF634B"/>
    <w:rsid w:val="00EF6CAC"/>
    <w:rsid w:val="00EF6FE6"/>
    <w:rsid w:val="00EF70ED"/>
    <w:rsid w:val="00F006E4"/>
    <w:rsid w:val="00F00E5B"/>
    <w:rsid w:val="00F01B1A"/>
    <w:rsid w:val="00F02812"/>
    <w:rsid w:val="00F063FB"/>
    <w:rsid w:val="00F07648"/>
    <w:rsid w:val="00F10941"/>
    <w:rsid w:val="00F10D00"/>
    <w:rsid w:val="00F11F2D"/>
    <w:rsid w:val="00F13189"/>
    <w:rsid w:val="00F1475F"/>
    <w:rsid w:val="00F150BD"/>
    <w:rsid w:val="00F1534C"/>
    <w:rsid w:val="00F17179"/>
    <w:rsid w:val="00F2002A"/>
    <w:rsid w:val="00F21B31"/>
    <w:rsid w:val="00F22475"/>
    <w:rsid w:val="00F23ABB"/>
    <w:rsid w:val="00F23B14"/>
    <w:rsid w:val="00F25BBA"/>
    <w:rsid w:val="00F2603C"/>
    <w:rsid w:val="00F26317"/>
    <w:rsid w:val="00F2643C"/>
    <w:rsid w:val="00F26554"/>
    <w:rsid w:val="00F26983"/>
    <w:rsid w:val="00F26B8B"/>
    <w:rsid w:val="00F30243"/>
    <w:rsid w:val="00F314D6"/>
    <w:rsid w:val="00F31A42"/>
    <w:rsid w:val="00F32D64"/>
    <w:rsid w:val="00F34765"/>
    <w:rsid w:val="00F3549B"/>
    <w:rsid w:val="00F36D46"/>
    <w:rsid w:val="00F3705A"/>
    <w:rsid w:val="00F41347"/>
    <w:rsid w:val="00F415CC"/>
    <w:rsid w:val="00F41952"/>
    <w:rsid w:val="00F4247B"/>
    <w:rsid w:val="00F43209"/>
    <w:rsid w:val="00F432CA"/>
    <w:rsid w:val="00F44110"/>
    <w:rsid w:val="00F443E5"/>
    <w:rsid w:val="00F45B68"/>
    <w:rsid w:val="00F469B5"/>
    <w:rsid w:val="00F46A1E"/>
    <w:rsid w:val="00F477DE"/>
    <w:rsid w:val="00F50108"/>
    <w:rsid w:val="00F501F5"/>
    <w:rsid w:val="00F50AC1"/>
    <w:rsid w:val="00F513C4"/>
    <w:rsid w:val="00F51792"/>
    <w:rsid w:val="00F5336F"/>
    <w:rsid w:val="00F5396F"/>
    <w:rsid w:val="00F54275"/>
    <w:rsid w:val="00F5427C"/>
    <w:rsid w:val="00F55BB2"/>
    <w:rsid w:val="00F55E46"/>
    <w:rsid w:val="00F5772D"/>
    <w:rsid w:val="00F62849"/>
    <w:rsid w:val="00F63638"/>
    <w:rsid w:val="00F63827"/>
    <w:rsid w:val="00F63CF8"/>
    <w:rsid w:val="00F63DB5"/>
    <w:rsid w:val="00F64DB8"/>
    <w:rsid w:val="00F64F1E"/>
    <w:rsid w:val="00F6533E"/>
    <w:rsid w:val="00F669D3"/>
    <w:rsid w:val="00F67EDD"/>
    <w:rsid w:val="00F7021C"/>
    <w:rsid w:val="00F70701"/>
    <w:rsid w:val="00F70FB1"/>
    <w:rsid w:val="00F71869"/>
    <w:rsid w:val="00F71AEB"/>
    <w:rsid w:val="00F71C3D"/>
    <w:rsid w:val="00F7202B"/>
    <w:rsid w:val="00F72357"/>
    <w:rsid w:val="00F75F07"/>
    <w:rsid w:val="00F76035"/>
    <w:rsid w:val="00F80765"/>
    <w:rsid w:val="00F81A84"/>
    <w:rsid w:val="00F83996"/>
    <w:rsid w:val="00F83BCD"/>
    <w:rsid w:val="00F8476F"/>
    <w:rsid w:val="00F84AFD"/>
    <w:rsid w:val="00F8584D"/>
    <w:rsid w:val="00F86EF8"/>
    <w:rsid w:val="00F8798A"/>
    <w:rsid w:val="00F91A68"/>
    <w:rsid w:val="00F93BB5"/>
    <w:rsid w:val="00F94E3A"/>
    <w:rsid w:val="00F955CE"/>
    <w:rsid w:val="00F95785"/>
    <w:rsid w:val="00F959AE"/>
    <w:rsid w:val="00F95A35"/>
    <w:rsid w:val="00F960F1"/>
    <w:rsid w:val="00F96183"/>
    <w:rsid w:val="00F96608"/>
    <w:rsid w:val="00F97FC2"/>
    <w:rsid w:val="00FA12BA"/>
    <w:rsid w:val="00FA34A0"/>
    <w:rsid w:val="00FA56DB"/>
    <w:rsid w:val="00FA5EA7"/>
    <w:rsid w:val="00FA720E"/>
    <w:rsid w:val="00FA796E"/>
    <w:rsid w:val="00FB0616"/>
    <w:rsid w:val="00FB233D"/>
    <w:rsid w:val="00FB2F01"/>
    <w:rsid w:val="00FB34FC"/>
    <w:rsid w:val="00FB3E03"/>
    <w:rsid w:val="00FB4024"/>
    <w:rsid w:val="00FB4B51"/>
    <w:rsid w:val="00FB4DCD"/>
    <w:rsid w:val="00FB529E"/>
    <w:rsid w:val="00FB6240"/>
    <w:rsid w:val="00FB680E"/>
    <w:rsid w:val="00FB6F1E"/>
    <w:rsid w:val="00FB7CE6"/>
    <w:rsid w:val="00FC00FD"/>
    <w:rsid w:val="00FC016E"/>
    <w:rsid w:val="00FC23D1"/>
    <w:rsid w:val="00FC4248"/>
    <w:rsid w:val="00FC4D10"/>
    <w:rsid w:val="00FC4EB0"/>
    <w:rsid w:val="00FC57B3"/>
    <w:rsid w:val="00FC59E1"/>
    <w:rsid w:val="00FC5BD5"/>
    <w:rsid w:val="00FC664F"/>
    <w:rsid w:val="00FD2E22"/>
    <w:rsid w:val="00FD3972"/>
    <w:rsid w:val="00FD45B9"/>
    <w:rsid w:val="00FD521E"/>
    <w:rsid w:val="00FD53DB"/>
    <w:rsid w:val="00FD5478"/>
    <w:rsid w:val="00FD6A75"/>
    <w:rsid w:val="00FE0AB1"/>
    <w:rsid w:val="00FE2798"/>
    <w:rsid w:val="00FE34E8"/>
    <w:rsid w:val="00FE38FC"/>
    <w:rsid w:val="00FE3F30"/>
    <w:rsid w:val="00FE5923"/>
    <w:rsid w:val="00FE6939"/>
    <w:rsid w:val="00FE6958"/>
    <w:rsid w:val="00FE6CAE"/>
    <w:rsid w:val="00FE7173"/>
    <w:rsid w:val="00FE7612"/>
    <w:rsid w:val="00FE7E07"/>
    <w:rsid w:val="00FF0C33"/>
    <w:rsid w:val="00FF199A"/>
    <w:rsid w:val="00FF1AB5"/>
    <w:rsid w:val="00FF28C5"/>
    <w:rsid w:val="00FF35E2"/>
    <w:rsid w:val="00FF3D67"/>
    <w:rsid w:val="00FF5B2A"/>
    <w:rsid w:val="00FF613C"/>
    <w:rsid w:val="00FF619B"/>
    <w:rsid w:val="00FF6428"/>
    <w:rsid w:val="00FF69CF"/>
    <w:rsid w:val="00FF6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D1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90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F09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4A1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901"/>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8F0901"/>
    <w:rPr>
      <w:rFonts w:ascii="Times New Roman" w:hAnsi="Times New Roman" w:cs="Times New Roman"/>
      <w:sz w:val="18"/>
      <w:szCs w:val="18"/>
    </w:rPr>
  </w:style>
  <w:style w:type="character" w:styleId="Emphasis">
    <w:name w:val="Emphasis"/>
    <w:basedOn w:val="DefaultParagraphFont"/>
    <w:uiPriority w:val="20"/>
    <w:qFormat/>
    <w:rsid w:val="008F0901"/>
    <w:rPr>
      <w:i/>
      <w:iCs/>
    </w:rPr>
  </w:style>
  <w:style w:type="character" w:customStyle="1" w:styleId="Heading1Char">
    <w:name w:val="Heading 1 Char"/>
    <w:basedOn w:val="DefaultParagraphFont"/>
    <w:link w:val="Heading1"/>
    <w:uiPriority w:val="9"/>
    <w:rsid w:val="008F0901"/>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8F0901"/>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8F0901"/>
    <w:pPr>
      <w:spacing w:before="120"/>
    </w:pPr>
    <w:rPr>
      <w:rFonts w:asciiTheme="minorHAnsi" w:hAnsiTheme="minorHAnsi"/>
      <w:b/>
      <w:bCs/>
      <w:i/>
      <w:iCs/>
    </w:rPr>
  </w:style>
  <w:style w:type="paragraph" w:styleId="TOC2">
    <w:name w:val="toc 2"/>
    <w:basedOn w:val="Normal"/>
    <w:next w:val="Normal"/>
    <w:autoRedefine/>
    <w:uiPriority w:val="39"/>
    <w:unhideWhenUsed/>
    <w:rsid w:val="00702A5E"/>
    <w:pPr>
      <w:tabs>
        <w:tab w:val="right" w:leader="dot" w:pos="9016"/>
      </w:tabs>
      <w:spacing w:before="120" w:line="480" w:lineRule="auto"/>
      <w:ind w:left="240"/>
      <w:jc w:val="both"/>
    </w:pPr>
    <w:rPr>
      <w:b/>
      <w:bCs/>
      <w:i/>
      <w:iCs/>
      <w:noProof/>
      <w:lang w:eastAsia="en-US"/>
    </w:rPr>
  </w:style>
  <w:style w:type="character" w:styleId="Hyperlink">
    <w:name w:val="Hyperlink"/>
    <w:basedOn w:val="DefaultParagraphFont"/>
    <w:uiPriority w:val="99"/>
    <w:unhideWhenUsed/>
    <w:rsid w:val="008F0901"/>
    <w:rPr>
      <w:color w:val="0563C1" w:themeColor="hyperlink"/>
      <w:u w:val="single"/>
    </w:rPr>
  </w:style>
  <w:style w:type="paragraph" w:styleId="NormalWeb">
    <w:name w:val="Normal (Web)"/>
    <w:basedOn w:val="Normal"/>
    <w:uiPriority w:val="99"/>
    <w:unhideWhenUsed/>
    <w:rsid w:val="008F0901"/>
    <w:pPr>
      <w:spacing w:before="100" w:beforeAutospacing="1" w:after="100" w:afterAutospacing="1"/>
    </w:pPr>
  </w:style>
  <w:style w:type="character" w:customStyle="1" w:styleId="Heading2Char">
    <w:name w:val="Heading 2 Char"/>
    <w:basedOn w:val="DefaultParagraphFont"/>
    <w:link w:val="Heading2"/>
    <w:uiPriority w:val="9"/>
    <w:rsid w:val="009C4A1D"/>
    <w:rPr>
      <w:rFonts w:asciiTheme="majorHAnsi" w:eastAsiaTheme="majorEastAsia" w:hAnsiTheme="majorHAnsi" w:cstheme="majorBidi"/>
      <w:color w:val="2F5496" w:themeColor="accent1" w:themeShade="BF"/>
      <w:sz w:val="26"/>
      <w:szCs w:val="26"/>
      <w:lang w:eastAsia="en-GB"/>
    </w:rPr>
  </w:style>
  <w:style w:type="character" w:styleId="Strong">
    <w:name w:val="Strong"/>
    <w:basedOn w:val="DefaultParagraphFont"/>
    <w:uiPriority w:val="22"/>
    <w:qFormat/>
    <w:rsid w:val="009C4A1D"/>
    <w:rPr>
      <w:b/>
      <w:bCs/>
    </w:rPr>
  </w:style>
  <w:style w:type="table" w:styleId="TableGrid">
    <w:name w:val="Table Grid"/>
    <w:basedOn w:val="TableNormal"/>
    <w:uiPriority w:val="39"/>
    <w:rsid w:val="00FA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11B9"/>
    <w:pPr>
      <w:tabs>
        <w:tab w:val="center" w:pos="4513"/>
        <w:tab w:val="right" w:pos="9026"/>
      </w:tabs>
    </w:pPr>
  </w:style>
  <w:style w:type="character" w:customStyle="1" w:styleId="HeaderChar">
    <w:name w:val="Header Char"/>
    <w:basedOn w:val="DefaultParagraphFont"/>
    <w:link w:val="Header"/>
    <w:uiPriority w:val="99"/>
    <w:rsid w:val="00A711B9"/>
    <w:rPr>
      <w:rFonts w:ascii="Times New Roman" w:eastAsia="Times New Roman" w:hAnsi="Times New Roman" w:cs="Times New Roman"/>
      <w:lang w:eastAsia="en-GB"/>
    </w:rPr>
  </w:style>
  <w:style w:type="paragraph" w:styleId="Footer">
    <w:name w:val="footer"/>
    <w:basedOn w:val="Normal"/>
    <w:link w:val="FooterChar"/>
    <w:uiPriority w:val="99"/>
    <w:unhideWhenUsed/>
    <w:rsid w:val="00A711B9"/>
    <w:pPr>
      <w:tabs>
        <w:tab w:val="center" w:pos="4513"/>
        <w:tab w:val="right" w:pos="9026"/>
      </w:tabs>
    </w:pPr>
  </w:style>
  <w:style w:type="character" w:customStyle="1" w:styleId="FooterChar">
    <w:name w:val="Footer Char"/>
    <w:basedOn w:val="DefaultParagraphFont"/>
    <w:link w:val="Footer"/>
    <w:uiPriority w:val="99"/>
    <w:rsid w:val="00A711B9"/>
    <w:rPr>
      <w:rFonts w:ascii="Times New Roman" w:eastAsia="Times New Roman" w:hAnsi="Times New Roman" w:cs="Times New Roman"/>
      <w:lang w:eastAsia="en-GB"/>
    </w:rPr>
  </w:style>
  <w:style w:type="paragraph" w:styleId="TOC3">
    <w:name w:val="toc 3"/>
    <w:basedOn w:val="Normal"/>
    <w:next w:val="Normal"/>
    <w:autoRedefine/>
    <w:uiPriority w:val="39"/>
    <w:semiHidden/>
    <w:unhideWhenUsed/>
    <w:rsid w:val="00702A5E"/>
    <w:pPr>
      <w:ind w:left="480"/>
    </w:pPr>
    <w:rPr>
      <w:rFonts w:asciiTheme="minorHAnsi" w:hAnsiTheme="minorHAnsi"/>
      <w:sz w:val="20"/>
      <w:szCs w:val="20"/>
    </w:rPr>
  </w:style>
  <w:style w:type="paragraph" w:styleId="TOC4">
    <w:name w:val="toc 4"/>
    <w:basedOn w:val="Normal"/>
    <w:next w:val="Normal"/>
    <w:autoRedefine/>
    <w:uiPriority w:val="39"/>
    <w:semiHidden/>
    <w:unhideWhenUsed/>
    <w:rsid w:val="00702A5E"/>
    <w:pPr>
      <w:ind w:left="720"/>
    </w:pPr>
    <w:rPr>
      <w:rFonts w:asciiTheme="minorHAnsi" w:hAnsiTheme="minorHAnsi"/>
      <w:sz w:val="20"/>
      <w:szCs w:val="20"/>
    </w:rPr>
  </w:style>
  <w:style w:type="paragraph" w:styleId="TOC5">
    <w:name w:val="toc 5"/>
    <w:basedOn w:val="Normal"/>
    <w:next w:val="Normal"/>
    <w:autoRedefine/>
    <w:uiPriority w:val="39"/>
    <w:semiHidden/>
    <w:unhideWhenUsed/>
    <w:rsid w:val="00702A5E"/>
    <w:pPr>
      <w:ind w:left="960"/>
    </w:pPr>
    <w:rPr>
      <w:rFonts w:asciiTheme="minorHAnsi" w:hAnsiTheme="minorHAnsi"/>
      <w:sz w:val="20"/>
      <w:szCs w:val="20"/>
    </w:rPr>
  </w:style>
  <w:style w:type="paragraph" w:styleId="TOC6">
    <w:name w:val="toc 6"/>
    <w:basedOn w:val="Normal"/>
    <w:next w:val="Normal"/>
    <w:autoRedefine/>
    <w:uiPriority w:val="39"/>
    <w:semiHidden/>
    <w:unhideWhenUsed/>
    <w:rsid w:val="00702A5E"/>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702A5E"/>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702A5E"/>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702A5E"/>
    <w:pPr>
      <w:ind w:left="1920"/>
    </w:pPr>
    <w:rPr>
      <w:rFonts w:asciiTheme="minorHAnsi" w:hAnsiTheme="minorHAnsi"/>
      <w:sz w:val="20"/>
      <w:szCs w:val="20"/>
    </w:rPr>
  </w:style>
  <w:style w:type="character" w:styleId="PageNumber">
    <w:name w:val="page number"/>
    <w:basedOn w:val="DefaultParagraphFont"/>
    <w:uiPriority w:val="99"/>
    <w:semiHidden/>
    <w:unhideWhenUsed/>
    <w:rsid w:val="007A2FC0"/>
  </w:style>
  <w:style w:type="character" w:customStyle="1" w:styleId="UnresolvedMention1">
    <w:name w:val="Unresolved Mention1"/>
    <w:basedOn w:val="DefaultParagraphFont"/>
    <w:uiPriority w:val="99"/>
    <w:semiHidden/>
    <w:unhideWhenUsed/>
    <w:rsid w:val="009E5928"/>
    <w:rPr>
      <w:color w:val="605E5C"/>
      <w:shd w:val="clear" w:color="auto" w:fill="E1DFDD"/>
    </w:rPr>
  </w:style>
  <w:style w:type="character" w:styleId="CommentReference">
    <w:name w:val="annotation reference"/>
    <w:basedOn w:val="DefaultParagraphFont"/>
    <w:uiPriority w:val="99"/>
    <w:semiHidden/>
    <w:unhideWhenUsed/>
    <w:rsid w:val="00672F90"/>
    <w:rPr>
      <w:sz w:val="16"/>
      <w:szCs w:val="16"/>
    </w:rPr>
  </w:style>
  <w:style w:type="paragraph" w:styleId="CommentText">
    <w:name w:val="annotation text"/>
    <w:basedOn w:val="Normal"/>
    <w:link w:val="CommentTextChar"/>
    <w:uiPriority w:val="99"/>
    <w:unhideWhenUsed/>
    <w:rsid w:val="00672F90"/>
    <w:rPr>
      <w:sz w:val="20"/>
      <w:szCs w:val="20"/>
    </w:rPr>
  </w:style>
  <w:style w:type="character" w:customStyle="1" w:styleId="CommentTextChar">
    <w:name w:val="Comment Text Char"/>
    <w:basedOn w:val="DefaultParagraphFont"/>
    <w:link w:val="CommentText"/>
    <w:uiPriority w:val="99"/>
    <w:rsid w:val="00672F9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72F90"/>
    <w:rPr>
      <w:b/>
      <w:bCs/>
    </w:rPr>
  </w:style>
  <w:style w:type="character" w:customStyle="1" w:styleId="CommentSubjectChar">
    <w:name w:val="Comment Subject Char"/>
    <w:basedOn w:val="CommentTextChar"/>
    <w:link w:val="CommentSubject"/>
    <w:uiPriority w:val="99"/>
    <w:semiHidden/>
    <w:rsid w:val="00672F90"/>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A66EFA"/>
    <w:rPr>
      <w:sz w:val="20"/>
      <w:szCs w:val="20"/>
    </w:rPr>
  </w:style>
  <w:style w:type="character" w:customStyle="1" w:styleId="FootnoteTextChar">
    <w:name w:val="Footnote Text Char"/>
    <w:basedOn w:val="DefaultParagraphFont"/>
    <w:link w:val="FootnoteText"/>
    <w:uiPriority w:val="99"/>
    <w:semiHidden/>
    <w:rsid w:val="00A66EFA"/>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66EFA"/>
    <w:rPr>
      <w:vertAlign w:val="superscript"/>
    </w:rPr>
  </w:style>
  <w:style w:type="paragraph" w:styleId="ListParagraph">
    <w:name w:val="List Paragraph"/>
    <w:basedOn w:val="Normal"/>
    <w:uiPriority w:val="34"/>
    <w:qFormat/>
    <w:rsid w:val="00DB0A06"/>
    <w:pPr>
      <w:ind w:left="720"/>
      <w:contextualSpacing/>
    </w:p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Revision">
    <w:name w:val="Revision"/>
    <w:hidden/>
    <w:uiPriority w:val="99"/>
    <w:semiHidden/>
    <w:rsid w:val="004E17D0"/>
    <w:rPr>
      <w:rFonts w:ascii="Times New Roman" w:eastAsia="Times New Roman" w:hAnsi="Times New Roman" w:cs="Times New Roman"/>
      <w:lang w:eastAsia="en-GB"/>
    </w:rPr>
  </w:style>
  <w:style w:type="paragraph" w:customStyle="1" w:styleId="Default">
    <w:name w:val="Default"/>
    <w:rsid w:val="00C15346"/>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98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0wob.com/" TargetMode="External"/><Relationship Id="rId13" Type="http://schemas.openxmlformats.org/officeDocument/2006/relationships/hyperlink" Target="https://www.gov.uk/government/news/lord-davies-ftse-350-boards-should-be-33-female-by-2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0percentcoalition.org/who-we-are"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b.no/en/befolkning/artikler-og-publikasjoner/_attachment/347081?_ts=1632b8bcba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ssets.publishing.service.gov.uk/government/uploads/system/uploads/attachment_data/file/482059/BIS-15-585-women-on-boards-davies-review-5-year-summary-october-20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1480/11-745-women-on-boards.pdf"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ueanorwich-my.sharepoint.com/personal/wsa18fvu_uea_ac_uk/Documents/Co-authors/7%20-%20Olga%20%20-%20JIAR/Olga-%20graphs%20for%20paper%20-%20Nov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eanorwich-my.sharepoint.com/personal/wsa18fvu_uea_ac_uk/Documents/UEA/Masters%20dissertations/1%20-%20Ficheiros%20da%20Olga%20p%20paper/Olga-%20graphs%20for%20paper%20-%20Nov20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1'!$C$2</c:f>
              <c:strCache>
                <c:ptCount val="1"/>
                <c:pt idx="0">
                  <c:v>2012</c:v>
                </c:pt>
              </c:strCache>
            </c:strRef>
          </c:tx>
          <c:spPr>
            <a:solidFill>
              <a:schemeClr val="tx1"/>
            </a:solidFill>
            <a:ln>
              <a:noFill/>
            </a:ln>
            <a:effectLst/>
          </c:spPr>
          <c:invertIfNegative val="0"/>
          <c:cat>
            <c:strRef>
              <c:f>'Fig 1'!$B$3:$B$23</c:f>
              <c:strCache>
                <c:ptCount val="21"/>
                <c:pt idx="0">
                  <c:v>Mining &amp; Extraction</c:v>
                </c:pt>
                <c:pt idx="1">
                  <c:v>Banking, Insurance &amp; Fin. Servs.</c:v>
                </c:pt>
                <c:pt idx="2">
                  <c:v>Retail</c:v>
                </c:pt>
                <c:pt idx="3">
                  <c:v>Wholesale</c:v>
                </c:pt>
                <c:pt idx="4">
                  <c:v>Communications</c:v>
                </c:pt>
                <c:pt idx="5">
                  <c:v>Chemicals, Petroleum, Rubber &amp; Plastic</c:v>
                </c:pt>
                <c:pt idx="6">
                  <c:v>Food &amp; Tobacco Manufacturing</c:v>
                </c:pt>
                <c:pt idx="7">
                  <c:v>Travel</c:v>
                </c:pt>
                <c:pt idx="8">
                  <c:v>Business services</c:v>
                </c:pt>
                <c:pt idx="9">
                  <c:v>Utilities</c:v>
                </c:pt>
                <c:pt idx="10">
                  <c:v>Transport Manufacturing</c:v>
                </c:pt>
                <c:pt idx="11">
                  <c:v>Transport, Freigh &amp; Storage</c:v>
                </c:pt>
                <c:pt idx="12">
                  <c:v>Media &amp; Broadcasting</c:v>
                </c:pt>
                <c:pt idx="13">
                  <c:v>Wood, Furniture &amp; Paper manufacturing</c:v>
                </c:pt>
                <c:pt idx="14">
                  <c:v>Metals &amp; Metal products</c:v>
                </c:pt>
                <c:pt idx="15">
                  <c:v>Printing &amp; Publishing</c:v>
                </c:pt>
                <c:pt idx="16">
                  <c:v>Public Administration, Education &amp; Health services</c:v>
                </c:pt>
                <c:pt idx="17">
                  <c:v>Textiles &amp; Clothing manufacturing</c:v>
                </c:pt>
                <c:pt idx="18">
                  <c:v>Industrial, electric and electronic machinery</c:v>
                </c:pt>
                <c:pt idx="19">
                  <c:v>Construction</c:v>
                </c:pt>
                <c:pt idx="20">
                  <c:v>Property services</c:v>
                </c:pt>
              </c:strCache>
            </c:strRef>
          </c:cat>
          <c:val>
            <c:numRef>
              <c:f>'Fig 1'!$C$3:$C$23</c:f>
              <c:numCache>
                <c:formatCode>General</c:formatCode>
                <c:ptCount val="21"/>
                <c:pt idx="0">
                  <c:v>13.40972</c:v>
                </c:pt>
                <c:pt idx="1">
                  <c:v>20.391490000000001</c:v>
                </c:pt>
                <c:pt idx="2">
                  <c:v>23.149470000000001</c:v>
                </c:pt>
                <c:pt idx="3">
                  <c:v>14.672000000000001</c:v>
                </c:pt>
                <c:pt idx="4">
                  <c:v>18.61524</c:v>
                </c:pt>
                <c:pt idx="5">
                  <c:v>21.463640000000002</c:v>
                </c:pt>
                <c:pt idx="6">
                  <c:v>24.393329999999999</c:v>
                </c:pt>
                <c:pt idx="7">
                  <c:v>16.135000000000002</c:v>
                </c:pt>
                <c:pt idx="8">
                  <c:v>17.546320000000001</c:v>
                </c:pt>
                <c:pt idx="9">
                  <c:v>17.16095</c:v>
                </c:pt>
                <c:pt idx="10">
                  <c:v>18.635000000000002</c:v>
                </c:pt>
                <c:pt idx="11">
                  <c:v>13.35389</c:v>
                </c:pt>
                <c:pt idx="12">
                  <c:v>12.5</c:v>
                </c:pt>
                <c:pt idx="13">
                  <c:v>16.37407</c:v>
                </c:pt>
                <c:pt idx="14">
                  <c:v>11.80528</c:v>
                </c:pt>
                <c:pt idx="15">
                  <c:v>27.27</c:v>
                </c:pt>
                <c:pt idx="16">
                  <c:v>12.13636</c:v>
                </c:pt>
                <c:pt idx="17">
                  <c:v>37.5</c:v>
                </c:pt>
                <c:pt idx="18">
                  <c:v>13.75</c:v>
                </c:pt>
                <c:pt idx="19">
                  <c:v>10.682550000000001</c:v>
                </c:pt>
                <c:pt idx="20">
                  <c:v>9.09</c:v>
                </c:pt>
              </c:numCache>
            </c:numRef>
          </c:val>
          <c:extLst>
            <c:ext xmlns:c16="http://schemas.microsoft.com/office/drawing/2014/chart" uri="{C3380CC4-5D6E-409C-BE32-E72D297353CC}">
              <c16:uniqueId val="{00000000-DF4B-49C0-AEA6-CB0A14BBAEAF}"/>
            </c:ext>
          </c:extLst>
        </c:ser>
        <c:ser>
          <c:idx val="1"/>
          <c:order val="1"/>
          <c:tx>
            <c:strRef>
              <c:f>'Fig 1'!$D$2</c:f>
              <c:strCache>
                <c:ptCount val="1"/>
                <c:pt idx="0">
                  <c:v>2014</c:v>
                </c:pt>
              </c:strCache>
            </c:strRef>
          </c:tx>
          <c:spPr>
            <a:pattFill prst="smCheck">
              <a:fgClr>
                <a:schemeClr val="tx1"/>
              </a:fgClr>
              <a:bgClr>
                <a:schemeClr val="bg1"/>
              </a:bgClr>
            </a:pattFill>
            <a:ln>
              <a:noFill/>
            </a:ln>
            <a:effectLst/>
          </c:spPr>
          <c:invertIfNegative val="0"/>
          <c:cat>
            <c:strRef>
              <c:f>'Fig 1'!$B$3:$B$23</c:f>
              <c:strCache>
                <c:ptCount val="21"/>
                <c:pt idx="0">
                  <c:v>Mining &amp; Extraction</c:v>
                </c:pt>
                <c:pt idx="1">
                  <c:v>Banking, Insurance &amp; Fin. Servs.</c:v>
                </c:pt>
                <c:pt idx="2">
                  <c:v>Retail</c:v>
                </c:pt>
                <c:pt idx="3">
                  <c:v>Wholesale</c:v>
                </c:pt>
                <c:pt idx="4">
                  <c:v>Communications</c:v>
                </c:pt>
                <c:pt idx="5">
                  <c:v>Chemicals, Petroleum, Rubber &amp; Plastic</c:v>
                </c:pt>
                <c:pt idx="6">
                  <c:v>Food &amp; Tobacco Manufacturing</c:v>
                </c:pt>
                <c:pt idx="7">
                  <c:v>Travel</c:v>
                </c:pt>
                <c:pt idx="8">
                  <c:v>Business services</c:v>
                </c:pt>
                <c:pt idx="9">
                  <c:v>Utilities</c:v>
                </c:pt>
                <c:pt idx="10">
                  <c:v>Transport Manufacturing</c:v>
                </c:pt>
                <c:pt idx="11">
                  <c:v>Transport, Freigh &amp; Storage</c:v>
                </c:pt>
                <c:pt idx="12">
                  <c:v>Media &amp; Broadcasting</c:v>
                </c:pt>
                <c:pt idx="13">
                  <c:v>Wood, Furniture &amp; Paper manufacturing</c:v>
                </c:pt>
                <c:pt idx="14">
                  <c:v>Metals &amp; Metal products</c:v>
                </c:pt>
                <c:pt idx="15">
                  <c:v>Printing &amp; Publishing</c:v>
                </c:pt>
                <c:pt idx="16">
                  <c:v>Public Administration, Education &amp; Health services</c:v>
                </c:pt>
                <c:pt idx="17">
                  <c:v>Textiles &amp; Clothing manufacturing</c:v>
                </c:pt>
                <c:pt idx="18">
                  <c:v>Industrial, electric and electronic machinery</c:v>
                </c:pt>
                <c:pt idx="19">
                  <c:v>Construction</c:v>
                </c:pt>
                <c:pt idx="20">
                  <c:v>Property services</c:v>
                </c:pt>
              </c:strCache>
            </c:strRef>
          </c:cat>
          <c:val>
            <c:numRef>
              <c:f>'Fig 1'!$D$3:$D$23</c:f>
              <c:numCache>
                <c:formatCode>General</c:formatCode>
                <c:ptCount val="21"/>
                <c:pt idx="0">
                  <c:v>15.85524</c:v>
                </c:pt>
                <c:pt idx="1">
                  <c:v>22.214300000000001</c:v>
                </c:pt>
                <c:pt idx="2">
                  <c:v>24.325869999999998</c:v>
                </c:pt>
                <c:pt idx="3">
                  <c:v>23.875</c:v>
                </c:pt>
                <c:pt idx="4">
                  <c:v>24.623809999999999</c:v>
                </c:pt>
                <c:pt idx="5">
                  <c:v>26.730840000000001</c:v>
                </c:pt>
                <c:pt idx="6">
                  <c:v>28.516670000000001</c:v>
                </c:pt>
                <c:pt idx="7">
                  <c:v>25.390280000000001</c:v>
                </c:pt>
                <c:pt idx="8">
                  <c:v>23.72297</c:v>
                </c:pt>
                <c:pt idx="9">
                  <c:v>22.41159</c:v>
                </c:pt>
                <c:pt idx="10">
                  <c:v>21.11</c:v>
                </c:pt>
                <c:pt idx="11">
                  <c:v>13.61056</c:v>
                </c:pt>
                <c:pt idx="12">
                  <c:v>12.5</c:v>
                </c:pt>
                <c:pt idx="13">
                  <c:v>16.454070000000002</c:v>
                </c:pt>
                <c:pt idx="14">
                  <c:v>15</c:v>
                </c:pt>
                <c:pt idx="15">
                  <c:v>27.27</c:v>
                </c:pt>
                <c:pt idx="16">
                  <c:v>21.080030000000001</c:v>
                </c:pt>
                <c:pt idx="17">
                  <c:v>20</c:v>
                </c:pt>
                <c:pt idx="18">
                  <c:v>17.610220000000002</c:v>
                </c:pt>
                <c:pt idx="19">
                  <c:v>15.6835</c:v>
                </c:pt>
                <c:pt idx="20">
                  <c:v>20</c:v>
                </c:pt>
              </c:numCache>
            </c:numRef>
          </c:val>
          <c:extLst>
            <c:ext xmlns:c16="http://schemas.microsoft.com/office/drawing/2014/chart" uri="{C3380CC4-5D6E-409C-BE32-E72D297353CC}">
              <c16:uniqueId val="{00000001-DF4B-49C0-AEA6-CB0A14BBAEAF}"/>
            </c:ext>
          </c:extLst>
        </c:ser>
        <c:ser>
          <c:idx val="2"/>
          <c:order val="2"/>
          <c:tx>
            <c:strRef>
              <c:f>'Fig 1'!$E$2</c:f>
              <c:strCache>
                <c:ptCount val="1"/>
                <c:pt idx="0">
                  <c:v>2016</c:v>
                </c:pt>
              </c:strCache>
            </c:strRef>
          </c:tx>
          <c:spPr>
            <a:pattFill prst="pct40">
              <a:fgClr>
                <a:schemeClr val="tx1"/>
              </a:fgClr>
              <a:bgClr>
                <a:schemeClr val="bg1"/>
              </a:bgClr>
            </a:pattFill>
            <a:ln>
              <a:noFill/>
            </a:ln>
            <a:effectLst/>
          </c:spPr>
          <c:invertIfNegative val="0"/>
          <c:cat>
            <c:strRef>
              <c:f>'Fig 1'!$B$3:$B$23</c:f>
              <c:strCache>
                <c:ptCount val="21"/>
                <c:pt idx="0">
                  <c:v>Mining &amp; Extraction</c:v>
                </c:pt>
                <c:pt idx="1">
                  <c:v>Banking, Insurance &amp; Fin. Servs.</c:v>
                </c:pt>
                <c:pt idx="2">
                  <c:v>Retail</c:v>
                </c:pt>
                <c:pt idx="3">
                  <c:v>Wholesale</c:v>
                </c:pt>
                <c:pt idx="4">
                  <c:v>Communications</c:v>
                </c:pt>
                <c:pt idx="5">
                  <c:v>Chemicals, Petroleum, Rubber &amp; Plastic</c:v>
                </c:pt>
                <c:pt idx="6">
                  <c:v>Food &amp; Tobacco Manufacturing</c:v>
                </c:pt>
                <c:pt idx="7">
                  <c:v>Travel</c:v>
                </c:pt>
                <c:pt idx="8">
                  <c:v>Business services</c:v>
                </c:pt>
                <c:pt idx="9">
                  <c:v>Utilities</c:v>
                </c:pt>
                <c:pt idx="10">
                  <c:v>Transport Manufacturing</c:v>
                </c:pt>
                <c:pt idx="11">
                  <c:v>Transport, Freigh &amp; Storage</c:v>
                </c:pt>
                <c:pt idx="12">
                  <c:v>Media &amp; Broadcasting</c:v>
                </c:pt>
                <c:pt idx="13">
                  <c:v>Wood, Furniture &amp; Paper manufacturing</c:v>
                </c:pt>
                <c:pt idx="14">
                  <c:v>Metals &amp; Metal products</c:v>
                </c:pt>
                <c:pt idx="15">
                  <c:v>Printing &amp; Publishing</c:v>
                </c:pt>
                <c:pt idx="16">
                  <c:v>Public Administration, Education &amp; Health services</c:v>
                </c:pt>
                <c:pt idx="17">
                  <c:v>Textiles &amp; Clothing manufacturing</c:v>
                </c:pt>
                <c:pt idx="18">
                  <c:v>Industrial, electric and electronic machinery</c:v>
                </c:pt>
                <c:pt idx="19">
                  <c:v>Construction</c:v>
                </c:pt>
                <c:pt idx="20">
                  <c:v>Property services</c:v>
                </c:pt>
              </c:strCache>
            </c:strRef>
          </c:cat>
          <c:val>
            <c:numRef>
              <c:f>'Fig 1'!$E$3:$E$23</c:f>
              <c:numCache>
                <c:formatCode>General</c:formatCode>
                <c:ptCount val="21"/>
                <c:pt idx="0">
                  <c:v>18.33943</c:v>
                </c:pt>
                <c:pt idx="1">
                  <c:v>26.75648</c:v>
                </c:pt>
                <c:pt idx="2">
                  <c:v>30.341750000000001</c:v>
                </c:pt>
                <c:pt idx="3">
                  <c:v>27.45167</c:v>
                </c:pt>
                <c:pt idx="4">
                  <c:v>24.830739999999999</c:v>
                </c:pt>
                <c:pt idx="5">
                  <c:v>30.115570000000002</c:v>
                </c:pt>
                <c:pt idx="6">
                  <c:v>29.95</c:v>
                </c:pt>
                <c:pt idx="7">
                  <c:v>32.442500000000003</c:v>
                </c:pt>
                <c:pt idx="8">
                  <c:v>24.526050000000001</c:v>
                </c:pt>
                <c:pt idx="9">
                  <c:v>26.212859999999999</c:v>
                </c:pt>
                <c:pt idx="10">
                  <c:v>18.635000000000002</c:v>
                </c:pt>
                <c:pt idx="11">
                  <c:v>19.08249</c:v>
                </c:pt>
                <c:pt idx="12">
                  <c:v>25</c:v>
                </c:pt>
                <c:pt idx="13">
                  <c:v>22.380739999999999</c:v>
                </c:pt>
                <c:pt idx="14">
                  <c:v>23.214289999999998</c:v>
                </c:pt>
                <c:pt idx="15">
                  <c:v>30</c:v>
                </c:pt>
                <c:pt idx="16">
                  <c:v>17.301590000000001</c:v>
                </c:pt>
                <c:pt idx="17">
                  <c:v>27.27</c:v>
                </c:pt>
                <c:pt idx="18">
                  <c:v>24.44333</c:v>
                </c:pt>
                <c:pt idx="19">
                  <c:v>20.020959999999999</c:v>
                </c:pt>
                <c:pt idx="20">
                  <c:v>20</c:v>
                </c:pt>
              </c:numCache>
            </c:numRef>
          </c:val>
          <c:extLst>
            <c:ext xmlns:c16="http://schemas.microsoft.com/office/drawing/2014/chart" uri="{C3380CC4-5D6E-409C-BE32-E72D297353CC}">
              <c16:uniqueId val="{00000002-DF4B-49C0-AEA6-CB0A14BBAEAF}"/>
            </c:ext>
          </c:extLst>
        </c:ser>
        <c:ser>
          <c:idx val="3"/>
          <c:order val="3"/>
          <c:tx>
            <c:strRef>
              <c:f>'Fig 1'!$F$2</c:f>
              <c:strCache>
                <c:ptCount val="1"/>
                <c:pt idx="0">
                  <c:v>2018</c:v>
                </c:pt>
              </c:strCache>
            </c:strRef>
          </c:tx>
          <c:spPr>
            <a:pattFill prst="pct10">
              <a:fgClr>
                <a:schemeClr val="tx1"/>
              </a:fgClr>
              <a:bgClr>
                <a:schemeClr val="bg1"/>
              </a:bgClr>
            </a:pattFill>
            <a:ln>
              <a:solidFill>
                <a:schemeClr val="tx1"/>
              </a:solidFill>
            </a:ln>
            <a:effectLst/>
          </c:spPr>
          <c:invertIfNegative val="0"/>
          <c:cat>
            <c:strRef>
              <c:f>'Fig 1'!$B$3:$B$23</c:f>
              <c:strCache>
                <c:ptCount val="21"/>
                <c:pt idx="0">
                  <c:v>Mining &amp; Extraction</c:v>
                </c:pt>
                <c:pt idx="1">
                  <c:v>Banking, Insurance &amp; Fin. Servs.</c:v>
                </c:pt>
                <c:pt idx="2">
                  <c:v>Retail</c:v>
                </c:pt>
                <c:pt idx="3">
                  <c:v>Wholesale</c:v>
                </c:pt>
                <c:pt idx="4">
                  <c:v>Communications</c:v>
                </c:pt>
                <c:pt idx="5">
                  <c:v>Chemicals, Petroleum, Rubber &amp; Plastic</c:v>
                </c:pt>
                <c:pt idx="6">
                  <c:v>Food &amp; Tobacco Manufacturing</c:v>
                </c:pt>
                <c:pt idx="7">
                  <c:v>Travel</c:v>
                </c:pt>
                <c:pt idx="8">
                  <c:v>Business services</c:v>
                </c:pt>
                <c:pt idx="9">
                  <c:v>Utilities</c:v>
                </c:pt>
                <c:pt idx="10">
                  <c:v>Transport Manufacturing</c:v>
                </c:pt>
                <c:pt idx="11">
                  <c:v>Transport, Freigh &amp; Storage</c:v>
                </c:pt>
                <c:pt idx="12">
                  <c:v>Media &amp; Broadcasting</c:v>
                </c:pt>
                <c:pt idx="13">
                  <c:v>Wood, Furniture &amp; Paper manufacturing</c:v>
                </c:pt>
                <c:pt idx="14">
                  <c:v>Metals &amp; Metal products</c:v>
                </c:pt>
                <c:pt idx="15">
                  <c:v>Printing &amp; Publishing</c:v>
                </c:pt>
                <c:pt idx="16">
                  <c:v>Public Administration, Education &amp; Health services</c:v>
                </c:pt>
                <c:pt idx="17">
                  <c:v>Textiles &amp; Clothing manufacturing</c:v>
                </c:pt>
                <c:pt idx="18">
                  <c:v>Industrial, electric and electronic machinery</c:v>
                </c:pt>
                <c:pt idx="19">
                  <c:v>Construction</c:v>
                </c:pt>
                <c:pt idx="20">
                  <c:v>Property services</c:v>
                </c:pt>
              </c:strCache>
            </c:strRef>
          </c:cat>
          <c:val>
            <c:numRef>
              <c:f>'Fig 1'!$F$3:$F$23</c:f>
              <c:numCache>
                <c:formatCode>General</c:formatCode>
                <c:ptCount val="21"/>
                <c:pt idx="0">
                  <c:v>25.355930000000001</c:v>
                </c:pt>
                <c:pt idx="1">
                  <c:v>29.405909999999999</c:v>
                </c:pt>
                <c:pt idx="2">
                  <c:v>27.24624</c:v>
                </c:pt>
                <c:pt idx="3">
                  <c:v>28.454999999999998</c:v>
                </c:pt>
                <c:pt idx="4">
                  <c:v>28.533329999999999</c:v>
                </c:pt>
                <c:pt idx="5">
                  <c:v>32.815939999999998</c:v>
                </c:pt>
                <c:pt idx="6">
                  <c:v>34.813330000000001</c:v>
                </c:pt>
                <c:pt idx="7">
                  <c:v>32.952950000000001</c:v>
                </c:pt>
                <c:pt idx="8">
                  <c:v>31.478539999999999</c:v>
                </c:pt>
                <c:pt idx="9">
                  <c:v>28.048940000000002</c:v>
                </c:pt>
                <c:pt idx="10">
                  <c:v>30.68</c:v>
                </c:pt>
                <c:pt idx="11">
                  <c:v>23.65</c:v>
                </c:pt>
                <c:pt idx="12">
                  <c:v>40</c:v>
                </c:pt>
                <c:pt idx="13">
                  <c:v>30.453330000000001</c:v>
                </c:pt>
                <c:pt idx="14">
                  <c:v>29.363689999999998</c:v>
                </c:pt>
                <c:pt idx="15">
                  <c:v>33.18</c:v>
                </c:pt>
                <c:pt idx="16">
                  <c:v>24.796890000000001</c:v>
                </c:pt>
                <c:pt idx="17">
                  <c:v>45.45</c:v>
                </c:pt>
                <c:pt idx="18">
                  <c:v>29.5825</c:v>
                </c:pt>
                <c:pt idx="19">
                  <c:v>26.902709999999999</c:v>
                </c:pt>
                <c:pt idx="20">
                  <c:v>28.57</c:v>
                </c:pt>
              </c:numCache>
            </c:numRef>
          </c:val>
          <c:extLst>
            <c:ext xmlns:c16="http://schemas.microsoft.com/office/drawing/2014/chart" uri="{C3380CC4-5D6E-409C-BE32-E72D297353CC}">
              <c16:uniqueId val="{00000003-DF4B-49C0-AEA6-CB0A14BBAEAF}"/>
            </c:ext>
          </c:extLst>
        </c:ser>
        <c:dLbls>
          <c:showLegendKey val="0"/>
          <c:showVal val="0"/>
          <c:showCatName val="0"/>
          <c:showSerName val="0"/>
          <c:showPercent val="0"/>
          <c:showBubbleSize val="0"/>
        </c:dLbls>
        <c:gapWidth val="219"/>
        <c:overlap val="-27"/>
        <c:axId val="979314848"/>
        <c:axId val="979309272"/>
      </c:barChart>
      <c:catAx>
        <c:axId val="97931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309272"/>
        <c:crosses val="autoZero"/>
        <c:auto val="1"/>
        <c:lblAlgn val="ctr"/>
        <c:lblOffset val="100"/>
        <c:noMultiLvlLbl val="0"/>
      </c:catAx>
      <c:valAx>
        <c:axId val="979309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31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Mean of %Female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7136482939632549E-2"/>
          <c:y val="0.17171296296296298"/>
          <c:w val="0.90286351706036749"/>
          <c:h val="0.72088764946048411"/>
        </c:manualLayout>
      </c:layout>
      <c:barChart>
        <c:barDir val="col"/>
        <c:grouping val="clustered"/>
        <c:varyColors val="0"/>
        <c:ser>
          <c:idx val="0"/>
          <c:order val="0"/>
          <c:tx>
            <c:strRef>
              <c:f>'Fig 2'!$B$4</c:f>
              <c:strCache>
                <c:ptCount val="1"/>
                <c:pt idx="0">
                  <c:v>mean</c:v>
                </c:pt>
              </c:strCache>
            </c:strRef>
          </c:tx>
          <c:spPr>
            <a:solidFill>
              <a:schemeClr val="accent1"/>
            </a:solidFill>
            <a:ln>
              <a:noFill/>
            </a:ln>
            <a:effectLst/>
          </c:spPr>
          <c:invertIfNegative val="0"/>
          <c:cat>
            <c:numRef>
              <c:f>'Fig 2'!$A$5:$A$8</c:f>
              <c:numCache>
                <c:formatCode>General</c:formatCode>
                <c:ptCount val="4"/>
                <c:pt idx="0">
                  <c:v>2012</c:v>
                </c:pt>
                <c:pt idx="1">
                  <c:v>2014</c:v>
                </c:pt>
                <c:pt idx="2">
                  <c:v>2016</c:v>
                </c:pt>
                <c:pt idx="3">
                  <c:v>2018</c:v>
                </c:pt>
              </c:numCache>
            </c:numRef>
          </c:cat>
          <c:val>
            <c:numRef>
              <c:f>'Fig 2'!$B$5:$B$8</c:f>
              <c:numCache>
                <c:formatCode>General</c:formatCode>
                <c:ptCount val="4"/>
                <c:pt idx="0">
                  <c:v>16.683720000000001</c:v>
                </c:pt>
                <c:pt idx="1">
                  <c:v>20.745799999999999</c:v>
                </c:pt>
                <c:pt idx="2">
                  <c:v>24.39714</c:v>
                </c:pt>
                <c:pt idx="3">
                  <c:v>29.065809999999999</c:v>
                </c:pt>
              </c:numCache>
            </c:numRef>
          </c:val>
          <c:extLst>
            <c:ext xmlns:c16="http://schemas.microsoft.com/office/drawing/2014/chart" uri="{C3380CC4-5D6E-409C-BE32-E72D297353CC}">
              <c16:uniqueId val="{00000000-DDB3-4092-93F5-F5FAE0B1E1D6}"/>
            </c:ext>
          </c:extLst>
        </c:ser>
        <c:dLbls>
          <c:showLegendKey val="0"/>
          <c:showVal val="0"/>
          <c:showCatName val="0"/>
          <c:showSerName val="0"/>
          <c:showPercent val="0"/>
          <c:showBubbleSize val="0"/>
        </c:dLbls>
        <c:gapWidth val="219"/>
        <c:overlap val="-27"/>
        <c:axId val="285272552"/>
        <c:axId val="285272944"/>
      </c:barChart>
      <c:catAx>
        <c:axId val="2852725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272944"/>
        <c:crosses val="autoZero"/>
        <c:auto val="1"/>
        <c:lblAlgn val="ctr"/>
        <c:lblOffset val="100"/>
        <c:noMultiLvlLbl val="0"/>
      </c:catAx>
      <c:valAx>
        <c:axId val="28527294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27255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3D67D-8A9A-48D5-AE15-E343D76B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10144</Words>
  <Characters>57823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2021-11-10T13:46:00Z</cp:lastPrinted>
  <dcterms:created xsi:type="dcterms:W3CDTF">2023-01-30T10:48:00Z</dcterms:created>
  <dcterms:modified xsi:type="dcterms:W3CDTF">2023-01-30T10:49:00Z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184894146</vt:i4>
  </property>
  <property fmtid="{D5CDD505-2E9C-101B-9397-08002B2CF9AE}" pid="3" name="_NewReviewCycle">
    <vt:lpwstr/>
  </property>
  <property fmtid="{D5CDD505-2E9C-101B-9397-08002B2CF9AE}" pid="4" name="_ReviewingToolsShownOnce">
    <vt:lpwstr/>
  </property>
</Properties>
</file>